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44" w:lineRule="auto" w:before="78"/>
        <w:ind w:left="766" w:right="1955" w:hanging="6"/>
      </w:pPr>
      <w:r>
        <w:rPr/>
        <w:t>EVALUATION OF TABLETING AND COMPRESSIONAL CHARACTERISTICS OF NATIVE AND MICROCRYSTALLINE STARCHES DERIVED FROM </w:t>
      </w:r>
      <w:r>
        <w:rPr>
          <w:i/>
        </w:rPr>
        <w:t>DIGITARIA IBURUA</w:t>
      </w:r>
      <w:r>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7"/>
        <w:rPr>
          <w:b/>
        </w:rPr>
      </w:pPr>
    </w:p>
    <w:p>
      <w:pPr>
        <w:spacing w:before="0"/>
        <w:ind w:left="1070" w:right="2265" w:firstLine="0"/>
        <w:jc w:val="center"/>
        <w:rPr>
          <w:b/>
          <w:sz w:val="22"/>
        </w:rPr>
      </w:pPr>
      <w:r>
        <w:rPr>
          <w:b/>
          <w:spacing w:val="-5"/>
          <w:sz w:val="22"/>
        </w:rPr>
        <w:t>BY</w:t>
      </w:r>
    </w:p>
    <w:p>
      <w:pPr>
        <w:spacing w:before="11"/>
        <w:ind w:left="1078" w:right="2265" w:firstLine="0"/>
        <w:jc w:val="center"/>
        <w:rPr>
          <w:b/>
          <w:sz w:val="22"/>
        </w:rPr>
      </w:pPr>
      <w:r>
        <w:rPr>
          <w:b/>
          <w:sz w:val="22"/>
        </w:rPr>
        <w:t>OKPANACHI,</w:t>
      </w:r>
      <w:r>
        <w:rPr>
          <w:b/>
          <w:spacing w:val="19"/>
          <w:sz w:val="22"/>
        </w:rPr>
        <w:t> </w:t>
      </w:r>
      <w:r>
        <w:rPr>
          <w:b/>
          <w:sz w:val="22"/>
        </w:rPr>
        <w:t>GIDEON</w:t>
      </w:r>
      <w:r>
        <w:rPr>
          <w:b/>
          <w:spacing w:val="18"/>
          <w:sz w:val="22"/>
        </w:rPr>
        <w:t> </w:t>
      </w:r>
      <w:r>
        <w:rPr>
          <w:b/>
          <w:sz w:val="22"/>
        </w:rPr>
        <w:t>OWOICHO</w:t>
      </w:r>
      <w:r>
        <w:rPr>
          <w:b/>
          <w:spacing w:val="24"/>
          <w:sz w:val="22"/>
        </w:rPr>
        <w:t> </w:t>
      </w:r>
      <w:r>
        <w:rPr>
          <w:b/>
          <w:sz w:val="22"/>
        </w:rPr>
        <w:t>B.Pharm</w:t>
      </w:r>
      <w:r>
        <w:rPr>
          <w:b/>
          <w:spacing w:val="18"/>
          <w:sz w:val="22"/>
        </w:rPr>
        <w:t> </w:t>
      </w:r>
      <w:r>
        <w:rPr>
          <w:b/>
          <w:sz w:val="22"/>
        </w:rPr>
        <w:t>(ABU</w:t>
      </w:r>
      <w:r>
        <w:rPr>
          <w:b/>
          <w:spacing w:val="18"/>
          <w:sz w:val="22"/>
        </w:rPr>
        <w:t> </w:t>
      </w:r>
      <w:r>
        <w:rPr>
          <w:b/>
          <w:spacing w:val="-2"/>
          <w:sz w:val="22"/>
        </w:rPr>
        <w:t>2006)</w:t>
      </w:r>
    </w:p>
    <w:p>
      <w:pPr>
        <w:spacing w:before="2"/>
        <w:ind w:left="1078" w:right="2265" w:firstLine="0"/>
        <w:jc w:val="center"/>
        <w:rPr>
          <w:b/>
          <w:sz w:val="22"/>
        </w:rPr>
      </w:pPr>
      <w:r>
        <w:rPr>
          <w:b/>
          <w:sz w:val="22"/>
        </w:rPr>
        <w:t>M.Sc./Pharm</w:t>
      </w:r>
      <w:r>
        <w:rPr>
          <w:b/>
          <w:spacing w:val="9"/>
          <w:sz w:val="22"/>
        </w:rPr>
        <w:t> </w:t>
      </w:r>
      <w:r>
        <w:rPr>
          <w:b/>
          <w:sz w:val="22"/>
        </w:rPr>
        <w:t>–</w:t>
      </w:r>
      <w:r>
        <w:rPr>
          <w:b/>
          <w:spacing w:val="20"/>
          <w:sz w:val="22"/>
        </w:rPr>
        <w:t> </w:t>
      </w:r>
      <w:r>
        <w:rPr>
          <w:b/>
          <w:sz w:val="22"/>
        </w:rPr>
        <w:t>Sci/02202/2008</w:t>
      </w:r>
      <w:r>
        <w:rPr>
          <w:b/>
          <w:spacing w:val="7"/>
          <w:sz w:val="22"/>
        </w:rPr>
        <w:t> </w:t>
      </w:r>
      <w:r>
        <w:rPr>
          <w:b/>
          <w:sz w:val="22"/>
        </w:rPr>
        <w:t>–</w:t>
      </w:r>
      <w:r>
        <w:rPr>
          <w:b/>
          <w:spacing w:val="20"/>
          <w:sz w:val="22"/>
        </w:rPr>
        <w:t> </w:t>
      </w:r>
      <w:r>
        <w:rPr>
          <w:b/>
          <w:spacing w:val="-4"/>
          <w:sz w:val="22"/>
        </w:rPr>
        <w:t>2009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4"/>
        <w:rPr>
          <w:b/>
        </w:rPr>
      </w:pPr>
    </w:p>
    <w:p>
      <w:pPr>
        <w:spacing w:line="244" w:lineRule="auto" w:before="0"/>
        <w:ind w:left="1063" w:right="2265" w:firstLine="0"/>
        <w:jc w:val="center"/>
        <w:rPr>
          <w:b/>
          <w:sz w:val="22"/>
        </w:rPr>
      </w:pPr>
      <w:r>
        <w:rPr>
          <w:b/>
          <w:sz w:val="22"/>
        </w:rPr>
        <w:t>A THESIS SUBMITTED TO THE POSTGRADUATE SCHOOL, AHMADU BELLO UNIVERSITY, ZARIA, NIGERIA.</w:t>
      </w:r>
    </w:p>
    <w:p>
      <w:pPr>
        <w:pStyle w:val="BodyText"/>
        <w:rPr>
          <w:b/>
        </w:rPr>
      </w:pPr>
    </w:p>
    <w:p>
      <w:pPr>
        <w:pStyle w:val="BodyText"/>
        <w:rPr>
          <w:b/>
        </w:rPr>
      </w:pPr>
    </w:p>
    <w:p>
      <w:pPr>
        <w:pStyle w:val="BodyText"/>
        <w:spacing w:before="21"/>
        <w:rPr>
          <w:b/>
        </w:rPr>
      </w:pPr>
    </w:p>
    <w:p>
      <w:pPr>
        <w:spacing w:line="244" w:lineRule="auto" w:before="0"/>
        <w:ind w:left="807" w:right="1996" w:firstLine="0"/>
        <w:jc w:val="center"/>
        <w:rPr>
          <w:b/>
          <w:sz w:val="22"/>
        </w:rPr>
      </w:pPr>
      <w:r>
        <w:rPr>
          <w:b/>
          <w:sz w:val="22"/>
        </w:rPr>
        <w:t>IN PARTIAL FULFILMENT FOR THE AWARD OF MASTER OF SCIENCE IN PHARMACEUTICS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7"/>
        <w:rPr>
          <w:b/>
        </w:rPr>
      </w:pPr>
    </w:p>
    <w:p>
      <w:pPr>
        <w:spacing w:line="244" w:lineRule="auto" w:before="0"/>
        <w:ind w:left="1184" w:right="2376" w:firstLine="2"/>
        <w:jc w:val="center"/>
        <w:rPr>
          <w:b/>
          <w:sz w:val="22"/>
        </w:rPr>
      </w:pPr>
      <w:r>
        <w:rPr>
          <w:b/>
          <w:sz w:val="22"/>
        </w:rPr>
        <w:t>DEPARTMENT OF PHARMACEUTICS AND PHARMACEUTICAL MICROBIOLOGY, FACULTY OF PHARMACEUTICAL SCIENCES, AHMADU BELLO UNIVERSITY, 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1"/>
        <w:rPr>
          <w:b/>
        </w:rPr>
      </w:pPr>
    </w:p>
    <w:p>
      <w:pPr>
        <w:spacing w:before="0"/>
        <w:ind w:left="1072" w:right="2265" w:firstLine="0"/>
        <w:jc w:val="center"/>
        <w:rPr>
          <w:b/>
          <w:sz w:val="22"/>
        </w:rPr>
      </w:pPr>
      <w:r>
        <w:rPr>
          <w:b/>
          <w:sz w:val="22"/>
        </w:rPr>
        <w:t>DECEMBER,</w:t>
      </w:r>
      <w:r>
        <w:rPr>
          <w:b/>
          <w:spacing w:val="29"/>
          <w:sz w:val="22"/>
        </w:rPr>
        <w:t> </w:t>
      </w:r>
      <w:r>
        <w:rPr>
          <w:b/>
          <w:spacing w:val="-4"/>
          <w:sz w:val="22"/>
        </w:rPr>
        <w:t>2012</w:t>
      </w:r>
    </w:p>
    <w:p>
      <w:pPr>
        <w:spacing w:after="0"/>
        <w:jc w:val="center"/>
        <w:rPr>
          <w:sz w:val="22"/>
        </w:rPr>
        <w:sectPr>
          <w:footerReference w:type="default" r:id="rId5"/>
          <w:type w:val="continuous"/>
          <w:pgSz w:w="12240" w:h="15840"/>
          <w:pgMar w:header="0" w:footer="999" w:top="1780" w:bottom="1180" w:left="1720" w:right="0"/>
          <w:pgNumType w:start="1"/>
        </w:sectPr>
      </w:pPr>
    </w:p>
    <w:p>
      <w:pPr>
        <w:pStyle w:val="Heading1"/>
        <w:ind w:left="1064"/>
      </w:pPr>
      <w:bookmarkStart w:name="_TOC_250160" w:id="1"/>
      <w:bookmarkEnd w:id="1"/>
      <w:r>
        <w:rPr>
          <w:spacing w:val="-2"/>
        </w:rPr>
        <w:t>DECLARATION</w:t>
      </w:r>
    </w:p>
    <w:p>
      <w:pPr>
        <w:pStyle w:val="BodyText"/>
        <w:spacing w:line="491" w:lineRule="auto" w:before="246"/>
        <w:ind w:left="665" w:right="1854" w:firstLine="676"/>
        <w:jc w:val="both"/>
      </w:pPr>
      <w:r>
        <w:rPr/>
        <w:t>I declare that the work in this thesis entitled “Evaluation of Tableting and Compressional Characteristics of Native and Microcrystalline Starch Derived from </w:t>
      </w:r>
      <w:r>
        <w:rPr>
          <w:i/>
        </w:rPr>
        <w:t>Digitaria iburua</w:t>
      </w:r>
      <w:r>
        <w:rPr/>
        <w:t>”, has been performed and reported by me in the Department of Pharmaceutics and Pharmaceutical Microbiology under the supervision of Dr. H. Musa and Dr. A.B. Isah.</w:t>
      </w:r>
    </w:p>
    <w:p>
      <w:pPr>
        <w:pStyle w:val="BodyText"/>
        <w:spacing w:line="494" w:lineRule="auto"/>
        <w:ind w:left="665" w:right="1861" w:firstLine="676"/>
        <w:jc w:val="both"/>
      </w:pPr>
      <w:r>
        <w:rPr/>
        <w:t>The information derived from the literature has been duly acknowledged in the</w:t>
      </w:r>
      <w:r>
        <w:rPr>
          <w:spacing w:val="40"/>
        </w:rPr>
        <w:t> </w:t>
      </w:r>
      <w:r>
        <w:rPr/>
        <w:t>text and a list of references provided. No part of this thesis was previously presented for another degree or Diploma at any university.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p>
    <w:tbl>
      <w:tblPr>
        <w:tblW w:w="0" w:type="auto"/>
        <w:jc w:val="left"/>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3"/>
        <w:gridCol w:w="2955"/>
        <w:gridCol w:w="2389"/>
      </w:tblGrid>
      <w:tr>
        <w:trPr>
          <w:trHeight w:val="254" w:hRule="atLeast"/>
        </w:trPr>
        <w:tc>
          <w:tcPr>
            <w:tcW w:w="2703" w:type="dxa"/>
          </w:tcPr>
          <w:p>
            <w:pPr>
              <w:pStyle w:val="TableParagraph"/>
              <w:spacing w:line="235" w:lineRule="exact"/>
              <w:ind w:left="50"/>
              <w:rPr>
                <w:b/>
                <w:sz w:val="22"/>
              </w:rPr>
            </w:pPr>
            <w:r>
              <w:rPr>
                <w:b/>
                <w:sz w:val="22"/>
              </w:rPr>
              <w:t>OKPANACHI</w:t>
            </w:r>
            <w:r>
              <w:rPr>
                <w:b/>
                <w:spacing w:val="25"/>
                <w:sz w:val="22"/>
              </w:rPr>
              <w:t> </w:t>
            </w:r>
            <w:r>
              <w:rPr>
                <w:b/>
                <w:spacing w:val="-4"/>
                <w:sz w:val="22"/>
              </w:rPr>
              <w:t>G.O.</w:t>
            </w:r>
          </w:p>
        </w:tc>
        <w:tc>
          <w:tcPr>
            <w:tcW w:w="2955" w:type="dxa"/>
          </w:tcPr>
          <w:p>
            <w:pPr>
              <w:pStyle w:val="TableParagraph"/>
              <w:tabs>
                <w:tab w:pos="2474" w:val="left" w:leader="none"/>
              </w:tabs>
              <w:spacing w:line="235" w:lineRule="exact"/>
              <w:ind w:left="731"/>
              <w:rPr>
                <w:b/>
                <w:sz w:val="22"/>
              </w:rPr>
            </w:pPr>
            <w:r>
              <w:rPr>
                <w:b/>
                <w:w w:val="102"/>
                <w:sz w:val="22"/>
                <w:u w:val="single"/>
              </w:rPr>
              <w:t> </w:t>
            </w:r>
            <w:r>
              <w:rPr>
                <w:b/>
                <w:sz w:val="22"/>
                <w:u w:val="single"/>
              </w:rPr>
              <w:tab/>
            </w:r>
          </w:p>
        </w:tc>
        <w:tc>
          <w:tcPr>
            <w:tcW w:w="2389" w:type="dxa"/>
          </w:tcPr>
          <w:p>
            <w:pPr>
              <w:pStyle w:val="TableParagraph"/>
              <w:tabs>
                <w:tab w:pos="2341" w:val="left" w:leader="none"/>
              </w:tabs>
              <w:spacing w:line="235" w:lineRule="exact"/>
              <w:ind w:left="483"/>
              <w:rPr>
                <w:b/>
                <w:sz w:val="22"/>
              </w:rPr>
            </w:pPr>
            <w:r>
              <w:rPr>
                <w:b/>
                <w:w w:val="102"/>
                <w:sz w:val="22"/>
                <w:u w:val="single"/>
              </w:rPr>
              <w:t> </w:t>
            </w:r>
            <w:r>
              <w:rPr>
                <w:b/>
                <w:sz w:val="22"/>
                <w:u w:val="single"/>
              </w:rPr>
              <w:tab/>
            </w:r>
          </w:p>
        </w:tc>
      </w:tr>
      <w:tr>
        <w:trPr>
          <w:trHeight w:val="254" w:hRule="atLeast"/>
        </w:trPr>
        <w:tc>
          <w:tcPr>
            <w:tcW w:w="2703" w:type="dxa"/>
          </w:tcPr>
          <w:p>
            <w:pPr>
              <w:pStyle w:val="TableParagraph"/>
              <w:spacing w:line="234" w:lineRule="exact"/>
              <w:ind w:left="50"/>
              <w:rPr>
                <w:sz w:val="22"/>
              </w:rPr>
            </w:pPr>
            <w:r>
              <w:rPr>
                <w:sz w:val="22"/>
              </w:rPr>
              <w:t>Name</w:t>
            </w:r>
            <w:r>
              <w:rPr>
                <w:spacing w:val="12"/>
                <w:sz w:val="22"/>
              </w:rPr>
              <w:t> </w:t>
            </w:r>
            <w:r>
              <w:rPr>
                <w:sz w:val="22"/>
              </w:rPr>
              <w:t>of</w:t>
            </w:r>
            <w:r>
              <w:rPr>
                <w:spacing w:val="8"/>
                <w:sz w:val="22"/>
              </w:rPr>
              <w:t> </w:t>
            </w:r>
            <w:r>
              <w:rPr>
                <w:spacing w:val="-2"/>
                <w:sz w:val="22"/>
              </w:rPr>
              <w:t>Student</w:t>
            </w:r>
          </w:p>
        </w:tc>
        <w:tc>
          <w:tcPr>
            <w:tcW w:w="2955" w:type="dxa"/>
          </w:tcPr>
          <w:p>
            <w:pPr>
              <w:pStyle w:val="TableParagraph"/>
              <w:spacing w:line="234" w:lineRule="exact"/>
              <w:ind w:left="1129"/>
              <w:rPr>
                <w:sz w:val="22"/>
              </w:rPr>
            </w:pPr>
            <w:r>
              <w:rPr>
                <w:spacing w:val="-2"/>
                <w:sz w:val="22"/>
              </w:rPr>
              <w:t>Signature</w:t>
            </w:r>
          </w:p>
        </w:tc>
        <w:tc>
          <w:tcPr>
            <w:tcW w:w="2389" w:type="dxa"/>
          </w:tcPr>
          <w:p>
            <w:pPr>
              <w:pStyle w:val="TableParagraph"/>
              <w:spacing w:line="234" w:lineRule="exact"/>
              <w:ind w:left="141"/>
              <w:jc w:val="center"/>
              <w:rPr>
                <w:sz w:val="22"/>
              </w:rPr>
            </w:pPr>
            <w:r>
              <w:rPr>
                <w:spacing w:val="-4"/>
                <w:sz w:val="22"/>
              </w:rPr>
              <w:t>Date</w:t>
            </w:r>
          </w:p>
        </w:tc>
      </w:tr>
    </w:tbl>
    <w:p>
      <w:pPr>
        <w:spacing w:after="0" w:line="234" w:lineRule="exact"/>
        <w:jc w:val="center"/>
        <w:rPr>
          <w:sz w:val="22"/>
        </w:rPr>
        <w:sectPr>
          <w:pgSz w:w="12240" w:h="15840"/>
          <w:pgMar w:header="0" w:footer="999" w:top="1260" w:bottom="1180" w:left="1720" w:right="0"/>
        </w:sectPr>
      </w:pPr>
    </w:p>
    <w:p>
      <w:pPr>
        <w:pStyle w:val="Heading1"/>
        <w:ind w:left="1070"/>
      </w:pPr>
      <w:bookmarkStart w:name="_TOC_250159" w:id="2"/>
      <w:bookmarkEnd w:id="2"/>
      <w:r>
        <w:rPr>
          <w:spacing w:val="-2"/>
        </w:rPr>
        <w:t>CERTIFICATION</w:t>
      </w:r>
    </w:p>
    <w:p>
      <w:pPr>
        <w:pStyle w:val="BodyText"/>
        <w:spacing w:line="491" w:lineRule="auto" w:before="246"/>
        <w:ind w:left="665" w:right="1857" w:firstLine="676"/>
        <w:jc w:val="both"/>
      </w:pPr>
      <w:r>
        <w:rPr/>
        <w:t>This</w:t>
      </w:r>
      <w:r>
        <w:rPr>
          <w:spacing w:val="32"/>
        </w:rPr>
        <w:t> </w:t>
      </w:r>
      <w:r>
        <w:rPr/>
        <w:t>thesis</w:t>
      </w:r>
      <w:r>
        <w:rPr>
          <w:spacing w:val="32"/>
        </w:rPr>
        <w:t> </w:t>
      </w:r>
      <w:r>
        <w:rPr/>
        <w:t>entitled</w:t>
      </w:r>
      <w:r>
        <w:rPr>
          <w:spacing w:val="37"/>
        </w:rPr>
        <w:t> </w:t>
      </w:r>
      <w:r>
        <w:rPr/>
        <w:t>“Evaluation</w:t>
      </w:r>
      <w:r>
        <w:rPr>
          <w:spacing w:val="31"/>
        </w:rPr>
        <w:t> </w:t>
      </w:r>
      <w:r>
        <w:rPr/>
        <w:t>of Tableting</w:t>
      </w:r>
      <w:r>
        <w:rPr>
          <w:spacing w:val="37"/>
        </w:rPr>
        <w:t> </w:t>
      </w:r>
      <w:r>
        <w:rPr/>
        <w:t>and</w:t>
      </w:r>
      <w:r>
        <w:rPr>
          <w:spacing w:val="37"/>
        </w:rPr>
        <w:t> </w:t>
      </w:r>
      <w:r>
        <w:rPr/>
        <w:t>Compressional Characteristics of Native and Microcrystalline Starch Derived from </w:t>
      </w:r>
      <w:r>
        <w:rPr>
          <w:i/>
        </w:rPr>
        <w:t>Digitaria iburua</w:t>
      </w:r>
      <w:r>
        <w:rPr/>
        <w:t>, by Okpanachi, Gideon Owoicho meets the regulations governing the award of the degree of Master of Science (Pharmaceutics) of Ahmadu Bello University, Zaria, and is approved for contribution to knowledge and literary presentation.</w:t>
      </w:r>
    </w:p>
    <w:p>
      <w:pPr>
        <w:pStyle w:val="BodyText"/>
        <w:rPr>
          <w:sz w:val="20"/>
        </w:rPr>
      </w:pPr>
    </w:p>
    <w:p>
      <w:pPr>
        <w:pStyle w:val="BodyText"/>
        <w:rPr>
          <w:sz w:val="20"/>
        </w:rPr>
      </w:pPr>
    </w:p>
    <w:p>
      <w:pPr>
        <w:pStyle w:val="BodyText"/>
        <w:spacing w:before="53"/>
        <w:rPr>
          <w:sz w:val="20"/>
        </w:rPr>
      </w:pPr>
      <w:r>
        <w:rPr/>
        <mc:AlternateContent>
          <mc:Choice Requires="wps">
            <w:drawing>
              <wp:anchor distT="0" distB="0" distL="0" distR="0" allowOverlap="1" layoutInCell="1" locked="0" behindDoc="1" simplePos="0" relativeHeight="487587840">
                <wp:simplePos x="0" y="0"/>
                <wp:positionH relativeFrom="page">
                  <wp:posOffset>1548383</wp:posOffset>
                </wp:positionH>
                <wp:positionV relativeFrom="paragraph">
                  <wp:posOffset>195176</wp:posOffset>
                </wp:positionV>
                <wp:extent cx="2007235"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07235" cy="1270"/>
                        </a:xfrm>
                        <a:custGeom>
                          <a:avLst/>
                          <a:gdLst/>
                          <a:ahLst/>
                          <a:cxnLst/>
                          <a:rect l="l" t="t" r="r" b="b"/>
                          <a:pathLst>
                            <a:path w="2007235" h="0">
                              <a:moveTo>
                                <a:pt x="0" y="0"/>
                              </a:moveTo>
                              <a:lnTo>
                                <a:pt x="2007063"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1.919998pt;margin-top:15.368227pt;width:158.050pt;height:.1pt;mso-position-horizontal-relative:page;mso-position-vertical-relative:paragraph;z-index:-15728640;mso-wrap-distance-left:0;mso-wrap-distance-right:0" id="docshape2" coordorigin="2438,307" coordsize="3161,0" path="m2438,307l5599,307e" filled="false" stroked="true" strokeweight=".45034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4841873</wp:posOffset>
                </wp:positionH>
                <wp:positionV relativeFrom="paragraph">
                  <wp:posOffset>195176</wp:posOffset>
                </wp:positionV>
                <wp:extent cx="121793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7930" cy="1270"/>
                        </a:xfrm>
                        <a:custGeom>
                          <a:avLst/>
                          <a:gdLst/>
                          <a:ahLst/>
                          <a:cxnLst/>
                          <a:rect l="l" t="t" r="r" b="b"/>
                          <a:pathLst>
                            <a:path w="1217930" h="0">
                              <a:moveTo>
                                <a:pt x="0" y="0"/>
                              </a:moveTo>
                              <a:lnTo>
                                <a:pt x="1217650"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249878pt;margin-top:15.368227pt;width:95.9pt;height:.1pt;mso-position-horizontal-relative:page;mso-position-vertical-relative:paragraph;z-index:-15728128;mso-wrap-distance-left:0;mso-wrap-distance-right:0" id="docshape3" coordorigin="7625,307" coordsize="1918,0" path="m7625,307l9543,307e" filled="false" stroked="true" strokeweight=".450343pt" strokecolor="#000000">
                <v:path arrowok="t"/>
                <v:stroke dashstyle="solid"/>
                <w10:wrap type="topAndBottom"/>
              </v:shape>
            </w:pict>
          </mc:Fallback>
        </mc:AlternateContent>
      </w:r>
    </w:p>
    <w:p>
      <w:pPr>
        <w:pStyle w:val="BodyText"/>
        <w:tabs>
          <w:tab w:pos="6924" w:val="left" w:leader="none"/>
        </w:tabs>
        <w:spacing w:before="5"/>
        <w:ind w:left="1688"/>
      </w:pPr>
      <w:r>
        <w:rPr>
          <w:spacing w:val="-2"/>
        </w:rPr>
        <w:t>(Signature)</w:t>
      </w:r>
      <w:r>
        <w:rPr/>
        <w:tab/>
      </w:r>
      <w:r>
        <w:rPr>
          <w:spacing w:val="-2"/>
        </w:rPr>
        <w:t>(Date)</w:t>
      </w:r>
    </w:p>
    <w:p>
      <w:pPr>
        <w:pStyle w:val="BodyText"/>
        <w:spacing w:before="11"/>
        <w:ind w:left="665"/>
      </w:pPr>
      <w:r>
        <w:rPr/>
        <w:t>Chairman,</w:t>
      </w:r>
      <w:r>
        <w:rPr>
          <w:spacing w:val="27"/>
        </w:rPr>
        <w:t> </w:t>
      </w:r>
      <w:r>
        <w:rPr/>
        <w:t>Supervisory</w:t>
      </w:r>
      <w:r>
        <w:rPr>
          <w:spacing w:val="11"/>
        </w:rPr>
        <w:t> </w:t>
      </w:r>
      <w:r>
        <w:rPr>
          <w:spacing w:val="-2"/>
        </w:rPr>
        <w:t>Committee</w:t>
      </w:r>
    </w:p>
    <w:p>
      <w:pPr>
        <w:pStyle w:val="Heading2"/>
        <w:spacing w:before="6"/>
        <w:ind w:left="665" w:firstLine="0"/>
      </w:pPr>
      <w:r>
        <w:rPr/>
        <w:t>Dr.</w:t>
      </w:r>
      <w:r>
        <w:rPr>
          <w:spacing w:val="9"/>
        </w:rPr>
        <w:t> </w:t>
      </w:r>
      <w:r>
        <w:rPr/>
        <w:t>H.</w:t>
      </w:r>
      <w:r>
        <w:rPr>
          <w:spacing w:val="5"/>
        </w:rPr>
        <w:t> </w:t>
      </w:r>
      <w:r>
        <w:rPr>
          <w:spacing w:val="-4"/>
        </w:rPr>
        <w:t>Musa</w:t>
      </w:r>
    </w:p>
    <w:p>
      <w:pPr>
        <w:pStyle w:val="BodyText"/>
        <w:spacing w:before="6"/>
        <w:ind w:left="665"/>
      </w:pPr>
      <w:r>
        <w:rPr/>
        <w:t>B.</w:t>
      </w:r>
      <w:r>
        <w:rPr>
          <w:spacing w:val="14"/>
        </w:rPr>
        <w:t> </w:t>
      </w:r>
      <w:r>
        <w:rPr/>
        <w:t>Pharm.,</w:t>
      </w:r>
      <w:r>
        <w:rPr>
          <w:spacing w:val="10"/>
        </w:rPr>
        <w:t> </w:t>
      </w:r>
      <w:r>
        <w:rPr/>
        <w:t>M.Sc.,</w:t>
      </w:r>
      <w:r>
        <w:rPr>
          <w:spacing w:val="10"/>
        </w:rPr>
        <w:t> </w:t>
      </w:r>
      <w:r>
        <w:rPr/>
        <w:t>MBA.,</w:t>
      </w:r>
      <w:r>
        <w:rPr>
          <w:spacing w:val="10"/>
        </w:rPr>
        <w:t> </w:t>
      </w:r>
      <w:r>
        <w:rPr/>
        <w:t>PhD</w:t>
      </w:r>
      <w:r>
        <w:rPr>
          <w:spacing w:val="8"/>
        </w:rPr>
        <w:t> </w:t>
      </w:r>
      <w:r>
        <w:rPr>
          <w:spacing w:val="-4"/>
        </w:rPr>
        <w:t>(ABU)</w:t>
      </w:r>
    </w:p>
    <w:p>
      <w:pPr>
        <w:pStyle w:val="BodyText"/>
        <w:spacing w:line="249" w:lineRule="auto" w:before="2"/>
        <w:ind w:left="665" w:right="4821"/>
      </w:pPr>
      <w:r>
        <w:rPr/>
        <w:t>Department of Pharmaceutics and Pharmaceutical Microbiology, Ahmadu Bello University, Zaria</w:t>
      </w: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588864">
                <wp:simplePos x="0" y="0"/>
                <wp:positionH relativeFrom="page">
                  <wp:posOffset>1514855</wp:posOffset>
                </wp:positionH>
                <wp:positionV relativeFrom="paragraph">
                  <wp:posOffset>190643</wp:posOffset>
                </wp:positionV>
                <wp:extent cx="200723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07235" cy="1270"/>
                        </a:xfrm>
                        <a:custGeom>
                          <a:avLst/>
                          <a:gdLst/>
                          <a:ahLst/>
                          <a:cxnLst/>
                          <a:rect l="l" t="t" r="r" b="b"/>
                          <a:pathLst>
                            <a:path w="2007235" h="0">
                              <a:moveTo>
                                <a:pt x="0" y="0"/>
                              </a:moveTo>
                              <a:lnTo>
                                <a:pt x="2007063"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279999pt;margin-top:15.011297pt;width:158.050pt;height:.1pt;mso-position-horizontal-relative:page;mso-position-vertical-relative:paragraph;z-index:-15727616;mso-wrap-distance-left:0;mso-wrap-distance-right:0" id="docshape4" coordorigin="2386,300" coordsize="3161,0" path="m2386,300l5546,300e" filled="false" stroked="true" strokeweight=".45034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4805485</wp:posOffset>
                </wp:positionH>
                <wp:positionV relativeFrom="paragraph">
                  <wp:posOffset>190643</wp:posOffset>
                </wp:positionV>
                <wp:extent cx="121793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17930" cy="1270"/>
                        </a:xfrm>
                        <a:custGeom>
                          <a:avLst/>
                          <a:gdLst/>
                          <a:ahLst/>
                          <a:cxnLst/>
                          <a:rect l="l" t="t" r="r" b="b"/>
                          <a:pathLst>
                            <a:path w="1217930" h="0">
                              <a:moveTo>
                                <a:pt x="0" y="0"/>
                              </a:moveTo>
                              <a:lnTo>
                                <a:pt x="1217650"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384705pt;margin-top:15.011297pt;width:95.9pt;height:.1pt;mso-position-horizontal-relative:page;mso-position-vertical-relative:paragraph;z-index:-15727104;mso-wrap-distance-left:0;mso-wrap-distance-right:0" id="docshape5" coordorigin="7568,300" coordsize="1918,0" path="m7568,300l9485,300e" filled="false" stroked="true" strokeweight=".450343pt" strokecolor="#000000">
                <v:path arrowok="t"/>
                <v:stroke dashstyle="solid"/>
                <w10:wrap type="topAndBottom"/>
              </v:shape>
            </w:pict>
          </mc:Fallback>
        </mc:AlternateContent>
      </w:r>
    </w:p>
    <w:p>
      <w:pPr>
        <w:pStyle w:val="BodyText"/>
        <w:tabs>
          <w:tab w:pos="6924" w:val="left" w:leader="none"/>
        </w:tabs>
        <w:spacing w:before="10"/>
        <w:ind w:left="1688"/>
      </w:pPr>
      <w:r>
        <w:rPr>
          <w:spacing w:val="-2"/>
        </w:rPr>
        <w:t>(Signature)</w:t>
      </w:r>
      <w:r>
        <w:rPr/>
        <w:tab/>
      </w:r>
      <w:r>
        <w:rPr>
          <w:spacing w:val="-2"/>
        </w:rPr>
        <w:t>(Date)</w:t>
      </w:r>
    </w:p>
    <w:p>
      <w:pPr>
        <w:pStyle w:val="BodyText"/>
        <w:spacing w:before="6"/>
        <w:ind w:left="665"/>
      </w:pPr>
      <w:r>
        <w:rPr/>
        <w:t>Member,</w:t>
      </w:r>
      <w:r>
        <w:rPr>
          <w:spacing w:val="22"/>
        </w:rPr>
        <w:t> </w:t>
      </w:r>
      <w:r>
        <w:rPr/>
        <w:t>Supervisory</w:t>
      </w:r>
      <w:r>
        <w:rPr>
          <w:spacing w:val="10"/>
        </w:rPr>
        <w:t> </w:t>
      </w:r>
      <w:r>
        <w:rPr>
          <w:spacing w:val="-2"/>
        </w:rPr>
        <w:t>Committee</w:t>
      </w:r>
    </w:p>
    <w:p>
      <w:pPr>
        <w:pStyle w:val="Heading2"/>
        <w:spacing w:before="11"/>
        <w:ind w:left="665" w:firstLine="0"/>
      </w:pPr>
      <w:r>
        <w:rPr/>
        <w:t>Dr.</w:t>
      </w:r>
      <w:r>
        <w:rPr>
          <w:spacing w:val="9"/>
        </w:rPr>
        <w:t> </w:t>
      </w:r>
      <w:r>
        <w:rPr/>
        <w:t>A.B.</w:t>
      </w:r>
      <w:r>
        <w:rPr>
          <w:spacing w:val="10"/>
        </w:rPr>
        <w:t> </w:t>
      </w:r>
      <w:r>
        <w:rPr>
          <w:spacing w:val="-4"/>
        </w:rPr>
        <w:t>Isah</w:t>
      </w:r>
    </w:p>
    <w:p>
      <w:pPr>
        <w:pStyle w:val="BodyText"/>
        <w:spacing w:before="1"/>
        <w:ind w:left="665"/>
      </w:pPr>
      <w:r>
        <w:rPr/>
        <w:t>B.</w:t>
      </w:r>
      <w:r>
        <w:rPr>
          <w:spacing w:val="12"/>
        </w:rPr>
        <w:t> </w:t>
      </w:r>
      <w:r>
        <w:rPr/>
        <w:t>Pharm.,</w:t>
      </w:r>
      <w:r>
        <w:rPr>
          <w:spacing w:val="9"/>
        </w:rPr>
        <w:t> </w:t>
      </w:r>
      <w:r>
        <w:rPr/>
        <w:t>M.Sc.,</w:t>
      </w:r>
      <w:r>
        <w:rPr>
          <w:spacing w:val="13"/>
        </w:rPr>
        <w:t> </w:t>
      </w:r>
      <w:r>
        <w:rPr/>
        <w:t>PhD</w:t>
      </w:r>
      <w:r>
        <w:rPr>
          <w:spacing w:val="7"/>
        </w:rPr>
        <w:t> </w:t>
      </w:r>
      <w:r>
        <w:rPr>
          <w:spacing w:val="-4"/>
        </w:rPr>
        <w:t>(ABU)</w:t>
      </w:r>
    </w:p>
    <w:p>
      <w:pPr>
        <w:pStyle w:val="BodyText"/>
        <w:spacing w:line="244" w:lineRule="auto" w:before="7"/>
        <w:ind w:left="665" w:right="4821"/>
      </w:pPr>
      <w:r>
        <w:rPr/>
        <w:t>Department of Pharmaceutics and Pharmaceutical Microbiology, Ahmadu Bello University, Zaria</w:t>
      </w:r>
    </w:p>
    <w:p>
      <w:pPr>
        <w:pStyle w:val="BodyText"/>
        <w:rPr>
          <w:sz w:val="20"/>
        </w:rPr>
      </w:pPr>
    </w:p>
    <w:p>
      <w:pPr>
        <w:pStyle w:val="BodyText"/>
        <w:rPr>
          <w:sz w:val="20"/>
        </w:rPr>
      </w:pPr>
    </w:p>
    <w:p>
      <w:pPr>
        <w:pStyle w:val="BodyText"/>
        <w:spacing w:before="56"/>
        <w:rPr>
          <w:sz w:val="20"/>
        </w:rPr>
      </w:pPr>
      <w:r>
        <w:rPr/>
        <mc:AlternateContent>
          <mc:Choice Requires="wps">
            <w:drawing>
              <wp:anchor distT="0" distB="0" distL="0" distR="0" allowOverlap="1" layoutInCell="1" locked="0" behindDoc="1" simplePos="0" relativeHeight="487589888">
                <wp:simplePos x="0" y="0"/>
                <wp:positionH relativeFrom="page">
                  <wp:posOffset>1514855</wp:posOffset>
                </wp:positionH>
                <wp:positionV relativeFrom="paragraph">
                  <wp:posOffset>196942</wp:posOffset>
                </wp:positionV>
                <wp:extent cx="200723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07235" cy="1270"/>
                        </a:xfrm>
                        <a:custGeom>
                          <a:avLst/>
                          <a:gdLst/>
                          <a:ahLst/>
                          <a:cxnLst/>
                          <a:rect l="l" t="t" r="r" b="b"/>
                          <a:pathLst>
                            <a:path w="2007235" h="0">
                              <a:moveTo>
                                <a:pt x="0" y="0"/>
                              </a:moveTo>
                              <a:lnTo>
                                <a:pt x="2007137"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279999pt;margin-top:15.507275pt;width:158.050pt;height:.1pt;mso-position-horizontal-relative:page;mso-position-vertical-relative:paragraph;z-index:-15726592;mso-wrap-distance-left:0;mso-wrap-distance-right:0" id="docshape6" coordorigin="2386,310" coordsize="3161,0" path="m2386,310l5546,310e" filled="false" stroked="true" strokeweight=".45034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4843271</wp:posOffset>
                </wp:positionH>
                <wp:positionV relativeFrom="paragraph">
                  <wp:posOffset>196942</wp:posOffset>
                </wp:positionV>
                <wp:extent cx="121793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17930" cy="1270"/>
                        </a:xfrm>
                        <a:custGeom>
                          <a:avLst/>
                          <a:gdLst/>
                          <a:ahLst/>
                          <a:cxnLst/>
                          <a:rect l="l" t="t" r="r" b="b"/>
                          <a:pathLst>
                            <a:path w="1217930" h="0">
                              <a:moveTo>
                                <a:pt x="0" y="0"/>
                              </a:moveTo>
                              <a:lnTo>
                                <a:pt x="1217650"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359985pt;margin-top:15.507275pt;width:95.9pt;height:.1pt;mso-position-horizontal-relative:page;mso-position-vertical-relative:paragraph;z-index:-15726080;mso-wrap-distance-left:0;mso-wrap-distance-right:0" id="docshape7" coordorigin="7627,310" coordsize="1918,0" path="m7627,310l9545,310e" filled="false" stroked="true" strokeweight=".450343pt" strokecolor="#000000">
                <v:path arrowok="t"/>
                <v:stroke dashstyle="solid"/>
                <w10:wrap type="topAndBottom"/>
              </v:shape>
            </w:pict>
          </mc:Fallback>
        </mc:AlternateContent>
      </w:r>
    </w:p>
    <w:p>
      <w:pPr>
        <w:pStyle w:val="BodyText"/>
        <w:tabs>
          <w:tab w:pos="6924" w:val="left" w:leader="none"/>
        </w:tabs>
        <w:spacing w:before="5"/>
        <w:ind w:left="1688"/>
      </w:pPr>
      <w:r>
        <w:rPr>
          <w:spacing w:val="-2"/>
        </w:rPr>
        <w:t>(Signature)</w:t>
      </w:r>
      <w:r>
        <w:rPr/>
        <w:tab/>
      </w:r>
      <w:r>
        <w:rPr>
          <w:spacing w:val="-2"/>
        </w:rPr>
        <w:t>(Date)</w:t>
      </w:r>
    </w:p>
    <w:p>
      <w:pPr>
        <w:pStyle w:val="BodyText"/>
        <w:spacing w:before="6"/>
        <w:ind w:left="665"/>
      </w:pPr>
      <w:r>
        <w:rPr/>
        <w:t>Head</w:t>
      </w:r>
      <w:r>
        <w:rPr>
          <w:spacing w:val="14"/>
        </w:rPr>
        <w:t> </w:t>
      </w:r>
      <w:r>
        <w:rPr/>
        <w:t>of</w:t>
      </w:r>
      <w:r>
        <w:rPr>
          <w:spacing w:val="4"/>
        </w:rPr>
        <w:t> </w:t>
      </w:r>
      <w:r>
        <w:rPr>
          <w:spacing w:val="-2"/>
        </w:rPr>
        <w:t>Department</w:t>
      </w:r>
    </w:p>
    <w:p>
      <w:pPr>
        <w:pStyle w:val="Heading2"/>
        <w:spacing w:before="11"/>
        <w:ind w:left="665" w:firstLine="0"/>
      </w:pPr>
      <w:r>
        <w:rPr/>
        <w:t>Dr.</w:t>
      </w:r>
      <w:r>
        <w:rPr>
          <w:spacing w:val="9"/>
        </w:rPr>
        <w:t> </w:t>
      </w:r>
      <w:r>
        <w:rPr/>
        <w:t>A.B.</w:t>
      </w:r>
      <w:r>
        <w:rPr>
          <w:spacing w:val="10"/>
        </w:rPr>
        <w:t> </w:t>
      </w:r>
      <w:r>
        <w:rPr>
          <w:spacing w:val="-4"/>
        </w:rPr>
        <w:t>Isah</w:t>
      </w:r>
    </w:p>
    <w:p>
      <w:pPr>
        <w:pStyle w:val="BodyText"/>
        <w:spacing w:before="2"/>
        <w:ind w:left="665"/>
      </w:pPr>
      <w:r>
        <w:rPr/>
        <w:t>B.</w:t>
      </w:r>
      <w:r>
        <w:rPr>
          <w:spacing w:val="12"/>
        </w:rPr>
        <w:t> </w:t>
      </w:r>
      <w:r>
        <w:rPr/>
        <w:t>Pharm.,</w:t>
      </w:r>
      <w:r>
        <w:rPr>
          <w:spacing w:val="9"/>
        </w:rPr>
        <w:t> </w:t>
      </w:r>
      <w:r>
        <w:rPr/>
        <w:t>M.Sc.,</w:t>
      </w:r>
      <w:r>
        <w:rPr>
          <w:spacing w:val="13"/>
        </w:rPr>
        <w:t> </w:t>
      </w:r>
      <w:r>
        <w:rPr/>
        <w:t>PhD</w:t>
      </w:r>
      <w:r>
        <w:rPr>
          <w:spacing w:val="7"/>
        </w:rPr>
        <w:t> </w:t>
      </w:r>
      <w:r>
        <w:rPr>
          <w:spacing w:val="-4"/>
        </w:rPr>
        <w:t>(ABU)</w:t>
      </w:r>
    </w:p>
    <w:p>
      <w:pPr>
        <w:pStyle w:val="BodyText"/>
        <w:spacing w:line="244" w:lineRule="auto" w:before="6"/>
        <w:ind w:left="665" w:right="4821"/>
      </w:pPr>
      <w:r>
        <w:rPr/>
        <w:t>Department of Pharmaceutics and Pharmaceutical Microbiology, Ahmadu Bello University, Zaria</w:t>
      </w:r>
    </w:p>
    <w:p>
      <w:pPr>
        <w:pStyle w:val="BodyText"/>
        <w:rPr>
          <w:sz w:val="20"/>
        </w:rPr>
      </w:pPr>
    </w:p>
    <w:p>
      <w:pPr>
        <w:pStyle w:val="BodyText"/>
        <w:rPr>
          <w:sz w:val="20"/>
        </w:rPr>
      </w:pPr>
    </w:p>
    <w:p>
      <w:pPr>
        <w:pStyle w:val="BodyText"/>
        <w:spacing w:before="56"/>
        <w:rPr>
          <w:sz w:val="20"/>
        </w:rPr>
      </w:pPr>
      <w:r>
        <w:rPr/>
        <mc:AlternateContent>
          <mc:Choice Requires="wps">
            <w:drawing>
              <wp:anchor distT="0" distB="0" distL="0" distR="0" allowOverlap="1" layoutInCell="1" locked="0" behindDoc="1" simplePos="0" relativeHeight="487590912">
                <wp:simplePos x="0" y="0"/>
                <wp:positionH relativeFrom="page">
                  <wp:posOffset>1514855</wp:posOffset>
                </wp:positionH>
                <wp:positionV relativeFrom="paragraph">
                  <wp:posOffset>197069</wp:posOffset>
                </wp:positionV>
                <wp:extent cx="200723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007235" cy="1270"/>
                        </a:xfrm>
                        <a:custGeom>
                          <a:avLst/>
                          <a:gdLst/>
                          <a:ahLst/>
                          <a:cxnLst/>
                          <a:rect l="l" t="t" r="r" b="b"/>
                          <a:pathLst>
                            <a:path w="2007235" h="0">
                              <a:moveTo>
                                <a:pt x="0" y="0"/>
                              </a:moveTo>
                              <a:lnTo>
                                <a:pt x="2007063"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279999pt;margin-top:15.517269pt;width:158.050pt;height:.1pt;mso-position-horizontal-relative:page;mso-position-vertical-relative:paragraph;z-index:-15725568;mso-wrap-distance-left:0;mso-wrap-distance-right:0" id="docshape8" coordorigin="2386,310" coordsize="3161,0" path="m2386,310l5546,310e" filled="false" stroked="true" strokeweight=".45034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4805485</wp:posOffset>
                </wp:positionH>
                <wp:positionV relativeFrom="paragraph">
                  <wp:posOffset>197069</wp:posOffset>
                </wp:positionV>
                <wp:extent cx="121793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17930" cy="1270"/>
                        </a:xfrm>
                        <a:custGeom>
                          <a:avLst/>
                          <a:gdLst/>
                          <a:ahLst/>
                          <a:cxnLst/>
                          <a:rect l="l" t="t" r="r" b="b"/>
                          <a:pathLst>
                            <a:path w="1217930" h="0">
                              <a:moveTo>
                                <a:pt x="0" y="0"/>
                              </a:moveTo>
                              <a:lnTo>
                                <a:pt x="1217650" y="0"/>
                              </a:lnTo>
                            </a:path>
                          </a:pathLst>
                        </a:custGeom>
                        <a:ln w="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384705pt;margin-top:15.517269pt;width:95.9pt;height:.1pt;mso-position-horizontal-relative:page;mso-position-vertical-relative:paragraph;z-index:-15725056;mso-wrap-distance-left:0;mso-wrap-distance-right:0" id="docshape9" coordorigin="7568,310" coordsize="1918,0" path="m7568,310l9485,310e" filled="false" stroked="true" strokeweight=".450343pt" strokecolor="#000000">
                <v:path arrowok="t"/>
                <v:stroke dashstyle="solid"/>
                <w10:wrap type="topAndBottom"/>
              </v:shape>
            </w:pict>
          </mc:Fallback>
        </mc:AlternateContent>
      </w:r>
    </w:p>
    <w:p>
      <w:pPr>
        <w:pStyle w:val="BodyText"/>
        <w:tabs>
          <w:tab w:pos="7035" w:val="left" w:leader="none"/>
        </w:tabs>
        <w:spacing w:before="5"/>
        <w:ind w:left="1688"/>
      </w:pPr>
      <w:r>
        <w:rPr>
          <w:spacing w:val="-2"/>
        </w:rPr>
        <w:t>(Signature)</w:t>
      </w:r>
      <w:r>
        <w:rPr/>
        <w:tab/>
      </w:r>
      <w:r>
        <w:rPr>
          <w:spacing w:val="-2"/>
        </w:rPr>
        <w:t>(Date)</w:t>
      </w:r>
    </w:p>
    <w:p>
      <w:pPr>
        <w:pStyle w:val="BodyText"/>
        <w:spacing w:before="6"/>
        <w:ind w:left="665"/>
      </w:pPr>
      <w:r>
        <w:rPr/>
        <w:t>Dean</w:t>
      </w:r>
      <w:r>
        <w:rPr>
          <w:spacing w:val="13"/>
        </w:rPr>
        <w:t> </w:t>
      </w:r>
      <w:r>
        <w:rPr/>
        <w:t>of</w:t>
      </w:r>
      <w:r>
        <w:rPr>
          <w:spacing w:val="12"/>
        </w:rPr>
        <w:t> </w:t>
      </w:r>
      <w:r>
        <w:rPr/>
        <w:t>Postgraduate</w:t>
      </w:r>
      <w:r>
        <w:rPr>
          <w:spacing w:val="17"/>
        </w:rPr>
        <w:t> </w:t>
      </w:r>
      <w:r>
        <w:rPr>
          <w:spacing w:val="-2"/>
        </w:rPr>
        <w:t>School</w:t>
      </w:r>
    </w:p>
    <w:p>
      <w:pPr>
        <w:pStyle w:val="Heading2"/>
        <w:spacing w:before="11"/>
        <w:ind w:left="665" w:firstLine="0"/>
      </w:pPr>
      <w:r>
        <w:rPr/>
        <w:t>Prof.</w:t>
      </w:r>
      <w:r>
        <w:rPr>
          <w:spacing w:val="11"/>
        </w:rPr>
        <w:t> </w:t>
      </w:r>
      <w:r>
        <w:rPr/>
        <w:t>A.A.</w:t>
      </w:r>
      <w:r>
        <w:rPr>
          <w:spacing w:val="4"/>
        </w:rPr>
        <w:t> </w:t>
      </w:r>
      <w:r>
        <w:rPr>
          <w:spacing w:val="-2"/>
        </w:rPr>
        <w:t>Joshua</w:t>
      </w:r>
    </w:p>
    <w:p>
      <w:pPr>
        <w:pStyle w:val="BodyText"/>
        <w:spacing w:before="6"/>
        <w:ind w:left="665"/>
      </w:pPr>
      <w:r>
        <w:rPr/>
        <w:t>BA,</w:t>
      </w:r>
      <w:r>
        <w:rPr>
          <w:spacing w:val="12"/>
        </w:rPr>
        <w:t> </w:t>
      </w:r>
      <w:r>
        <w:rPr/>
        <w:t>MA,</w:t>
      </w:r>
      <w:r>
        <w:rPr>
          <w:spacing w:val="8"/>
        </w:rPr>
        <w:t> </w:t>
      </w:r>
      <w:r>
        <w:rPr/>
        <w:t>PhD</w:t>
      </w:r>
      <w:r>
        <w:rPr>
          <w:spacing w:val="6"/>
        </w:rPr>
        <w:t> </w:t>
      </w:r>
      <w:r>
        <w:rPr>
          <w:spacing w:val="-4"/>
        </w:rPr>
        <w:t>(ABU)</w:t>
      </w:r>
    </w:p>
    <w:p>
      <w:pPr>
        <w:pStyle w:val="BodyText"/>
        <w:spacing w:line="249" w:lineRule="auto" w:before="2"/>
        <w:ind w:left="665" w:right="6373"/>
      </w:pPr>
      <w:r>
        <w:rPr/>
        <w:t>School of Postgraduate Studies Ahmadu Bello University, Zaria</w:t>
      </w:r>
    </w:p>
    <w:p>
      <w:pPr>
        <w:spacing w:after="0" w:line="249" w:lineRule="auto"/>
        <w:sectPr>
          <w:pgSz w:w="12240" w:h="15840"/>
          <w:pgMar w:header="0" w:footer="999" w:top="1260" w:bottom="1180" w:left="1720" w:right="0"/>
        </w:sectPr>
      </w:pPr>
    </w:p>
    <w:p>
      <w:pPr>
        <w:pStyle w:val="Heading1"/>
        <w:ind w:left="1070"/>
      </w:pPr>
      <w:bookmarkStart w:name="_TOC_250158" w:id="3"/>
      <w:bookmarkEnd w:id="3"/>
      <w:r>
        <w:rPr>
          <w:spacing w:val="-2"/>
        </w:rPr>
        <w:t>DEDICATION</w:t>
      </w:r>
    </w:p>
    <w:p>
      <w:pPr>
        <w:pStyle w:val="BodyText"/>
        <w:spacing w:before="7"/>
        <w:rPr>
          <w:b/>
        </w:rPr>
      </w:pPr>
    </w:p>
    <w:p>
      <w:pPr>
        <w:pStyle w:val="BodyText"/>
        <w:spacing w:line="491" w:lineRule="auto" w:before="1"/>
        <w:ind w:left="665" w:right="1858" w:firstLine="676"/>
      </w:pPr>
      <w:r>
        <w:rPr/>
        <w:t>This</w:t>
      </w:r>
      <w:r>
        <w:rPr>
          <w:spacing w:val="40"/>
        </w:rPr>
        <w:t> </w:t>
      </w:r>
      <w:r>
        <w:rPr/>
        <w:t>work</w:t>
      </w:r>
      <w:r>
        <w:rPr>
          <w:spacing w:val="40"/>
        </w:rPr>
        <w:t> </w:t>
      </w:r>
      <w:r>
        <w:rPr/>
        <w:t>is</w:t>
      </w:r>
      <w:r>
        <w:rPr>
          <w:spacing w:val="40"/>
        </w:rPr>
        <w:t> </w:t>
      </w:r>
      <w:r>
        <w:rPr/>
        <w:t>dedicated</w:t>
      </w:r>
      <w:r>
        <w:rPr>
          <w:spacing w:val="40"/>
        </w:rPr>
        <w:t> </w:t>
      </w:r>
      <w:r>
        <w:rPr/>
        <w:t>to</w:t>
      </w:r>
      <w:r>
        <w:rPr>
          <w:spacing w:val="40"/>
        </w:rPr>
        <w:t> </w:t>
      </w:r>
      <w:r>
        <w:rPr/>
        <w:t>my</w:t>
      </w:r>
      <w:r>
        <w:rPr>
          <w:spacing w:val="37"/>
        </w:rPr>
        <w:t> </w:t>
      </w:r>
      <w:r>
        <w:rPr/>
        <w:t>wife,</w:t>
      </w:r>
      <w:r>
        <w:rPr>
          <w:spacing w:val="40"/>
        </w:rPr>
        <w:t> </w:t>
      </w:r>
      <w:r>
        <w:rPr/>
        <w:t>Ajuma</w:t>
      </w:r>
      <w:r>
        <w:rPr>
          <w:spacing w:val="40"/>
        </w:rPr>
        <w:t> </w:t>
      </w:r>
      <w:r>
        <w:rPr/>
        <w:t>and</w:t>
      </w:r>
      <w:r>
        <w:rPr>
          <w:spacing w:val="40"/>
        </w:rPr>
        <w:t> </w:t>
      </w:r>
      <w:r>
        <w:rPr/>
        <w:t>my</w:t>
      </w:r>
      <w:r>
        <w:rPr>
          <w:spacing w:val="37"/>
        </w:rPr>
        <w:t> </w:t>
      </w:r>
      <w:r>
        <w:rPr/>
        <w:t>wonderful</w:t>
      </w:r>
      <w:r>
        <w:rPr>
          <w:spacing w:val="40"/>
        </w:rPr>
        <w:t> </w:t>
      </w:r>
      <w:r>
        <w:rPr/>
        <w:t>kids;</w:t>
      </w:r>
      <w:r>
        <w:rPr>
          <w:spacing w:val="40"/>
        </w:rPr>
        <w:t> </w:t>
      </w:r>
      <w:r>
        <w:rPr/>
        <w:t>Ebo</w:t>
      </w:r>
      <w:r>
        <w:rPr>
          <w:spacing w:val="40"/>
        </w:rPr>
        <w:t> </w:t>
      </w:r>
      <w:r>
        <w:rPr/>
        <w:t>and Ehiocho. I love you!</w:t>
      </w:r>
    </w:p>
    <w:p>
      <w:pPr>
        <w:spacing w:after="0" w:line="491" w:lineRule="auto"/>
        <w:sectPr>
          <w:pgSz w:w="12240" w:h="15840"/>
          <w:pgMar w:header="0" w:footer="999" w:top="1260" w:bottom="1180" w:left="1720" w:right="0"/>
        </w:sectPr>
      </w:pPr>
    </w:p>
    <w:p>
      <w:pPr>
        <w:pStyle w:val="Heading1"/>
        <w:spacing w:before="66"/>
        <w:ind w:left="3396" w:right="0"/>
        <w:jc w:val="left"/>
      </w:pPr>
      <w:bookmarkStart w:name="_TOC_250157" w:id="4"/>
      <w:bookmarkEnd w:id="4"/>
      <w:r>
        <w:rPr>
          <w:spacing w:val="-2"/>
        </w:rPr>
        <w:t>ACKNOWLEDGEMENT</w:t>
      </w:r>
    </w:p>
    <w:p>
      <w:pPr>
        <w:pStyle w:val="BodyText"/>
        <w:spacing w:line="491" w:lineRule="auto" w:before="246"/>
        <w:ind w:left="665" w:right="1858" w:firstLine="676"/>
        <w:jc w:val="both"/>
      </w:pPr>
      <w:r>
        <w:rPr/>
        <w:t>To</w:t>
      </w:r>
      <w:r>
        <w:rPr>
          <w:spacing w:val="28"/>
        </w:rPr>
        <w:t> </w:t>
      </w:r>
      <w:r>
        <w:rPr/>
        <w:t>the</w:t>
      </w:r>
      <w:r>
        <w:rPr>
          <w:spacing w:val="22"/>
        </w:rPr>
        <w:t> </w:t>
      </w:r>
      <w:r>
        <w:rPr/>
        <w:t>Almighty God</w:t>
      </w:r>
      <w:r>
        <w:rPr>
          <w:spacing w:val="34"/>
        </w:rPr>
        <w:t> </w:t>
      </w:r>
      <w:r>
        <w:rPr/>
        <w:t>who</w:t>
      </w:r>
      <w:r>
        <w:rPr>
          <w:spacing w:val="28"/>
        </w:rPr>
        <w:t> </w:t>
      </w:r>
      <w:r>
        <w:rPr/>
        <w:t>has</w:t>
      </w:r>
      <w:r>
        <w:rPr>
          <w:spacing w:val="30"/>
        </w:rPr>
        <w:t> </w:t>
      </w:r>
      <w:r>
        <w:rPr/>
        <w:t>given me</w:t>
      </w:r>
      <w:r>
        <w:rPr>
          <w:spacing w:val="26"/>
        </w:rPr>
        <w:t> </w:t>
      </w:r>
      <w:r>
        <w:rPr/>
        <w:t>so</w:t>
      </w:r>
      <w:r>
        <w:rPr>
          <w:spacing w:val="34"/>
        </w:rPr>
        <w:t> </w:t>
      </w:r>
      <w:r>
        <w:rPr/>
        <w:t>much to</w:t>
      </w:r>
      <w:r>
        <w:rPr>
          <w:spacing w:val="28"/>
        </w:rPr>
        <w:t> </w:t>
      </w:r>
      <w:r>
        <w:rPr/>
        <w:t>be</w:t>
      </w:r>
      <w:r>
        <w:rPr>
          <w:spacing w:val="22"/>
        </w:rPr>
        <w:t> </w:t>
      </w:r>
      <w:r>
        <w:rPr/>
        <w:t>thankful</w:t>
      </w:r>
      <w:r>
        <w:rPr>
          <w:spacing w:val="25"/>
        </w:rPr>
        <w:t> </w:t>
      </w:r>
      <w:r>
        <w:rPr/>
        <w:t>for,</w:t>
      </w:r>
      <w:r>
        <w:rPr>
          <w:spacing w:val="22"/>
        </w:rPr>
        <w:t> </w:t>
      </w:r>
      <w:r>
        <w:rPr/>
        <w:t>my words are not enough to express my love. There is nothing I can do but to ALWAYS worship </w:t>
      </w:r>
      <w:r>
        <w:rPr>
          <w:spacing w:val="-4"/>
        </w:rPr>
        <w:t>you.</w:t>
      </w:r>
    </w:p>
    <w:p>
      <w:pPr>
        <w:pStyle w:val="BodyText"/>
        <w:spacing w:line="491" w:lineRule="auto"/>
        <w:ind w:left="665" w:right="1858" w:firstLine="676"/>
        <w:jc w:val="both"/>
      </w:pPr>
      <w:r>
        <w:rPr/>
        <w:t>To my</w:t>
      </w:r>
      <w:r>
        <w:rPr>
          <w:spacing w:val="-5"/>
        </w:rPr>
        <w:t> </w:t>
      </w:r>
      <w:r>
        <w:rPr/>
        <w:t>Supervisors, Dr. H. Musa and Dr. A.B. Isah, thank you so much for being critical, for your scrutiny, support and careful supervision throughout the course of this </w:t>
      </w:r>
      <w:r>
        <w:rPr>
          <w:spacing w:val="-2"/>
        </w:rPr>
        <w:t>work.</w:t>
      </w:r>
    </w:p>
    <w:p>
      <w:pPr>
        <w:pStyle w:val="BodyText"/>
        <w:spacing w:line="252" w:lineRule="exact"/>
        <w:ind w:left="1342"/>
      </w:pPr>
      <w:r>
        <w:rPr/>
        <w:t>To</w:t>
      </w:r>
      <w:r>
        <w:rPr>
          <w:spacing w:val="30"/>
        </w:rPr>
        <w:t> </w:t>
      </w:r>
      <w:r>
        <w:rPr/>
        <w:t>the</w:t>
      </w:r>
      <w:r>
        <w:rPr>
          <w:spacing w:val="19"/>
        </w:rPr>
        <w:t> </w:t>
      </w:r>
      <w:r>
        <w:rPr/>
        <w:t>Head</w:t>
      </w:r>
      <w:r>
        <w:rPr>
          <w:spacing w:val="26"/>
        </w:rPr>
        <w:t> </w:t>
      </w:r>
      <w:r>
        <w:rPr/>
        <w:t>of</w:t>
      </w:r>
      <w:r>
        <w:rPr>
          <w:spacing w:val="24"/>
        </w:rPr>
        <w:t> </w:t>
      </w:r>
      <w:r>
        <w:rPr/>
        <w:t>Department,</w:t>
      </w:r>
      <w:r>
        <w:rPr>
          <w:spacing w:val="29"/>
        </w:rPr>
        <w:t> </w:t>
      </w:r>
      <w:r>
        <w:rPr/>
        <w:t>Dr.</w:t>
      </w:r>
      <w:r>
        <w:rPr>
          <w:spacing w:val="28"/>
        </w:rPr>
        <w:t> </w:t>
      </w:r>
      <w:r>
        <w:rPr/>
        <w:t>A.B.</w:t>
      </w:r>
      <w:r>
        <w:rPr>
          <w:spacing w:val="24"/>
        </w:rPr>
        <w:t> </w:t>
      </w:r>
      <w:r>
        <w:rPr/>
        <w:t>Isah,</w:t>
      </w:r>
      <w:r>
        <w:rPr>
          <w:spacing w:val="24"/>
        </w:rPr>
        <w:t> </w:t>
      </w:r>
      <w:r>
        <w:rPr/>
        <w:t>thanks</w:t>
      </w:r>
      <w:r>
        <w:rPr>
          <w:spacing w:val="22"/>
        </w:rPr>
        <w:t> </w:t>
      </w:r>
      <w:r>
        <w:rPr/>
        <w:t>for</w:t>
      </w:r>
      <w:r>
        <w:rPr>
          <w:spacing w:val="25"/>
        </w:rPr>
        <w:t> </w:t>
      </w:r>
      <w:r>
        <w:rPr/>
        <w:t>bringing</w:t>
      </w:r>
      <w:r>
        <w:rPr>
          <w:spacing w:val="25"/>
        </w:rPr>
        <w:t> </w:t>
      </w:r>
      <w:r>
        <w:rPr/>
        <w:t>out</w:t>
      </w:r>
      <w:r>
        <w:rPr>
          <w:spacing w:val="22"/>
        </w:rPr>
        <w:t> </w:t>
      </w:r>
      <w:r>
        <w:rPr/>
        <w:t>the</w:t>
      </w:r>
      <w:r>
        <w:rPr>
          <w:spacing w:val="24"/>
        </w:rPr>
        <w:t> </w:t>
      </w:r>
      <w:r>
        <w:rPr/>
        <w:t>best</w:t>
      </w:r>
      <w:r>
        <w:rPr>
          <w:spacing w:val="22"/>
        </w:rPr>
        <w:t> </w:t>
      </w:r>
      <w:r>
        <w:rPr>
          <w:spacing w:val="-5"/>
        </w:rPr>
        <w:t>out</w:t>
      </w:r>
    </w:p>
    <w:p>
      <w:pPr>
        <w:pStyle w:val="BodyText"/>
        <w:spacing w:before="16"/>
      </w:pPr>
    </w:p>
    <w:p>
      <w:pPr>
        <w:pStyle w:val="BodyText"/>
        <w:ind w:left="665"/>
      </w:pPr>
      <w:r>
        <w:rPr/>
        <w:t>of</w:t>
      </w:r>
      <w:r>
        <w:rPr>
          <w:spacing w:val="9"/>
        </w:rPr>
        <w:t> </w:t>
      </w:r>
      <w:r>
        <w:rPr>
          <w:spacing w:val="-5"/>
        </w:rPr>
        <w:t>me.</w:t>
      </w:r>
    </w:p>
    <w:p>
      <w:pPr>
        <w:pStyle w:val="BodyText"/>
        <w:spacing w:before="13"/>
      </w:pPr>
    </w:p>
    <w:p>
      <w:pPr>
        <w:pStyle w:val="BodyText"/>
        <w:spacing w:line="491" w:lineRule="auto"/>
        <w:ind w:left="665" w:right="1858" w:firstLine="676"/>
        <w:jc w:val="both"/>
      </w:pPr>
      <w:r>
        <w:rPr/>
        <w:t>To the Post Graduate Co-ordinator, Dr. B.O. Olayinka, thank you for your </w:t>
      </w:r>
      <w:r>
        <w:rPr>
          <w:spacing w:val="-2"/>
        </w:rPr>
        <w:t>understanding.</w:t>
      </w:r>
    </w:p>
    <w:p>
      <w:pPr>
        <w:pStyle w:val="BodyText"/>
        <w:spacing w:line="491" w:lineRule="auto"/>
        <w:ind w:left="665" w:right="1855" w:firstLine="676"/>
        <w:jc w:val="both"/>
      </w:pPr>
      <w:r>
        <w:rPr/>
        <w:t>To the entire staff of the Department of Pharmaceutics and Pharmaceutical Microbiology,</w:t>
      </w:r>
      <w:r>
        <w:rPr>
          <w:spacing w:val="43"/>
        </w:rPr>
        <w:t> </w:t>
      </w:r>
      <w:r>
        <w:rPr/>
        <w:t>Prof.</w:t>
      </w:r>
      <w:r>
        <w:rPr>
          <w:spacing w:val="44"/>
        </w:rPr>
        <w:t> </w:t>
      </w:r>
      <w:r>
        <w:rPr/>
        <w:t>(Mrs.)</w:t>
      </w:r>
      <w:r>
        <w:rPr>
          <w:spacing w:val="44"/>
        </w:rPr>
        <w:t> </w:t>
      </w:r>
      <w:r>
        <w:rPr/>
        <w:t>A.R.</w:t>
      </w:r>
      <w:r>
        <w:rPr>
          <w:spacing w:val="44"/>
        </w:rPr>
        <w:t> </w:t>
      </w:r>
      <w:r>
        <w:rPr/>
        <w:t>Oyi,</w:t>
      </w:r>
      <w:r>
        <w:rPr>
          <w:spacing w:val="44"/>
        </w:rPr>
        <w:t> </w:t>
      </w:r>
      <w:r>
        <w:rPr/>
        <w:t>Dr</w:t>
      </w:r>
      <w:r>
        <w:rPr>
          <w:spacing w:val="39"/>
        </w:rPr>
        <w:t> </w:t>
      </w:r>
      <w:r>
        <w:rPr/>
        <w:t>(Mrs.)</w:t>
      </w:r>
      <w:r>
        <w:rPr>
          <w:spacing w:val="34"/>
        </w:rPr>
        <w:t> </w:t>
      </w:r>
      <w:r>
        <w:rPr/>
        <w:t>T.S.</w:t>
      </w:r>
      <w:r>
        <w:rPr>
          <w:spacing w:val="44"/>
        </w:rPr>
        <w:t> </w:t>
      </w:r>
      <w:r>
        <w:rPr/>
        <w:t>Allagh,</w:t>
      </w:r>
      <w:r>
        <w:rPr>
          <w:spacing w:val="44"/>
        </w:rPr>
        <w:t> </w:t>
      </w:r>
      <w:r>
        <w:rPr/>
        <w:t>Mrs.</w:t>
      </w:r>
      <w:r>
        <w:rPr>
          <w:spacing w:val="44"/>
        </w:rPr>
        <w:t> </w:t>
      </w:r>
      <w:r>
        <w:rPr/>
        <w:t>O.J.</w:t>
      </w:r>
      <w:r>
        <w:rPr>
          <w:spacing w:val="44"/>
        </w:rPr>
        <w:t> </w:t>
      </w:r>
      <w:r>
        <w:rPr/>
        <w:t>Olayemi,</w:t>
      </w:r>
      <w:r>
        <w:rPr>
          <w:spacing w:val="43"/>
        </w:rPr>
        <w:t> </w:t>
      </w:r>
      <w:r>
        <w:rPr>
          <w:spacing w:val="-5"/>
        </w:rPr>
        <w:t>Mr.</w:t>
      </w:r>
    </w:p>
    <w:p>
      <w:pPr>
        <w:pStyle w:val="BodyText"/>
        <w:spacing w:line="491" w:lineRule="auto"/>
        <w:ind w:left="665" w:right="1848"/>
        <w:jc w:val="both"/>
      </w:pPr>
      <w:r>
        <w:rPr/>
        <w:t>A.A.</w:t>
      </w:r>
      <w:r>
        <w:rPr>
          <w:spacing w:val="40"/>
        </w:rPr>
        <w:t> </w:t>
      </w:r>
      <w:r>
        <w:rPr/>
        <w:t>Falaki,</w:t>
      </w:r>
      <w:r>
        <w:rPr>
          <w:spacing w:val="40"/>
        </w:rPr>
        <w:t> </w:t>
      </w:r>
      <w:r>
        <w:rPr/>
        <w:t>Mr.</w:t>
      </w:r>
      <w:r>
        <w:rPr>
          <w:spacing w:val="40"/>
        </w:rPr>
        <w:t> </w:t>
      </w:r>
      <w:r>
        <w:rPr/>
        <w:t>Innocent</w:t>
      </w:r>
      <w:r>
        <w:rPr>
          <w:spacing w:val="40"/>
        </w:rPr>
        <w:t> </w:t>
      </w:r>
      <w:r>
        <w:rPr/>
        <w:t>Agbo,</w:t>
      </w:r>
      <w:r>
        <w:rPr>
          <w:spacing w:val="40"/>
        </w:rPr>
        <w:t> </w:t>
      </w:r>
      <w:r>
        <w:rPr/>
        <w:t>Mr.</w:t>
      </w:r>
      <w:r>
        <w:rPr>
          <w:spacing w:val="40"/>
        </w:rPr>
        <w:t> </w:t>
      </w:r>
      <w:r>
        <w:rPr/>
        <w:t>Mike</w:t>
      </w:r>
      <w:r>
        <w:rPr>
          <w:spacing w:val="40"/>
        </w:rPr>
        <w:t> </w:t>
      </w:r>
      <w:r>
        <w:rPr/>
        <w:t>Ainoje,</w:t>
      </w:r>
      <w:r>
        <w:rPr>
          <w:spacing w:val="40"/>
        </w:rPr>
        <w:t> </w:t>
      </w:r>
      <w:r>
        <w:rPr/>
        <w:t>Mr.</w:t>
      </w:r>
      <w:r>
        <w:rPr>
          <w:spacing w:val="40"/>
        </w:rPr>
        <w:t> </w:t>
      </w:r>
      <w:r>
        <w:rPr/>
        <w:t>Godwin</w:t>
      </w:r>
      <w:r>
        <w:rPr>
          <w:spacing w:val="40"/>
        </w:rPr>
        <w:t> </w:t>
      </w:r>
      <w:r>
        <w:rPr/>
        <w:t>Ugwu,</w:t>
      </w:r>
      <w:r>
        <w:rPr>
          <w:spacing w:val="40"/>
        </w:rPr>
        <w:t> </w:t>
      </w:r>
      <w:r>
        <w:rPr/>
        <w:t>Mr.</w:t>
      </w:r>
      <w:r>
        <w:rPr>
          <w:spacing w:val="40"/>
        </w:rPr>
        <w:t> </w:t>
      </w:r>
      <w:r>
        <w:rPr/>
        <w:t>F.H.S. Apeji to mention a few who encouraged me at one point or the other in the course of my study, I say thank you so very much.</w:t>
      </w:r>
    </w:p>
    <w:p>
      <w:pPr>
        <w:pStyle w:val="BodyText"/>
        <w:spacing w:line="491" w:lineRule="auto"/>
        <w:ind w:left="665" w:right="1848" w:firstLine="676"/>
        <w:jc w:val="both"/>
      </w:pPr>
      <w:r>
        <w:rPr/>
        <w:t>To Prof. D.A. Ameh of the Department of Biochemistry, Faculty of Sciences, Ahmadu Bello University, Zaria, Nigeria who provided some literature for further study</w:t>
      </w:r>
      <w:r>
        <w:rPr>
          <w:spacing w:val="40"/>
        </w:rPr>
        <w:t> </w:t>
      </w:r>
      <w:r>
        <w:rPr/>
        <w:t>on starch.</w:t>
      </w:r>
    </w:p>
    <w:p>
      <w:pPr>
        <w:pStyle w:val="BodyText"/>
        <w:spacing w:line="491" w:lineRule="auto"/>
        <w:ind w:left="665" w:right="1858" w:firstLine="676"/>
        <w:jc w:val="both"/>
      </w:pPr>
      <w:r>
        <w:rPr/>
        <w:t>I cannot</w:t>
      </w:r>
      <w:r>
        <w:rPr>
          <w:spacing w:val="22"/>
        </w:rPr>
        <w:t> </w:t>
      </w:r>
      <w:r>
        <w:rPr/>
        <w:t>forget</w:t>
      </w:r>
      <w:r>
        <w:rPr>
          <w:spacing w:val="22"/>
        </w:rPr>
        <w:t> </w:t>
      </w:r>
      <w:r>
        <w:rPr/>
        <w:t>to mention Mr. Yonnie Apeji and</w:t>
      </w:r>
      <w:r>
        <w:rPr>
          <w:spacing w:val="24"/>
        </w:rPr>
        <w:t> </w:t>
      </w:r>
      <w:r>
        <w:rPr/>
        <w:t>Dr. A.K Olowosulu who made so</w:t>
      </w:r>
      <w:r>
        <w:rPr>
          <w:spacing w:val="34"/>
        </w:rPr>
        <w:t> </w:t>
      </w:r>
      <w:r>
        <w:rPr/>
        <w:t>many contributions in time,</w:t>
      </w:r>
      <w:r>
        <w:rPr>
          <w:spacing w:val="32"/>
        </w:rPr>
        <w:t> </w:t>
      </w:r>
      <w:r>
        <w:rPr/>
        <w:t>knowledge and</w:t>
      </w:r>
      <w:r>
        <w:rPr>
          <w:spacing w:val="34"/>
        </w:rPr>
        <w:t> </w:t>
      </w:r>
      <w:r>
        <w:rPr/>
        <w:t>skills towards the success of this work.</w:t>
      </w:r>
    </w:p>
    <w:p>
      <w:pPr>
        <w:pStyle w:val="BodyText"/>
        <w:spacing w:line="491" w:lineRule="auto"/>
        <w:ind w:left="665" w:right="1861" w:firstLine="676"/>
        <w:jc w:val="both"/>
      </w:pPr>
      <w:r>
        <w:rPr/>
        <w:t>To</w:t>
      </w:r>
      <w:r>
        <w:rPr>
          <w:spacing w:val="40"/>
        </w:rPr>
        <w:t> </w:t>
      </w:r>
      <w:r>
        <w:rPr/>
        <w:t>Dr.</w:t>
      </w:r>
      <w:r>
        <w:rPr>
          <w:spacing w:val="40"/>
        </w:rPr>
        <w:t> </w:t>
      </w:r>
      <w:r>
        <w:rPr/>
        <w:t>I.S.</w:t>
      </w:r>
      <w:r>
        <w:rPr>
          <w:spacing w:val="40"/>
        </w:rPr>
        <w:t> </w:t>
      </w:r>
      <w:r>
        <w:rPr/>
        <w:t>Okafor</w:t>
      </w:r>
      <w:r>
        <w:rPr>
          <w:spacing w:val="40"/>
        </w:rPr>
        <w:t> </w:t>
      </w:r>
      <w:r>
        <w:rPr/>
        <w:t>of the</w:t>
      </w:r>
      <w:r>
        <w:rPr>
          <w:spacing w:val="40"/>
        </w:rPr>
        <w:t> </w:t>
      </w:r>
      <w:r>
        <w:rPr/>
        <w:t>University of Jos</w:t>
      </w:r>
      <w:r>
        <w:rPr>
          <w:spacing w:val="40"/>
        </w:rPr>
        <w:t> </w:t>
      </w:r>
      <w:r>
        <w:rPr/>
        <w:t>whose</w:t>
      </w:r>
      <w:r>
        <w:rPr>
          <w:spacing w:val="40"/>
        </w:rPr>
        <w:t> </w:t>
      </w:r>
      <w:r>
        <w:rPr/>
        <w:t>contribution for just</w:t>
      </w:r>
      <w:r>
        <w:rPr>
          <w:spacing w:val="40"/>
        </w:rPr>
        <w:t> </w:t>
      </w:r>
      <w:r>
        <w:rPr/>
        <w:t>a</w:t>
      </w:r>
      <w:r>
        <w:rPr>
          <w:spacing w:val="40"/>
        </w:rPr>
        <w:t> </w:t>
      </w:r>
      <w:r>
        <w:rPr/>
        <w:t>few hours was immeasurable. Thank you.</w:t>
      </w:r>
    </w:p>
    <w:p>
      <w:pPr>
        <w:spacing w:after="0" w:line="491" w:lineRule="auto"/>
        <w:jc w:val="both"/>
        <w:sectPr>
          <w:pgSz w:w="12240" w:h="15840"/>
          <w:pgMar w:header="0" w:footer="999" w:top="1500" w:bottom="1180" w:left="1720" w:right="0"/>
        </w:sectPr>
      </w:pPr>
    </w:p>
    <w:p>
      <w:pPr>
        <w:pStyle w:val="BodyText"/>
        <w:spacing w:line="491" w:lineRule="auto" w:before="75"/>
        <w:ind w:left="665" w:right="1855" w:firstLine="676"/>
        <w:jc w:val="both"/>
      </w:pPr>
      <w:r>
        <w:rPr/>
        <w:t>To my co-researchers; Pharm. Razak Ademola Oduola (Prof.), Pharm. Husseini and Pharm. Aisha. Sharing of your ideas and professionalism was worthwhile and </w:t>
      </w:r>
      <w:r>
        <w:rPr>
          <w:spacing w:val="-2"/>
        </w:rPr>
        <w:t>encouraging.</w:t>
      </w:r>
    </w:p>
    <w:p>
      <w:pPr>
        <w:pStyle w:val="BodyText"/>
        <w:spacing w:line="491" w:lineRule="auto"/>
        <w:ind w:left="665" w:right="1857" w:firstLine="676"/>
        <w:jc w:val="both"/>
      </w:pPr>
      <w:r>
        <w:rPr/>
        <w:t>To my parents and siblings, Elder J. Okpanachi, Mrs. H. Okpanachi, Aaron, Moses, Joshua, Hannah and Adah for always asking of my progress in the Laboratory. I love you.</w:t>
      </w:r>
    </w:p>
    <w:p>
      <w:pPr>
        <w:pStyle w:val="BodyText"/>
        <w:spacing w:line="252" w:lineRule="exact"/>
        <w:ind w:left="1342"/>
      </w:pPr>
      <w:r>
        <w:rPr/>
        <w:t>To</w:t>
      </w:r>
      <w:r>
        <w:rPr>
          <w:spacing w:val="25"/>
        </w:rPr>
        <w:t> </w:t>
      </w:r>
      <w:r>
        <w:rPr/>
        <w:t>my</w:t>
      </w:r>
      <w:r>
        <w:rPr>
          <w:spacing w:val="15"/>
        </w:rPr>
        <w:t> </w:t>
      </w:r>
      <w:r>
        <w:rPr/>
        <w:t>pastor,</w:t>
      </w:r>
      <w:r>
        <w:rPr>
          <w:spacing w:val="23"/>
        </w:rPr>
        <w:t> </w:t>
      </w:r>
      <w:r>
        <w:rPr/>
        <w:t>Rev.</w:t>
      </w:r>
      <w:r>
        <w:rPr>
          <w:spacing w:val="29"/>
        </w:rPr>
        <w:t> </w:t>
      </w:r>
      <w:r>
        <w:rPr/>
        <w:t>M.</w:t>
      </w:r>
      <w:r>
        <w:rPr>
          <w:spacing w:val="24"/>
        </w:rPr>
        <w:t> </w:t>
      </w:r>
      <w:r>
        <w:rPr/>
        <w:t>Omede,</w:t>
      </w:r>
      <w:r>
        <w:rPr>
          <w:spacing w:val="29"/>
        </w:rPr>
        <w:t> </w:t>
      </w:r>
      <w:r>
        <w:rPr/>
        <w:t>thank</w:t>
      </w:r>
      <w:r>
        <w:rPr>
          <w:spacing w:val="25"/>
        </w:rPr>
        <w:t> </w:t>
      </w:r>
      <w:r>
        <w:rPr/>
        <w:t>you</w:t>
      </w:r>
      <w:r>
        <w:rPr>
          <w:spacing w:val="31"/>
        </w:rPr>
        <w:t> </w:t>
      </w:r>
      <w:r>
        <w:rPr/>
        <w:t>for</w:t>
      </w:r>
      <w:r>
        <w:rPr>
          <w:spacing w:val="31"/>
        </w:rPr>
        <w:t> </w:t>
      </w:r>
      <w:r>
        <w:rPr/>
        <w:t>your</w:t>
      </w:r>
      <w:r>
        <w:rPr>
          <w:spacing w:val="24"/>
        </w:rPr>
        <w:t> </w:t>
      </w:r>
      <w:r>
        <w:rPr/>
        <w:t>concern</w:t>
      </w:r>
      <w:r>
        <w:rPr>
          <w:spacing w:val="15"/>
        </w:rPr>
        <w:t> </w:t>
      </w:r>
      <w:r>
        <w:rPr/>
        <w:t>and</w:t>
      </w:r>
      <w:r>
        <w:rPr>
          <w:spacing w:val="25"/>
        </w:rPr>
        <w:t> </w:t>
      </w:r>
      <w:r>
        <w:rPr/>
        <w:t>prayers</w:t>
      </w:r>
      <w:r>
        <w:rPr>
          <w:spacing w:val="27"/>
        </w:rPr>
        <w:t> </w:t>
      </w:r>
      <w:r>
        <w:rPr/>
        <w:t>for</w:t>
      </w:r>
      <w:r>
        <w:rPr>
          <w:spacing w:val="25"/>
        </w:rPr>
        <w:t> </w:t>
      </w:r>
      <w:r>
        <w:rPr>
          <w:spacing w:val="-5"/>
        </w:rPr>
        <w:t>my</w:t>
      </w:r>
    </w:p>
    <w:p>
      <w:pPr>
        <w:pStyle w:val="BodyText"/>
        <w:spacing w:before="12"/>
      </w:pPr>
    </w:p>
    <w:p>
      <w:pPr>
        <w:pStyle w:val="BodyText"/>
        <w:ind w:left="665"/>
      </w:pPr>
      <w:r>
        <w:rPr>
          <w:spacing w:val="-2"/>
        </w:rPr>
        <w:t>family.</w:t>
      </w:r>
    </w:p>
    <w:p>
      <w:pPr>
        <w:pStyle w:val="BodyText"/>
        <w:spacing w:before="12"/>
      </w:pPr>
    </w:p>
    <w:p>
      <w:pPr>
        <w:pStyle w:val="BodyText"/>
        <w:spacing w:line="491" w:lineRule="auto"/>
        <w:ind w:left="665" w:right="1858" w:firstLine="676"/>
        <w:jc w:val="both"/>
      </w:pPr>
      <w:r>
        <w:rPr/>
        <w:t>To my beloved wife Ajuma, who is always there for me, thank you so much. I always remain indebted to you.</w:t>
      </w:r>
    </w:p>
    <w:p>
      <w:pPr>
        <w:pStyle w:val="BodyText"/>
        <w:spacing w:line="491" w:lineRule="auto" w:before="5"/>
        <w:ind w:left="665" w:right="1857" w:firstLine="676"/>
        <w:jc w:val="both"/>
      </w:pPr>
      <w:r>
        <w:rPr/>
        <w:t>Finally to my friends especially Ojone Akubo and everyone who at one point or</w:t>
      </w:r>
      <w:r>
        <w:rPr>
          <w:spacing w:val="40"/>
        </w:rPr>
        <w:t> </w:t>
      </w:r>
      <w:r>
        <w:rPr/>
        <w:t>the other helped throughout the course of this work. I say a big “THANK YOU”, God bless you.</w:t>
      </w:r>
    </w:p>
    <w:p>
      <w:pPr>
        <w:spacing w:after="0" w:line="491" w:lineRule="auto"/>
        <w:jc w:val="both"/>
        <w:sectPr>
          <w:pgSz w:w="12240" w:h="15840"/>
          <w:pgMar w:header="0" w:footer="999" w:top="1260" w:bottom="1180" w:left="1720" w:right="0"/>
        </w:sectPr>
      </w:pPr>
    </w:p>
    <w:p>
      <w:pPr>
        <w:pStyle w:val="Heading1"/>
        <w:ind w:left="1072"/>
      </w:pPr>
      <w:bookmarkStart w:name="_TOC_250156" w:id="5"/>
      <w:bookmarkEnd w:id="5"/>
      <w:r>
        <w:rPr>
          <w:spacing w:val="-2"/>
        </w:rPr>
        <w:t>ABSTRACT</w:t>
      </w:r>
    </w:p>
    <w:p>
      <w:pPr>
        <w:pStyle w:val="BodyText"/>
        <w:spacing w:line="491" w:lineRule="auto" w:before="246"/>
        <w:ind w:left="665" w:right="1852" w:firstLine="393"/>
        <w:jc w:val="both"/>
      </w:pPr>
      <w:r>
        <w:rPr/>
        <w:t>Acid hydrolyzed starch produces microcrystalline starch (MCS) with improved functional</w:t>
      </w:r>
      <w:r>
        <w:rPr>
          <w:spacing w:val="35"/>
        </w:rPr>
        <w:t> </w:t>
      </w:r>
      <w:r>
        <w:rPr/>
        <w:t>properties</w:t>
      </w:r>
      <w:r>
        <w:rPr>
          <w:spacing w:val="40"/>
        </w:rPr>
        <w:t> </w:t>
      </w:r>
      <w:r>
        <w:rPr/>
        <w:t>in</w:t>
      </w:r>
      <w:r>
        <w:rPr>
          <w:spacing w:val="39"/>
        </w:rPr>
        <w:t> </w:t>
      </w:r>
      <w:r>
        <w:rPr/>
        <w:t>terms</w:t>
      </w:r>
      <w:r>
        <w:rPr>
          <w:spacing w:val="40"/>
        </w:rPr>
        <w:t> </w:t>
      </w:r>
      <w:r>
        <w:rPr/>
        <w:t>of</w:t>
      </w:r>
      <w:r>
        <w:rPr>
          <w:spacing w:val="40"/>
        </w:rPr>
        <w:t> </w:t>
      </w:r>
      <w:r>
        <w:rPr/>
        <w:t>flowability</w:t>
      </w:r>
      <w:r>
        <w:rPr>
          <w:spacing w:val="33"/>
        </w:rPr>
        <w:t> </w:t>
      </w:r>
      <w:r>
        <w:rPr/>
        <w:t>or</w:t>
      </w:r>
      <w:r>
        <w:rPr>
          <w:spacing w:val="40"/>
        </w:rPr>
        <w:t> </w:t>
      </w:r>
      <w:r>
        <w:rPr/>
        <w:t>compressibility.</w:t>
      </w:r>
      <w:r>
        <w:rPr>
          <w:spacing w:val="40"/>
        </w:rPr>
        <w:t> </w:t>
      </w:r>
      <w:r>
        <w:rPr/>
        <w:t>The</w:t>
      </w:r>
      <w:r>
        <w:rPr>
          <w:spacing w:val="36"/>
        </w:rPr>
        <w:t> </w:t>
      </w:r>
      <w:r>
        <w:rPr/>
        <w:t>aim</w:t>
      </w:r>
      <w:r>
        <w:rPr>
          <w:spacing w:val="40"/>
        </w:rPr>
        <w:t> </w:t>
      </w:r>
      <w:r>
        <w:rPr/>
        <w:t>of</w:t>
      </w:r>
      <w:r>
        <w:rPr>
          <w:spacing w:val="37"/>
        </w:rPr>
        <w:t> </w:t>
      </w:r>
      <w:r>
        <w:rPr/>
        <w:t>this</w:t>
      </w:r>
      <w:r>
        <w:rPr>
          <w:spacing w:val="34"/>
        </w:rPr>
        <w:t> </w:t>
      </w:r>
      <w:r>
        <w:rPr/>
        <w:t>study was to investigate the binder, disintegrant and compressional properties of native and modified starches derived form of </w:t>
      </w:r>
      <w:r>
        <w:rPr>
          <w:i/>
        </w:rPr>
        <w:t>Digitaria iburua</w:t>
      </w:r>
      <w:r>
        <w:rPr/>
        <w:t>.</w:t>
      </w:r>
    </w:p>
    <w:p>
      <w:pPr>
        <w:pStyle w:val="BodyText"/>
        <w:spacing w:line="491" w:lineRule="auto"/>
        <w:ind w:left="665" w:right="1858" w:firstLine="393"/>
        <w:jc w:val="both"/>
      </w:pPr>
      <w:r>
        <w:rPr>
          <w:i/>
        </w:rPr>
        <w:t>Digitaria iburua </w:t>
      </w:r>
      <w:r>
        <w:rPr/>
        <w:t>grains were collected and identified by the herbarium unit of Department of Biological Sciences, Ahmadu Bello University, Zaria. </w:t>
      </w:r>
      <w:r>
        <w:rPr>
          <w:i/>
        </w:rPr>
        <w:t>Digitaria iburua </w:t>
      </w:r>
      <w:r>
        <w:rPr/>
        <w:t>starch (DS) was extracted from the grains using the wet method of extraction and the percentage yield was determined. Microcrystalline starch (MCS) was produced by acid hydrolysis using 6 N HCl. The amylose-amylopectin content of DS and MCS was determined.</w:t>
      </w:r>
      <w:r>
        <w:rPr>
          <w:spacing w:val="40"/>
        </w:rPr>
        <w:t> </w:t>
      </w:r>
      <w:r>
        <w:rPr/>
        <w:t>The</w:t>
      </w:r>
      <w:r>
        <w:rPr>
          <w:spacing w:val="40"/>
        </w:rPr>
        <w:t> </w:t>
      </w:r>
      <w:r>
        <w:rPr/>
        <w:t>physicochemical</w:t>
      </w:r>
      <w:r>
        <w:rPr>
          <w:spacing w:val="40"/>
        </w:rPr>
        <w:t> </w:t>
      </w:r>
      <w:r>
        <w:rPr/>
        <w:t>characterization</w:t>
      </w:r>
      <w:r>
        <w:rPr>
          <w:spacing w:val="40"/>
        </w:rPr>
        <w:t> </w:t>
      </w:r>
      <w:r>
        <w:rPr/>
        <w:t>for</w:t>
      </w:r>
      <w:r>
        <w:rPr>
          <w:spacing w:val="40"/>
        </w:rPr>
        <w:t> </w:t>
      </w:r>
      <w:r>
        <w:rPr/>
        <w:t>DS</w:t>
      </w:r>
      <w:r>
        <w:rPr>
          <w:spacing w:val="40"/>
        </w:rPr>
        <w:t> </w:t>
      </w:r>
      <w:r>
        <w:rPr/>
        <w:t>and</w:t>
      </w:r>
      <w:r>
        <w:rPr>
          <w:spacing w:val="40"/>
        </w:rPr>
        <w:t> </w:t>
      </w:r>
      <w:r>
        <w:rPr/>
        <w:t>MCS</w:t>
      </w:r>
      <w:r>
        <w:rPr>
          <w:spacing w:val="40"/>
        </w:rPr>
        <w:t> </w:t>
      </w:r>
      <w:r>
        <w:rPr/>
        <w:t>was</w:t>
      </w:r>
      <w:r>
        <w:rPr>
          <w:spacing w:val="40"/>
        </w:rPr>
        <w:t> </w:t>
      </w:r>
      <w:r>
        <w:rPr/>
        <w:t>conducted using standard methods. Metronidazole granules of varying binder and disintegrant concentrations (2.5, 5.0, 7.5, 10.0 and 12.5 % w/v) were prepared by wet granulation method of massing and screening and compared with Maize Starch BP (MS) and gelatin (GEL) as standard disintegrant and binder respectively. The granules were subjected to tests</w:t>
      </w:r>
      <w:r>
        <w:rPr>
          <w:spacing w:val="40"/>
        </w:rPr>
        <w:t> </w:t>
      </w:r>
      <w:r>
        <w:rPr/>
        <w:t>to</w:t>
      </w:r>
      <w:r>
        <w:rPr>
          <w:spacing w:val="40"/>
        </w:rPr>
        <w:t> </w:t>
      </w:r>
      <w:r>
        <w:rPr/>
        <w:t>determine</w:t>
      </w:r>
      <w:r>
        <w:rPr>
          <w:spacing w:val="40"/>
        </w:rPr>
        <w:t> </w:t>
      </w:r>
      <w:r>
        <w:rPr/>
        <w:t>its</w:t>
      </w:r>
      <w:r>
        <w:rPr>
          <w:spacing w:val="40"/>
        </w:rPr>
        <w:t> </w:t>
      </w:r>
      <w:r>
        <w:rPr/>
        <w:t>flowability</w:t>
      </w:r>
      <w:r>
        <w:rPr>
          <w:spacing w:val="40"/>
        </w:rPr>
        <w:t> </w:t>
      </w:r>
      <w:r>
        <w:rPr/>
        <w:t>and</w:t>
      </w:r>
      <w:r>
        <w:rPr>
          <w:spacing w:val="40"/>
        </w:rPr>
        <w:t> </w:t>
      </w:r>
      <w:r>
        <w:rPr/>
        <w:t>compressibility.</w:t>
      </w:r>
      <w:r>
        <w:rPr>
          <w:spacing w:val="40"/>
        </w:rPr>
        <w:t> </w:t>
      </w:r>
      <w:r>
        <w:rPr/>
        <w:t>The</w:t>
      </w:r>
      <w:r>
        <w:rPr>
          <w:spacing w:val="40"/>
        </w:rPr>
        <w:t> </w:t>
      </w:r>
      <w:r>
        <w:rPr/>
        <w:t>granules</w:t>
      </w:r>
      <w:r>
        <w:rPr>
          <w:spacing w:val="40"/>
        </w:rPr>
        <w:t> </w:t>
      </w:r>
      <w:r>
        <w:rPr/>
        <w:t>were</w:t>
      </w:r>
      <w:r>
        <w:rPr>
          <w:spacing w:val="40"/>
        </w:rPr>
        <w:t> </w:t>
      </w:r>
      <w:r>
        <w:rPr/>
        <w:t>then compressed into tablets at 7.0 metric tones after mixing with extra granular excipients. Quality control</w:t>
      </w:r>
      <w:r>
        <w:rPr>
          <w:spacing w:val="40"/>
        </w:rPr>
        <w:t> </w:t>
      </w:r>
      <w:r>
        <w:rPr/>
        <w:t>tests</w:t>
      </w:r>
      <w:r>
        <w:rPr>
          <w:spacing w:val="39"/>
        </w:rPr>
        <w:t> </w:t>
      </w:r>
      <w:r>
        <w:rPr/>
        <w:t>were</w:t>
      </w:r>
      <w:r>
        <w:rPr>
          <w:spacing w:val="35"/>
        </w:rPr>
        <w:t> </w:t>
      </w:r>
      <w:r>
        <w:rPr/>
        <w:t>conducted</w:t>
      </w:r>
      <w:r>
        <w:rPr>
          <w:spacing w:val="40"/>
        </w:rPr>
        <w:t> </w:t>
      </w:r>
      <w:r>
        <w:rPr/>
        <w:t>on</w:t>
      </w:r>
      <w:r>
        <w:rPr>
          <w:spacing w:val="38"/>
        </w:rPr>
        <w:t> </w:t>
      </w:r>
      <w:r>
        <w:rPr/>
        <w:t>the</w:t>
      </w:r>
      <w:r>
        <w:rPr>
          <w:spacing w:val="40"/>
        </w:rPr>
        <w:t> </w:t>
      </w:r>
      <w:r>
        <w:rPr/>
        <w:t>tablets</w:t>
      </w:r>
      <w:r>
        <w:rPr>
          <w:spacing w:val="39"/>
        </w:rPr>
        <w:t> </w:t>
      </w:r>
      <w:r>
        <w:rPr/>
        <w:t>after</w:t>
      </w:r>
      <w:r>
        <w:rPr>
          <w:spacing w:val="40"/>
        </w:rPr>
        <w:t> </w:t>
      </w:r>
      <w:r>
        <w:rPr/>
        <w:t>compression</w:t>
      </w:r>
      <w:r>
        <w:rPr>
          <w:spacing w:val="32"/>
        </w:rPr>
        <w:t> </w:t>
      </w:r>
      <w:r>
        <w:rPr/>
        <w:t>of</w:t>
      </w:r>
      <w:r>
        <w:rPr>
          <w:spacing w:val="36"/>
        </w:rPr>
        <w:t> </w:t>
      </w:r>
      <w:r>
        <w:rPr/>
        <w:t>the</w:t>
      </w:r>
      <w:r>
        <w:rPr>
          <w:spacing w:val="40"/>
        </w:rPr>
        <w:t> </w:t>
      </w:r>
      <w:r>
        <w:rPr/>
        <w:t>granules. The mode of fragmentation or deformation of the powder was assessed by Heckel</w:t>
      </w:r>
      <w:r>
        <w:rPr>
          <w:spacing w:val="40"/>
        </w:rPr>
        <w:t> </w:t>
      </w:r>
      <w:r>
        <w:rPr>
          <w:spacing w:val="-2"/>
        </w:rPr>
        <w:t>analysis.</w:t>
      </w:r>
    </w:p>
    <w:p>
      <w:pPr>
        <w:pStyle w:val="BodyText"/>
        <w:spacing w:line="494" w:lineRule="auto" w:before="1"/>
        <w:ind w:left="665" w:right="1856" w:firstLine="504"/>
        <w:jc w:val="both"/>
      </w:pPr>
      <w:r>
        <w:rPr>
          <w:i/>
        </w:rPr>
        <w:t>Digitaria iburua </w:t>
      </w:r>
      <w:r>
        <w:rPr/>
        <w:t>grains yielded 62.88 % w/w DS and after 24 h of hydrolysis, the yield of MCS was found to be 85.14 % w/w. The amylose-amylopectin ratio for MCS determined revealed that the amylose content at different hydrolyzing times was greater than the amylopectin content. The mean particle size was found to be less than 10.5 </w:t>
      </w:r>
      <w:r>
        <w:rPr>
          <w:rFonts w:ascii="Calibri" w:hAnsi="Calibri"/>
        </w:rPr>
        <w:t>µ</w:t>
      </w:r>
      <w:r>
        <w:rPr/>
        <w:t>m</w:t>
      </w:r>
      <w:r>
        <w:rPr>
          <w:spacing w:val="40"/>
        </w:rPr>
        <w:t> </w:t>
      </w:r>
      <w:r>
        <w:rPr/>
        <w:t>for</w:t>
      </w:r>
      <w:r>
        <w:rPr>
          <w:spacing w:val="34"/>
        </w:rPr>
        <w:t> </w:t>
      </w:r>
      <w:r>
        <w:rPr/>
        <w:t>both</w:t>
      </w:r>
      <w:r>
        <w:rPr>
          <w:spacing w:val="29"/>
        </w:rPr>
        <w:t> </w:t>
      </w:r>
      <w:r>
        <w:rPr/>
        <w:t>starches.</w:t>
      </w:r>
      <w:r>
        <w:rPr>
          <w:spacing w:val="38"/>
        </w:rPr>
        <w:t> </w:t>
      </w:r>
      <w:r>
        <w:rPr/>
        <w:t>The</w:t>
      </w:r>
      <w:r>
        <w:rPr>
          <w:spacing w:val="40"/>
        </w:rPr>
        <w:t> </w:t>
      </w:r>
      <w:r>
        <w:rPr/>
        <w:t>values</w:t>
      </w:r>
      <w:r>
        <w:rPr>
          <w:spacing w:val="30"/>
        </w:rPr>
        <w:t> </w:t>
      </w:r>
      <w:r>
        <w:rPr/>
        <w:t>of</w:t>
      </w:r>
      <w:r>
        <w:rPr>
          <w:spacing w:val="34"/>
        </w:rPr>
        <w:t> </w:t>
      </w:r>
      <w:r>
        <w:rPr/>
        <w:t>angle</w:t>
      </w:r>
      <w:r>
        <w:rPr>
          <w:spacing w:val="33"/>
        </w:rPr>
        <w:t> </w:t>
      </w:r>
      <w:r>
        <w:rPr/>
        <w:t>of</w:t>
      </w:r>
      <w:r>
        <w:rPr>
          <w:spacing w:val="34"/>
        </w:rPr>
        <w:t> </w:t>
      </w:r>
      <w:r>
        <w:rPr/>
        <w:t>repose,</w:t>
      </w:r>
      <w:r>
        <w:rPr>
          <w:spacing w:val="33"/>
        </w:rPr>
        <w:t> </w:t>
      </w:r>
      <w:r>
        <w:rPr/>
        <w:t>Carr`s</w:t>
      </w:r>
      <w:r>
        <w:rPr>
          <w:spacing w:val="30"/>
        </w:rPr>
        <w:t> </w:t>
      </w:r>
      <w:r>
        <w:rPr/>
        <w:t>index</w:t>
      </w:r>
      <w:r>
        <w:rPr>
          <w:spacing w:val="35"/>
        </w:rPr>
        <w:t> </w:t>
      </w:r>
      <w:r>
        <w:rPr/>
        <w:t>and</w:t>
      </w:r>
      <w:r>
        <w:rPr>
          <w:spacing w:val="39"/>
        </w:rPr>
        <w:t> </w:t>
      </w:r>
      <w:r>
        <w:rPr/>
        <w:t>Hausner`s</w:t>
      </w:r>
      <w:r>
        <w:rPr>
          <w:spacing w:val="36"/>
        </w:rPr>
        <w:t> </w:t>
      </w:r>
      <w:r>
        <w:rPr/>
        <w:t>ratio</w:t>
      </w:r>
      <w:r>
        <w:rPr>
          <w:spacing w:val="39"/>
        </w:rPr>
        <w:t> </w:t>
      </w:r>
      <w:r>
        <w:rPr/>
        <w:t>for</w:t>
      </w:r>
    </w:p>
    <w:p>
      <w:pPr>
        <w:spacing w:after="0" w:line="494" w:lineRule="auto"/>
        <w:jc w:val="both"/>
        <w:sectPr>
          <w:pgSz w:w="12240" w:h="15840"/>
          <w:pgMar w:header="0" w:footer="999" w:top="1260" w:bottom="1180" w:left="1720" w:right="0"/>
        </w:sectPr>
      </w:pPr>
    </w:p>
    <w:p>
      <w:pPr>
        <w:pStyle w:val="BodyText"/>
        <w:spacing w:line="491" w:lineRule="auto" w:before="75"/>
        <w:ind w:left="665" w:right="1854"/>
        <w:jc w:val="both"/>
      </w:pPr>
      <w:r>
        <w:rPr/>
        <w:t>DS and MCS suggest that the materials possess poor flow property. The particle size distributions of the granules were uniformly distributed. Tablet parameters revealed that the crushing strength (CS) increased with increase in the binder concentration for all binder types while CS decreased with increase in disintegrant concentration for disintegrant</w:t>
      </w:r>
      <w:r>
        <w:rPr>
          <w:spacing w:val="18"/>
        </w:rPr>
        <w:t> </w:t>
      </w:r>
      <w:r>
        <w:rPr/>
        <w:t>types.</w:t>
      </w:r>
      <w:r>
        <w:rPr>
          <w:spacing w:val="19"/>
        </w:rPr>
        <w:t> </w:t>
      </w:r>
      <w:r>
        <w:rPr/>
        <w:t>The</w:t>
      </w:r>
      <w:r>
        <w:rPr>
          <w:spacing w:val="24"/>
        </w:rPr>
        <w:t> </w:t>
      </w:r>
      <w:r>
        <w:rPr/>
        <w:t>CS</w:t>
      </w:r>
      <w:r>
        <w:rPr>
          <w:spacing w:val="18"/>
        </w:rPr>
        <w:t> </w:t>
      </w:r>
      <w:r>
        <w:rPr/>
        <w:t>of the binder</w:t>
      </w:r>
      <w:r>
        <w:rPr>
          <w:spacing w:val="20"/>
        </w:rPr>
        <w:t> </w:t>
      </w:r>
      <w:r>
        <w:rPr/>
        <w:t>type</w:t>
      </w:r>
      <w:r>
        <w:rPr>
          <w:spacing w:val="24"/>
        </w:rPr>
        <w:t> </w:t>
      </w:r>
      <w:r>
        <w:rPr/>
        <w:t>is</w:t>
      </w:r>
      <w:r>
        <w:rPr>
          <w:spacing w:val="21"/>
        </w:rPr>
        <w:t> </w:t>
      </w:r>
      <w:r>
        <w:rPr/>
        <w:t>in</w:t>
      </w:r>
      <w:r>
        <w:rPr>
          <w:spacing w:val="20"/>
        </w:rPr>
        <w:t> </w:t>
      </w:r>
      <w:r>
        <w:rPr/>
        <w:t>the</w:t>
      </w:r>
      <w:r>
        <w:rPr>
          <w:spacing w:val="24"/>
        </w:rPr>
        <w:t> </w:t>
      </w:r>
      <w:r>
        <w:rPr/>
        <w:t>order;</w:t>
      </w:r>
      <w:r>
        <w:rPr>
          <w:spacing w:val="18"/>
        </w:rPr>
        <w:t> </w:t>
      </w:r>
      <w:r>
        <w:rPr/>
        <w:t>GEL&gt;MCS&gt;DS</w:t>
      </w:r>
      <w:r>
        <w:rPr>
          <w:spacing w:val="23"/>
        </w:rPr>
        <w:t> </w:t>
      </w:r>
      <w:r>
        <w:rPr/>
        <w:t>while that of the disintegrant</w:t>
      </w:r>
      <w:r>
        <w:rPr>
          <w:spacing w:val="40"/>
        </w:rPr>
        <w:t> </w:t>
      </w:r>
      <w:r>
        <w:rPr/>
        <w:t>is; MCS&gt;MS&gt;DS. The friability (FR) decreased</w:t>
      </w:r>
      <w:r>
        <w:rPr>
          <w:spacing w:val="40"/>
        </w:rPr>
        <w:t> </w:t>
      </w:r>
      <w:r>
        <w:rPr/>
        <w:t>with increase in binder concentration for all binder types while showing an increase with increase in disintegrant concentrations. The disintegration time (DT) increased with increase in</w:t>
      </w:r>
      <w:r>
        <w:rPr>
          <w:spacing w:val="80"/>
        </w:rPr>
        <w:t> </w:t>
      </w:r>
      <w:r>
        <w:rPr/>
        <w:t>binder</w:t>
      </w:r>
      <w:r>
        <w:rPr>
          <w:spacing w:val="33"/>
        </w:rPr>
        <w:t> </w:t>
      </w:r>
      <w:r>
        <w:rPr/>
        <w:t>concentration</w:t>
      </w:r>
      <w:r>
        <w:rPr>
          <w:spacing w:val="23"/>
        </w:rPr>
        <w:t> </w:t>
      </w:r>
      <w:r>
        <w:rPr/>
        <w:t>while</w:t>
      </w:r>
      <w:r>
        <w:rPr>
          <w:spacing w:val="32"/>
        </w:rPr>
        <w:t> </w:t>
      </w:r>
      <w:r>
        <w:rPr/>
        <w:t>increase</w:t>
      </w:r>
      <w:r>
        <w:rPr>
          <w:spacing w:val="38"/>
        </w:rPr>
        <w:t> </w:t>
      </w:r>
      <w:r>
        <w:rPr/>
        <w:t>in</w:t>
      </w:r>
      <w:r>
        <w:rPr>
          <w:spacing w:val="31"/>
        </w:rPr>
        <w:t> </w:t>
      </w:r>
      <w:r>
        <w:rPr/>
        <w:t>disintegrant</w:t>
      </w:r>
      <w:r>
        <w:rPr>
          <w:spacing w:val="31"/>
        </w:rPr>
        <w:t> </w:t>
      </w:r>
      <w:r>
        <w:rPr/>
        <w:t>concentration</w:t>
      </w:r>
      <w:r>
        <w:rPr>
          <w:spacing w:val="23"/>
        </w:rPr>
        <w:t> </w:t>
      </w:r>
      <w:r>
        <w:rPr/>
        <w:t>resulted</w:t>
      </w:r>
      <w:r>
        <w:rPr>
          <w:spacing w:val="40"/>
        </w:rPr>
        <w:t> </w:t>
      </w:r>
      <w:r>
        <w:rPr/>
        <w:t>in</w:t>
      </w:r>
      <w:r>
        <w:rPr>
          <w:spacing w:val="29"/>
        </w:rPr>
        <w:t> </w:t>
      </w:r>
      <w:r>
        <w:rPr/>
        <w:t>a</w:t>
      </w:r>
      <w:r>
        <w:rPr>
          <w:spacing w:val="27"/>
        </w:rPr>
        <w:t> </w:t>
      </w:r>
      <w:r>
        <w:rPr/>
        <w:t>decrease in DT. The (CS/FR)/DT values of the tablets decreased with increase in disintegrant concentration for</w:t>
      </w:r>
      <w:r>
        <w:rPr>
          <w:spacing w:val="40"/>
        </w:rPr>
        <w:t> </w:t>
      </w:r>
      <w:r>
        <w:rPr/>
        <w:t>all disintegrant type.</w:t>
      </w:r>
      <w:r>
        <w:rPr>
          <w:spacing w:val="40"/>
        </w:rPr>
        <w:t> </w:t>
      </w:r>
      <w:r>
        <w:rPr/>
        <w:t>Maize starch B.P.</w:t>
      </w:r>
      <w:r>
        <w:rPr>
          <w:spacing w:val="40"/>
        </w:rPr>
        <w:t> </w:t>
      </w:r>
      <w:r>
        <w:rPr/>
        <w:t>has the highest (CS/FR)/DT ratio</w:t>
      </w:r>
      <w:r>
        <w:rPr>
          <w:spacing w:val="40"/>
        </w:rPr>
        <w:t> </w:t>
      </w:r>
      <w:r>
        <w:rPr/>
        <w:t>at</w:t>
      </w:r>
      <w:r>
        <w:rPr>
          <w:spacing w:val="40"/>
        </w:rPr>
        <w:t> </w:t>
      </w:r>
      <w:r>
        <w:rPr/>
        <w:t>all</w:t>
      </w:r>
      <w:r>
        <w:rPr>
          <w:spacing w:val="37"/>
        </w:rPr>
        <w:t> </w:t>
      </w:r>
      <w:r>
        <w:rPr/>
        <w:t>concentrations.</w:t>
      </w:r>
      <w:r>
        <w:rPr>
          <w:spacing w:val="40"/>
        </w:rPr>
        <w:t> </w:t>
      </w:r>
      <w:r>
        <w:rPr/>
        <w:t>The</w:t>
      </w:r>
      <w:r>
        <w:rPr>
          <w:spacing w:val="40"/>
        </w:rPr>
        <w:t> </w:t>
      </w:r>
      <w:r>
        <w:rPr/>
        <w:t>(CS/FR)/DT</w:t>
      </w:r>
      <w:r>
        <w:rPr>
          <w:spacing w:val="40"/>
        </w:rPr>
        <w:t> </w:t>
      </w:r>
      <w:r>
        <w:rPr/>
        <w:t>ratio</w:t>
      </w:r>
      <w:r>
        <w:rPr>
          <w:spacing w:val="40"/>
        </w:rPr>
        <w:t> </w:t>
      </w:r>
      <w:r>
        <w:rPr/>
        <w:t>for</w:t>
      </w:r>
      <w:r>
        <w:rPr>
          <w:spacing w:val="39"/>
        </w:rPr>
        <w:t> </w:t>
      </w:r>
      <w:r>
        <w:rPr/>
        <w:t>tablets</w:t>
      </w:r>
      <w:r>
        <w:rPr>
          <w:spacing w:val="40"/>
        </w:rPr>
        <w:t> </w:t>
      </w:r>
      <w:r>
        <w:rPr/>
        <w:t>containing</w:t>
      </w:r>
      <w:r>
        <w:rPr>
          <w:spacing w:val="40"/>
        </w:rPr>
        <w:t> </w:t>
      </w:r>
      <w:r>
        <w:rPr/>
        <w:t>DS</w:t>
      </w:r>
      <w:r>
        <w:rPr>
          <w:spacing w:val="40"/>
        </w:rPr>
        <w:t> </w:t>
      </w:r>
      <w:r>
        <w:rPr/>
        <w:t>and</w:t>
      </w:r>
      <w:r>
        <w:rPr>
          <w:spacing w:val="40"/>
        </w:rPr>
        <w:t> </w:t>
      </w:r>
      <w:r>
        <w:rPr/>
        <w:t>MCS was comparable. The dissolution efficiency (D.E.) which is the percentage of drug</w:t>
      </w:r>
      <w:r>
        <w:rPr>
          <w:spacing w:val="40"/>
        </w:rPr>
        <w:t> </w:t>
      </w:r>
      <w:r>
        <w:rPr/>
        <w:t>released after 30 min ranged</w:t>
      </w:r>
      <w:r>
        <w:rPr>
          <w:spacing w:val="29"/>
        </w:rPr>
        <w:t> </w:t>
      </w:r>
      <w:r>
        <w:rPr/>
        <w:t>from 85.48 – 99.03 % for 7.5</w:t>
      </w:r>
      <w:r>
        <w:rPr>
          <w:spacing w:val="29"/>
        </w:rPr>
        <w:t> </w:t>
      </w:r>
      <w:r>
        <w:rPr/>
        <w:t>% w/v binder concentration and</w:t>
      </w:r>
      <w:r>
        <w:rPr>
          <w:spacing w:val="23"/>
        </w:rPr>
        <w:t> </w:t>
      </w:r>
      <w:r>
        <w:rPr/>
        <w:t>96.49</w:t>
      </w:r>
      <w:r>
        <w:rPr>
          <w:spacing w:val="13"/>
        </w:rPr>
        <w:t> </w:t>
      </w:r>
      <w:r>
        <w:rPr/>
        <w:t>–</w:t>
      </w:r>
      <w:r>
        <w:rPr>
          <w:spacing w:val="19"/>
        </w:rPr>
        <w:t> </w:t>
      </w:r>
      <w:r>
        <w:rPr/>
        <w:t>100</w:t>
      </w:r>
      <w:r>
        <w:rPr>
          <w:spacing w:val="23"/>
        </w:rPr>
        <w:t> </w:t>
      </w:r>
      <w:r>
        <w:rPr/>
        <w:t>% for</w:t>
      </w:r>
      <w:r>
        <w:rPr>
          <w:spacing w:val="12"/>
        </w:rPr>
        <w:t> </w:t>
      </w:r>
      <w:r>
        <w:rPr/>
        <w:t>10.0</w:t>
      </w:r>
      <w:r>
        <w:rPr>
          <w:spacing w:val="25"/>
        </w:rPr>
        <w:t> </w:t>
      </w:r>
      <w:r>
        <w:rPr/>
        <w:t>%</w:t>
      </w:r>
      <w:r>
        <w:rPr>
          <w:spacing w:val="15"/>
        </w:rPr>
        <w:t> </w:t>
      </w:r>
      <w:r>
        <w:rPr/>
        <w:t>w/w</w:t>
      </w:r>
      <w:r>
        <w:rPr>
          <w:spacing w:val="15"/>
        </w:rPr>
        <w:t> </w:t>
      </w:r>
      <w:r>
        <w:rPr/>
        <w:t>disintegrant</w:t>
      </w:r>
      <w:r>
        <w:rPr>
          <w:spacing w:val="21"/>
        </w:rPr>
        <w:t> </w:t>
      </w:r>
      <w:r>
        <w:rPr/>
        <w:t>concentration.</w:t>
      </w:r>
      <w:r>
        <w:rPr>
          <w:spacing w:val="22"/>
        </w:rPr>
        <w:t> </w:t>
      </w:r>
      <w:r>
        <w:rPr/>
        <w:t>The</w:t>
      </w:r>
      <w:r>
        <w:rPr>
          <w:spacing w:val="17"/>
        </w:rPr>
        <w:t> </w:t>
      </w:r>
      <w:r>
        <w:rPr/>
        <w:t>order</w:t>
      </w:r>
      <w:r>
        <w:rPr>
          <w:spacing w:val="12"/>
        </w:rPr>
        <w:t> </w:t>
      </w:r>
      <w:r>
        <w:rPr/>
        <w:t>of</w:t>
      </w:r>
      <w:r>
        <w:rPr>
          <w:spacing w:val="18"/>
        </w:rPr>
        <w:t> </w:t>
      </w:r>
      <w:r>
        <w:rPr/>
        <w:t>D.E</w:t>
      </w:r>
      <w:r>
        <w:rPr>
          <w:spacing w:val="17"/>
        </w:rPr>
        <w:t> </w:t>
      </w:r>
      <w:r>
        <w:rPr/>
        <w:t>for</w:t>
      </w:r>
      <w:r>
        <w:rPr>
          <w:spacing w:val="12"/>
        </w:rPr>
        <w:t> </w:t>
      </w:r>
      <w:r>
        <w:rPr/>
        <w:t>7.5</w:t>
      </w:r>
    </w:p>
    <w:p>
      <w:pPr>
        <w:pStyle w:val="BodyText"/>
        <w:spacing w:line="491" w:lineRule="auto" w:before="2"/>
        <w:ind w:left="665" w:right="1853"/>
        <w:jc w:val="both"/>
      </w:pPr>
      <w:r>
        <w:rPr/>
        <w:t>%</w:t>
      </w:r>
      <w:r>
        <w:rPr>
          <w:spacing w:val="40"/>
        </w:rPr>
        <w:t> </w:t>
      </w:r>
      <w:r>
        <w:rPr/>
        <w:t>w/v</w:t>
      </w:r>
      <w:r>
        <w:rPr>
          <w:spacing w:val="39"/>
        </w:rPr>
        <w:t> </w:t>
      </w:r>
      <w:r>
        <w:rPr/>
        <w:t>binder</w:t>
      </w:r>
      <w:r>
        <w:rPr>
          <w:spacing w:val="40"/>
        </w:rPr>
        <w:t> </w:t>
      </w:r>
      <w:r>
        <w:rPr/>
        <w:t>concentration</w:t>
      </w:r>
      <w:r>
        <w:rPr>
          <w:spacing w:val="40"/>
        </w:rPr>
        <w:t> </w:t>
      </w:r>
      <w:r>
        <w:rPr/>
        <w:t>was;</w:t>
      </w:r>
      <w:r>
        <w:rPr>
          <w:spacing w:val="40"/>
        </w:rPr>
        <w:t> </w:t>
      </w:r>
      <w:r>
        <w:rPr/>
        <w:t>DS&gt;MCS&gt;GEL</w:t>
      </w:r>
      <w:r>
        <w:rPr>
          <w:spacing w:val="40"/>
        </w:rPr>
        <w:t> </w:t>
      </w:r>
      <w:r>
        <w:rPr/>
        <w:t>while</w:t>
      </w:r>
      <w:r>
        <w:rPr>
          <w:spacing w:val="40"/>
        </w:rPr>
        <w:t> </w:t>
      </w:r>
      <w:r>
        <w:rPr/>
        <w:t>the</w:t>
      </w:r>
      <w:r>
        <w:rPr>
          <w:spacing w:val="40"/>
        </w:rPr>
        <w:t> </w:t>
      </w:r>
      <w:r>
        <w:rPr/>
        <w:t>order</w:t>
      </w:r>
      <w:r>
        <w:rPr>
          <w:spacing w:val="38"/>
        </w:rPr>
        <w:t> </w:t>
      </w:r>
      <w:r>
        <w:rPr/>
        <w:t>of</w:t>
      </w:r>
      <w:r>
        <w:rPr>
          <w:spacing w:val="38"/>
        </w:rPr>
        <w:t> </w:t>
      </w:r>
      <w:r>
        <w:rPr/>
        <w:t>D.E</w:t>
      </w:r>
      <w:r>
        <w:rPr>
          <w:spacing w:val="40"/>
        </w:rPr>
        <w:t> </w:t>
      </w:r>
      <w:r>
        <w:rPr/>
        <w:t>for</w:t>
      </w:r>
      <w:r>
        <w:rPr>
          <w:spacing w:val="38"/>
        </w:rPr>
        <w:t> </w:t>
      </w:r>
      <w:r>
        <w:rPr/>
        <w:t>10.0</w:t>
      </w:r>
      <w:r>
        <w:rPr>
          <w:spacing w:val="40"/>
        </w:rPr>
        <w:t> </w:t>
      </w:r>
      <w:r>
        <w:rPr/>
        <w:t>% w/w disintegrant concentration was; DS&gt;MS&gt;MCS. The mean yield pressure (P</w:t>
      </w:r>
      <w:r>
        <w:rPr>
          <w:vertAlign w:val="subscript"/>
        </w:rPr>
        <w:t>Y</w:t>
      </w:r>
      <w:r>
        <w:rPr>
          <w:vertAlign w:val="baseline"/>
        </w:rPr>
        <w:t>),</w:t>
      </w:r>
      <w:r>
        <w:rPr>
          <w:spacing w:val="40"/>
          <w:vertAlign w:val="baseline"/>
        </w:rPr>
        <w:t> </w:t>
      </w:r>
      <w:r>
        <w:rPr>
          <w:vertAlign w:val="baseline"/>
        </w:rPr>
        <w:t>relative</w:t>
      </w:r>
      <w:r>
        <w:rPr>
          <w:spacing w:val="40"/>
          <w:vertAlign w:val="baseline"/>
        </w:rPr>
        <w:t> </w:t>
      </w:r>
      <w:r>
        <w:rPr>
          <w:vertAlign w:val="baseline"/>
        </w:rPr>
        <w:t>density</w:t>
      </w:r>
      <w:r>
        <w:rPr>
          <w:spacing w:val="40"/>
          <w:vertAlign w:val="baseline"/>
        </w:rPr>
        <w:t> </w:t>
      </w:r>
      <w:r>
        <w:rPr>
          <w:vertAlign w:val="baseline"/>
        </w:rPr>
        <w:t>at</w:t>
      </w:r>
      <w:r>
        <w:rPr>
          <w:spacing w:val="40"/>
          <w:vertAlign w:val="baseline"/>
        </w:rPr>
        <w:t> </w:t>
      </w:r>
      <w:r>
        <w:rPr>
          <w:vertAlign w:val="baseline"/>
        </w:rPr>
        <w:t>zero</w:t>
      </w:r>
      <w:r>
        <w:rPr>
          <w:spacing w:val="40"/>
          <w:vertAlign w:val="baseline"/>
        </w:rPr>
        <w:t> </w:t>
      </w:r>
      <w:r>
        <w:rPr>
          <w:vertAlign w:val="baseline"/>
        </w:rPr>
        <w:t>pressure</w:t>
      </w:r>
      <w:r>
        <w:rPr>
          <w:spacing w:val="40"/>
          <w:vertAlign w:val="baseline"/>
        </w:rPr>
        <w:t> </w:t>
      </w:r>
      <w:r>
        <w:rPr>
          <w:vertAlign w:val="baseline"/>
        </w:rPr>
        <w:t>(D</w:t>
      </w:r>
      <w:r>
        <w:rPr>
          <w:vertAlign w:val="subscript"/>
        </w:rPr>
        <w:t>O</w:t>
      </w:r>
      <w:r>
        <w:rPr>
          <w:vertAlign w:val="baseline"/>
        </w:rPr>
        <w:t>)</w:t>
      </w:r>
      <w:r>
        <w:rPr>
          <w:spacing w:val="34"/>
          <w:vertAlign w:val="baseline"/>
        </w:rPr>
        <w:t> </w:t>
      </w:r>
      <w:r>
        <w:rPr>
          <w:vertAlign w:val="baseline"/>
        </w:rPr>
        <w:t>and</w:t>
      </w:r>
      <w:r>
        <w:rPr>
          <w:spacing w:val="40"/>
          <w:vertAlign w:val="baseline"/>
        </w:rPr>
        <w:t> </w:t>
      </w:r>
      <w:r>
        <w:rPr>
          <w:vertAlign w:val="baseline"/>
        </w:rPr>
        <w:t>total</w:t>
      </w:r>
      <w:r>
        <w:rPr>
          <w:spacing w:val="40"/>
          <w:vertAlign w:val="baseline"/>
        </w:rPr>
        <w:t> </w:t>
      </w:r>
      <w:r>
        <w:rPr>
          <w:vertAlign w:val="baseline"/>
        </w:rPr>
        <w:t>deformation</w:t>
      </w:r>
      <w:r>
        <w:rPr>
          <w:spacing w:val="40"/>
          <w:vertAlign w:val="baseline"/>
        </w:rPr>
        <w:t> </w:t>
      </w:r>
      <w:r>
        <w:rPr>
          <w:vertAlign w:val="baseline"/>
        </w:rPr>
        <w:t>occurring</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powder (D</w:t>
      </w:r>
      <w:r>
        <w:rPr>
          <w:vertAlign w:val="subscript"/>
        </w:rPr>
        <w:t>A</w:t>
      </w:r>
      <w:r>
        <w:rPr>
          <w:vertAlign w:val="baseline"/>
        </w:rPr>
        <w:t>) ranked in this order: GEL&gt;MCS&gt;DS. The fragmentation tendency of the powder</w:t>
      </w:r>
      <w:r>
        <w:rPr>
          <w:spacing w:val="40"/>
          <w:vertAlign w:val="baseline"/>
        </w:rPr>
        <w:t> </w:t>
      </w:r>
      <w:r>
        <w:rPr>
          <w:vertAlign w:val="baseline"/>
        </w:rPr>
        <w:t>(D</w:t>
      </w:r>
      <w:r>
        <w:rPr>
          <w:vertAlign w:val="subscript"/>
        </w:rPr>
        <w:t>B</w:t>
      </w:r>
      <w:r>
        <w:rPr>
          <w:vertAlign w:val="baseline"/>
        </w:rPr>
        <w:t>)</w:t>
      </w:r>
      <w:r>
        <w:rPr>
          <w:spacing w:val="24"/>
          <w:vertAlign w:val="baseline"/>
        </w:rPr>
        <w:t> </w:t>
      </w:r>
      <w:r>
        <w:rPr>
          <w:vertAlign w:val="baseline"/>
        </w:rPr>
        <w:t>value</w:t>
      </w:r>
      <w:r>
        <w:rPr>
          <w:spacing w:val="19"/>
          <w:vertAlign w:val="baseline"/>
        </w:rPr>
        <w:t> </w:t>
      </w:r>
      <w:r>
        <w:rPr>
          <w:vertAlign w:val="baseline"/>
        </w:rPr>
        <w:t>was</w:t>
      </w:r>
      <w:r>
        <w:rPr>
          <w:spacing w:val="27"/>
          <w:vertAlign w:val="baseline"/>
        </w:rPr>
        <w:t> </w:t>
      </w:r>
      <w:r>
        <w:rPr>
          <w:vertAlign w:val="baseline"/>
        </w:rPr>
        <w:t>in</w:t>
      </w:r>
      <w:r>
        <w:rPr>
          <w:spacing w:val="21"/>
          <w:vertAlign w:val="baseline"/>
        </w:rPr>
        <w:t> </w:t>
      </w:r>
      <w:r>
        <w:rPr>
          <w:vertAlign w:val="baseline"/>
        </w:rPr>
        <w:t>the</w:t>
      </w:r>
      <w:r>
        <w:rPr>
          <w:spacing w:val="29"/>
          <w:vertAlign w:val="baseline"/>
        </w:rPr>
        <w:t> </w:t>
      </w:r>
      <w:r>
        <w:rPr>
          <w:vertAlign w:val="baseline"/>
        </w:rPr>
        <w:t>order:</w:t>
      </w:r>
      <w:r>
        <w:rPr>
          <w:spacing w:val="17"/>
          <w:vertAlign w:val="baseline"/>
        </w:rPr>
        <w:t> </w:t>
      </w:r>
      <w:r>
        <w:rPr>
          <w:vertAlign w:val="baseline"/>
        </w:rPr>
        <w:t>MCS&gt;GEL&gt;DS.</w:t>
      </w:r>
      <w:r>
        <w:rPr>
          <w:spacing w:val="24"/>
          <w:vertAlign w:val="baseline"/>
        </w:rPr>
        <w:t> </w:t>
      </w:r>
      <w:r>
        <w:rPr>
          <w:vertAlign w:val="baseline"/>
        </w:rPr>
        <w:t>The</w:t>
      </w:r>
      <w:r>
        <w:rPr>
          <w:spacing w:val="23"/>
          <w:vertAlign w:val="baseline"/>
        </w:rPr>
        <w:t> </w:t>
      </w:r>
      <w:r>
        <w:rPr>
          <w:vertAlign w:val="baseline"/>
        </w:rPr>
        <w:t>mean</w:t>
      </w:r>
      <w:r>
        <w:rPr>
          <w:spacing w:val="37"/>
          <w:vertAlign w:val="baseline"/>
        </w:rPr>
        <w:t> </w:t>
      </w:r>
      <w:r>
        <w:rPr>
          <w:vertAlign w:val="baseline"/>
        </w:rPr>
        <w:t>yield</w:t>
      </w:r>
      <w:r>
        <w:rPr>
          <w:spacing w:val="31"/>
          <w:vertAlign w:val="baseline"/>
        </w:rPr>
        <w:t> </w:t>
      </w:r>
      <w:r>
        <w:rPr>
          <w:vertAlign w:val="baseline"/>
        </w:rPr>
        <w:t>pressure</w:t>
      </w:r>
      <w:r>
        <w:rPr>
          <w:spacing w:val="23"/>
          <w:vertAlign w:val="baseline"/>
        </w:rPr>
        <w:t> </w:t>
      </w:r>
      <w:r>
        <w:rPr>
          <w:vertAlign w:val="baseline"/>
        </w:rPr>
        <w:t>was</w:t>
      </w:r>
      <w:r>
        <w:rPr>
          <w:spacing w:val="21"/>
          <w:vertAlign w:val="baseline"/>
        </w:rPr>
        <w:t> </w:t>
      </w:r>
      <w:r>
        <w:rPr>
          <w:vertAlign w:val="baseline"/>
        </w:rPr>
        <w:t>high</w:t>
      </w:r>
      <w:r>
        <w:rPr>
          <w:spacing w:val="21"/>
          <w:vertAlign w:val="baseline"/>
        </w:rPr>
        <w:t> </w:t>
      </w:r>
      <w:r>
        <w:rPr>
          <w:vertAlign w:val="baseline"/>
        </w:rPr>
        <w:t>which is indicative of higher resistance against plastic deformation.</w:t>
      </w:r>
    </w:p>
    <w:p>
      <w:pPr>
        <w:pStyle w:val="BodyText"/>
        <w:spacing w:line="491" w:lineRule="auto" w:before="3"/>
        <w:ind w:left="665" w:right="1861" w:firstLine="504"/>
        <w:jc w:val="both"/>
      </w:pPr>
      <w:r>
        <w:rPr/>
        <w:t>The (CS/FR)/DT and compressional studies results revealed that tablets were generally weak. DS and MCS could be used with other excipients to produce tablets that require fast disintegration</w:t>
      </w:r>
    </w:p>
    <w:p>
      <w:pPr>
        <w:spacing w:after="0" w:line="491" w:lineRule="auto"/>
        <w:jc w:val="both"/>
        <w:sectPr>
          <w:pgSz w:w="12240" w:h="15840"/>
          <w:pgMar w:header="0" w:footer="999" w:top="1260" w:bottom="1180" w:left="1720" w:right="0"/>
        </w:sectPr>
      </w:pPr>
    </w:p>
    <w:p>
      <w:pPr>
        <w:pStyle w:val="Heading1"/>
        <w:ind w:left="3444" w:right="0"/>
        <w:jc w:val="left"/>
      </w:pPr>
      <w:bookmarkStart w:name="_TOC_250155" w:id="6"/>
      <w:r>
        <w:rPr/>
        <w:t>TABLE</w:t>
      </w:r>
      <w:r>
        <w:rPr>
          <w:spacing w:val="9"/>
        </w:rPr>
        <w:t> </w:t>
      </w:r>
      <w:r>
        <w:rPr/>
        <w:t>OF</w:t>
      </w:r>
      <w:r>
        <w:rPr>
          <w:spacing w:val="8"/>
        </w:rPr>
        <w:t> </w:t>
      </w:r>
      <w:bookmarkEnd w:id="6"/>
      <w:r>
        <w:rPr>
          <w:spacing w:val="-2"/>
        </w:rPr>
        <w:t>CONTENTS</w:t>
      </w:r>
    </w:p>
    <w:p>
      <w:pPr>
        <w:spacing w:after="0"/>
        <w:jc w:val="left"/>
        <w:sectPr>
          <w:pgSz w:w="12240" w:h="15840"/>
          <w:pgMar w:header="0" w:footer="999" w:top="1260" w:bottom="1343" w:left="1720" w:right="0"/>
        </w:sectPr>
      </w:pPr>
    </w:p>
    <w:sdt>
      <w:sdtPr>
        <w:docPartObj>
          <w:docPartGallery w:val="Table of Contents"/>
          <w:docPartUnique/>
        </w:docPartObj>
      </w:sdtPr>
      <w:sdtEndPr/>
      <w:sdtContent>
        <w:p>
          <w:pPr>
            <w:pStyle w:val="TOC1"/>
            <w:tabs>
              <w:tab w:pos="8652" w:val="right" w:leader="dot"/>
            </w:tabs>
            <w:spacing w:before="261"/>
            <w:ind w:left="665" w:firstLine="0"/>
          </w:pPr>
          <w:r>
            <w:rPr/>
            <w:t>TITLE</w:t>
          </w:r>
          <w:r>
            <w:rPr>
              <w:spacing w:val="16"/>
            </w:rPr>
            <w:t> </w:t>
          </w:r>
          <w:r>
            <w:rPr>
              <w:spacing w:val="-4"/>
            </w:rPr>
            <w:t>PAGE</w:t>
          </w:r>
          <w:r>
            <w:rPr/>
            <w:tab/>
          </w:r>
          <w:r>
            <w:rPr>
              <w:spacing w:val="-10"/>
            </w:rPr>
            <w:t>i</w:t>
          </w:r>
        </w:p>
        <w:p>
          <w:pPr>
            <w:pStyle w:val="TOC1"/>
            <w:tabs>
              <w:tab w:pos="8653" w:val="right" w:leader="dot"/>
            </w:tabs>
            <w:ind w:left="665" w:firstLine="0"/>
          </w:pPr>
          <w:hyperlink w:history="true" w:anchor="_TOC_250160">
            <w:r>
              <w:rPr>
                <w:spacing w:val="-2"/>
              </w:rPr>
              <w:t>DECLARATION</w:t>
            </w:r>
            <w:r>
              <w:rPr/>
              <w:tab/>
            </w:r>
            <w:r>
              <w:rPr>
                <w:spacing w:val="-5"/>
              </w:rPr>
              <w:t>ii</w:t>
            </w:r>
          </w:hyperlink>
        </w:p>
        <w:p>
          <w:pPr>
            <w:pStyle w:val="TOC1"/>
            <w:tabs>
              <w:tab w:pos="8653" w:val="right" w:leader="dot"/>
            </w:tabs>
            <w:spacing w:before="97"/>
            <w:ind w:left="665" w:firstLine="0"/>
          </w:pPr>
          <w:hyperlink w:history="true" w:anchor="_TOC_250159">
            <w:r>
              <w:rPr>
                <w:spacing w:val="-2"/>
              </w:rPr>
              <w:t>CERTIFICATION</w:t>
            </w:r>
            <w:r>
              <w:rPr/>
              <w:tab/>
            </w:r>
            <w:r>
              <w:rPr>
                <w:spacing w:val="-5"/>
              </w:rPr>
              <w:t>iii</w:t>
            </w:r>
          </w:hyperlink>
        </w:p>
        <w:p>
          <w:pPr>
            <w:pStyle w:val="TOC1"/>
            <w:tabs>
              <w:tab w:pos="8654" w:val="right" w:leader="dot"/>
            </w:tabs>
            <w:ind w:left="665" w:firstLine="0"/>
          </w:pPr>
          <w:hyperlink w:history="true" w:anchor="_TOC_250158">
            <w:r>
              <w:rPr>
                <w:spacing w:val="-2"/>
              </w:rPr>
              <w:t>DEDICATION</w:t>
            </w:r>
            <w:r>
              <w:rPr/>
              <w:tab/>
            </w:r>
            <w:r>
              <w:rPr>
                <w:spacing w:val="-5"/>
              </w:rPr>
              <w:t>iv</w:t>
            </w:r>
          </w:hyperlink>
        </w:p>
        <w:p>
          <w:pPr>
            <w:pStyle w:val="TOC1"/>
            <w:tabs>
              <w:tab w:pos="8650" w:val="right" w:leader="dot"/>
            </w:tabs>
            <w:spacing w:before="103"/>
            <w:ind w:left="665" w:firstLine="0"/>
          </w:pPr>
          <w:hyperlink w:history="true" w:anchor="_TOC_250157">
            <w:r>
              <w:rPr>
                <w:spacing w:val="-2"/>
              </w:rPr>
              <w:t>ACKNOWLEDGEMENT</w:t>
            </w:r>
            <w:r>
              <w:rPr/>
              <w:tab/>
            </w:r>
            <w:r>
              <w:rPr>
                <w:spacing w:val="-10"/>
              </w:rPr>
              <w:t>v</w:t>
            </w:r>
          </w:hyperlink>
        </w:p>
        <w:p>
          <w:pPr>
            <w:pStyle w:val="TOC1"/>
            <w:tabs>
              <w:tab w:pos="8652" w:val="right" w:leader="dot"/>
            </w:tabs>
            <w:spacing w:before="97"/>
            <w:ind w:left="665" w:firstLine="0"/>
          </w:pPr>
          <w:hyperlink w:history="true" w:anchor="_TOC_250156">
            <w:r>
              <w:rPr>
                <w:spacing w:val="-2"/>
              </w:rPr>
              <w:t>ABSTRACT</w:t>
            </w:r>
            <w:r>
              <w:rPr/>
              <w:tab/>
            </w:r>
            <w:r>
              <w:rPr>
                <w:spacing w:val="-5"/>
              </w:rPr>
              <w:t>vii</w:t>
            </w:r>
          </w:hyperlink>
        </w:p>
        <w:p>
          <w:pPr>
            <w:pStyle w:val="TOC1"/>
            <w:tabs>
              <w:tab w:pos="8650" w:val="right" w:leader="dot"/>
            </w:tabs>
            <w:spacing w:before="97"/>
            <w:ind w:left="665" w:firstLine="0"/>
          </w:pPr>
          <w:hyperlink w:history="true" w:anchor="_TOC_250155">
            <w:r>
              <w:rPr/>
              <w:t>TABLE</w:t>
            </w:r>
            <w:r>
              <w:rPr>
                <w:spacing w:val="15"/>
              </w:rPr>
              <w:t> </w:t>
            </w:r>
            <w:r>
              <w:rPr/>
              <w:t>OF</w:t>
            </w:r>
            <w:r>
              <w:rPr>
                <w:spacing w:val="9"/>
              </w:rPr>
              <w:t> </w:t>
            </w:r>
            <w:r>
              <w:rPr>
                <w:spacing w:val="-2"/>
              </w:rPr>
              <w:t>CONTENTS</w:t>
            </w:r>
            <w:r>
              <w:rPr/>
              <w:tab/>
            </w:r>
            <w:r>
              <w:rPr>
                <w:spacing w:val="-10"/>
              </w:rPr>
              <w:t>x</w:t>
            </w:r>
          </w:hyperlink>
        </w:p>
        <w:p>
          <w:pPr>
            <w:pStyle w:val="TOC1"/>
            <w:tabs>
              <w:tab w:pos="8650" w:val="right" w:leader="dot"/>
            </w:tabs>
            <w:spacing w:before="107"/>
            <w:ind w:left="665" w:firstLine="0"/>
          </w:pPr>
          <w:hyperlink w:history="true" w:anchor="_TOC_250154">
            <w:r>
              <w:rPr/>
              <w:t>LIST</w:t>
            </w:r>
            <w:r>
              <w:rPr>
                <w:spacing w:val="9"/>
              </w:rPr>
              <w:t> </w:t>
            </w:r>
            <w:r>
              <w:rPr/>
              <w:t>OF</w:t>
            </w:r>
            <w:r>
              <w:rPr>
                <w:spacing w:val="13"/>
              </w:rPr>
              <w:t> </w:t>
            </w:r>
            <w:r>
              <w:rPr>
                <w:spacing w:val="-2"/>
              </w:rPr>
              <w:t>TABLES</w:t>
            </w:r>
            <w:r>
              <w:rPr/>
              <w:tab/>
            </w:r>
            <w:r>
              <w:rPr>
                <w:spacing w:val="-5"/>
              </w:rPr>
              <w:t>xv</w:t>
            </w:r>
          </w:hyperlink>
        </w:p>
        <w:p>
          <w:pPr>
            <w:pStyle w:val="TOC1"/>
            <w:tabs>
              <w:tab w:pos="8652" w:val="right" w:leader="dot"/>
            </w:tabs>
            <w:spacing w:before="98"/>
            <w:ind w:left="665" w:firstLine="0"/>
          </w:pPr>
          <w:hyperlink w:history="true" w:anchor="_TOC_250153">
            <w:r>
              <w:rPr/>
              <w:t>LIST</w:t>
            </w:r>
            <w:r>
              <w:rPr>
                <w:spacing w:val="9"/>
              </w:rPr>
              <w:t> </w:t>
            </w:r>
            <w:r>
              <w:rPr/>
              <w:t>OF</w:t>
            </w:r>
            <w:r>
              <w:rPr>
                <w:spacing w:val="13"/>
              </w:rPr>
              <w:t> </w:t>
            </w:r>
            <w:r>
              <w:rPr>
                <w:spacing w:val="-2"/>
              </w:rPr>
              <w:t>FIGURES</w:t>
            </w:r>
            <w:r>
              <w:rPr/>
              <w:tab/>
            </w:r>
            <w:r>
              <w:rPr>
                <w:spacing w:val="-5"/>
              </w:rPr>
              <w:t>xvi</w:t>
            </w:r>
          </w:hyperlink>
        </w:p>
        <w:p>
          <w:pPr>
            <w:pStyle w:val="TOC1"/>
            <w:tabs>
              <w:tab w:pos="8653" w:val="right" w:leader="dot"/>
            </w:tabs>
            <w:spacing w:before="97"/>
            <w:ind w:left="665" w:firstLine="0"/>
          </w:pPr>
          <w:hyperlink w:history="true" w:anchor="_TOC_250152">
            <w:r>
              <w:rPr/>
              <w:t>LIST</w:t>
            </w:r>
            <w:r>
              <w:rPr>
                <w:spacing w:val="9"/>
              </w:rPr>
              <w:t> </w:t>
            </w:r>
            <w:r>
              <w:rPr/>
              <w:t>OF</w:t>
            </w:r>
            <w:r>
              <w:rPr>
                <w:spacing w:val="13"/>
              </w:rPr>
              <w:t> </w:t>
            </w:r>
            <w:r>
              <w:rPr>
                <w:spacing w:val="-2"/>
              </w:rPr>
              <w:t>PLATES</w:t>
            </w:r>
            <w:r>
              <w:rPr/>
              <w:tab/>
            </w:r>
            <w:r>
              <w:rPr>
                <w:spacing w:val="-4"/>
              </w:rPr>
              <w:t>xvii</w:t>
            </w:r>
          </w:hyperlink>
        </w:p>
        <w:p>
          <w:pPr>
            <w:pStyle w:val="TOC1"/>
            <w:tabs>
              <w:tab w:pos="8653" w:val="right" w:leader="dot"/>
            </w:tabs>
            <w:spacing w:before="107"/>
            <w:ind w:left="665" w:firstLine="0"/>
          </w:pPr>
          <w:hyperlink w:history="true" w:anchor="_TOC_250151">
            <w:r>
              <w:rPr/>
              <w:t>LIST</w:t>
            </w:r>
            <w:r>
              <w:rPr>
                <w:spacing w:val="9"/>
              </w:rPr>
              <w:t> </w:t>
            </w:r>
            <w:r>
              <w:rPr/>
              <w:t>OF</w:t>
            </w:r>
            <w:r>
              <w:rPr>
                <w:spacing w:val="13"/>
              </w:rPr>
              <w:t> </w:t>
            </w:r>
            <w:r>
              <w:rPr>
                <w:spacing w:val="-2"/>
              </w:rPr>
              <w:t>APPENDICES</w:t>
            </w:r>
            <w:r>
              <w:rPr/>
              <w:tab/>
            </w:r>
            <w:r>
              <w:rPr>
                <w:spacing w:val="-2"/>
              </w:rPr>
              <w:t>xviii</w:t>
            </w:r>
          </w:hyperlink>
        </w:p>
        <w:p>
          <w:pPr>
            <w:pStyle w:val="TOC1"/>
            <w:tabs>
              <w:tab w:pos="8652" w:val="right" w:leader="dot"/>
            </w:tabs>
            <w:spacing w:before="98"/>
            <w:ind w:left="665" w:firstLine="0"/>
          </w:pPr>
          <w:hyperlink w:history="true" w:anchor="_TOC_250150">
            <w:r>
              <w:rPr/>
              <w:t>Abbreviations,</w:t>
            </w:r>
            <w:r>
              <w:rPr>
                <w:spacing w:val="18"/>
              </w:rPr>
              <w:t> </w:t>
            </w:r>
            <w:r>
              <w:rPr/>
              <w:t>Definitions,</w:t>
            </w:r>
            <w:r>
              <w:rPr>
                <w:spacing w:val="18"/>
              </w:rPr>
              <w:t> </w:t>
            </w:r>
            <w:r>
              <w:rPr/>
              <w:t>Glossaries</w:t>
            </w:r>
            <w:r>
              <w:rPr>
                <w:spacing w:val="16"/>
              </w:rPr>
              <w:t> </w:t>
            </w:r>
            <w:r>
              <w:rPr/>
              <w:t>and</w:t>
            </w:r>
            <w:r>
              <w:rPr>
                <w:spacing w:val="13"/>
              </w:rPr>
              <w:t> </w:t>
            </w:r>
            <w:r>
              <w:rPr>
                <w:spacing w:val="-2"/>
              </w:rPr>
              <w:t>Symbols</w:t>
            </w:r>
            <w:r>
              <w:rPr/>
              <w:tab/>
            </w:r>
            <w:r>
              <w:rPr>
                <w:spacing w:val="-5"/>
              </w:rPr>
              <w:t>xxi</w:t>
            </w:r>
          </w:hyperlink>
        </w:p>
        <w:p>
          <w:pPr>
            <w:pStyle w:val="TOC1"/>
            <w:tabs>
              <w:tab w:pos="8652" w:val="right" w:leader="dot"/>
            </w:tabs>
            <w:spacing w:before="97"/>
            <w:ind w:left="665" w:firstLine="0"/>
          </w:pPr>
          <w:hyperlink w:history="true" w:anchor="_TOC_250149">
            <w:r>
              <w:rPr/>
              <w:t>CHAPTER</w:t>
            </w:r>
            <w:r>
              <w:rPr>
                <w:spacing w:val="25"/>
              </w:rPr>
              <w:t> </w:t>
            </w:r>
            <w:r>
              <w:rPr>
                <w:spacing w:val="-5"/>
              </w:rPr>
              <w:t>ONE</w:t>
            </w:r>
            <w:r>
              <w:rPr/>
              <w:tab/>
            </w:r>
            <w:r>
              <w:rPr>
                <w:spacing w:val="-10"/>
              </w:rPr>
              <w:t>i</w:t>
            </w:r>
          </w:hyperlink>
        </w:p>
        <w:p>
          <w:pPr>
            <w:pStyle w:val="TOC1"/>
            <w:numPr>
              <w:ilvl w:val="1"/>
              <w:numId w:val="1"/>
            </w:numPr>
            <w:tabs>
              <w:tab w:pos="1851" w:val="left" w:leader="none"/>
              <w:tab w:pos="8650" w:val="right" w:leader="dot"/>
            </w:tabs>
            <w:spacing w:line="240" w:lineRule="auto" w:before="107" w:after="0"/>
            <w:ind w:left="1851" w:right="0" w:hanging="1186"/>
            <w:jc w:val="left"/>
          </w:pPr>
          <w:hyperlink w:history="true" w:anchor="_TOC_250148">
            <w:r>
              <w:rPr>
                <w:spacing w:val="-2"/>
              </w:rPr>
              <w:t>INTRODUCTION</w:t>
            </w:r>
            <w:r>
              <w:rPr/>
              <w:tab/>
            </w:r>
            <w:r>
              <w:rPr>
                <w:spacing w:val="-10"/>
              </w:rPr>
              <w:t>1</w:t>
            </w:r>
          </w:hyperlink>
        </w:p>
        <w:p>
          <w:pPr>
            <w:pStyle w:val="TOC1"/>
            <w:numPr>
              <w:ilvl w:val="1"/>
              <w:numId w:val="1"/>
            </w:numPr>
            <w:tabs>
              <w:tab w:pos="1851" w:val="left" w:leader="none"/>
              <w:tab w:pos="8650" w:val="right" w:leader="dot"/>
            </w:tabs>
            <w:spacing w:line="240" w:lineRule="auto" w:before="98" w:after="0"/>
            <w:ind w:left="1851" w:right="0" w:hanging="1186"/>
            <w:jc w:val="left"/>
          </w:pPr>
          <w:hyperlink w:history="true" w:anchor="_TOC_250147">
            <w:r>
              <w:rPr/>
              <w:t>Starch</w:t>
            </w:r>
            <w:r>
              <w:rPr>
                <w:spacing w:val="12"/>
              </w:rPr>
              <w:t> </w:t>
            </w:r>
            <w:r>
              <w:rPr>
                <w:spacing w:val="-2"/>
              </w:rPr>
              <w:t>chemistry</w:t>
            </w:r>
            <w:r>
              <w:rPr/>
              <w:tab/>
            </w:r>
            <w:r>
              <w:rPr>
                <w:spacing w:val="-10"/>
              </w:rPr>
              <w:t>2</w:t>
            </w:r>
          </w:hyperlink>
        </w:p>
        <w:p>
          <w:pPr>
            <w:pStyle w:val="TOC1"/>
            <w:numPr>
              <w:ilvl w:val="1"/>
              <w:numId w:val="1"/>
            </w:numPr>
            <w:tabs>
              <w:tab w:pos="1851" w:val="left" w:leader="none"/>
              <w:tab w:pos="8650" w:val="right" w:leader="dot"/>
            </w:tabs>
            <w:spacing w:line="240" w:lineRule="auto" w:before="97" w:after="0"/>
            <w:ind w:left="1851" w:right="0" w:hanging="1186"/>
            <w:jc w:val="left"/>
          </w:pPr>
          <w:hyperlink w:history="true" w:anchor="_TOC_250146">
            <w:r>
              <w:rPr/>
              <w:t>Energy</w:t>
            </w:r>
            <w:r>
              <w:rPr>
                <w:spacing w:val="8"/>
              </w:rPr>
              <w:t> </w:t>
            </w:r>
            <w:r>
              <w:rPr/>
              <w:t>store</w:t>
            </w:r>
            <w:r>
              <w:rPr>
                <w:spacing w:val="12"/>
              </w:rPr>
              <w:t> </w:t>
            </w:r>
            <w:r>
              <w:rPr/>
              <w:t>of</w:t>
            </w:r>
            <w:r>
              <w:rPr>
                <w:spacing w:val="7"/>
              </w:rPr>
              <w:t> </w:t>
            </w:r>
            <w:r>
              <w:rPr>
                <w:spacing w:val="-2"/>
              </w:rPr>
              <w:t>plants</w:t>
            </w:r>
            <w:r>
              <w:rPr/>
              <w:tab/>
            </w:r>
            <w:r>
              <w:rPr>
                <w:spacing w:val="-10"/>
              </w:rPr>
              <w:t>4</w:t>
            </w:r>
          </w:hyperlink>
        </w:p>
        <w:p>
          <w:pPr>
            <w:pStyle w:val="TOC1"/>
            <w:numPr>
              <w:ilvl w:val="1"/>
              <w:numId w:val="1"/>
            </w:numPr>
            <w:tabs>
              <w:tab w:pos="1851" w:val="left" w:leader="none"/>
              <w:tab w:pos="8650" w:val="right" w:leader="dot"/>
            </w:tabs>
            <w:spacing w:line="240" w:lineRule="auto" w:before="102" w:after="0"/>
            <w:ind w:left="1851" w:right="0" w:hanging="1186"/>
            <w:jc w:val="left"/>
          </w:pPr>
          <w:hyperlink w:history="true" w:anchor="_TOC_250145">
            <w:r>
              <w:rPr>
                <w:spacing w:val="-2"/>
              </w:rPr>
              <w:t>Biosynthesis</w:t>
            </w:r>
            <w:r>
              <w:rPr/>
              <w:tab/>
            </w:r>
            <w:r>
              <w:rPr>
                <w:spacing w:val="-10"/>
              </w:rPr>
              <w:t>4</w:t>
            </w:r>
          </w:hyperlink>
        </w:p>
        <w:p>
          <w:pPr>
            <w:pStyle w:val="TOC1"/>
            <w:numPr>
              <w:ilvl w:val="1"/>
              <w:numId w:val="1"/>
            </w:numPr>
            <w:tabs>
              <w:tab w:pos="1851" w:val="left" w:leader="none"/>
              <w:tab w:pos="8650" w:val="right" w:leader="dot"/>
            </w:tabs>
            <w:spacing w:line="240" w:lineRule="auto" w:before="102" w:after="0"/>
            <w:ind w:left="1851" w:right="0" w:hanging="1186"/>
            <w:jc w:val="left"/>
          </w:pPr>
          <w:hyperlink w:history="true" w:anchor="_TOC_250144">
            <w:r>
              <w:rPr/>
              <w:t>Commonly</w:t>
            </w:r>
            <w:r>
              <w:rPr>
                <w:spacing w:val="3"/>
              </w:rPr>
              <w:t> </w:t>
            </w:r>
            <w:r>
              <w:rPr/>
              <w:t>used</w:t>
            </w:r>
            <w:r>
              <w:rPr>
                <w:spacing w:val="29"/>
              </w:rPr>
              <w:t> </w:t>
            </w:r>
            <w:r>
              <w:rPr>
                <w:spacing w:val="-2"/>
              </w:rPr>
              <w:t>starches</w:t>
            </w:r>
            <w:r>
              <w:rPr/>
              <w:tab/>
            </w:r>
            <w:r>
              <w:rPr>
                <w:spacing w:val="-10"/>
              </w:rPr>
              <w:t>5</w:t>
            </w:r>
          </w:hyperlink>
        </w:p>
        <w:p>
          <w:pPr>
            <w:pStyle w:val="TOC1"/>
            <w:numPr>
              <w:ilvl w:val="1"/>
              <w:numId w:val="1"/>
            </w:numPr>
            <w:tabs>
              <w:tab w:pos="1851" w:val="left" w:leader="none"/>
              <w:tab w:pos="8650" w:val="right" w:leader="dot"/>
            </w:tabs>
            <w:spacing w:line="240" w:lineRule="auto" w:before="98" w:after="0"/>
            <w:ind w:left="1851" w:right="0" w:hanging="1186"/>
            <w:jc w:val="left"/>
          </w:pPr>
          <w:hyperlink w:history="true" w:anchor="_TOC_250143">
            <w:r>
              <w:rPr/>
              <w:t>Starch</w:t>
            </w:r>
            <w:r>
              <w:rPr>
                <w:spacing w:val="12"/>
              </w:rPr>
              <w:t> </w:t>
            </w:r>
            <w:r>
              <w:rPr>
                <w:spacing w:val="-2"/>
              </w:rPr>
              <w:t>extraction</w:t>
            </w:r>
            <w:r>
              <w:rPr/>
              <w:tab/>
            </w:r>
            <w:r>
              <w:rPr>
                <w:spacing w:val="-10"/>
              </w:rPr>
              <w:t>6</w:t>
            </w:r>
          </w:hyperlink>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42">
            <w:r>
              <w:rPr/>
              <w:t>Microbial</w:t>
            </w:r>
            <w:r>
              <w:rPr>
                <w:spacing w:val="17"/>
              </w:rPr>
              <w:t> </w:t>
            </w:r>
            <w:r>
              <w:rPr/>
              <w:t>softening</w:t>
            </w:r>
            <w:r>
              <w:rPr>
                <w:spacing w:val="15"/>
              </w:rPr>
              <w:t> </w:t>
            </w:r>
            <w:r>
              <w:rPr>
                <w:spacing w:val="-2"/>
              </w:rPr>
              <w:t>technique</w:t>
            </w:r>
            <w:r>
              <w:rPr/>
              <w:tab/>
            </w:r>
            <w:r>
              <w:rPr>
                <w:spacing w:val="-10"/>
              </w:rPr>
              <w:t>7</w:t>
            </w:r>
          </w:hyperlink>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41">
            <w:r>
              <w:rPr/>
              <w:t>Use</w:t>
            </w:r>
            <w:r>
              <w:rPr>
                <w:spacing w:val="8"/>
              </w:rPr>
              <w:t> </w:t>
            </w:r>
            <w:r>
              <w:rPr/>
              <w:t>of</w:t>
            </w:r>
            <w:r>
              <w:rPr>
                <w:spacing w:val="9"/>
              </w:rPr>
              <w:t> </w:t>
            </w:r>
            <w:r>
              <w:rPr>
                <w:spacing w:val="-2"/>
              </w:rPr>
              <w:t>microfluidiser</w:t>
            </w:r>
            <w:r>
              <w:rPr/>
              <w:tab/>
            </w:r>
            <w:r>
              <w:rPr>
                <w:spacing w:val="-10"/>
              </w:rPr>
              <w:t>7</w:t>
            </w:r>
          </w:hyperlink>
        </w:p>
        <w:p>
          <w:pPr>
            <w:pStyle w:val="TOC1"/>
            <w:numPr>
              <w:ilvl w:val="2"/>
              <w:numId w:val="1"/>
            </w:numPr>
            <w:tabs>
              <w:tab w:pos="1913" w:val="left" w:leader="none"/>
              <w:tab w:pos="8650" w:val="right" w:leader="dot"/>
            </w:tabs>
            <w:spacing w:line="240" w:lineRule="auto" w:before="98" w:after="0"/>
            <w:ind w:left="1913" w:right="0" w:hanging="1248"/>
            <w:jc w:val="left"/>
          </w:pPr>
          <w:hyperlink w:history="true" w:anchor="_TOC_250140">
            <w:r>
              <w:rPr/>
              <w:t>Enzymatic</w:t>
            </w:r>
            <w:r>
              <w:rPr>
                <w:spacing w:val="11"/>
              </w:rPr>
              <w:t> </w:t>
            </w:r>
            <w:r>
              <w:rPr/>
              <w:t>starch</w:t>
            </w:r>
            <w:r>
              <w:rPr>
                <w:spacing w:val="8"/>
              </w:rPr>
              <w:t> </w:t>
            </w:r>
            <w:r>
              <w:rPr>
                <w:spacing w:val="-2"/>
              </w:rPr>
              <w:t>extraction</w:t>
            </w:r>
            <w:r>
              <w:rPr/>
              <w:tab/>
            </w:r>
            <w:r>
              <w:rPr>
                <w:spacing w:val="-10"/>
              </w:rPr>
              <w:t>7</w:t>
            </w:r>
          </w:hyperlink>
        </w:p>
        <w:p>
          <w:pPr>
            <w:pStyle w:val="TOC1"/>
            <w:numPr>
              <w:ilvl w:val="1"/>
              <w:numId w:val="1"/>
            </w:numPr>
            <w:tabs>
              <w:tab w:pos="1851" w:val="left" w:leader="none"/>
              <w:tab w:pos="8650" w:val="right" w:leader="dot"/>
            </w:tabs>
            <w:spacing w:line="240" w:lineRule="auto" w:before="102" w:after="0"/>
            <w:ind w:left="1851" w:right="0" w:hanging="1186"/>
            <w:jc w:val="left"/>
          </w:pPr>
          <w:hyperlink w:history="true" w:anchor="_TOC_250139">
            <w:r>
              <w:rPr/>
              <w:t>Modification</w:t>
            </w:r>
            <w:r>
              <w:rPr>
                <w:spacing w:val="12"/>
              </w:rPr>
              <w:t> </w:t>
            </w:r>
            <w:r>
              <w:rPr/>
              <w:t>of</w:t>
            </w:r>
            <w:r>
              <w:rPr>
                <w:spacing w:val="18"/>
              </w:rPr>
              <w:t> </w:t>
            </w:r>
            <w:r>
              <w:rPr>
                <w:spacing w:val="-2"/>
              </w:rPr>
              <w:t>starch</w:t>
            </w:r>
            <w:r>
              <w:rPr/>
              <w:tab/>
            </w:r>
            <w:r>
              <w:rPr>
                <w:spacing w:val="-10"/>
              </w:rPr>
              <w:t>8</w:t>
            </w:r>
          </w:hyperlink>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38">
            <w:r>
              <w:rPr/>
              <w:t>Cross-</w:t>
            </w:r>
            <w:r>
              <w:rPr>
                <w:spacing w:val="-2"/>
              </w:rPr>
              <w:t>linking</w:t>
            </w:r>
            <w:r>
              <w:rPr/>
              <w:tab/>
            </w:r>
            <w:r>
              <w:rPr>
                <w:spacing w:val="-10"/>
              </w:rPr>
              <w:t>8</w:t>
            </w:r>
          </w:hyperlink>
        </w:p>
        <w:p>
          <w:pPr>
            <w:pStyle w:val="TOC1"/>
            <w:numPr>
              <w:ilvl w:val="2"/>
              <w:numId w:val="1"/>
            </w:numPr>
            <w:tabs>
              <w:tab w:pos="1851" w:val="left" w:leader="none"/>
              <w:tab w:pos="8650" w:val="right" w:leader="dot"/>
            </w:tabs>
            <w:spacing w:line="240" w:lineRule="auto" w:before="98" w:after="0"/>
            <w:ind w:left="1851" w:right="0" w:hanging="1186"/>
            <w:jc w:val="left"/>
          </w:pPr>
          <w:hyperlink w:history="true" w:anchor="_TOC_250137">
            <w:r>
              <w:rPr>
                <w:spacing w:val="-2"/>
              </w:rPr>
              <w:t>Stabilization</w:t>
            </w:r>
            <w:r>
              <w:rPr/>
              <w:tab/>
            </w:r>
            <w:r>
              <w:rPr>
                <w:spacing w:val="-10"/>
              </w:rPr>
              <w:t>8</w:t>
            </w:r>
          </w:hyperlink>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36">
            <w:r>
              <w:rPr>
                <w:spacing w:val="-2"/>
              </w:rPr>
              <w:t>Conversions</w:t>
            </w:r>
            <w:r>
              <w:rPr/>
              <w:tab/>
            </w:r>
            <w:r>
              <w:rPr>
                <w:spacing w:val="-10"/>
              </w:rPr>
              <w:t>9</w:t>
            </w:r>
          </w:hyperlink>
        </w:p>
        <w:p>
          <w:pPr>
            <w:pStyle w:val="TOC1"/>
            <w:numPr>
              <w:ilvl w:val="2"/>
              <w:numId w:val="1"/>
            </w:numPr>
            <w:tabs>
              <w:tab w:pos="1851" w:val="left" w:leader="none"/>
              <w:tab w:pos="8650" w:val="right" w:leader="dot"/>
            </w:tabs>
            <w:spacing w:line="240" w:lineRule="auto" w:before="97" w:after="0"/>
            <w:ind w:left="1851" w:right="0" w:hanging="1186"/>
            <w:jc w:val="left"/>
          </w:pPr>
          <w:hyperlink w:history="true" w:anchor="_TOC_250135">
            <w:r>
              <w:rPr/>
              <w:t>Lipophilic</w:t>
            </w:r>
            <w:r>
              <w:rPr>
                <w:spacing w:val="16"/>
              </w:rPr>
              <w:t> </w:t>
            </w:r>
            <w:r>
              <w:rPr>
                <w:spacing w:val="-2"/>
              </w:rPr>
              <w:t>substitution</w:t>
            </w:r>
            <w:r>
              <w:rPr/>
              <w:tab/>
            </w:r>
            <w:r>
              <w:rPr>
                <w:spacing w:val="-5"/>
              </w:rPr>
              <w:t>10</w:t>
            </w:r>
          </w:hyperlink>
        </w:p>
        <w:p>
          <w:pPr>
            <w:pStyle w:val="TOC1"/>
            <w:numPr>
              <w:ilvl w:val="2"/>
              <w:numId w:val="1"/>
            </w:numPr>
            <w:tabs>
              <w:tab w:pos="1851" w:val="left" w:leader="none"/>
              <w:tab w:pos="8650" w:val="right" w:leader="dot"/>
            </w:tabs>
            <w:spacing w:line="240" w:lineRule="auto" w:before="103" w:after="0"/>
            <w:ind w:left="1851" w:right="0" w:hanging="1186"/>
            <w:jc w:val="left"/>
          </w:pPr>
          <w:hyperlink w:history="true" w:anchor="_TOC_250134">
            <w:r>
              <w:rPr>
                <w:spacing w:val="-2"/>
              </w:rPr>
              <w:t>Pregelatinization</w:t>
            </w:r>
            <w:r>
              <w:rPr/>
              <w:tab/>
            </w:r>
            <w:r>
              <w:rPr>
                <w:spacing w:val="-5"/>
              </w:rPr>
              <w:t>10</w:t>
            </w:r>
          </w:hyperlink>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33">
            <w:r>
              <w:rPr>
                <w:spacing w:val="-2"/>
              </w:rPr>
              <w:t>Annealing</w:t>
            </w:r>
            <w:r>
              <w:rPr/>
              <w:tab/>
            </w:r>
            <w:r>
              <w:rPr>
                <w:spacing w:val="-5"/>
              </w:rPr>
              <w:t>10</w:t>
            </w:r>
          </w:hyperlink>
        </w:p>
        <w:p>
          <w:pPr>
            <w:pStyle w:val="TOC1"/>
            <w:numPr>
              <w:ilvl w:val="1"/>
              <w:numId w:val="1"/>
            </w:numPr>
            <w:tabs>
              <w:tab w:pos="1851" w:val="left" w:leader="none"/>
              <w:tab w:pos="8650" w:val="right" w:leader="dot"/>
            </w:tabs>
            <w:spacing w:line="240" w:lineRule="auto" w:before="97" w:after="0"/>
            <w:ind w:left="1851" w:right="0" w:hanging="1186"/>
            <w:jc w:val="left"/>
          </w:pPr>
          <w:hyperlink w:history="true" w:anchor="_TOC_250132">
            <w:r>
              <w:rPr/>
              <w:t>Survey</w:t>
            </w:r>
            <w:r>
              <w:rPr>
                <w:spacing w:val="-1"/>
              </w:rPr>
              <w:t> </w:t>
            </w:r>
            <w:r>
              <w:rPr/>
              <w:t>of</w:t>
            </w:r>
            <w:r>
              <w:rPr>
                <w:spacing w:val="11"/>
              </w:rPr>
              <w:t> </w:t>
            </w:r>
            <w:r>
              <w:rPr/>
              <w:t>research</w:t>
            </w:r>
            <w:r>
              <w:rPr>
                <w:spacing w:val="12"/>
              </w:rPr>
              <w:t> </w:t>
            </w:r>
            <w:r>
              <w:rPr/>
              <w:t>work</w:t>
            </w:r>
            <w:r>
              <w:rPr>
                <w:spacing w:val="11"/>
              </w:rPr>
              <w:t> </w:t>
            </w:r>
            <w:r>
              <w:rPr/>
              <w:t>on</w:t>
            </w:r>
            <w:r>
              <w:rPr>
                <w:spacing w:val="6"/>
              </w:rPr>
              <w:t> </w:t>
            </w:r>
            <w:r>
              <w:rPr/>
              <w:t>local</w:t>
            </w:r>
            <w:r>
              <w:rPr>
                <w:spacing w:val="14"/>
              </w:rPr>
              <w:t> </w:t>
            </w:r>
            <w:r>
              <w:rPr>
                <w:spacing w:val="-2"/>
              </w:rPr>
              <w:t>starches</w:t>
            </w:r>
            <w:r>
              <w:rPr/>
              <w:tab/>
            </w:r>
            <w:r>
              <w:rPr>
                <w:spacing w:val="-5"/>
              </w:rPr>
              <w:t>11</w:t>
            </w:r>
          </w:hyperlink>
        </w:p>
        <w:p>
          <w:pPr>
            <w:pStyle w:val="TOC1"/>
            <w:numPr>
              <w:ilvl w:val="1"/>
              <w:numId w:val="1"/>
            </w:numPr>
            <w:tabs>
              <w:tab w:pos="1851" w:val="left" w:leader="none"/>
              <w:tab w:pos="8650" w:val="right" w:leader="dot"/>
            </w:tabs>
            <w:spacing w:line="240" w:lineRule="auto" w:before="102" w:after="0"/>
            <w:ind w:left="1851" w:right="0" w:hanging="1186"/>
            <w:jc w:val="left"/>
          </w:pPr>
          <w:hyperlink w:history="true" w:anchor="_TOC_250131">
            <w:r>
              <w:rPr>
                <w:spacing w:val="-2"/>
              </w:rPr>
              <w:t>Fonio</w:t>
            </w:r>
            <w:r>
              <w:rPr/>
              <w:tab/>
            </w:r>
            <w:r>
              <w:rPr>
                <w:spacing w:val="-5"/>
              </w:rPr>
              <w:t>13</w:t>
            </w:r>
          </w:hyperlink>
        </w:p>
        <w:p>
          <w:pPr>
            <w:pStyle w:val="TOC1"/>
            <w:numPr>
              <w:ilvl w:val="2"/>
              <w:numId w:val="1"/>
            </w:numPr>
            <w:tabs>
              <w:tab w:pos="1851" w:val="left" w:leader="none"/>
              <w:tab w:pos="8650" w:val="right" w:leader="dot"/>
            </w:tabs>
            <w:spacing w:line="240" w:lineRule="auto" w:before="103" w:after="0"/>
            <w:ind w:left="1851" w:right="0" w:hanging="1186"/>
            <w:jc w:val="left"/>
          </w:pPr>
          <w:hyperlink w:history="true" w:anchor="_TOC_250130">
            <w:r>
              <w:rPr/>
              <w:t>Distributional</w:t>
            </w:r>
            <w:r>
              <w:rPr>
                <w:spacing w:val="23"/>
              </w:rPr>
              <w:t> </w:t>
            </w:r>
            <w:r>
              <w:rPr>
                <w:spacing w:val="-4"/>
              </w:rPr>
              <w:t>range</w:t>
            </w:r>
            <w:r>
              <w:rPr/>
              <w:tab/>
            </w:r>
            <w:r>
              <w:rPr>
                <w:spacing w:val="-5"/>
              </w:rPr>
              <w:t>15</w:t>
            </w:r>
          </w:hyperlink>
        </w:p>
        <w:p>
          <w:pPr>
            <w:pStyle w:val="TOC2"/>
            <w:numPr>
              <w:ilvl w:val="2"/>
              <w:numId w:val="1"/>
            </w:numPr>
            <w:tabs>
              <w:tab w:pos="1851" w:val="left" w:leader="none"/>
              <w:tab w:pos="8650" w:val="right" w:leader="dot"/>
            </w:tabs>
            <w:spacing w:line="240" w:lineRule="auto" w:before="97" w:after="0"/>
            <w:ind w:left="1851" w:right="0" w:hanging="1186"/>
            <w:jc w:val="left"/>
            <w:rPr>
              <w:b w:val="0"/>
              <w:i w:val="0"/>
              <w:sz w:val="22"/>
            </w:rPr>
          </w:pPr>
          <w:r>
            <w:rPr>
              <w:b w:val="0"/>
              <w:i w:val="0"/>
              <w:sz w:val="22"/>
            </w:rPr>
            <w:t>Description</w:t>
          </w:r>
          <w:r>
            <w:rPr>
              <w:b w:val="0"/>
              <w:i w:val="0"/>
              <w:spacing w:val="13"/>
              <w:sz w:val="22"/>
            </w:rPr>
            <w:t> </w:t>
          </w:r>
          <w:r>
            <w:rPr>
              <w:b w:val="0"/>
              <w:i w:val="0"/>
              <w:sz w:val="22"/>
            </w:rPr>
            <w:t>of</w:t>
          </w:r>
          <w:r>
            <w:rPr>
              <w:b w:val="0"/>
              <w:i w:val="0"/>
              <w:spacing w:val="12"/>
              <w:sz w:val="22"/>
            </w:rPr>
            <w:t> </w:t>
          </w:r>
          <w:r>
            <w:rPr>
              <w:b w:val="0"/>
              <w:sz w:val="22"/>
            </w:rPr>
            <w:t>Digitaria</w:t>
          </w:r>
          <w:r>
            <w:rPr>
              <w:b w:val="0"/>
              <w:spacing w:val="14"/>
              <w:sz w:val="22"/>
            </w:rPr>
            <w:t> </w:t>
          </w:r>
          <w:r>
            <w:rPr>
              <w:b w:val="0"/>
              <w:sz w:val="22"/>
            </w:rPr>
            <w:t>iburua</w:t>
          </w:r>
          <w:r>
            <w:rPr>
              <w:b w:val="0"/>
              <w:spacing w:val="20"/>
              <w:sz w:val="22"/>
            </w:rPr>
            <w:t> </w:t>
          </w:r>
          <w:r>
            <w:rPr>
              <w:b w:val="0"/>
              <w:i w:val="0"/>
              <w:spacing w:val="-2"/>
              <w:sz w:val="22"/>
            </w:rPr>
            <w:t>(Stapf)</w:t>
          </w:r>
          <w:r>
            <w:rPr>
              <w:b w:val="0"/>
              <w:i w:val="0"/>
              <w:sz w:val="22"/>
            </w:rPr>
            <w:tab/>
          </w:r>
          <w:r>
            <w:rPr>
              <w:b w:val="0"/>
              <w:i w:val="0"/>
              <w:spacing w:val="-5"/>
              <w:sz w:val="22"/>
            </w:rPr>
            <w:t>15</w:t>
          </w:r>
        </w:p>
        <w:p>
          <w:pPr>
            <w:pStyle w:val="TOC1"/>
            <w:numPr>
              <w:ilvl w:val="2"/>
              <w:numId w:val="1"/>
            </w:numPr>
            <w:tabs>
              <w:tab w:pos="1851" w:val="left" w:leader="none"/>
              <w:tab w:pos="8650" w:val="right" w:leader="dot"/>
            </w:tabs>
            <w:spacing w:line="240" w:lineRule="auto" w:before="102" w:after="0"/>
            <w:ind w:left="1851" w:right="0" w:hanging="1186"/>
            <w:jc w:val="left"/>
          </w:pPr>
          <w:hyperlink w:history="true" w:anchor="_TOC_250129">
            <w:r>
              <w:rPr/>
              <w:t>Economic</w:t>
            </w:r>
            <w:r>
              <w:rPr>
                <w:spacing w:val="9"/>
              </w:rPr>
              <w:t> </w:t>
            </w:r>
            <w:r>
              <w:rPr/>
              <w:t>use</w:t>
            </w:r>
            <w:r>
              <w:rPr>
                <w:spacing w:val="10"/>
              </w:rPr>
              <w:t> </w:t>
            </w:r>
            <w:r>
              <w:rPr/>
              <w:t>of</w:t>
            </w:r>
            <w:r>
              <w:rPr>
                <w:spacing w:val="11"/>
              </w:rPr>
              <w:t> </w:t>
            </w:r>
            <w:r>
              <w:rPr>
                <w:spacing w:val="-4"/>
              </w:rPr>
              <w:t>fonio</w:t>
            </w:r>
            <w:r>
              <w:rPr/>
              <w:tab/>
            </w:r>
            <w:r>
              <w:rPr>
                <w:spacing w:val="-5"/>
              </w:rPr>
              <w:t>16</w:t>
            </w:r>
          </w:hyperlink>
        </w:p>
        <w:p>
          <w:pPr>
            <w:pStyle w:val="TOC1"/>
            <w:numPr>
              <w:ilvl w:val="1"/>
              <w:numId w:val="1"/>
            </w:numPr>
            <w:tabs>
              <w:tab w:pos="1851" w:val="left" w:leader="none"/>
              <w:tab w:pos="8650" w:val="right" w:leader="dot"/>
            </w:tabs>
            <w:spacing w:line="240" w:lineRule="auto" w:before="102" w:after="0"/>
            <w:ind w:left="1851" w:right="0" w:hanging="1186"/>
            <w:jc w:val="left"/>
          </w:pPr>
          <w:hyperlink w:history="true" w:anchor="_TOC_250128">
            <w:r>
              <w:rPr/>
              <w:t>Statement</w:t>
            </w:r>
            <w:r>
              <w:rPr>
                <w:spacing w:val="17"/>
              </w:rPr>
              <w:t> </w:t>
            </w:r>
            <w:r>
              <w:rPr/>
              <w:t>of</w:t>
            </w:r>
            <w:r>
              <w:rPr>
                <w:spacing w:val="8"/>
              </w:rPr>
              <w:t> </w:t>
            </w:r>
            <w:r>
              <w:rPr/>
              <w:t>research</w:t>
            </w:r>
            <w:r>
              <w:rPr>
                <w:spacing w:val="9"/>
              </w:rPr>
              <w:t> </w:t>
            </w:r>
            <w:r>
              <w:rPr>
                <w:spacing w:val="-2"/>
              </w:rPr>
              <w:t>problem</w:t>
            </w:r>
            <w:r>
              <w:rPr/>
              <w:tab/>
            </w:r>
            <w:r>
              <w:rPr>
                <w:spacing w:val="-5"/>
              </w:rPr>
              <w:t>16</w:t>
            </w:r>
          </w:hyperlink>
        </w:p>
        <w:p>
          <w:pPr>
            <w:pStyle w:val="TOC1"/>
            <w:numPr>
              <w:ilvl w:val="1"/>
              <w:numId w:val="1"/>
            </w:numPr>
            <w:tabs>
              <w:tab w:pos="1851" w:val="left" w:leader="none"/>
              <w:tab w:pos="8650" w:val="right" w:leader="dot"/>
            </w:tabs>
            <w:spacing w:line="240" w:lineRule="auto" w:before="98" w:after="20"/>
            <w:ind w:left="1851" w:right="0" w:hanging="1186"/>
            <w:jc w:val="left"/>
          </w:pPr>
          <w:hyperlink w:history="true" w:anchor="_TOC_250127">
            <w:r>
              <w:rPr/>
              <w:t>Research</w:t>
            </w:r>
            <w:r>
              <w:rPr>
                <w:spacing w:val="19"/>
              </w:rPr>
              <w:t> </w:t>
            </w:r>
            <w:r>
              <w:rPr>
                <w:spacing w:val="-2"/>
              </w:rPr>
              <w:t>hypotheses</w:t>
            </w:r>
            <w:r>
              <w:rPr/>
              <w:tab/>
            </w:r>
            <w:r>
              <w:rPr>
                <w:spacing w:val="-5"/>
              </w:rPr>
              <w:t>17</w:t>
            </w:r>
          </w:hyperlink>
        </w:p>
        <w:p>
          <w:pPr>
            <w:pStyle w:val="TOC1"/>
            <w:numPr>
              <w:ilvl w:val="1"/>
              <w:numId w:val="1"/>
            </w:numPr>
            <w:tabs>
              <w:tab w:pos="1913" w:val="left" w:leader="none"/>
              <w:tab w:pos="8427" w:val="left" w:leader="dot"/>
            </w:tabs>
            <w:spacing w:line="240" w:lineRule="auto" w:before="75" w:after="0"/>
            <w:ind w:left="1913" w:right="0" w:hanging="1248"/>
            <w:jc w:val="left"/>
          </w:pPr>
          <w:hyperlink w:history="true" w:anchor="_TOC_250126">
            <w:r>
              <w:rPr/>
              <w:t>Aim</w:t>
            </w:r>
            <w:r>
              <w:rPr>
                <w:spacing w:val="9"/>
              </w:rPr>
              <w:t> </w:t>
            </w:r>
            <w:r>
              <w:rPr/>
              <w:t>and</w:t>
            </w:r>
            <w:r>
              <w:rPr>
                <w:spacing w:val="9"/>
              </w:rPr>
              <w:t> </w:t>
            </w:r>
            <w:r>
              <w:rPr/>
              <w:t>objective</w:t>
            </w:r>
            <w:r>
              <w:rPr>
                <w:spacing w:val="8"/>
              </w:rPr>
              <w:t> </w:t>
            </w:r>
            <w:r>
              <w:rPr/>
              <w:t>of</w:t>
            </w:r>
            <w:r>
              <w:rPr>
                <w:spacing w:val="3"/>
              </w:rPr>
              <w:t> </w:t>
            </w:r>
            <w:r>
              <w:rPr/>
              <w:t>the</w:t>
            </w:r>
            <w:r>
              <w:rPr>
                <w:spacing w:val="8"/>
              </w:rPr>
              <w:t> </w:t>
            </w:r>
            <w:r>
              <w:rPr>
                <w:spacing w:val="-2"/>
              </w:rPr>
              <w:t>study</w:t>
            </w:r>
            <w:r>
              <w:rPr/>
              <w:tab/>
            </w:r>
            <w:r>
              <w:rPr>
                <w:spacing w:val="-5"/>
              </w:rPr>
              <w:t>17</w:t>
            </w:r>
          </w:hyperlink>
        </w:p>
        <w:p>
          <w:pPr>
            <w:pStyle w:val="TOC1"/>
            <w:tabs>
              <w:tab w:pos="1851" w:val="left" w:leader="none"/>
              <w:tab w:pos="8427" w:val="left" w:leader="dot"/>
            </w:tabs>
            <w:ind w:left="665" w:firstLine="0"/>
          </w:pPr>
          <w:hyperlink w:history="true" w:anchor="_TOC_250125">
            <w:r>
              <w:rPr>
                <w:spacing w:val="-4"/>
              </w:rPr>
              <w:t>1.13</w:t>
            </w:r>
            <w:r>
              <w:rPr/>
              <w:tab/>
              <w:t>Justification</w:t>
            </w:r>
            <w:r>
              <w:rPr>
                <w:spacing w:val="6"/>
              </w:rPr>
              <w:t> </w:t>
            </w:r>
            <w:r>
              <w:rPr/>
              <w:t>of</w:t>
            </w:r>
            <w:r>
              <w:rPr>
                <w:spacing w:val="12"/>
              </w:rPr>
              <w:t> </w:t>
            </w:r>
            <w:r>
              <w:rPr/>
              <w:t>the</w:t>
            </w:r>
            <w:r>
              <w:rPr>
                <w:spacing w:val="10"/>
              </w:rPr>
              <w:t> </w:t>
            </w:r>
            <w:r>
              <w:rPr>
                <w:spacing w:val="-4"/>
              </w:rPr>
              <w:t>study</w:t>
            </w:r>
            <w:r>
              <w:rPr/>
              <w:tab/>
            </w:r>
            <w:r>
              <w:rPr>
                <w:spacing w:val="-5"/>
              </w:rPr>
              <w:t>18</w:t>
            </w:r>
          </w:hyperlink>
        </w:p>
        <w:p>
          <w:pPr>
            <w:pStyle w:val="TOC1"/>
            <w:tabs>
              <w:tab w:pos="8427" w:val="left" w:leader="dot"/>
            </w:tabs>
            <w:spacing w:before="98"/>
            <w:ind w:left="665" w:firstLine="0"/>
          </w:pPr>
          <w:hyperlink w:history="true" w:anchor="_TOC_250124">
            <w:r>
              <w:rPr/>
              <w:t>CHAPTER</w:t>
            </w:r>
            <w:r>
              <w:rPr>
                <w:spacing w:val="25"/>
              </w:rPr>
              <w:t> </w:t>
            </w:r>
            <w:r>
              <w:rPr>
                <w:spacing w:val="-5"/>
              </w:rPr>
              <w:t>TWO</w:t>
            </w:r>
            <w:r>
              <w:rPr/>
              <w:tab/>
            </w:r>
            <w:r>
              <w:rPr>
                <w:spacing w:val="-5"/>
              </w:rPr>
              <w:t>19</w:t>
            </w:r>
          </w:hyperlink>
        </w:p>
        <w:p>
          <w:pPr>
            <w:pStyle w:val="TOC1"/>
            <w:numPr>
              <w:ilvl w:val="1"/>
              <w:numId w:val="2"/>
            </w:numPr>
            <w:tabs>
              <w:tab w:pos="1851" w:val="left" w:leader="none"/>
              <w:tab w:pos="8427" w:val="left" w:leader="dot"/>
            </w:tabs>
            <w:spacing w:line="240" w:lineRule="auto" w:before="97" w:after="0"/>
            <w:ind w:left="1851" w:right="0" w:hanging="1186"/>
            <w:jc w:val="left"/>
          </w:pPr>
          <w:hyperlink w:history="true" w:anchor="_TOC_250123">
            <w:r>
              <w:rPr/>
              <w:t>LITERATURE</w:t>
            </w:r>
            <w:r>
              <w:rPr>
                <w:spacing w:val="28"/>
              </w:rPr>
              <w:t> </w:t>
            </w:r>
            <w:r>
              <w:rPr>
                <w:spacing w:val="-2"/>
              </w:rPr>
              <w:t>REVIEW</w:t>
            </w:r>
            <w:r>
              <w:rPr/>
              <w:tab/>
            </w:r>
            <w:r>
              <w:rPr>
                <w:spacing w:val="-5"/>
              </w:rPr>
              <w:t>19</w:t>
            </w:r>
          </w:hyperlink>
        </w:p>
        <w:p>
          <w:pPr>
            <w:pStyle w:val="TOC1"/>
            <w:numPr>
              <w:ilvl w:val="1"/>
              <w:numId w:val="2"/>
            </w:numPr>
            <w:tabs>
              <w:tab w:pos="1851" w:val="left" w:leader="none"/>
              <w:tab w:pos="8427" w:val="left" w:leader="dot"/>
            </w:tabs>
            <w:spacing w:line="240" w:lineRule="auto" w:before="107" w:after="0"/>
            <w:ind w:left="1851" w:right="0" w:hanging="1186"/>
            <w:jc w:val="left"/>
          </w:pPr>
          <w:hyperlink w:history="true" w:anchor="_TOC_250122">
            <w:r>
              <w:rPr>
                <w:spacing w:val="-2"/>
              </w:rPr>
              <w:t>Tablets</w:t>
            </w:r>
            <w:r>
              <w:rPr/>
              <w:tab/>
            </w:r>
            <w:r>
              <w:rPr>
                <w:spacing w:val="-5"/>
              </w:rPr>
              <w:t>19</w:t>
            </w:r>
          </w:hyperlink>
        </w:p>
        <w:p>
          <w:pPr>
            <w:pStyle w:val="TOC1"/>
            <w:numPr>
              <w:ilvl w:val="1"/>
              <w:numId w:val="2"/>
            </w:numPr>
            <w:tabs>
              <w:tab w:pos="1851" w:val="left" w:leader="none"/>
              <w:tab w:pos="8427" w:val="left" w:leader="dot"/>
            </w:tabs>
            <w:spacing w:line="240" w:lineRule="auto" w:before="98" w:after="0"/>
            <w:ind w:left="1851" w:right="0" w:hanging="1186"/>
            <w:jc w:val="left"/>
          </w:pPr>
          <w:hyperlink w:history="true" w:anchor="_TOC_250121">
            <w:r>
              <w:rPr/>
              <w:t>Tablet</w:t>
            </w:r>
            <w:r>
              <w:rPr>
                <w:spacing w:val="17"/>
              </w:rPr>
              <w:t> </w:t>
            </w:r>
            <w:r>
              <w:rPr>
                <w:spacing w:val="-2"/>
              </w:rPr>
              <w:t>types</w:t>
            </w:r>
            <w:r>
              <w:rPr/>
              <w:tab/>
            </w:r>
            <w:r>
              <w:rPr>
                <w:spacing w:val="-5"/>
              </w:rPr>
              <w:t>19</w:t>
            </w:r>
          </w:hyperlink>
        </w:p>
        <w:p>
          <w:pPr>
            <w:pStyle w:val="TOC1"/>
            <w:numPr>
              <w:ilvl w:val="2"/>
              <w:numId w:val="2"/>
            </w:numPr>
            <w:tabs>
              <w:tab w:pos="1851" w:val="left" w:leader="none"/>
              <w:tab w:pos="8427" w:val="left" w:leader="dot"/>
            </w:tabs>
            <w:spacing w:line="240" w:lineRule="auto" w:before="97" w:after="0"/>
            <w:ind w:left="1851" w:right="0" w:hanging="1186"/>
            <w:jc w:val="left"/>
          </w:pPr>
          <w:hyperlink w:history="true" w:anchor="_TOC_250120">
            <w:r>
              <w:rPr/>
              <w:t>Conventional</w:t>
            </w:r>
            <w:r>
              <w:rPr>
                <w:spacing w:val="22"/>
              </w:rPr>
              <w:t> </w:t>
            </w:r>
            <w:r>
              <w:rPr/>
              <w:t>compressed</w:t>
            </w:r>
            <w:r>
              <w:rPr>
                <w:spacing w:val="27"/>
              </w:rPr>
              <w:t> </w:t>
            </w:r>
            <w:r>
              <w:rPr>
                <w:spacing w:val="-2"/>
              </w:rPr>
              <w:t>tablets</w:t>
            </w:r>
            <w:r>
              <w:rPr/>
              <w:tab/>
            </w:r>
            <w:r>
              <w:rPr>
                <w:spacing w:val="-5"/>
              </w:rPr>
              <w:t>20</w:t>
            </w:r>
          </w:hyperlink>
        </w:p>
        <w:p>
          <w:pPr>
            <w:pStyle w:val="TOC1"/>
            <w:numPr>
              <w:ilvl w:val="2"/>
              <w:numId w:val="2"/>
            </w:numPr>
            <w:tabs>
              <w:tab w:pos="1851" w:val="left" w:leader="none"/>
              <w:tab w:pos="8427" w:val="left" w:leader="dot"/>
            </w:tabs>
            <w:spacing w:line="240" w:lineRule="auto" w:before="107" w:after="0"/>
            <w:ind w:left="1851" w:right="0" w:hanging="1186"/>
            <w:jc w:val="left"/>
          </w:pPr>
          <w:hyperlink w:history="true" w:anchor="_TOC_250119">
            <w:r>
              <w:rPr/>
              <w:t>Multiple</w:t>
            </w:r>
            <w:r>
              <w:rPr>
                <w:spacing w:val="17"/>
              </w:rPr>
              <w:t> </w:t>
            </w:r>
            <w:r>
              <w:rPr/>
              <w:t>compressed</w:t>
            </w:r>
            <w:r>
              <w:rPr>
                <w:spacing w:val="18"/>
              </w:rPr>
              <w:t> </w:t>
            </w:r>
            <w:r>
              <w:rPr>
                <w:spacing w:val="-2"/>
              </w:rPr>
              <w:t>tablets</w:t>
            </w:r>
            <w:r>
              <w:rPr/>
              <w:tab/>
            </w:r>
            <w:r>
              <w:rPr>
                <w:spacing w:val="-5"/>
              </w:rPr>
              <w:t>20</w:t>
            </w:r>
          </w:hyperlink>
        </w:p>
        <w:p>
          <w:pPr>
            <w:pStyle w:val="TOC1"/>
            <w:numPr>
              <w:ilvl w:val="2"/>
              <w:numId w:val="2"/>
            </w:numPr>
            <w:tabs>
              <w:tab w:pos="1851" w:val="left" w:leader="none"/>
              <w:tab w:pos="8427" w:val="left" w:leader="dot"/>
            </w:tabs>
            <w:spacing w:line="240" w:lineRule="auto" w:before="97" w:after="0"/>
            <w:ind w:left="1851" w:right="0" w:hanging="1186"/>
            <w:jc w:val="left"/>
          </w:pPr>
          <w:hyperlink w:history="true" w:anchor="_TOC_250118">
            <w:r>
              <w:rPr/>
              <w:t>Enteric-coated</w:t>
            </w:r>
            <w:r>
              <w:rPr>
                <w:spacing w:val="29"/>
              </w:rPr>
              <w:t> </w:t>
            </w:r>
            <w:r>
              <w:rPr>
                <w:spacing w:val="-2"/>
              </w:rPr>
              <w:t>tablets</w:t>
            </w:r>
            <w:r>
              <w:rPr/>
              <w:tab/>
            </w:r>
            <w:r>
              <w:rPr>
                <w:spacing w:val="-5"/>
              </w:rPr>
              <w:t>21</w:t>
            </w:r>
          </w:hyperlink>
        </w:p>
        <w:p>
          <w:pPr>
            <w:pStyle w:val="TOC1"/>
            <w:numPr>
              <w:ilvl w:val="2"/>
              <w:numId w:val="2"/>
            </w:numPr>
            <w:tabs>
              <w:tab w:pos="1851" w:val="left" w:leader="none"/>
              <w:tab w:pos="8427" w:val="left" w:leader="dot"/>
            </w:tabs>
            <w:spacing w:line="240" w:lineRule="auto" w:before="98" w:after="0"/>
            <w:ind w:left="1851" w:right="0" w:hanging="1186"/>
            <w:jc w:val="left"/>
          </w:pPr>
          <w:hyperlink w:history="true" w:anchor="_TOC_250117">
            <w:r>
              <w:rPr/>
              <w:t>Sugar-coated</w:t>
            </w:r>
            <w:r>
              <w:rPr>
                <w:spacing w:val="27"/>
              </w:rPr>
              <w:t> </w:t>
            </w:r>
            <w:r>
              <w:rPr>
                <w:spacing w:val="-2"/>
              </w:rPr>
              <w:t>tablets</w:t>
            </w:r>
            <w:r>
              <w:rPr/>
              <w:tab/>
            </w:r>
            <w:r>
              <w:rPr>
                <w:spacing w:val="-5"/>
              </w:rPr>
              <w:t>21</w:t>
            </w:r>
          </w:hyperlink>
        </w:p>
        <w:p>
          <w:pPr>
            <w:pStyle w:val="TOC1"/>
            <w:numPr>
              <w:ilvl w:val="2"/>
              <w:numId w:val="2"/>
            </w:numPr>
            <w:tabs>
              <w:tab w:pos="1851" w:val="left" w:leader="none"/>
              <w:tab w:pos="8427" w:val="left" w:leader="dot"/>
            </w:tabs>
            <w:spacing w:line="240" w:lineRule="auto" w:before="107" w:after="0"/>
            <w:ind w:left="1851" w:right="0" w:hanging="1186"/>
            <w:jc w:val="left"/>
          </w:pPr>
          <w:hyperlink w:history="true" w:anchor="_TOC_250116">
            <w:r>
              <w:rPr/>
              <w:t>Film-coated</w:t>
            </w:r>
            <w:r>
              <w:rPr>
                <w:spacing w:val="26"/>
              </w:rPr>
              <w:t> </w:t>
            </w:r>
            <w:r>
              <w:rPr>
                <w:spacing w:val="-2"/>
              </w:rPr>
              <w:t>tablets</w:t>
            </w:r>
            <w:r>
              <w:rPr/>
              <w:tab/>
            </w:r>
            <w:r>
              <w:rPr>
                <w:spacing w:val="-5"/>
              </w:rPr>
              <w:t>21</w:t>
            </w:r>
          </w:hyperlink>
        </w:p>
        <w:p>
          <w:pPr>
            <w:pStyle w:val="TOC1"/>
            <w:numPr>
              <w:ilvl w:val="2"/>
              <w:numId w:val="2"/>
            </w:numPr>
            <w:tabs>
              <w:tab w:pos="1851" w:val="left" w:leader="none"/>
              <w:tab w:pos="8427" w:val="left" w:leader="dot"/>
            </w:tabs>
            <w:spacing w:line="240" w:lineRule="auto" w:before="97" w:after="0"/>
            <w:ind w:left="1851" w:right="0" w:hanging="1186"/>
            <w:jc w:val="left"/>
          </w:pPr>
          <w:hyperlink w:history="true" w:anchor="_TOC_250115">
            <w:r>
              <w:rPr/>
              <w:t>Chewable</w:t>
            </w:r>
            <w:r>
              <w:rPr>
                <w:spacing w:val="17"/>
              </w:rPr>
              <w:t> </w:t>
            </w:r>
            <w:r>
              <w:rPr>
                <w:spacing w:val="-2"/>
              </w:rPr>
              <w:t>tablets</w:t>
            </w:r>
            <w:r>
              <w:rPr/>
              <w:tab/>
            </w:r>
            <w:r>
              <w:rPr>
                <w:spacing w:val="-5"/>
              </w:rPr>
              <w:t>22</w:t>
            </w:r>
          </w:hyperlink>
        </w:p>
        <w:p>
          <w:pPr>
            <w:pStyle w:val="TOC1"/>
            <w:numPr>
              <w:ilvl w:val="2"/>
              <w:numId w:val="2"/>
            </w:numPr>
            <w:tabs>
              <w:tab w:pos="1851" w:val="left" w:leader="none"/>
              <w:tab w:pos="8427" w:val="left" w:leader="dot"/>
            </w:tabs>
            <w:spacing w:line="240" w:lineRule="auto" w:before="98" w:after="0"/>
            <w:ind w:left="1851" w:right="0" w:hanging="1186"/>
            <w:jc w:val="left"/>
          </w:pPr>
          <w:hyperlink w:history="true" w:anchor="_TOC_250114">
            <w:r>
              <w:rPr/>
              <w:t>Effervescent</w:t>
            </w:r>
            <w:r>
              <w:rPr>
                <w:spacing w:val="25"/>
              </w:rPr>
              <w:t> </w:t>
            </w:r>
            <w:r>
              <w:rPr>
                <w:spacing w:val="-2"/>
              </w:rPr>
              <w:t>tablets</w:t>
            </w:r>
            <w:r>
              <w:rPr/>
              <w:tab/>
            </w:r>
            <w:r>
              <w:rPr>
                <w:spacing w:val="-5"/>
              </w:rPr>
              <w:t>22</w:t>
            </w:r>
          </w:hyperlink>
        </w:p>
        <w:p>
          <w:pPr>
            <w:pStyle w:val="TOC1"/>
            <w:numPr>
              <w:ilvl w:val="2"/>
              <w:numId w:val="2"/>
            </w:numPr>
            <w:tabs>
              <w:tab w:pos="1851" w:val="left" w:leader="none"/>
              <w:tab w:pos="8427" w:val="left" w:leader="dot"/>
            </w:tabs>
            <w:spacing w:line="240" w:lineRule="auto" w:before="102" w:after="0"/>
            <w:ind w:left="1851" w:right="0" w:hanging="1186"/>
            <w:jc w:val="left"/>
          </w:pPr>
          <w:hyperlink w:history="true" w:anchor="_TOC_250113">
            <w:r>
              <w:rPr/>
              <w:t>Sublingual</w:t>
            </w:r>
            <w:r>
              <w:rPr>
                <w:spacing w:val="12"/>
              </w:rPr>
              <w:t> </w:t>
            </w:r>
            <w:r>
              <w:rPr/>
              <w:t>and</w:t>
            </w:r>
            <w:r>
              <w:rPr>
                <w:spacing w:val="20"/>
              </w:rPr>
              <w:t> </w:t>
            </w:r>
            <w:r>
              <w:rPr/>
              <w:t>buccal</w:t>
            </w:r>
            <w:r>
              <w:rPr>
                <w:spacing w:val="6"/>
              </w:rPr>
              <w:t> </w:t>
            </w:r>
            <w:r>
              <w:rPr>
                <w:spacing w:val="-2"/>
              </w:rPr>
              <w:t>tablets</w:t>
            </w:r>
            <w:r>
              <w:rPr/>
              <w:tab/>
            </w:r>
            <w:r>
              <w:rPr>
                <w:spacing w:val="-5"/>
              </w:rPr>
              <w:t>23</w:t>
            </w:r>
          </w:hyperlink>
        </w:p>
        <w:p>
          <w:pPr>
            <w:pStyle w:val="TOC1"/>
            <w:numPr>
              <w:ilvl w:val="2"/>
              <w:numId w:val="2"/>
            </w:numPr>
            <w:tabs>
              <w:tab w:pos="1851" w:val="left" w:leader="none"/>
              <w:tab w:pos="8427" w:val="left" w:leader="dot"/>
            </w:tabs>
            <w:spacing w:line="240" w:lineRule="auto" w:before="102" w:after="0"/>
            <w:ind w:left="1851" w:right="0" w:hanging="1186"/>
            <w:jc w:val="left"/>
          </w:pPr>
          <w:hyperlink w:history="true" w:anchor="_TOC_250112">
            <w:r>
              <w:rPr/>
              <w:t>Vaginal</w:t>
            </w:r>
            <w:r>
              <w:rPr>
                <w:spacing w:val="9"/>
              </w:rPr>
              <w:t> </w:t>
            </w:r>
            <w:r>
              <w:rPr>
                <w:spacing w:val="-2"/>
              </w:rPr>
              <w:t>tablets</w:t>
            </w:r>
            <w:r>
              <w:rPr/>
              <w:tab/>
            </w:r>
            <w:r>
              <w:rPr>
                <w:spacing w:val="-5"/>
              </w:rPr>
              <w:t>23</w:t>
            </w:r>
          </w:hyperlink>
        </w:p>
        <w:p>
          <w:pPr>
            <w:pStyle w:val="TOC1"/>
            <w:numPr>
              <w:ilvl w:val="1"/>
              <w:numId w:val="2"/>
            </w:numPr>
            <w:tabs>
              <w:tab w:pos="1851" w:val="left" w:leader="none"/>
              <w:tab w:pos="8427" w:val="left" w:leader="dot"/>
            </w:tabs>
            <w:spacing w:line="240" w:lineRule="auto" w:before="98" w:after="0"/>
            <w:ind w:left="1851" w:right="0" w:hanging="1186"/>
            <w:jc w:val="left"/>
          </w:pPr>
          <w:hyperlink w:history="true" w:anchor="_TOC_250111">
            <w:r>
              <w:rPr/>
              <w:t>Quality</w:t>
            </w:r>
            <w:r>
              <w:rPr>
                <w:spacing w:val="10"/>
              </w:rPr>
              <w:t> </w:t>
            </w:r>
            <w:r>
              <w:rPr/>
              <w:t>attributes</w:t>
            </w:r>
            <w:r>
              <w:rPr>
                <w:spacing w:val="11"/>
              </w:rPr>
              <w:t> </w:t>
            </w:r>
            <w:r>
              <w:rPr/>
              <w:t>of</w:t>
            </w:r>
            <w:r>
              <w:rPr>
                <w:spacing w:val="16"/>
              </w:rPr>
              <w:t> </w:t>
            </w:r>
            <w:r>
              <w:rPr>
                <w:spacing w:val="-2"/>
              </w:rPr>
              <w:t>tablets</w:t>
            </w:r>
            <w:r>
              <w:rPr/>
              <w:tab/>
            </w:r>
            <w:r>
              <w:rPr>
                <w:spacing w:val="-5"/>
              </w:rPr>
              <w:t>24</w:t>
            </w:r>
          </w:hyperlink>
        </w:p>
        <w:p>
          <w:pPr>
            <w:pStyle w:val="TOC1"/>
            <w:numPr>
              <w:ilvl w:val="1"/>
              <w:numId w:val="2"/>
            </w:numPr>
            <w:tabs>
              <w:tab w:pos="1851" w:val="left" w:leader="none"/>
              <w:tab w:pos="8427" w:val="left" w:leader="dot"/>
            </w:tabs>
            <w:spacing w:line="240" w:lineRule="auto" w:before="102" w:after="0"/>
            <w:ind w:left="1851" w:right="0" w:hanging="1186"/>
            <w:jc w:val="left"/>
          </w:pPr>
          <w:hyperlink w:history="true" w:anchor="_TOC_250110">
            <w:r>
              <w:rPr/>
              <w:t>Manufacture</w:t>
            </w:r>
            <w:r>
              <w:rPr>
                <w:spacing w:val="14"/>
              </w:rPr>
              <w:t> </w:t>
            </w:r>
            <w:r>
              <w:rPr/>
              <w:t>of</w:t>
            </w:r>
            <w:r>
              <w:rPr>
                <w:spacing w:val="17"/>
              </w:rPr>
              <w:t> </w:t>
            </w:r>
            <w:r>
              <w:rPr>
                <w:spacing w:val="-2"/>
              </w:rPr>
              <w:t>tablets</w:t>
            </w:r>
            <w:r>
              <w:rPr/>
              <w:tab/>
            </w:r>
            <w:r>
              <w:rPr>
                <w:spacing w:val="-5"/>
              </w:rPr>
              <w:t>25</w:t>
            </w:r>
          </w:hyperlink>
        </w:p>
        <w:p>
          <w:pPr>
            <w:pStyle w:val="TOC1"/>
            <w:numPr>
              <w:ilvl w:val="2"/>
              <w:numId w:val="2"/>
            </w:numPr>
            <w:tabs>
              <w:tab w:pos="1851" w:val="left" w:leader="none"/>
              <w:tab w:pos="8427" w:val="left" w:leader="dot"/>
            </w:tabs>
            <w:spacing w:line="240" w:lineRule="auto" w:before="102" w:after="0"/>
            <w:ind w:left="1851" w:right="0" w:hanging="1186"/>
            <w:jc w:val="left"/>
          </w:pPr>
          <w:hyperlink w:history="true" w:anchor="_TOC_250109">
            <w:r>
              <w:rPr/>
              <w:t>Manufacture</w:t>
            </w:r>
            <w:r>
              <w:rPr>
                <w:spacing w:val="8"/>
              </w:rPr>
              <w:t> </w:t>
            </w:r>
            <w:r>
              <w:rPr/>
              <w:t>of</w:t>
            </w:r>
            <w:r>
              <w:rPr>
                <w:spacing w:val="9"/>
              </w:rPr>
              <w:t> </w:t>
            </w:r>
            <w:r>
              <w:rPr/>
              <w:t>tablets</w:t>
            </w:r>
            <w:r>
              <w:rPr>
                <w:spacing w:val="18"/>
              </w:rPr>
              <w:t> </w:t>
            </w:r>
            <w:r>
              <w:rPr/>
              <w:t>by</w:t>
            </w:r>
            <w:r>
              <w:rPr>
                <w:spacing w:val="-2"/>
              </w:rPr>
              <w:t> </w:t>
            </w:r>
            <w:r>
              <w:rPr/>
              <w:t>wet</w:t>
            </w:r>
            <w:r>
              <w:rPr>
                <w:spacing w:val="19"/>
              </w:rPr>
              <w:t> </w:t>
            </w:r>
            <w:r>
              <w:rPr>
                <w:spacing w:val="-2"/>
              </w:rPr>
              <w:t>granulation</w:t>
            </w:r>
            <w:r>
              <w:rPr/>
              <w:tab/>
            </w:r>
            <w:r>
              <w:rPr>
                <w:spacing w:val="-5"/>
              </w:rPr>
              <w:t>25</w:t>
            </w:r>
          </w:hyperlink>
        </w:p>
        <w:p>
          <w:pPr>
            <w:pStyle w:val="TOC1"/>
            <w:numPr>
              <w:ilvl w:val="3"/>
              <w:numId w:val="2"/>
            </w:numPr>
            <w:tabs>
              <w:tab w:pos="1851" w:val="left" w:leader="none"/>
              <w:tab w:pos="8427" w:val="left" w:leader="dot"/>
            </w:tabs>
            <w:spacing w:line="240" w:lineRule="auto" w:before="97" w:after="0"/>
            <w:ind w:left="1851" w:right="0" w:hanging="1186"/>
            <w:jc w:val="left"/>
          </w:pPr>
          <w:hyperlink w:history="true" w:anchor="_TOC_250108">
            <w:r>
              <w:rPr/>
              <w:t>Advantages</w:t>
            </w:r>
            <w:r>
              <w:rPr>
                <w:spacing w:val="16"/>
              </w:rPr>
              <w:t> </w:t>
            </w:r>
            <w:r>
              <w:rPr/>
              <w:t>and</w:t>
            </w:r>
            <w:r>
              <w:rPr>
                <w:spacing w:val="10"/>
              </w:rPr>
              <w:t> </w:t>
            </w:r>
            <w:r>
              <w:rPr/>
              <w:t>disadvantages</w:t>
            </w:r>
            <w:r>
              <w:rPr>
                <w:spacing w:val="10"/>
              </w:rPr>
              <w:t> </w:t>
            </w:r>
            <w:r>
              <w:rPr/>
              <w:t>of</w:t>
            </w:r>
            <w:r>
              <w:rPr>
                <w:spacing w:val="14"/>
              </w:rPr>
              <w:t> </w:t>
            </w:r>
            <w:r>
              <w:rPr/>
              <w:t>wet</w:t>
            </w:r>
            <w:r>
              <w:rPr>
                <w:spacing w:val="12"/>
              </w:rPr>
              <w:t> </w:t>
            </w:r>
            <w:r>
              <w:rPr>
                <w:spacing w:val="-2"/>
              </w:rPr>
              <w:t>granulation</w:t>
            </w:r>
            <w:r>
              <w:rPr/>
              <w:tab/>
            </w:r>
            <w:r>
              <w:rPr>
                <w:spacing w:val="-5"/>
              </w:rPr>
              <w:t>27</w:t>
            </w:r>
          </w:hyperlink>
        </w:p>
        <w:p>
          <w:pPr>
            <w:pStyle w:val="TOC1"/>
            <w:numPr>
              <w:ilvl w:val="2"/>
              <w:numId w:val="2"/>
            </w:numPr>
            <w:tabs>
              <w:tab w:pos="1851" w:val="left" w:leader="none"/>
              <w:tab w:pos="8427" w:val="left" w:leader="dot"/>
            </w:tabs>
            <w:spacing w:line="240" w:lineRule="auto" w:before="103" w:after="0"/>
            <w:ind w:left="1851" w:right="0" w:hanging="1186"/>
            <w:jc w:val="left"/>
          </w:pPr>
          <w:hyperlink w:history="true" w:anchor="_TOC_250107">
            <w:r>
              <w:rPr/>
              <w:t>Manufacture</w:t>
            </w:r>
            <w:r>
              <w:rPr>
                <w:spacing w:val="10"/>
              </w:rPr>
              <w:t> </w:t>
            </w:r>
            <w:r>
              <w:rPr/>
              <w:t>of</w:t>
            </w:r>
            <w:r>
              <w:rPr>
                <w:spacing w:val="13"/>
              </w:rPr>
              <w:t> </w:t>
            </w:r>
            <w:r>
              <w:rPr/>
              <w:t>tablets</w:t>
            </w:r>
            <w:r>
              <w:rPr>
                <w:spacing w:val="20"/>
              </w:rPr>
              <w:t> </w:t>
            </w:r>
            <w:r>
              <w:rPr/>
              <w:t>by</w:t>
            </w:r>
            <w:r>
              <w:rPr>
                <w:spacing w:val="1"/>
              </w:rPr>
              <w:t> </w:t>
            </w:r>
            <w:r>
              <w:rPr/>
              <w:t>dry</w:t>
            </w:r>
            <w:r>
              <w:rPr>
                <w:spacing w:val="7"/>
              </w:rPr>
              <w:t> </w:t>
            </w:r>
            <w:r>
              <w:rPr>
                <w:spacing w:val="-2"/>
              </w:rPr>
              <w:t>granulation</w:t>
            </w:r>
            <w:r>
              <w:rPr/>
              <w:tab/>
            </w:r>
            <w:r>
              <w:rPr>
                <w:spacing w:val="-5"/>
              </w:rPr>
              <w:t>28</w:t>
            </w:r>
          </w:hyperlink>
        </w:p>
        <w:p>
          <w:pPr>
            <w:pStyle w:val="TOC1"/>
            <w:numPr>
              <w:ilvl w:val="3"/>
              <w:numId w:val="2"/>
            </w:numPr>
            <w:tabs>
              <w:tab w:pos="1851" w:val="left" w:leader="none"/>
              <w:tab w:pos="8427" w:val="left" w:leader="dot"/>
            </w:tabs>
            <w:spacing w:line="240" w:lineRule="auto" w:before="102" w:after="0"/>
            <w:ind w:left="1851" w:right="0" w:hanging="1186"/>
            <w:jc w:val="left"/>
          </w:pPr>
          <w:hyperlink w:history="true" w:anchor="_TOC_250106">
            <w:r>
              <w:rPr>
                <w:spacing w:val="-2"/>
              </w:rPr>
              <w:t>Slugging</w:t>
            </w:r>
            <w:r>
              <w:rPr/>
              <w:tab/>
            </w:r>
            <w:r>
              <w:rPr>
                <w:spacing w:val="-5"/>
              </w:rPr>
              <w:t>28</w:t>
            </w:r>
          </w:hyperlink>
        </w:p>
        <w:p>
          <w:pPr>
            <w:pStyle w:val="TOC1"/>
            <w:numPr>
              <w:ilvl w:val="3"/>
              <w:numId w:val="2"/>
            </w:numPr>
            <w:tabs>
              <w:tab w:pos="1851" w:val="left" w:leader="none"/>
              <w:tab w:pos="8427" w:val="left" w:leader="dot"/>
            </w:tabs>
            <w:spacing w:line="240" w:lineRule="auto" w:before="97" w:after="0"/>
            <w:ind w:left="1851" w:right="0" w:hanging="1186"/>
            <w:jc w:val="left"/>
          </w:pPr>
          <w:hyperlink w:history="true" w:anchor="_TOC_250105">
            <w:r>
              <w:rPr/>
              <w:t>Roller</w:t>
            </w:r>
            <w:r>
              <w:rPr>
                <w:spacing w:val="8"/>
              </w:rPr>
              <w:t> </w:t>
            </w:r>
            <w:r>
              <w:rPr>
                <w:spacing w:val="-2"/>
              </w:rPr>
              <w:t>compaction</w:t>
            </w:r>
            <w:r>
              <w:rPr/>
              <w:tab/>
            </w:r>
            <w:r>
              <w:rPr>
                <w:spacing w:val="-5"/>
              </w:rPr>
              <w:t>28</w:t>
            </w:r>
          </w:hyperlink>
        </w:p>
        <w:p>
          <w:pPr>
            <w:pStyle w:val="TOC1"/>
            <w:numPr>
              <w:ilvl w:val="2"/>
              <w:numId w:val="2"/>
            </w:numPr>
            <w:tabs>
              <w:tab w:pos="1851" w:val="left" w:leader="none"/>
              <w:tab w:pos="8427" w:val="left" w:leader="dot"/>
            </w:tabs>
            <w:spacing w:line="240" w:lineRule="auto" w:before="103" w:after="0"/>
            <w:ind w:left="1851" w:right="0" w:hanging="1186"/>
            <w:jc w:val="left"/>
          </w:pPr>
          <w:hyperlink w:history="true" w:anchor="_TOC_250104">
            <w:r>
              <w:rPr/>
              <w:t>Stages</w:t>
            </w:r>
            <w:r>
              <w:rPr>
                <w:spacing w:val="11"/>
              </w:rPr>
              <w:t> </w:t>
            </w:r>
            <w:r>
              <w:rPr/>
              <w:t>in</w:t>
            </w:r>
            <w:r>
              <w:rPr>
                <w:spacing w:val="11"/>
              </w:rPr>
              <w:t> </w:t>
            </w:r>
            <w:r>
              <w:rPr/>
              <w:t>dry</w:t>
            </w:r>
            <w:r>
              <w:rPr>
                <w:spacing w:val="5"/>
              </w:rPr>
              <w:t> </w:t>
            </w:r>
            <w:r>
              <w:rPr>
                <w:spacing w:val="-2"/>
              </w:rPr>
              <w:t>granulation</w:t>
            </w:r>
            <w:r>
              <w:rPr/>
              <w:tab/>
            </w:r>
            <w:r>
              <w:rPr>
                <w:spacing w:val="-5"/>
              </w:rPr>
              <w:t>28</w:t>
            </w:r>
          </w:hyperlink>
        </w:p>
        <w:p>
          <w:pPr>
            <w:pStyle w:val="TOC1"/>
            <w:numPr>
              <w:ilvl w:val="3"/>
              <w:numId w:val="2"/>
            </w:numPr>
            <w:tabs>
              <w:tab w:pos="1851" w:val="left" w:leader="none"/>
              <w:tab w:pos="8427" w:val="left" w:leader="dot"/>
            </w:tabs>
            <w:spacing w:line="240" w:lineRule="auto" w:before="97" w:after="0"/>
            <w:ind w:left="1851" w:right="0" w:hanging="1186"/>
            <w:jc w:val="left"/>
          </w:pPr>
          <w:hyperlink w:history="true" w:anchor="_TOC_250103">
            <w:r>
              <w:rPr/>
              <w:t>Advantages</w:t>
            </w:r>
            <w:r>
              <w:rPr>
                <w:spacing w:val="20"/>
              </w:rPr>
              <w:t> </w:t>
            </w:r>
            <w:r>
              <w:rPr/>
              <w:t>and</w:t>
            </w:r>
            <w:r>
              <w:rPr>
                <w:spacing w:val="12"/>
              </w:rPr>
              <w:t> </w:t>
            </w:r>
            <w:r>
              <w:rPr/>
              <w:t>disadvantages</w:t>
            </w:r>
            <w:r>
              <w:rPr>
                <w:spacing w:val="14"/>
              </w:rPr>
              <w:t> </w:t>
            </w:r>
            <w:r>
              <w:rPr/>
              <w:t>of</w:t>
            </w:r>
            <w:r>
              <w:rPr>
                <w:spacing w:val="11"/>
              </w:rPr>
              <w:t> </w:t>
            </w:r>
            <w:r>
              <w:rPr/>
              <w:t>dry</w:t>
            </w:r>
            <w:r>
              <w:rPr>
                <w:spacing w:val="1"/>
              </w:rPr>
              <w:t> </w:t>
            </w:r>
            <w:r>
              <w:rPr>
                <w:spacing w:val="-2"/>
              </w:rPr>
              <w:t>granulation</w:t>
            </w:r>
            <w:r>
              <w:rPr/>
              <w:tab/>
            </w:r>
            <w:r>
              <w:rPr>
                <w:spacing w:val="-5"/>
              </w:rPr>
              <w:t>29</w:t>
            </w:r>
          </w:hyperlink>
        </w:p>
        <w:p>
          <w:pPr>
            <w:pStyle w:val="TOC1"/>
            <w:numPr>
              <w:ilvl w:val="2"/>
              <w:numId w:val="3"/>
            </w:numPr>
            <w:tabs>
              <w:tab w:pos="1851" w:val="left" w:leader="none"/>
              <w:tab w:pos="8427" w:val="left" w:leader="dot"/>
            </w:tabs>
            <w:spacing w:line="240" w:lineRule="auto" w:before="102" w:after="0"/>
            <w:ind w:left="1851" w:right="0" w:hanging="1186"/>
            <w:jc w:val="left"/>
          </w:pPr>
          <w:hyperlink w:history="true" w:anchor="_TOC_250102">
            <w:r>
              <w:rPr/>
              <w:t>Manufacture</w:t>
            </w:r>
            <w:r>
              <w:rPr>
                <w:spacing w:val="9"/>
              </w:rPr>
              <w:t> </w:t>
            </w:r>
            <w:r>
              <w:rPr/>
              <w:t>of</w:t>
            </w:r>
            <w:r>
              <w:rPr>
                <w:spacing w:val="11"/>
              </w:rPr>
              <w:t> </w:t>
            </w:r>
            <w:r>
              <w:rPr/>
              <w:t>tablets</w:t>
            </w:r>
            <w:r>
              <w:rPr>
                <w:spacing w:val="19"/>
              </w:rPr>
              <w:t> </w:t>
            </w:r>
            <w:r>
              <w:rPr/>
              <w:t>by</w:t>
            </w:r>
            <w:r>
              <w:rPr>
                <w:spacing w:val="-1"/>
              </w:rPr>
              <w:t> </w:t>
            </w:r>
            <w:r>
              <w:rPr/>
              <w:t>direct</w:t>
            </w:r>
            <w:r>
              <w:rPr>
                <w:spacing w:val="15"/>
              </w:rPr>
              <w:t> </w:t>
            </w:r>
            <w:r>
              <w:rPr>
                <w:spacing w:val="-2"/>
              </w:rPr>
              <w:t>compression</w:t>
            </w:r>
            <w:r>
              <w:rPr/>
              <w:tab/>
            </w:r>
            <w:r>
              <w:rPr>
                <w:spacing w:val="-5"/>
              </w:rPr>
              <w:t>29</w:t>
            </w:r>
          </w:hyperlink>
        </w:p>
        <w:p>
          <w:pPr>
            <w:pStyle w:val="TOC1"/>
            <w:numPr>
              <w:ilvl w:val="2"/>
              <w:numId w:val="3"/>
            </w:numPr>
            <w:tabs>
              <w:tab w:pos="1851" w:val="left" w:leader="none"/>
              <w:tab w:pos="8427" w:val="left" w:leader="dot"/>
            </w:tabs>
            <w:spacing w:line="244" w:lineRule="auto" w:before="102" w:after="0"/>
            <w:ind w:left="1851" w:right="1867" w:hanging="1186"/>
            <w:jc w:val="left"/>
          </w:pPr>
          <w:hyperlink w:history="true" w:anchor="_TOC_250101">
            <w:r>
              <w:rPr/>
              <w:t>Advantages</w:t>
            </w:r>
            <w:r>
              <w:rPr>
                <w:spacing w:val="40"/>
              </w:rPr>
              <w:t> </w:t>
            </w:r>
            <w:r>
              <w:rPr/>
              <w:t>and</w:t>
            </w:r>
            <w:r>
              <w:rPr>
                <w:spacing w:val="38"/>
              </w:rPr>
              <w:t> </w:t>
            </w:r>
            <w:r>
              <w:rPr/>
              <w:t>disadvantages</w:t>
            </w:r>
            <w:r>
              <w:rPr>
                <w:spacing w:val="40"/>
              </w:rPr>
              <w:t> </w:t>
            </w:r>
            <w:r>
              <w:rPr/>
              <w:t>of</w:t>
            </w:r>
            <w:r>
              <w:rPr>
                <w:spacing w:val="40"/>
              </w:rPr>
              <w:t> </w:t>
            </w:r>
            <w:r>
              <w:rPr/>
              <w:t>tablet</w:t>
            </w:r>
            <w:r>
              <w:rPr>
                <w:spacing w:val="40"/>
              </w:rPr>
              <w:t> </w:t>
            </w:r>
            <w:r>
              <w:rPr/>
              <w:t>manufactured</w:t>
            </w:r>
            <w:r>
              <w:rPr>
                <w:spacing w:val="38"/>
              </w:rPr>
              <w:t> </w:t>
            </w:r>
            <w:r>
              <w:rPr/>
              <w:t>by direct </w:t>
            </w:r>
            <w:r>
              <w:rPr>
                <w:spacing w:val="-2"/>
              </w:rPr>
              <w:t>compression</w:t>
            </w:r>
            <w:r>
              <w:rPr/>
              <w:tab/>
            </w:r>
            <w:r>
              <w:rPr>
                <w:spacing w:val="-5"/>
              </w:rPr>
              <w:t>30</w:t>
            </w:r>
          </w:hyperlink>
        </w:p>
        <w:p>
          <w:pPr>
            <w:pStyle w:val="TOC1"/>
            <w:numPr>
              <w:ilvl w:val="1"/>
              <w:numId w:val="4"/>
            </w:numPr>
            <w:tabs>
              <w:tab w:pos="1851" w:val="left" w:leader="none"/>
              <w:tab w:pos="8427" w:val="left" w:leader="dot"/>
            </w:tabs>
            <w:spacing w:line="240" w:lineRule="auto" w:before="94" w:after="0"/>
            <w:ind w:left="1851" w:right="0" w:hanging="1186"/>
            <w:jc w:val="left"/>
          </w:pPr>
          <w:hyperlink w:history="true" w:anchor="_TOC_250100">
            <w:r>
              <w:rPr/>
              <w:t>Advancements</w:t>
            </w:r>
            <w:r>
              <w:rPr>
                <w:spacing w:val="13"/>
              </w:rPr>
              <w:t> </w:t>
            </w:r>
            <w:r>
              <w:rPr/>
              <w:t>in</w:t>
            </w:r>
            <w:r>
              <w:rPr>
                <w:spacing w:val="13"/>
              </w:rPr>
              <w:t> </w:t>
            </w:r>
            <w:r>
              <w:rPr/>
              <w:t>the</w:t>
            </w:r>
            <w:r>
              <w:rPr>
                <w:spacing w:val="16"/>
              </w:rPr>
              <w:t> </w:t>
            </w:r>
            <w:r>
              <w:rPr/>
              <w:t>manufacture</w:t>
            </w:r>
            <w:r>
              <w:rPr>
                <w:spacing w:val="11"/>
              </w:rPr>
              <w:t> </w:t>
            </w:r>
            <w:r>
              <w:rPr/>
              <w:t>of</w:t>
            </w:r>
            <w:r>
              <w:rPr>
                <w:spacing w:val="11"/>
              </w:rPr>
              <w:t> </w:t>
            </w:r>
            <w:r>
              <w:rPr>
                <w:spacing w:val="-2"/>
              </w:rPr>
              <w:t>tablets</w:t>
            </w:r>
            <w:r>
              <w:rPr/>
              <w:tab/>
            </w:r>
            <w:r>
              <w:rPr>
                <w:spacing w:val="-5"/>
              </w:rPr>
              <w:t>31</w:t>
            </w:r>
          </w:hyperlink>
        </w:p>
        <w:p>
          <w:pPr>
            <w:pStyle w:val="TOC1"/>
            <w:numPr>
              <w:ilvl w:val="1"/>
              <w:numId w:val="4"/>
            </w:numPr>
            <w:tabs>
              <w:tab w:pos="1851" w:val="left" w:leader="none"/>
              <w:tab w:pos="8427" w:val="left" w:leader="dot"/>
            </w:tabs>
            <w:spacing w:line="240" w:lineRule="auto" w:before="102" w:after="0"/>
            <w:ind w:left="1851" w:right="0" w:hanging="1186"/>
            <w:jc w:val="left"/>
          </w:pPr>
          <w:hyperlink w:history="true" w:anchor="_TOC_250099">
            <w:r>
              <w:rPr/>
              <w:t>Stages</w:t>
            </w:r>
            <w:r>
              <w:rPr>
                <w:spacing w:val="8"/>
              </w:rPr>
              <w:t> </w:t>
            </w:r>
            <w:r>
              <w:rPr/>
              <w:t>in</w:t>
            </w:r>
            <w:r>
              <w:rPr>
                <w:spacing w:val="8"/>
              </w:rPr>
              <w:t> </w:t>
            </w:r>
            <w:r>
              <w:rPr/>
              <w:t>tablet</w:t>
            </w:r>
            <w:r>
              <w:rPr>
                <w:spacing w:val="10"/>
              </w:rPr>
              <w:t> </w:t>
            </w:r>
            <w:r>
              <w:rPr>
                <w:spacing w:val="-2"/>
              </w:rPr>
              <w:t>compression</w:t>
            </w:r>
            <w:r>
              <w:rPr/>
              <w:tab/>
            </w:r>
            <w:r>
              <w:rPr>
                <w:spacing w:val="-5"/>
              </w:rPr>
              <w:t>32</w:t>
            </w:r>
          </w:hyperlink>
        </w:p>
        <w:p>
          <w:pPr>
            <w:pStyle w:val="TOC1"/>
            <w:numPr>
              <w:ilvl w:val="1"/>
              <w:numId w:val="4"/>
            </w:numPr>
            <w:tabs>
              <w:tab w:pos="1851" w:val="left" w:leader="none"/>
              <w:tab w:pos="8427" w:val="left" w:leader="dot"/>
            </w:tabs>
            <w:spacing w:line="240" w:lineRule="auto" w:before="102" w:after="0"/>
            <w:ind w:left="1851" w:right="0" w:hanging="1186"/>
            <w:jc w:val="left"/>
          </w:pPr>
          <w:hyperlink w:history="true" w:anchor="_TOC_250098">
            <w:r>
              <w:rPr/>
              <w:t>Stages</w:t>
            </w:r>
            <w:r>
              <w:rPr>
                <w:spacing w:val="8"/>
              </w:rPr>
              <w:t> </w:t>
            </w:r>
            <w:r>
              <w:rPr/>
              <w:t>in</w:t>
            </w:r>
            <w:r>
              <w:rPr>
                <w:spacing w:val="8"/>
              </w:rPr>
              <w:t> </w:t>
            </w:r>
            <w:r>
              <w:rPr/>
              <w:t>tablet</w:t>
            </w:r>
            <w:r>
              <w:rPr>
                <w:spacing w:val="10"/>
              </w:rPr>
              <w:t> </w:t>
            </w:r>
            <w:r>
              <w:rPr>
                <w:spacing w:val="-2"/>
              </w:rPr>
              <w:t>compaction</w:t>
            </w:r>
            <w:r>
              <w:rPr/>
              <w:tab/>
            </w:r>
            <w:r>
              <w:rPr>
                <w:spacing w:val="-5"/>
              </w:rPr>
              <w:t>33</w:t>
            </w:r>
          </w:hyperlink>
        </w:p>
        <w:p>
          <w:pPr>
            <w:pStyle w:val="TOC1"/>
            <w:numPr>
              <w:ilvl w:val="1"/>
              <w:numId w:val="4"/>
            </w:numPr>
            <w:tabs>
              <w:tab w:pos="1851" w:val="left" w:leader="none"/>
              <w:tab w:pos="8420" w:val="left" w:leader="dot"/>
            </w:tabs>
            <w:spacing w:line="240" w:lineRule="auto" w:before="98" w:after="0"/>
            <w:ind w:left="1851" w:right="0" w:hanging="1186"/>
            <w:jc w:val="left"/>
          </w:pPr>
          <w:hyperlink w:history="true" w:anchor="_TOC_250097">
            <w:r>
              <w:rPr/>
              <w:t>Sequence</w:t>
            </w:r>
            <w:r>
              <w:rPr>
                <w:spacing w:val="14"/>
              </w:rPr>
              <w:t> </w:t>
            </w:r>
            <w:r>
              <w:rPr/>
              <w:t>of</w:t>
            </w:r>
            <w:r>
              <w:rPr>
                <w:spacing w:val="10"/>
              </w:rPr>
              <w:t> </w:t>
            </w:r>
            <w:r>
              <w:rPr/>
              <w:t>events</w:t>
            </w:r>
            <w:r>
              <w:rPr>
                <w:spacing w:val="18"/>
              </w:rPr>
              <w:t> </w:t>
            </w:r>
            <w:r>
              <w:rPr/>
              <w:t>in</w:t>
            </w:r>
            <w:r>
              <w:rPr>
                <w:spacing w:val="4"/>
              </w:rPr>
              <w:t> </w:t>
            </w:r>
            <w:r>
              <w:rPr/>
              <w:t>compaction</w:t>
            </w:r>
            <w:r>
              <w:rPr>
                <w:spacing w:val="5"/>
              </w:rPr>
              <w:t> </w:t>
            </w:r>
            <w:r>
              <w:rPr/>
              <w:t>of</w:t>
            </w:r>
            <w:r>
              <w:rPr>
                <w:spacing w:val="10"/>
              </w:rPr>
              <w:t> </w:t>
            </w:r>
            <w:r>
              <w:rPr>
                <w:spacing w:val="-2"/>
              </w:rPr>
              <w:t>powders</w:t>
            </w:r>
            <w:r>
              <w:rPr/>
              <w:tab/>
            </w:r>
            <w:r>
              <w:rPr>
                <w:spacing w:val="-5"/>
              </w:rPr>
              <w:t>33</w:t>
            </w:r>
          </w:hyperlink>
        </w:p>
        <w:p>
          <w:pPr>
            <w:pStyle w:val="TOC1"/>
            <w:numPr>
              <w:ilvl w:val="1"/>
              <w:numId w:val="4"/>
            </w:numPr>
            <w:tabs>
              <w:tab w:pos="1851" w:val="left" w:leader="none"/>
              <w:tab w:pos="8427" w:val="left" w:leader="dot"/>
            </w:tabs>
            <w:spacing w:line="240" w:lineRule="auto" w:before="102" w:after="0"/>
            <w:ind w:left="1851" w:right="0" w:hanging="1186"/>
            <w:jc w:val="left"/>
          </w:pPr>
          <w:hyperlink w:history="true" w:anchor="_TOC_250096">
            <w:r>
              <w:rPr/>
              <w:t>Models</w:t>
            </w:r>
            <w:r>
              <w:rPr>
                <w:spacing w:val="17"/>
              </w:rPr>
              <w:t> </w:t>
            </w:r>
            <w:r>
              <w:rPr/>
              <w:t>describing</w:t>
            </w:r>
            <w:r>
              <w:rPr>
                <w:spacing w:val="9"/>
              </w:rPr>
              <w:t> </w:t>
            </w:r>
            <w:r>
              <w:rPr/>
              <w:t>compression</w:t>
            </w:r>
            <w:r>
              <w:rPr>
                <w:spacing w:val="16"/>
              </w:rPr>
              <w:t> </w:t>
            </w:r>
            <w:r>
              <w:rPr/>
              <w:t>of</w:t>
            </w:r>
            <w:r>
              <w:rPr>
                <w:spacing w:val="15"/>
              </w:rPr>
              <w:t> </w:t>
            </w:r>
            <w:r>
              <w:rPr>
                <w:spacing w:val="-2"/>
              </w:rPr>
              <w:t>powders</w:t>
            </w:r>
            <w:r>
              <w:rPr/>
              <w:tab/>
            </w:r>
            <w:r>
              <w:rPr>
                <w:spacing w:val="-5"/>
              </w:rPr>
              <w:t>35</w:t>
            </w:r>
          </w:hyperlink>
        </w:p>
        <w:p>
          <w:pPr>
            <w:pStyle w:val="TOC1"/>
            <w:numPr>
              <w:ilvl w:val="2"/>
              <w:numId w:val="4"/>
            </w:numPr>
            <w:tabs>
              <w:tab w:pos="1851" w:val="left" w:leader="none"/>
              <w:tab w:pos="8427" w:val="left" w:leader="dot"/>
            </w:tabs>
            <w:spacing w:line="240" w:lineRule="auto" w:before="97" w:after="0"/>
            <w:ind w:left="1851" w:right="0" w:hanging="1186"/>
            <w:jc w:val="left"/>
          </w:pPr>
          <w:hyperlink w:history="true" w:anchor="_TOC_250095">
            <w:r>
              <w:rPr/>
              <w:t>Heckel</w:t>
            </w:r>
            <w:r>
              <w:rPr>
                <w:spacing w:val="11"/>
              </w:rPr>
              <w:t> </w:t>
            </w:r>
            <w:r>
              <w:rPr>
                <w:spacing w:val="-2"/>
              </w:rPr>
              <w:t>equation</w:t>
            </w:r>
            <w:r>
              <w:rPr/>
              <w:tab/>
            </w:r>
            <w:r>
              <w:rPr>
                <w:spacing w:val="-5"/>
              </w:rPr>
              <w:t>35</w:t>
            </w:r>
          </w:hyperlink>
        </w:p>
        <w:p>
          <w:pPr>
            <w:pStyle w:val="TOC1"/>
            <w:numPr>
              <w:ilvl w:val="2"/>
              <w:numId w:val="4"/>
            </w:numPr>
            <w:tabs>
              <w:tab w:pos="1851" w:val="left" w:leader="none"/>
              <w:tab w:pos="8427" w:val="left" w:leader="dot"/>
            </w:tabs>
            <w:spacing w:line="240" w:lineRule="auto" w:before="103" w:after="0"/>
            <w:ind w:left="1851" w:right="0" w:hanging="1186"/>
            <w:jc w:val="left"/>
          </w:pPr>
          <w:hyperlink w:history="true" w:anchor="_TOC_250094">
            <w:r>
              <w:rPr/>
              <w:t>The</w:t>
            </w:r>
            <w:r>
              <w:rPr>
                <w:spacing w:val="12"/>
              </w:rPr>
              <w:t> </w:t>
            </w:r>
            <w:r>
              <w:rPr/>
              <w:t>Kawakita</w:t>
            </w:r>
            <w:r>
              <w:rPr>
                <w:spacing w:val="13"/>
              </w:rPr>
              <w:t> </w:t>
            </w:r>
            <w:r>
              <w:rPr>
                <w:spacing w:val="-2"/>
              </w:rPr>
              <w:t>equation</w:t>
            </w:r>
            <w:r>
              <w:rPr/>
              <w:tab/>
            </w:r>
            <w:r>
              <w:rPr>
                <w:spacing w:val="-5"/>
              </w:rPr>
              <w:t>36</w:t>
            </w:r>
          </w:hyperlink>
        </w:p>
        <w:p>
          <w:pPr>
            <w:pStyle w:val="TOC1"/>
            <w:numPr>
              <w:ilvl w:val="2"/>
              <w:numId w:val="4"/>
            </w:numPr>
            <w:tabs>
              <w:tab w:pos="1849" w:val="left" w:leader="none"/>
              <w:tab w:pos="8392" w:val="left" w:leader="dot"/>
            </w:tabs>
            <w:spacing w:line="240" w:lineRule="auto" w:before="102" w:after="0"/>
            <w:ind w:left="1849" w:right="0" w:hanging="1184"/>
            <w:jc w:val="left"/>
          </w:pPr>
          <w:hyperlink w:history="true" w:anchor="_TOC_250093">
            <w:r>
              <w:rPr/>
              <w:t>Adams</w:t>
            </w:r>
            <w:r>
              <w:rPr>
                <w:spacing w:val="18"/>
              </w:rPr>
              <w:t> </w:t>
            </w:r>
            <w:r>
              <w:rPr>
                <w:spacing w:val="-2"/>
              </w:rPr>
              <w:t>equation</w:t>
            </w:r>
            <w:r>
              <w:rPr/>
              <w:tab/>
            </w:r>
            <w:r>
              <w:rPr>
                <w:spacing w:val="-5"/>
              </w:rPr>
              <w:t>37</w:t>
            </w:r>
          </w:hyperlink>
        </w:p>
        <w:p>
          <w:pPr>
            <w:pStyle w:val="TOC1"/>
            <w:numPr>
              <w:ilvl w:val="1"/>
              <w:numId w:val="4"/>
            </w:numPr>
            <w:tabs>
              <w:tab w:pos="1851" w:val="left" w:leader="none"/>
              <w:tab w:pos="8427" w:val="left" w:leader="dot"/>
            </w:tabs>
            <w:spacing w:line="240" w:lineRule="auto" w:before="40" w:after="0"/>
            <w:ind w:left="1851" w:right="0" w:hanging="1186"/>
            <w:jc w:val="left"/>
          </w:pPr>
          <w:r>
            <w:rPr/>
            <w:t>Tablet</w:t>
          </w:r>
          <w:r>
            <w:rPr>
              <w:spacing w:val="12"/>
            </w:rPr>
            <w:t> </w:t>
          </w:r>
          <w:r>
            <w:rPr>
              <w:spacing w:val="-2"/>
            </w:rPr>
            <w:t>defect</w:t>
          </w:r>
          <w:r>
            <w:rPr/>
            <w:tab/>
          </w:r>
          <w:r>
            <w:rPr>
              <w:spacing w:val="-5"/>
            </w:rPr>
            <w:t>37</w:t>
          </w:r>
        </w:p>
        <w:p>
          <w:pPr>
            <w:pStyle w:val="TOC1"/>
            <w:numPr>
              <w:ilvl w:val="1"/>
              <w:numId w:val="4"/>
            </w:numPr>
            <w:tabs>
              <w:tab w:pos="1851" w:val="left" w:leader="none"/>
              <w:tab w:pos="8427" w:val="left" w:leader="dot"/>
            </w:tabs>
            <w:spacing w:line="240" w:lineRule="auto" w:before="145" w:after="240"/>
            <w:ind w:left="1851" w:right="0" w:hanging="1186"/>
            <w:jc w:val="left"/>
          </w:pPr>
          <w:hyperlink w:history="true" w:anchor="_TOC_250092">
            <w:r>
              <w:rPr/>
              <w:t>Post</w:t>
            </w:r>
            <w:r>
              <w:rPr>
                <w:spacing w:val="8"/>
              </w:rPr>
              <w:t> </w:t>
            </w:r>
            <w:r>
              <w:rPr/>
              <w:t>processing</w:t>
            </w:r>
            <w:r>
              <w:rPr>
                <w:spacing w:val="11"/>
              </w:rPr>
              <w:t> </w:t>
            </w:r>
            <w:r>
              <w:rPr/>
              <w:t>alteration</w:t>
            </w:r>
            <w:r>
              <w:rPr>
                <w:spacing w:val="12"/>
              </w:rPr>
              <w:t> </w:t>
            </w:r>
            <w:r>
              <w:rPr/>
              <w:t>on</w:t>
            </w:r>
            <w:r>
              <w:rPr>
                <w:spacing w:val="12"/>
              </w:rPr>
              <w:t> </w:t>
            </w:r>
            <w:r>
              <w:rPr/>
              <w:t>tablet</w:t>
            </w:r>
            <w:r>
              <w:rPr>
                <w:spacing w:val="14"/>
              </w:rPr>
              <w:t> </w:t>
            </w:r>
            <w:r>
              <w:rPr>
                <w:spacing w:val="-2"/>
              </w:rPr>
              <w:t>properties</w:t>
            </w:r>
            <w:r>
              <w:rPr/>
              <w:tab/>
            </w:r>
            <w:r>
              <w:rPr>
                <w:spacing w:val="-5"/>
              </w:rPr>
              <w:t>38</w:t>
            </w:r>
          </w:hyperlink>
        </w:p>
        <w:p>
          <w:pPr>
            <w:pStyle w:val="TOC1"/>
            <w:numPr>
              <w:ilvl w:val="1"/>
              <w:numId w:val="4"/>
            </w:numPr>
            <w:tabs>
              <w:tab w:pos="1851" w:val="left" w:leader="none"/>
              <w:tab w:pos="8427" w:val="left" w:leader="dot"/>
            </w:tabs>
            <w:spacing w:line="240" w:lineRule="auto" w:before="75" w:after="0"/>
            <w:ind w:left="1851" w:right="0" w:hanging="1186"/>
            <w:jc w:val="left"/>
          </w:pPr>
          <w:hyperlink w:history="true" w:anchor="_TOC_250091">
            <w:r>
              <w:rPr/>
              <w:t>Quality</w:t>
            </w:r>
            <w:r>
              <w:rPr>
                <w:spacing w:val="8"/>
              </w:rPr>
              <w:t> </w:t>
            </w:r>
            <w:r>
              <w:rPr/>
              <w:t>standards</w:t>
            </w:r>
            <w:r>
              <w:rPr>
                <w:spacing w:val="16"/>
              </w:rPr>
              <w:t> </w:t>
            </w:r>
            <w:r>
              <w:rPr/>
              <w:t>of</w:t>
            </w:r>
            <w:r>
              <w:rPr>
                <w:spacing w:val="13"/>
              </w:rPr>
              <w:t> </w:t>
            </w:r>
            <w:r>
              <w:rPr>
                <w:spacing w:val="-2"/>
              </w:rPr>
              <w:t>tablets</w:t>
            </w:r>
            <w:r>
              <w:rPr/>
              <w:tab/>
            </w:r>
            <w:r>
              <w:rPr>
                <w:spacing w:val="-5"/>
              </w:rPr>
              <w:t>38</w:t>
            </w:r>
          </w:hyperlink>
        </w:p>
        <w:p>
          <w:pPr>
            <w:pStyle w:val="TOC1"/>
            <w:numPr>
              <w:ilvl w:val="2"/>
              <w:numId w:val="4"/>
            </w:numPr>
            <w:tabs>
              <w:tab w:pos="1851" w:val="left" w:leader="none"/>
              <w:tab w:pos="8427" w:val="left" w:leader="dot"/>
            </w:tabs>
            <w:spacing w:line="240" w:lineRule="auto" w:before="102" w:after="0"/>
            <w:ind w:left="1851" w:right="0" w:hanging="1186"/>
            <w:jc w:val="left"/>
          </w:pPr>
          <w:hyperlink w:history="true" w:anchor="_TOC_250090">
            <w:r>
              <w:rPr/>
              <w:t>Pharmacopoeial</w:t>
            </w:r>
            <w:r>
              <w:rPr>
                <w:spacing w:val="17"/>
              </w:rPr>
              <w:t> </w:t>
            </w:r>
            <w:r>
              <w:rPr/>
              <w:t>(official)</w:t>
            </w:r>
            <w:r>
              <w:rPr>
                <w:spacing w:val="26"/>
              </w:rPr>
              <w:t> </w:t>
            </w:r>
            <w:r>
              <w:rPr>
                <w:spacing w:val="-2"/>
              </w:rPr>
              <w:t>tests</w:t>
            </w:r>
            <w:r>
              <w:rPr/>
              <w:tab/>
            </w:r>
            <w:r>
              <w:rPr>
                <w:spacing w:val="-5"/>
              </w:rPr>
              <w:t>39</w:t>
            </w:r>
          </w:hyperlink>
        </w:p>
        <w:p>
          <w:pPr>
            <w:pStyle w:val="TOC1"/>
            <w:numPr>
              <w:ilvl w:val="3"/>
              <w:numId w:val="4"/>
            </w:numPr>
            <w:tabs>
              <w:tab w:pos="1851" w:val="left" w:leader="none"/>
              <w:tab w:pos="8427" w:val="left" w:leader="dot"/>
            </w:tabs>
            <w:spacing w:line="240" w:lineRule="auto" w:before="98" w:after="0"/>
            <w:ind w:left="1851" w:right="0" w:hanging="1186"/>
            <w:jc w:val="left"/>
          </w:pPr>
          <w:hyperlink w:history="true" w:anchor="_TOC_250089">
            <w:r>
              <w:rPr/>
              <w:t>Uniformity</w:t>
            </w:r>
            <w:r>
              <w:rPr>
                <w:spacing w:val="5"/>
              </w:rPr>
              <w:t> </w:t>
            </w:r>
            <w:r>
              <w:rPr/>
              <w:t>of</w:t>
            </w:r>
            <w:r>
              <w:rPr>
                <w:spacing w:val="17"/>
              </w:rPr>
              <w:t> </w:t>
            </w:r>
            <w:r>
              <w:rPr>
                <w:spacing w:val="-2"/>
              </w:rPr>
              <w:t>weight</w:t>
            </w:r>
            <w:r>
              <w:rPr/>
              <w:tab/>
            </w:r>
            <w:r>
              <w:rPr>
                <w:spacing w:val="-5"/>
              </w:rPr>
              <w:t>39</w:t>
            </w:r>
          </w:hyperlink>
        </w:p>
        <w:p>
          <w:pPr>
            <w:pStyle w:val="TOC1"/>
            <w:numPr>
              <w:ilvl w:val="3"/>
              <w:numId w:val="5"/>
            </w:numPr>
            <w:tabs>
              <w:tab w:pos="1851" w:val="left" w:leader="none"/>
              <w:tab w:pos="8427" w:val="left" w:leader="dot"/>
            </w:tabs>
            <w:spacing w:line="240" w:lineRule="auto" w:before="97" w:after="0"/>
            <w:ind w:left="1851" w:right="0" w:hanging="1186"/>
            <w:jc w:val="left"/>
          </w:pPr>
          <w:hyperlink w:history="true" w:anchor="_TOC_250088">
            <w:r>
              <w:rPr/>
              <w:t>Disintegration</w:t>
            </w:r>
            <w:r>
              <w:rPr>
                <w:spacing w:val="25"/>
              </w:rPr>
              <w:t> </w:t>
            </w:r>
            <w:r>
              <w:rPr>
                <w:spacing w:val="-4"/>
              </w:rPr>
              <w:t>test</w:t>
            </w:r>
            <w:r>
              <w:rPr/>
              <w:tab/>
            </w:r>
            <w:r>
              <w:rPr>
                <w:spacing w:val="-5"/>
              </w:rPr>
              <w:t>40</w:t>
            </w:r>
          </w:hyperlink>
        </w:p>
        <w:p>
          <w:pPr>
            <w:pStyle w:val="TOC1"/>
            <w:numPr>
              <w:ilvl w:val="3"/>
              <w:numId w:val="5"/>
            </w:numPr>
            <w:tabs>
              <w:tab w:pos="1851" w:val="left" w:leader="none"/>
              <w:tab w:pos="8427" w:val="left" w:leader="dot"/>
            </w:tabs>
            <w:spacing w:line="240" w:lineRule="auto" w:before="107" w:after="0"/>
            <w:ind w:left="1851" w:right="0" w:hanging="1186"/>
            <w:jc w:val="left"/>
          </w:pPr>
          <w:hyperlink w:history="true" w:anchor="_TOC_250087">
            <w:r>
              <w:rPr/>
              <w:t>Dissolution</w:t>
            </w:r>
            <w:r>
              <w:rPr>
                <w:spacing w:val="22"/>
              </w:rPr>
              <w:t> </w:t>
            </w:r>
            <w:r>
              <w:rPr>
                <w:spacing w:val="-4"/>
              </w:rPr>
              <w:t>test</w:t>
            </w:r>
            <w:r>
              <w:rPr/>
              <w:tab/>
            </w:r>
            <w:r>
              <w:rPr>
                <w:spacing w:val="-7"/>
              </w:rPr>
              <w:t>41</w:t>
            </w:r>
          </w:hyperlink>
        </w:p>
        <w:p>
          <w:pPr>
            <w:pStyle w:val="TOC1"/>
            <w:numPr>
              <w:ilvl w:val="1"/>
              <w:numId w:val="4"/>
            </w:numPr>
            <w:tabs>
              <w:tab w:pos="1851" w:val="left" w:leader="none"/>
              <w:tab w:pos="8427" w:val="left" w:leader="dot"/>
            </w:tabs>
            <w:spacing w:line="240" w:lineRule="auto" w:before="98" w:after="0"/>
            <w:ind w:left="1851" w:right="0" w:hanging="1186"/>
            <w:jc w:val="left"/>
          </w:pPr>
          <w:hyperlink w:history="true" w:anchor="_TOC_250086">
            <w:r>
              <w:rPr/>
              <w:t>Non-Pharmacopoeial</w:t>
            </w:r>
            <w:r>
              <w:rPr>
                <w:spacing w:val="21"/>
              </w:rPr>
              <w:t> </w:t>
            </w:r>
            <w:r>
              <w:rPr/>
              <w:t>(non-official)</w:t>
            </w:r>
            <w:r>
              <w:rPr>
                <w:spacing w:val="33"/>
              </w:rPr>
              <w:t> </w:t>
            </w:r>
            <w:r>
              <w:rPr>
                <w:spacing w:val="-4"/>
              </w:rPr>
              <w:t>test</w:t>
            </w:r>
            <w:r>
              <w:rPr/>
              <w:tab/>
            </w:r>
            <w:r>
              <w:rPr>
                <w:spacing w:val="-5"/>
              </w:rPr>
              <w:t>42</w:t>
            </w:r>
          </w:hyperlink>
        </w:p>
        <w:p>
          <w:pPr>
            <w:pStyle w:val="TOC1"/>
            <w:numPr>
              <w:ilvl w:val="2"/>
              <w:numId w:val="4"/>
            </w:numPr>
            <w:tabs>
              <w:tab w:pos="1851" w:val="left" w:leader="none"/>
              <w:tab w:pos="8427" w:val="left" w:leader="dot"/>
            </w:tabs>
            <w:spacing w:line="240" w:lineRule="auto" w:before="97" w:after="0"/>
            <w:ind w:left="1851" w:right="0" w:hanging="1186"/>
            <w:jc w:val="left"/>
          </w:pPr>
          <w:hyperlink w:history="true" w:anchor="_TOC_250085">
            <w:r>
              <w:rPr/>
              <w:t>Uniformity</w:t>
            </w:r>
            <w:r>
              <w:rPr>
                <w:spacing w:val="5"/>
              </w:rPr>
              <w:t> </w:t>
            </w:r>
            <w:r>
              <w:rPr/>
              <w:t>of</w:t>
            </w:r>
            <w:r>
              <w:rPr>
                <w:spacing w:val="17"/>
              </w:rPr>
              <w:t> </w:t>
            </w:r>
            <w:r>
              <w:rPr>
                <w:spacing w:val="-2"/>
              </w:rPr>
              <w:t>thickness</w:t>
            </w:r>
            <w:r>
              <w:rPr/>
              <w:tab/>
            </w:r>
            <w:r>
              <w:rPr>
                <w:spacing w:val="-5"/>
              </w:rPr>
              <w:t>43</w:t>
            </w:r>
          </w:hyperlink>
        </w:p>
        <w:p>
          <w:pPr>
            <w:pStyle w:val="TOC1"/>
            <w:numPr>
              <w:ilvl w:val="2"/>
              <w:numId w:val="4"/>
            </w:numPr>
            <w:tabs>
              <w:tab w:pos="1851" w:val="left" w:leader="none"/>
              <w:tab w:pos="8427" w:val="left" w:leader="dot"/>
            </w:tabs>
            <w:spacing w:line="240" w:lineRule="auto" w:before="107" w:after="0"/>
            <w:ind w:left="1851" w:right="0" w:hanging="1186"/>
            <w:jc w:val="left"/>
          </w:pPr>
          <w:hyperlink w:history="true" w:anchor="_TOC_250084">
            <w:r>
              <w:rPr/>
              <w:t>Crushing</w:t>
            </w:r>
            <w:r>
              <w:rPr>
                <w:spacing w:val="15"/>
              </w:rPr>
              <w:t> </w:t>
            </w:r>
            <w:r>
              <w:rPr>
                <w:spacing w:val="-2"/>
              </w:rPr>
              <w:t>strength</w:t>
            </w:r>
            <w:r>
              <w:rPr/>
              <w:tab/>
            </w:r>
            <w:r>
              <w:rPr>
                <w:spacing w:val="-5"/>
              </w:rPr>
              <w:t>43</w:t>
            </w:r>
          </w:hyperlink>
        </w:p>
        <w:p>
          <w:pPr>
            <w:pStyle w:val="TOC1"/>
            <w:numPr>
              <w:ilvl w:val="2"/>
              <w:numId w:val="4"/>
            </w:numPr>
            <w:tabs>
              <w:tab w:pos="1851" w:val="left" w:leader="none"/>
              <w:tab w:pos="8427" w:val="left" w:leader="dot"/>
            </w:tabs>
            <w:spacing w:line="240" w:lineRule="auto" w:before="97" w:after="0"/>
            <w:ind w:left="1851" w:right="0" w:hanging="1186"/>
            <w:jc w:val="left"/>
          </w:pPr>
          <w:hyperlink w:history="true" w:anchor="_TOC_250083">
            <w:r>
              <w:rPr>
                <w:spacing w:val="-2"/>
              </w:rPr>
              <w:t>Friability</w:t>
            </w:r>
            <w:r>
              <w:rPr/>
              <w:tab/>
            </w:r>
            <w:r>
              <w:rPr>
                <w:spacing w:val="-5"/>
              </w:rPr>
              <w:t>44</w:t>
            </w:r>
          </w:hyperlink>
        </w:p>
        <w:p>
          <w:pPr>
            <w:pStyle w:val="TOC1"/>
            <w:numPr>
              <w:ilvl w:val="1"/>
              <w:numId w:val="4"/>
            </w:numPr>
            <w:tabs>
              <w:tab w:pos="1851" w:val="left" w:leader="none"/>
              <w:tab w:pos="8427" w:val="left" w:leader="dot"/>
            </w:tabs>
            <w:spacing w:line="240" w:lineRule="auto" w:before="98" w:after="0"/>
            <w:ind w:left="1851" w:right="0" w:hanging="1186"/>
            <w:jc w:val="left"/>
          </w:pPr>
          <w:hyperlink w:history="true" w:anchor="_TOC_250082">
            <w:r>
              <w:rPr/>
              <w:t>Pharmaceutical</w:t>
            </w:r>
            <w:r>
              <w:rPr>
                <w:spacing w:val="22"/>
              </w:rPr>
              <w:t> </w:t>
            </w:r>
            <w:r>
              <w:rPr>
                <w:spacing w:val="-2"/>
              </w:rPr>
              <w:t>excipients</w:t>
            </w:r>
            <w:r>
              <w:rPr/>
              <w:tab/>
            </w:r>
            <w:r>
              <w:rPr>
                <w:spacing w:val="-5"/>
              </w:rPr>
              <w:t>44</w:t>
            </w:r>
          </w:hyperlink>
        </w:p>
        <w:p>
          <w:pPr>
            <w:pStyle w:val="TOC1"/>
            <w:numPr>
              <w:ilvl w:val="2"/>
              <w:numId w:val="4"/>
            </w:numPr>
            <w:tabs>
              <w:tab w:pos="1851" w:val="left" w:leader="none"/>
              <w:tab w:pos="8427" w:val="left" w:leader="dot"/>
            </w:tabs>
            <w:spacing w:line="240" w:lineRule="auto" w:before="107" w:after="0"/>
            <w:ind w:left="1851" w:right="0" w:hanging="1186"/>
            <w:jc w:val="left"/>
          </w:pPr>
          <w:hyperlink w:history="true" w:anchor="_TOC_250081">
            <w:r>
              <w:rPr>
                <w:spacing w:val="-2"/>
              </w:rPr>
              <w:t>Diluents/fillers</w:t>
            </w:r>
            <w:r>
              <w:rPr/>
              <w:tab/>
            </w:r>
            <w:r>
              <w:rPr>
                <w:spacing w:val="-5"/>
              </w:rPr>
              <w:t>44</w:t>
            </w:r>
          </w:hyperlink>
        </w:p>
        <w:p>
          <w:pPr>
            <w:pStyle w:val="TOC1"/>
            <w:numPr>
              <w:ilvl w:val="2"/>
              <w:numId w:val="4"/>
            </w:numPr>
            <w:tabs>
              <w:tab w:pos="1851" w:val="left" w:leader="none"/>
              <w:tab w:pos="8427" w:val="left" w:leader="dot"/>
            </w:tabs>
            <w:spacing w:line="240" w:lineRule="auto" w:before="97" w:after="0"/>
            <w:ind w:left="1851" w:right="0" w:hanging="1186"/>
            <w:jc w:val="left"/>
          </w:pPr>
          <w:hyperlink w:history="true" w:anchor="_TOC_250080">
            <w:r>
              <w:rPr>
                <w:spacing w:val="-2"/>
              </w:rPr>
              <w:t>Binders</w:t>
            </w:r>
            <w:r>
              <w:rPr/>
              <w:tab/>
            </w:r>
            <w:r>
              <w:rPr>
                <w:spacing w:val="-5"/>
              </w:rPr>
              <w:t>45</w:t>
            </w:r>
          </w:hyperlink>
        </w:p>
        <w:p>
          <w:pPr>
            <w:pStyle w:val="TOC1"/>
            <w:numPr>
              <w:ilvl w:val="2"/>
              <w:numId w:val="4"/>
            </w:numPr>
            <w:tabs>
              <w:tab w:pos="1851" w:val="left" w:leader="none"/>
              <w:tab w:pos="8427" w:val="left" w:leader="dot"/>
            </w:tabs>
            <w:spacing w:line="240" w:lineRule="auto" w:before="98" w:after="0"/>
            <w:ind w:left="1851" w:right="0" w:hanging="1186"/>
            <w:jc w:val="left"/>
          </w:pPr>
          <w:hyperlink w:history="true" w:anchor="_TOC_250079">
            <w:r>
              <w:rPr>
                <w:spacing w:val="-2"/>
              </w:rPr>
              <w:t>Disintegrants</w:t>
            </w:r>
            <w:r>
              <w:rPr/>
              <w:tab/>
            </w:r>
            <w:r>
              <w:rPr>
                <w:spacing w:val="-5"/>
              </w:rPr>
              <w:t>46</w:t>
            </w:r>
          </w:hyperlink>
        </w:p>
        <w:p>
          <w:pPr>
            <w:pStyle w:val="TOC1"/>
            <w:numPr>
              <w:ilvl w:val="2"/>
              <w:numId w:val="4"/>
            </w:numPr>
            <w:tabs>
              <w:tab w:pos="1851" w:val="left" w:leader="none"/>
              <w:tab w:pos="8427" w:val="left" w:leader="dot"/>
            </w:tabs>
            <w:spacing w:line="240" w:lineRule="auto" w:before="102" w:after="0"/>
            <w:ind w:left="1851" w:right="0" w:hanging="1186"/>
            <w:jc w:val="left"/>
          </w:pPr>
          <w:hyperlink w:history="true" w:anchor="_TOC_250078">
            <w:r>
              <w:rPr>
                <w:spacing w:val="-2"/>
              </w:rPr>
              <w:t>Lubricants</w:t>
            </w:r>
            <w:r>
              <w:rPr/>
              <w:tab/>
            </w:r>
            <w:r>
              <w:rPr>
                <w:spacing w:val="-5"/>
              </w:rPr>
              <w:t>47</w:t>
            </w:r>
          </w:hyperlink>
        </w:p>
        <w:p>
          <w:pPr>
            <w:pStyle w:val="TOC1"/>
            <w:numPr>
              <w:ilvl w:val="2"/>
              <w:numId w:val="4"/>
            </w:numPr>
            <w:tabs>
              <w:tab w:pos="1851" w:val="left" w:leader="none"/>
              <w:tab w:pos="8427" w:val="left" w:leader="dot"/>
            </w:tabs>
            <w:spacing w:line="240" w:lineRule="auto" w:before="102" w:after="0"/>
            <w:ind w:left="1851" w:right="0" w:hanging="1186"/>
            <w:jc w:val="left"/>
          </w:pPr>
          <w:hyperlink w:history="true" w:anchor="_TOC_250077">
            <w:r>
              <w:rPr>
                <w:spacing w:val="-2"/>
              </w:rPr>
              <w:t>Glidants</w:t>
            </w:r>
            <w:r>
              <w:rPr/>
              <w:tab/>
            </w:r>
            <w:r>
              <w:rPr>
                <w:spacing w:val="-5"/>
              </w:rPr>
              <w:t>48</w:t>
            </w:r>
          </w:hyperlink>
        </w:p>
        <w:p>
          <w:pPr>
            <w:pStyle w:val="TOC1"/>
            <w:numPr>
              <w:ilvl w:val="2"/>
              <w:numId w:val="4"/>
            </w:numPr>
            <w:tabs>
              <w:tab w:pos="1851" w:val="left" w:leader="none"/>
              <w:tab w:pos="8427" w:val="left" w:leader="dot"/>
            </w:tabs>
            <w:spacing w:line="240" w:lineRule="auto" w:before="98" w:after="0"/>
            <w:ind w:left="1851" w:right="0" w:hanging="1186"/>
            <w:jc w:val="left"/>
          </w:pPr>
          <w:hyperlink w:history="true" w:anchor="_TOC_250076">
            <w:r>
              <w:rPr/>
              <w:t>Other</w:t>
            </w:r>
            <w:r>
              <w:rPr>
                <w:spacing w:val="12"/>
              </w:rPr>
              <w:t> </w:t>
            </w:r>
            <w:r>
              <w:rPr/>
              <w:t>excipients</w:t>
            </w:r>
            <w:r>
              <w:rPr>
                <w:spacing w:val="9"/>
              </w:rPr>
              <w:t> </w:t>
            </w:r>
            <w:r>
              <w:rPr/>
              <w:t>used</w:t>
            </w:r>
            <w:r>
              <w:rPr>
                <w:spacing w:val="18"/>
              </w:rPr>
              <w:t> </w:t>
            </w:r>
            <w:r>
              <w:rPr/>
              <w:t>in</w:t>
            </w:r>
            <w:r>
              <w:rPr>
                <w:spacing w:val="8"/>
              </w:rPr>
              <w:t> </w:t>
            </w:r>
            <w:r>
              <w:rPr/>
              <w:t>the</w:t>
            </w:r>
            <w:r>
              <w:rPr>
                <w:spacing w:val="11"/>
              </w:rPr>
              <w:t> </w:t>
            </w:r>
            <w:r>
              <w:rPr/>
              <w:t>formulation</w:t>
            </w:r>
            <w:r>
              <w:rPr>
                <w:spacing w:val="8"/>
              </w:rPr>
              <w:t> </w:t>
            </w:r>
            <w:r>
              <w:rPr/>
              <w:t>of</w:t>
            </w:r>
            <w:r>
              <w:rPr>
                <w:spacing w:val="7"/>
              </w:rPr>
              <w:t> </w:t>
            </w:r>
            <w:r>
              <w:rPr>
                <w:spacing w:val="-2"/>
              </w:rPr>
              <w:t>tablets</w:t>
            </w:r>
            <w:r>
              <w:rPr/>
              <w:tab/>
            </w:r>
            <w:r>
              <w:rPr>
                <w:spacing w:val="-5"/>
              </w:rPr>
              <w:t>48</w:t>
            </w:r>
          </w:hyperlink>
        </w:p>
        <w:p>
          <w:pPr>
            <w:pStyle w:val="TOC1"/>
            <w:tabs>
              <w:tab w:pos="8427" w:val="left" w:leader="dot"/>
            </w:tabs>
            <w:ind w:left="665" w:firstLine="0"/>
          </w:pPr>
          <w:hyperlink w:history="true" w:anchor="_TOC_250075">
            <w:r>
              <w:rPr/>
              <w:t>CHAPTER</w:t>
            </w:r>
            <w:r>
              <w:rPr>
                <w:spacing w:val="25"/>
              </w:rPr>
              <w:t> </w:t>
            </w:r>
            <w:r>
              <w:rPr>
                <w:spacing w:val="-4"/>
              </w:rPr>
              <w:t>THREE</w:t>
            </w:r>
            <w:r>
              <w:rPr/>
              <w:tab/>
            </w:r>
            <w:r>
              <w:rPr>
                <w:spacing w:val="-5"/>
              </w:rPr>
              <w:t>52</w:t>
            </w:r>
          </w:hyperlink>
        </w:p>
        <w:p>
          <w:pPr>
            <w:pStyle w:val="TOC1"/>
            <w:numPr>
              <w:ilvl w:val="1"/>
              <w:numId w:val="6"/>
            </w:numPr>
            <w:tabs>
              <w:tab w:pos="1851" w:val="left" w:leader="none"/>
              <w:tab w:pos="8427" w:val="left" w:leader="dot"/>
            </w:tabs>
            <w:spacing w:line="240" w:lineRule="auto" w:before="102" w:after="0"/>
            <w:ind w:left="1851" w:right="0" w:hanging="1186"/>
            <w:jc w:val="left"/>
          </w:pPr>
          <w:hyperlink w:history="true" w:anchor="_TOC_250074">
            <w:r>
              <w:rPr/>
              <w:t>MATERIALS</w:t>
            </w:r>
            <w:r>
              <w:rPr>
                <w:spacing w:val="18"/>
              </w:rPr>
              <w:t> </w:t>
            </w:r>
            <w:r>
              <w:rPr/>
              <w:t>AND</w:t>
            </w:r>
            <w:r>
              <w:rPr>
                <w:spacing w:val="19"/>
              </w:rPr>
              <w:t> </w:t>
            </w:r>
            <w:r>
              <w:rPr>
                <w:spacing w:val="-2"/>
              </w:rPr>
              <w:t>METHODS</w:t>
            </w:r>
            <w:r>
              <w:rPr/>
              <w:tab/>
            </w:r>
            <w:r>
              <w:rPr>
                <w:spacing w:val="-5"/>
              </w:rPr>
              <w:t>52</w:t>
            </w:r>
          </w:hyperlink>
        </w:p>
        <w:p>
          <w:pPr>
            <w:pStyle w:val="TOC1"/>
            <w:numPr>
              <w:ilvl w:val="1"/>
              <w:numId w:val="6"/>
            </w:numPr>
            <w:tabs>
              <w:tab w:pos="1851" w:val="left" w:leader="none"/>
              <w:tab w:pos="8427" w:val="left" w:leader="dot"/>
            </w:tabs>
            <w:spacing w:line="240" w:lineRule="auto" w:before="97" w:after="0"/>
            <w:ind w:left="1851" w:right="0" w:hanging="1186"/>
            <w:jc w:val="left"/>
          </w:pPr>
          <w:hyperlink w:history="true" w:anchor="_TOC_250073">
            <w:r>
              <w:rPr>
                <w:spacing w:val="-2"/>
              </w:rPr>
              <w:t>Materials</w:t>
            </w:r>
            <w:r>
              <w:rPr/>
              <w:tab/>
            </w:r>
            <w:r>
              <w:rPr>
                <w:spacing w:val="-5"/>
              </w:rPr>
              <w:t>52</w:t>
            </w:r>
          </w:hyperlink>
        </w:p>
        <w:p>
          <w:pPr>
            <w:pStyle w:val="TOC1"/>
            <w:numPr>
              <w:ilvl w:val="2"/>
              <w:numId w:val="6"/>
            </w:numPr>
            <w:tabs>
              <w:tab w:pos="1851" w:val="left" w:leader="none"/>
              <w:tab w:pos="8427" w:val="left" w:leader="dot"/>
            </w:tabs>
            <w:spacing w:line="240" w:lineRule="auto" w:before="103" w:after="0"/>
            <w:ind w:left="1851" w:right="0" w:hanging="1186"/>
            <w:jc w:val="left"/>
          </w:pPr>
          <w:hyperlink w:history="true" w:anchor="_TOC_250072">
            <w:r>
              <w:rPr/>
              <w:t>Botanical</w:t>
            </w:r>
            <w:r>
              <w:rPr>
                <w:spacing w:val="16"/>
              </w:rPr>
              <w:t> </w:t>
            </w:r>
            <w:r>
              <w:rPr>
                <w:spacing w:val="-2"/>
              </w:rPr>
              <w:t>material</w:t>
            </w:r>
            <w:r>
              <w:rPr/>
              <w:tab/>
            </w:r>
            <w:r>
              <w:rPr>
                <w:spacing w:val="-5"/>
              </w:rPr>
              <w:t>52</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71">
            <w:r>
              <w:rPr>
                <w:spacing w:val="-2"/>
              </w:rPr>
              <w:t>Chemicals</w:t>
            </w:r>
            <w:r>
              <w:rPr/>
              <w:tab/>
            </w:r>
            <w:r>
              <w:rPr>
                <w:spacing w:val="-5"/>
              </w:rPr>
              <w:t>52</w:t>
            </w:r>
          </w:hyperlink>
        </w:p>
        <w:p>
          <w:pPr>
            <w:pStyle w:val="TOC1"/>
            <w:numPr>
              <w:ilvl w:val="1"/>
              <w:numId w:val="6"/>
            </w:numPr>
            <w:tabs>
              <w:tab w:pos="1851" w:val="left" w:leader="none"/>
              <w:tab w:pos="8427" w:val="left" w:leader="dot"/>
            </w:tabs>
            <w:spacing w:line="240" w:lineRule="auto" w:before="97" w:after="0"/>
            <w:ind w:left="1851" w:right="0" w:hanging="1186"/>
            <w:jc w:val="left"/>
          </w:pPr>
          <w:hyperlink w:history="true" w:anchor="_TOC_250070">
            <w:r>
              <w:rPr>
                <w:spacing w:val="-2"/>
              </w:rPr>
              <w:t>Methodology</w:t>
            </w:r>
            <w:r>
              <w:rPr/>
              <w:tab/>
            </w:r>
            <w:r>
              <w:rPr>
                <w:spacing w:val="-5"/>
              </w:rPr>
              <w:t>52</w:t>
            </w:r>
          </w:hyperlink>
        </w:p>
        <w:p>
          <w:pPr>
            <w:pStyle w:val="TOC2"/>
            <w:numPr>
              <w:ilvl w:val="2"/>
              <w:numId w:val="6"/>
            </w:numPr>
            <w:tabs>
              <w:tab w:pos="1851" w:val="left" w:leader="none"/>
              <w:tab w:pos="8427" w:val="left" w:leader="dot"/>
            </w:tabs>
            <w:spacing w:line="240" w:lineRule="auto" w:before="103" w:after="0"/>
            <w:ind w:left="1851" w:right="0" w:hanging="1186"/>
            <w:jc w:val="left"/>
            <w:rPr>
              <w:b w:val="0"/>
              <w:i w:val="0"/>
              <w:sz w:val="22"/>
            </w:rPr>
          </w:pPr>
          <w:r>
            <w:rPr>
              <w:b w:val="0"/>
              <w:i w:val="0"/>
              <w:sz w:val="22"/>
            </w:rPr>
            <w:t>Collection</w:t>
          </w:r>
          <w:r>
            <w:rPr>
              <w:b w:val="0"/>
              <w:i w:val="0"/>
              <w:spacing w:val="12"/>
              <w:sz w:val="22"/>
            </w:rPr>
            <w:t> </w:t>
          </w:r>
          <w:r>
            <w:rPr>
              <w:b w:val="0"/>
              <w:i w:val="0"/>
              <w:sz w:val="22"/>
            </w:rPr>
            <w:t>and</w:t>
          </w:r>
          <w:r>
            <w:rPr>
              <w:b w:val="0"/>
              <w:i w:val="0"/>
              <w:spacing w:val="23"/>
              <w:sz w:val="22"/>
            </w:rPr>
            <w:t> </w:t>
          </w:r>
          <w:r>
            <w:rPr>
              <w:b w:val="0"/>
              <w:i w:val="0"/>
              <w:sz w:val="22"/>
            </w:rPr>
            <w:t>identification</w:t>
          </w:r>
          <w:r>
            <w:rPr>
              <w:b w:val="0"/>
              <w:i w:val="0"/>
              <w:spacing w:val="6"/>
              <w:sz w:val="22"/>
            </w:rPr>
            <w:t> </w:t>
          </w:r>
          <w:r>
            <w:rPr>
              <w:b w:val="0"/>
              <w:i w:val="0"/>
              <w:sz w:val="22"/>
            </w:rPr>
            <w:t>of</w:t>
          </w:r>
          <w:r>
            <w:rPr>
              <w:b w:val="0"/>
              <w:i w:val="0"/>
              <w:spacing w:val="12"/>
              <w:sz w:val="22"/>
            </w:rPr>
            <w:t> </w:t>
          </w:r>
          <w:r>
            <w:rPr>
              <w:b w:val="0"/>
              <w:sz w:val="22"/>
            </w:rPr>
            <w:t>Digitaria</w:t>
          </w:r>
          <w:r>
            <w:rPr>
              <w:b w:val="0"/>
              <w:spacing w:val="17"/>
              <w:sz w:val="22"/>
            </w:rPr>
            <w:t> </w:t>
          </w:r>
          <w:r>
            <w:rPr>
              <w:b w:val="0"/>
              <w:sz w:val="22"/>
            </w:rPr>
            <w:t>iburua</w:t>
          </w:r>
          <w:r>
            <w:rPr>
              <w:b w:val="0"/>
              <w:spacing w:val="12"/>
              <w:sz w:val="22"/>
            </w:rPr>
            <w:t> </w:t>
          </w:r>
          <w:r>
            <w:rPr>
              <w:b w:val="0"/>
              <w:i w:val="0"/>
              <w:spacing w:val="-2"/>
              <w:sz w:val="22"/>
            </w:rPr>
            <w:t>grains</w:t>
          </w:r>
          <w:r>
            <w:rPr>
              <w:b w:val="0"/>
              <w:i w:val="0"/>
              <w:sz w:val="22"/>
            </w:rPr>
            <w:tab/>
          </w:r>
          <w:r>
            <w:rPr>
              <w:b w:val="0"/>
              <w:i w:val="0"/>
              <w:spacing w:val="-5"/>
              <w:sz w:val="22"/>
            </w:rPr>
            <w:t>52</w:t>
          </w:r>
        </w:p>
        <w:p>
          <w:pPr>
            <w:pStyle w:val="TOC2"/>
            <w:numPr>
              <w:ilvl w:val="2"/>
              <w:numId w:val="6"/>
            </w:numPr>
            <w:tabs>
              <w:tab w:pos="1851" w:val="left" w:leader="none"/>
              <w:tab w:pos="8427" w:val="left" w:leader="dot"/>
            </w:tabs>
            <w:spacing w:line="240" w:lineRule="auto" w:before="97" w:after="0"/>
            <w:ind w:left="1851" w:right="0" w:hanging="1186"/>
            <w:jc w:val="left"/>
            <w:rPr>
              <w:b w:val="0"/>
              <w:i w:val="0"/>
              <w:sz w:val="22"/>
            </w:rPr>
          </w:pPr>
          <w:r>
            <w:rPr>
              <w:b w:val="0"/>
              <w:i w:val="0"/>
              <w:sz w:val="22"/>
            </w:rPr>
            <w:t>Extraction</w:t>
          </w:r>
          <w:r>
            <w:rPr>
              <w:b w:val="0"/>
              <w:i w:val="0"/>
              <w:spacing w:val="11"/>
              <w:sz w:val="22"/>
            </w:rPr>
            <w:t> </w:t>
          </w:r>
          <w:r>
            <w:rPr>
              <w:b w:val="0"/>
              <w:i w:val="0"/>
              <w:sz w:val="22"/>
            </w:rPr>
            <w:t>of</w:t>
          </w:r>
          <w:r>
            <w:rPr>
              <w:b w:val="0"/>
              <w:i w:val="0"/>
              <w:spacing w:val="10"/>
              <w:sz w:val="22"/>
            </w:rPr>
            <w:t> </w:t>
          </w:r>
          <w:r>
            <w:rPr>
              <w:b w:val="0"/>
              <w:i w:val="0"/>
              <w:sz w:val="22"/>
            </w:rPr>
            <w:t>starch</w:t>
          </w:r>
          <w:r>
            <w:rPr>
              <w:b w:val="0"/>
              <w:i w:val="0"/>
              <w:spacing w:val="12"/>
              <w:sz w:val="22"/>
            </w:rPr>
            <w:t> </w:t>
          </w:r>
          <w:r>
            <w:rPr>
              <w:b w:val="0"/>
              <w:i w:val="0"/>
              <w:sz w:val="22"/>
            </w:rPr>
            <w:t>from</w:t>
          </w:r>
          <w:r>
            <w:rPr>
              <w:b w:val="0"/>
              <w:i w:val="0"/>
              <w:spacing w:val="11"/>
              <w:sz w:val="22"/>
            </w:rPr>
            <w:t> </w:t>
          </w:r>
          <w:r>
            <w:rPr>
              <w:b w:val="0"/>
              <w:sz w:val="22"/>
            </w:rPr>
            <w:t>Digitaria</w:t>
          </w:r>
          <w:r>
            <w:rPr>
              <w:b w:val="0"/>
              <w:spacing w:val="11"/>
              <w:sz w:val="22"/>
            </w:rPr>
            <w:t> </w:t>
          </w:r>
          <w:r>
            <w:rPr>
              <w:b w:val="0"/>
              <w:sz w:val="22"/>
            </w:rPr>
            <w:t>iburua</w:t>
          </w:r>
          <w:r>
            <w:rPr>
              <w:b w:val="0"/>
              <w:spacing w:val="23"/>
              <w:sz w:val="22"/>
            </w:rPr>
            <w:t> </w:t>
          </w:r>
          <w:r>
            <w:rPr>
              <w:b w:val="0"/>
              <w:i w:val="0"/>
              <w:spacing w:val="-2"/>
              <w:sz w:val="22"/>
            </w:rPr>
            <w:t>grains</w:t>
          </w:r>
          <w:r>
            <w:rPr>
              <w:b w:val="0"/>
              <w:i w:val="0"/>
              <w:sz w:val="22"/>
            </w:rPr>
            <w:tab/>
          </w:r>
          <w:r>
            <w:rPr>
              <w:b w:val="0"/>
              <w:i w:val="0"/>
              <w:spacing w:val="-5"/>
              <w:sz w:val="22"/>
            </w:rPr>
            <w:t>53</w:t>
          </w:r>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9">
            <w:r>
              <w:rPr/>
              <w:t>Determination</w:t>
            </w:r>
            <w:r>
              <w:rPr>
                <w:spacing w:val="5"/>
              </w:rPr>
              <w:t> </w:t>
            </w:r>
            <w:r>
              <w:rPr/>
              <w:t>of</w:t>
            </w:r>
            <w:r>
              <w:rPr>
                <w:spacing w:val="4"/>
              </w:rPr>
              <w:t> </w:t>
            </w:r>
            <w:r>
              <w:rPr/>
              <w:t>percentage</w:t>
            </w:r>
            <w:r>
              <w:rPr>
                <w:spacing w:val="21"/>
              </w:rPr>
              <w:t> </w:t>
            </w:r>
            <w:r>
              <w:rPr/>
              <w:t>yield</w:t>
            </w:r>
            <w:r>
              <w:rPr>
                <w:spacing w:val="23"/>
              </w:rPr>
              <w:t> </w:t>
            </w:r>
            <w:r>
              <w:rPr/>
              <w:t>of</w:t>
            </w:r>
            <w:r>
              <w:rPr>
                <w:spacing w:val="10"/>
              </w:rPr>
              <w:t> </w:t>
            </w:r>
            <w:r>
              <w:rPr>
                <w:spacing w:val="-2"/>
              </w:rPr>
              <w:t>starch</w:t>
            </w:r>
            <w:r>
              <w:rPr/>
              <w:tab/>
            </w:r>
            <w:r>
              <w:rPr>
                <w:spacing w:val="-5"/>
              </w:rPr>
              <w:t>53</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8">
            <w:r>
              <w:rPr/>
              <w:t>Determination</w:t>
            </w:r>
            <w:r>
              <w:rPr>
                <w:spacing w:val="11"/>
              </w:rPr>
              <w:t> </w:t>
            </w:r>
            <w:r>
              <w:rPr/>
              <w:t>of</w:t>
            </w:r>
            <w:r>
              <w:rPr>
                <w:spacing w:val="17"/>
              </w:rPr>
              <w:t> </w:t>
            </w:r>
            <w:r>
              <w:rPr/>
              <w:t>gelatinization</w:t>
            </w:r>
            <w:r>
              <w:rPr>
                <w:spacing w:val="19"/>
              </w:rPr>
              <w:t> </w:t>
            </w:r>
            <w:r>
              <w:rPr>
                <w:spacing w:val="-2"/>
              </w:rPr>
              <w:t>temperature</w:t>
            </w:r>
            <w:r>
              <w:rPr/>
              <w:tab/>
            </w:r>
            <w:r>
              <w:rPr>
                <w:spacing w:val="-5"/>
              </w:rPr>
              <w:t>53</w:t>
            </w:r>
          </w:hyperlink>
        </w:p>
        <w:p>
          <w:pPr>
            <w:pStyle w:val="TOC1"/>
            <w:numPr>
              <w:ilvl w:val="2"/>
              <w:numId w:val="6"/>
            </w:numPr>
            <w:tabs>
              <w:tab w:pos="1851" w:val="left" w:leader="none"/>
              <w:tab w:pos="8427" w:val="left" w:leader="dot"/>
            </w:tabs>
            <w:spacing w:line="240" w:lineRule="auto" w:before="98" w:after="0"/>
            <w:ind w:left="1851" w:right="0" w:hanging="1186"/>
            <w:jc w:val="left"/>
          </w:pPr>
          <w:r>
            <w:rPr/>
            <w:t>Production</w:t>
          </w:r>
          <w:r>
            <w:rPr>
              <w:spacing w:val="11"/>
            </w:rPr>
            <w:t> </w:t>
          </w:r>
          <w:r>
            <w:rPr/>
            <w:t>of</w:t>
          </w:r>
          <w:r>
            <w:rPr>
              <w:spacing w:val="16"/>
            </w:rPr>
            <w:t> </w:t>
          </w:r>
          <w:r>
            <w:rPr/>
            <w:t>microcrystalline</w:t>
          </w:r>
          <w:r>
            <w:rPr>
              <w:spacing w:val="22"/>
            </w:rPr>
            <w:t> </w:t>
          </w:r>
          <w:r>
            <w:rPr>
              <w:spacing w:val="-2"/>
            </w:rPr>
            <w:t>starch</w:t>
          </w:r>
          <w:r>
            <w:rPr/>
            <w:tab/>
          </w:r>
          <w:r>
            <w:rPr>
              <w:spacing w:val="-5"/>
            </w:rPr>
            <w:t>54</w:t>
          </w:r>
        </w:p>
        <w:p>
          <w:pPr>
            <w:pStyle w:val="TOC1"/>
            <w:numPr>
              <w:ilvl w:val="1"/>
              <w:numId w:val="6"/>
            </w:numPr>
            <w:tabs>
              <w:tab w:pos="1851" w:val="left" w:leader="none"/>
              <w:tab w:pos="8427" w:val="left" w:leader="dot"/>
            </w:tabs>
            <w:spacing w:line="244" w:lineRule="auto" w:before="102" w:after="0"/>
            <w:ind w:left="1851" w:right="1867" w:hanging="1186"/>
            <w:jc w:val="left"/>
          </w:pPr>
          <w:r>
            <w:rPr/>
            <w:t>Physicochemical tests on the </w:t>
          </w:r>
          <w:r>
            <w:rPr>
              <w:i/>
            </w:rPr>
            <w:t>Digitaria iburua </w:t>
          </w:r>
          <w:r>
            <w:rPr/>
            <w:t>starch and</w:t>
          </w:r>
          <w:r>
            <w:rPr>
              <w:spacing w:val="40"/>
            </w:rPr>
            <w:t> </w:t>
          </w:r>
          <w:r>
            <w:rPr/>
            <w:t>microcrystalline </w:t>
          </w:r>
          <w:r>
            <w:rPr>
              <w:spacing w:val="-2"/>
            </w:rPr>
            <w:t>starches</w:t>
          </w:r>
          <w:r>
            <w:rPr/>
            <w:tab/>
          </w:r>
          <w:r>
            <w:rPr>
              <w:spacing w:val="-6"/>
            </w:rPr>
            <w:t>54</w:t>
          </w:r>
        </w:p>
        <w:p>
          <w:pPr>
            <w:pStyle w:val="TOC1"/>
            <w:numPr>
              <w:ilvl w:val="2"/>
              <w:numId w:val="6"/>
            </w:numPr>
            <w:tabs>
              <w:tab w:pos="1851" w:val="left" w:leader="none"/>
              <w:tab w:pos="8427" w:val="left" w:leader="dot"/>
            </w:tabs>
            <w:spacing w:line="244" w:lineRule="auto" w:before="98" w:after="0"/>
            <w:ind w:left="1851" w:right="1867" w:hanging="1186"/>
            <w:jc w:val="left"/>
          </w:pPr>
          <w:r>
            <w:rPr/>
            <w:t>Determination of percentage yield and organoleptic properties of microcrystalline</w:t>
          </w:r>
          <w:r>
            <w:rPr>
              <w:spacing w:val="25"/>
            </w:rPr>
            <w:t> </w:t>
          </w:r>
          <w:r>
            <w:rPr>
              <w:spacing w:val="-2"/>
            </w:rPr>
            <w:t>starch</w:t>
          </w:r>
          <w:r>
            <w:rPr/>
            <w:tab/>
          </w:r>
          <w:r>
            <w:rPr>
              <w:spacing w:val="-5"/>
            </w:rPr>
            <w:t>54</w:t>
          </w:r>
        </w:p>
        <w:p>
          <w:pPr>
            <w:pStyle w:val="TOC1"/>
            <w:numPr>
              <w:ilvl w:val="2"/>
              <w:numId w:val="6"/>
            </w:numPr>
            <w:tabs>
              <w:tab w:pos="1851" w:val="left" w:leader="none"/>
              <w:tab w:pos="8427" w:val="left" w:leader="dot"/>
            </w:tabs>
            <w:spacing w:line="240" w:lineRule="auto" w:before="94" w:after="0"/>
            <w:ind w:left="1851" w:right="0" w:hanging="1186"/>
            <w:jc w:val="left"/>
          </w:pPr>
          <w:hyperlink w:history="true" w:anchor="_TOC_250067">
            <w:r>
              <w:rPr/>
              <w:t>Iodine</w:t>
            </w:r>
            <w:r>
              <w:rPr>
                <w:spacing w:val="13"/>
              </w:rPr>
              <w:t> </w:t>
            </w:r>
            <w:r>
              <w:rPr>
                <w:spacing w:val="-4"/>
              </w:rPr>
              <w:t>test</w:t>
            </w:r>
            <w:r>
              <w:rPr/>
              <w:tab/>
            </w:r>
            <w:r>
              <w:rPr>
                <w:spacing w:val="-5"/>
              </w:rPr>
              <w:t>54</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6">
            <w:r>
              <w:rPr/>
              <w:t>pH</w:t>
            </w:r>
            <w:r>
              <w:rPr>
                <w:spacing w:val="10"/>
              </w:rPr>
              <w:t> </w:t>
            </w:r>
            <w:r>
              <w:rPr>
                <w:spacing w:val="-2"/>
              </w:rPr>
              <w:t>determination</w:t>
            </w:r>
            <w:r>
              <w:rPr/>
              <w:tab/>
            </w:r>
            <w:r>
              <w:rPr>
                <w:spacing w:val="-5"/>
              </w:rPr>
              <w:t>54</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5">
            <w:r>
              <w:rPr/>
              <w:t>Determination</w:t>
            </w:r>
            <w:r>
              <w:rPr>
                <w:spacing w:val="7"/>
              </w:rPr>
              <w:t> </w:t>
            </w:r>
            <w:r>
              <w:rPr/>
              <w:t>of</w:t>
            </w:r>
            <w:r>
              <w:rPr>
                <w:spacing w:val="12"/>
              </w:rPr>
              <w:t> </w:t>
            </w:r>
            <w:r>
              <w:rPr/>
              <w:t>amylose</w:t>
            </w:r>
            <w:r>
              <w:rPr>
                <w:spacing w:val="17"/>
              </w:rPr>
              <w:t> </w:t>
            </w:r>
            <w:r>
              <w:rPr/>
              <w:t>and</w:t>
            </w:r>
            <w:r>
              <w:rPr>
                <w:spacing w:val="18"/>
              </w:rPr>
              <w:t> </w:t>
            </w:r>
            <w:r>
              <w:rPr/>
              <w:t>amylopectin</w:t>
            </w:r>
            <w:r>
              <w:rPr>
                <w:spacing w:val="13"/>
              </w:rPr>
              <w:t> </w:t>
            </w:r>
            <w:r>
              <w:rPr>
                <w:spacing w:val="-2"/>
              </w:rPr>
              <w:t>content</w:t>
            </w:r>
            <w:r>
              <w:rPr/>
              <w:tab/>
            </w:r>
            <w:r>
              <w:rPr>
                <w:spacing w:val="-5"/>
              </w:rPr>
              <w:t>55</w:t>
            </w:r>
          </w:hyperlink>
        </w:p>
        <w:p>
          <w:pPr>
            <w:pStyle w:val="TOC1"/>
            <w:numPr>
              <w:ilvl w:val="2"/>
              <w:numId w:val="6"/>
            </w:numPr>
            <w:tabs>
              <w:tab w:pos="1851" w:val="left" w:leader="none"/>
              <w:tab w:pos="8427" w:val="left" w:leader="dot"/>
            </w:tabs>
            <w:spacing w:line="240" w:lineRule="auto" w:before="98" w:after="0"/>
            <w:ind w:left="1851" w:right="0" w:hanging="1186"/>
            <w:jc w:val="left"/>
          </w:pPr>
          <w:hyperlink w:history="true" w:anchor="_TOC_250064">
            <w:r>
              <w:rPr/>
              <w:t>Determination</w:t>
            </w:r>
            <w:r>
              <w:rPr>
                <w:spacing w:val="8"/>
              </w:rPr>
              <w:t> </w:t>
            </w:r>
            <w:r>
              <w:rPr/>
              <w:t>of</w:t>
            </w:r>
            <w:r>
              <w:rPr>
                <w:spacing w:val="13"/>
              </w:rPr>
              <w:t> </w:t>
            </w:r>
            <w:r>
              <w:rPr/>
              <w:t>ash</w:t>
            </w:r>
            <w:r>
              <w:rPr>
                <w:spacing w:val="8"/>
              </w:rPr>
              <w:t> </w:t>
            </w:r>
            <w:r>
              <w:rPr>
                <w:spacing w:val="-2"/>
              </w:rPr>
              <w:t>content</w:t>
            </w:r>
            <w:r>
              <w:rPr/>
              <w:tab/>
            </w:r>
            <w:r>
              <w:rPr>
                <w:spacing w:val="-5"/>
              </w:rPr>
              <w:t>55</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3">
            <w:r>
              <w:rPr/>
              <w:t>Determination</w:t>
            </w:r>
            <w:r>
              <w:rPr>
                <w:spacing w:val="11"/>
              </w:rPr>
              <w:t> </w:t>
            </w:r>
            <w:r>
              <w:rPr/>
              <w:t>of</w:t>
            </w:r>
            <w:r>
              <w:rPr>
                <w:spacing w:val="16"/>
              </w:rPr>
              <w:t> </w:t>
            </w:r>
            <w:r>
              <w:rPr/>
              <w:t>moisture</w:t>
            </w:r>
            <w:r>
              <w:rPr>
                <w:spacing w:val="22"/>
              </w:rPr>
              <w:t> </w:t>
            </w:r>
            <w:r>
              <w:rPr>
                <w:spacing w:val="-2"/>
              </w:rPr>
              <w:t>content</w:t>
            </w:r>
            <w:r>
              <w:rPr/>
              <w:tab/>
            </w:r>
            <w:r>
              <w:rPr>
                <w:spacing w:val="-5"/>
              </w:rPr>
              <w:t>55</w:t>
            </w:r>
          </w:hyperlink>
        </w:p>
        <w:p>
          <w:pPr>
            <w:pStyle w:val="TOC1"/>
            <w:numPr>
              <w:ilvl w:val="2"/>
              <w:numId w:val="6"/>
            </w:numPr>
            <w:tabs>
              <w:tab w:pos="1851" w:val="left" w:leader="none"/>
              <w:tab w:pos="8427" w:val="left" w:leader="dot"/>
            </w:tabs>
            <w:spacing w:line="240" w:lineRule="auto" w:before="102" w:after="0"/>
            <w:ind w:left="1851" w:right="0" w:hanging="1186"/>
            <w:jc w:val="left"/>
          </w:pPr>
          <w:hyperlink w:history="true" w:anchor="_TOC_250062">
            <w:r>
              <w:rPr/>
              <w:t>Determination</w:t>
            </w:r>
            <w:r>
              <w:rPr>
                <w:spacing w:val="6"/>
              </w:rPr>
              <w:t> </w:t>
            </w:r>
            <w:r>
              <w:rPr/>
              <w:t>of</w:t>
            </w:r>
            <w:r>
              <w:rPr>
                <w:spacing w:val="11"/>
              </w:rPr>
              <w:t> </w:t>
            </w:r>
            <w:r>
              <w:rPr/>
              <w:t>lipid</w:t>
            </w:r>
            <w:r>
              <w:rPr>
                <w:spacing w:val="23"/>
              </w:rPr>
              <w:t> </w:t>
            </w:r>
            <w:r>
              <w:rPr>
                <w:spacing w:val="-2"/>
              </w:rPr>
              <w:t>content</w:t>
            </w:r>
            <w:r>
              <w:rPr/>
              <w:tab/>
            </w:r>
            <w:r>
              <w:rPr>
                <w:spacing w:val="-5"/>
              </w:rPr>
              <w:t>55</w:t>
            </w:r>
          </w:hyperlink>
        </w:p>
        <w:p>
          <w:pPr>
            <w:pStyle w:val="TOC1"/>
            <w:numPr>
              <w:ilvl w:val="2"/>
              <w:numId w:val="6"/>
            </w:numPr>
            <w:tabs>
              <w:tab w:pos="1851" w:val="left" w:leader="none"/>
              <w:tab w:pos="8427" w:val="left" w:leader="dot"/>
            </w:tabs>
            <w:spacing w:line="240" w:lineRule="auto" w:before="98" w:after="20"/>
            <w:ind w:left="1851" w:right="0" w:hanging="1186"/>
            <w:jc w:val="left"/>
          </w:pPr>
          <w:hyperlink w:history="true" w:anchor="_TOC_250061">
            <w:r>
              <w:rPr/>
              <w:t>Determination</w:t>
            </w:r>
            <w:r>
              <w:rPr>
                <w:spacing w:val="6"/>
              </w:rPr>
              <w:t> </w:t>
            </w:r>
            <w:r>
              <w:rPr/>
              <w:t>of</w:t>
            </w:r>
            <w:r>
              <w:rPr>
                <w:spacing w:val="6"/>
              </w:rPr>
              <w:t> </w:t>
            </w:r>
            <w:r>
              <w:rPr/>
              <w:t>protein</w:t>
            </w:r>
            <w:r>
              <w:rPr>
                <w:spacing w:val="13"/>
              </w:rPr>
              <w:t> </w:t>
            </w:r>
            <w:r>
              <w:rPr/>
              <w:t>content</w:t>
            </w:r>
            <w:r>
              <w:rPr>
                <w:spacing w:val="15"/>
              </w:rPr>
              <w:t> </w:t>
            </w:r>
            <w:r>
              <w:rPr/>
              <w:t>(nitrogen</w:t>
            </w:r>
            <w:r>
              <w:rPr>
                <w:spacing w:val="13"/>
              </w:rPr>
              <w:t> </w:t>
            </w:r>
            <w:r>
              <w:rPr/>
              <w:t>and</w:t>
            </w:r>
            <w:r>
              <w:rPr>
                <w:spacing w:val="18"/>
              </w:rPr>
              <w:t> </w:t>
            </w:r>
            <w:r>
              <w:rPr/>
              <w:t>crude</w:t>
            </w:r>
            <w:r>
              <w:rPr>
                <w:spacing w:val="10"/>
              </w:rPr>
              <w:t> </w:t>
            </w:r>
            <w:r>
              <w:rPr>
                <w:spacing w:val="-2"/>
              </w:rPr>
              <w:t>protein)</w:t>
            </w:r>
            <w:r>
              <w:rPr/>
              <w:tab/>
            </w:r>
            <w:r>
              <w:rPr>
                <w:spacing w:val="-5"/>
              </w:rPr>
              <w:t>56</w:t>
            </w:r>
          </w:hyperlink>
        </w:p>
        <w:p>
          <w:pPr>
            <w:pStyle w:val="TOC1"/>
            <w:numPr>
              <w:ilvl w:val="2"/>
              <w:numId w:val="6"/>
            </w:numPr>
            <w:tabs>
              <w:tab w:pos="1851" w:val="left" w:leader="none"/>
              <w:tab w:pos="8650" w:val="right" w:leader="dot"/>
            </w:tabs>
            <w:spacing w:line="240" w:lineRule="auto" w:before="75" w:after="0"/>
            <w:ind w:left="1851" w:right="0" w:hanging="1186"/>
            <w:jc w:val="left"/>
          </w:pPr>
          <w:hyperlink w:history="true" w:anchor="_TOC_250060">
            <w:r>
              <w:rPr/>
              <w:t>Determination</w:t>
            </w:r>
            <w:r>
              <w:rPr>
                <w:spacing w:val="12"/>
              </w:rPr>
              <w:t> </w:t>
            </w:r>
            <w:r>
              <w:rPr/>
              <w:t>of</w:t>
            </w:r>
            <w:r>
              <w:rPr>
                <w:spacing w:val="19"/>
              </w:rPr>
              <w:t> </w:t>
            </w:r>
            <w:r>
              <w:rPr>
                <w:spacing w:val="-2"/>
              </w:rPr>
              <w:t>carbohydrate</w:t>
            </w:r>
            <w:r>
              <w:rPr/>
              <w:tab/>
            </w:r>
            <w:r>
              <w:rPr>
                <w:spacing w:val="-5"/>
              </w:rPr>
              <w:t>57</w:t>
            </w:r>
          </w:hyperlink>
        </w:p>
        <w:p>
          <w:pPr>
            <w:pStyle w:val="TOC1"/>
            <w:numPr>
              <w:ilvl w:val="2"/>
              <w:numId w:val="6"/>
            </w:numPr>
            <w:tabs>
              <w:tab w:pos="1851" w:val="left" w:leader="none"/>
              <w:tab w:pos="8650" w:val="right" w:leader="dot"/>
            </w:tabs>
            <w:spacing w:line="240" w:lineRule="auto" w:before="102" w:after="0"/>
            <w:ind w:left="1851" w:right="0" w:hanging="1186"/>
            <w:jc w:val="left"/>
          </w:pPr>
          <w:hyperlink w:history="true" w:anchor="_TOC_250059">
            <w:r>
              <w:rPr>
                <w:spacing w:val="-2"/>
              </w:rPr>
              <w:t>Microscopy</w:t>
            </w:r>
            <w:r>
              <w:rPr/>
              <w:tab/>
            </w:r>
            <w:r>
              <w:rPr>
                <w:spacing w:val="-5"/>
              </w:rPr>
              <w:t>57</w:t>
            </w:r>
          </w:hyperlink>
        </w:p>
        <w:p>
          <w:pPr>
            <w:pStyle w:val="TOC1"/>
            <w:numPr>
              <w:ilvl w:val="2"/>
              <w:numId w:val="6"/>
            </w:numPr>
            <w:tabs>
              <w:tab w:pos="1851" w:val="left" w:leader="none"/>
              <w:tab w:pos="8650" w:val="right" w:leader="dot"/>
            </w:tabs>
            <w:spacing w:line="240" w:lineRule="auto" w:before="98" w:after="0"/>
            <w:ind w:left="1851" w:right="0" w:hanging="1186"/>
            <w:jc w:val="left"/>
          </w:pPr>
          <w:hyperlink w:history="true" w:anchor="_TOC_250058">
            <w:r>
              <w:rPr/>
              <w:t>Determination</w:t>
            </w:r>
            <w:r>
              <w:rPr>
                <w:spacing w:val="9"/>
              </w:rPr>
              <w:t> </w:t>
            </w:r>
            <w:r>
              <w:rPr/>
              <w:t>of</w:t>
            </w:r>
            <w:r>
              <w:rPr>
                <w:spacing w:val="15"/>
              </w:rPr>
              <w:t> </w:t>
            </w:r>
            <w:r>
              <w:rPr/>
              <w:t>moisture</w:t>
            </w:r>
            <w:r>
              <w:rPr>
                <w:spacing w:val="20"/>
              </w:rPr>
              <w:t> </w:t>
            </w:r>
            <w:r>
              <w:rPr/>
              <w:t>sorption</w:t>
            </w:r>
            <w:r>
              <w:rPr>
                <w:spacing w:val="16"/>
              </w:rPr>
              <w:t> </w:t>
            </w:r>
            <w:r>
              <w:rPr>
                <w:spacing w:val="-2"/>
              </w:rPr>
              <w:t>capacity</w:t>
            </w:r>
            <w:r>
              <w:rPr/>
              <w:tab/>
            </w:r>
            <w:r>
              <w:rPr>
                <w:spacing w:val="-5"/>
              </w:rPr>
              <w:t>57</w:t>
            </w:r>
          </w:hyperlink>
        </w:p>
        <w:p>
          <w:pPr>
            <w:pStyle w:val="TOC1"/>
            <w:numPr>
              <w:ilvl w:val="2"/>
              <w:numId w:val="6"/>
            </w:numPr>
            <w:tabs>
              <w:tab w:pos="1851" w:val="left" w:leader="none"/>
              <w:tab w:pos="8650" w:val="right" w:leader="dot"/>
            </w:tabs>
            <w:spacing w:line="240" w:lineRule="auto" w:before="97" w:after="0"/>
            <w:ind w:left="1851" w:right="0" w:hanging="1186"/>
            <w:jc w:val="left"/>
          </w:pPr>
          <w:hyperlink w:history="true" w:anchor="_TOC_250057">
            <w:r>
              <w:rPr/>
              <w:t>Determination</w:t>
            </w:r>
            <w:r>
              <w:rPr>
                <w:spacing w:val="9"/>
              </w:rPr>
              <w:t> </w:t>
            </w:r>
            <w:r>
              <w:rPr/>
              <w:t>of</w:t>
            </w:r>
            <w:r>
              <w:rPr>
                <w:spacing w:val="15"/>
              </w:rPr>
              <w:t> </w:t>
            </w:r>
            <w:r>
              <w:rPr/>
              <w:t>swelling</w:t>
            </w:r>
            <w:r>
              <w:rPr>
                <w:spacing w:val="16"/>
              </w:rPr>
              <w:t> </w:t>
            </w:r>
            <w:r>
              <w:rPr>
                <w:spacing w:val="-2"/>
              </w:rPr>
              <w:t>capacity</w:t>
            </w:r>
            <w:r>
              <w:rPr/>
              <w:tab/>
            </w:r>
            <w:r>
              <w:rPr>
                <w:spacing w:val="-5"/>
              </w:rPr>
              <w:t>57</w:t>
            </w:r>
          </w:hyperlink>
        </w:p>
        <w:p>
          <w:pPr>
            <w:pStyle w:val="TOC1"/>
            <w:numPr>
              <w:ilvl w:val="1"/>
              <w:numId w:val="6"/>
            </w:numPr>
            <w:tabs>
              <w:tab w:pos="1851" w:val="left" w:leader="none"/>
              <w:tab w:pos="8650" w:val="right" w:leader="dot"/>
            </w:tabs>
            <w:spacing w:line="240" w:lineRule="auto" w:before="107" w:after="0"/>
            <w:ind w:left="1851" w:right="0" w:hanging="1186"/>
            <w:jc w:val="left"/>
          </w:pPr>
          <w:hyperlink w:history="true" w:anchor="_TOC_250056">
            <w:r>
              <w:rPr/>
              <w:t>Physical</w:t>
            </w:r>
            <w:r>
              <w:rPr>
                <w:spacing w:val="14"/>
              </w:rPr>
              <w:t> </w:t>
            </w:r>
            <w:r>
              <w:rPr/>
              <w:t>properties</w:t>
            </w:r>
            <w:r>
              <w:rPr>
                <w:spacing w:val="13"/>
              </w:rPr>
              <w:t> </w:t>
            </w:r>
            <w:r>
              <w:rPr/>
              <w:t>of</w:t>
            </w:r>
            <w:r>
              <w:rPr>
                <w:spacing w:val="11"/>
              </w:rPr>
              <w:t> </w:t>
            </w:r>
            <w:r>
              <w:rPr/>
              <w:t>powdered</w:t>
            </w:r>
            <w:r>
              <w:rPr>
                <w:spacing w:val="17"/>
              </w:rPr>
              <w:t> </w:t>
            </w:r>
            <w:r>
              <w:rPr>
                <w:spacing w:val="-2"/>
              </w:rPr>
              <w:t>starch</w:t>
            </w:r>
            <w:r>
              <w:rPr/>
              <w:tab/>
            </w:r>
            <w:r>
              <w:rPr>
                <w:spacing w:val="-5"/>
              </w:rPr>
              <w:t>57</w:t>
            </w:r>
          </w:hyperlink>
        </w:p>
        <w:p>
          <w:pPr>
            <w:pStyle w:val="TOC1"/>
            <w:numPr>
              <w:ilvl w:val="2"/>
              <w:numId w:val="6"/>
            </w:numPr>
            <w:tabs>
              <w:tab w:pos="1851" w:val="left" w:leader="none"/>
              <w:tab w:pos="8650" w:val="right" w:leader="dot"/>
            </w:tabs>
            <w:spacing w:line="240" w:lineRule="auto" w:before="98" w:after="0"/>
            <w:ind w:left="1851" w:right="0" w:hanging="1186"/>
            <w:jc w:val="left"/>
          </w:pPr>
          <w:r>
            <w:rPr/>
            <w:t>Particle</w:t>
          </w:r>
          <w:r>
            <w:rPr>
              <w:spacing w:val="10"/>
            </w:rPr>
            <w:t> </w:t>
          </w:r>
          <w:r>
            <w:rPr/>
            <w:t>size</w:t>
          </w:r>
          <w:r>
            <w:rPr>
              <w:spacing w:val="10"/>
            </w:rPr>
            <w:t> </w:t>
          </w:r>
          <w:r>
            <w:rPr>
              <w:spacing w:val="-2"/>
            </w:rPr>
            <w:t>analysis</w:t>
          </w:r>
          <w:r>
            <w:rPr/>
            <w:tab/>
          </w:r>
          <w:r>
            <w:rPr>
              <w:spacing w:val="-5"/>
            </w:rPr>
            <w:t>57</w:t>
          </w:r>
        </w:p>
        <w:p>
          <w:pPr>
            <w:pStyle w:val="TOC1"/>
            <w:numPr>
              <w:ilvl w:val="2"/>
              <w:numId w:val="6"/>
            </w:numPr>
            <w:tabs>
              <w:tab w:pos="1849" w:val="left" w:leader="none"/>
              <w:tab w:pos="8646" w:val="right" w:leader="dot"/>
            </w:tabs>
            <w:spacing w:line="240" w:lineRule="auto" w:before="97" w:after="0"/>
            <w:ind w:left="1849" w:right="0" w:hanging="1184"/>
            <w:jc w:val="left"/>
          </w:pPr>
          <w:r>
            <w:rPr/>
            <w:t>Angle</w:t>
          </w:r>
          <w:r>
            <w:rPr>
              <w:spacing w:val="11"/>
            </w:rPr>
            <w:t> </w:t>
          </w:r>
          <w:r>
            <w:rPr/>
            <w:t>of</w:t>
          </w:r>
          <w:r>
            <w:rPr>
              <w:spacing w:val="7"/>
            </w:rPr>
            <w:t> </w:t>
          </w:r>
          <w:r>
            <w:rPr>
              <w:spacing w:val="-2"/>
            </w:rPr>
            <w:t>repose</w:t>
          </w:r>
          <w:r>
            <w:rPr/>
            <w:tab/>
          </w:r>
          <w:r>
            <w:rPr>
              <w:spacing w:val="-5"/>
            </w:rPr>
            <w:t>57</w:t>
          </w:r>
        </w:p>
        <w:p>
          <w:pPr>
            <w:pStyle w:val="TOC1"/>
            <w:numPr>
              <w:ilvl w:val="2"/>
              <w:numId w:val="6"/>
            </w:numPr>
            <w:tabs>
              <w:tab w:pos="1849" w:val="left" w:leader="none"/>
              <w:tab w:pos="8623" w:val="right" w:leader="dot"/>
            </w:tabs>
            <w:spacing w:line="240" w:lineRule="auto" w:before="49" w:after="0"/>
            <w:ind w:left="1849" w:right="0" w:hanging="1184"/>
            <w:jc w:val="left"/>
          </w:pPr>
          <w:r>
            <w:rPr/>
            <w:t>Flow</w:t>
          </w:r>
          <w:r>
            <w:rPr>
              <w:spacing w:val="12"/>
            </w:rPr>
            <w:t> </w:t>
          </w:r>
          <w:r>
            <w:rPr>
              <w:spacing w:val="-4"/>
            </w:rPr>
            <w:t>rate</w:t>
          </w:r>
          <w:r>
            <w:rPr/>
            <w:tab/>
          </w:r>
          <w:r>
            <w:rPr>
              <w:spacing w:val="-5"/>
            </w:rPr>
            <w:t>57</w:t>
          </w:r>
        </w:p>
        <w:p>
          <w:pPr>
            <w:pStyle w:val="TOC1"/>
            <w:numPr>
              <w:ilvl w:val="2"/>
              <w:numId w:val="6"/>
            </w:numPr>
            <w:tabs>
              <w:tab w:pos="1849" w:val="left" w:leader="none"/>
              <w:tab w:pos="8596" w:val="right" w:leader="dot"/>
            </w:tabs>
            <w:spacing w:line="240" w:lineRule="auto" w:before="45" w:after="0"/>
            <w:ind w:left="1849" w:right="0" w:hanging="1184"/>
            <w:jc w:val="left"/>
          </w:pPr>
          <w:r>
            <w:rPr/>
            <w:t>Particle</w:t>
          </w:r>
          <w:r>
            <w:rPr>
              <w:spacing w:val="12"/>
            </w:rPr>
            <w:t> </w:t>
          </w:r>
          <w:r>
            <w:rPr>
              <w:spacing w:val="-2"/>
            </w:rPr>
            <w:t>density</w:t>
          </w:r>
          <w:r>
            <w:rPr/>
            <w:tab/>
          </w:r>
          <w:r>
            <w:rPr>
              <w:spacing w:val="-5"/>
            </w:rPr>
            <w:t>57</w:t>
          </w:r>
        </w:p>
        <w:p>
          <w:pPr>
            <w:pStyle w:val="TOC1"/>
            <w:numPr>
              <w:ilvl w:val="2"/>
              <w:numId w:val="6"/>
            </w:numPr>
            <w:tabs>
              <w:tab w:pos="1849" w:val="left" w:leader="none"/>
              <w:tab w:pos="8596" w:val="right" w:leader="dot"/>
            </w:tabs>
            <w:spacing w:line="240" w:lineRule="auto" w:before="45" w:after="0"/>
            <w:ind w:left="1849" w:right="0" w:hanging="1184"/>
            <w:jc w:val="left"/>
          </w:pPr>
          <w:r>
            <w:rPr/>
            <w:t>Bulk</w:t>
          </w:r>
          <w:r>
            <w:rPr>
              <w:spacing w:val="4"/>
            </w:rPr>
            <w:t> </w:t>
          </w:r>
          <w:r>
            <w:rPr/>
            <w:t>and</w:t>
          </w:r>
          <w:r>
            <w:rPr>
              <w:spacing w:val="14"/>
            </w:rPr>
            <w:t> </w:t>
          </w:r>
          <w:r>
            <w:rPr/>
            <w:t>tapped</w:t>
          </w:r>
          <w:r>
            <w:rPr>
              <w:spacing w:val="10"/>
            </w:rPr>
            <w:t> </w:t>
          </w:r>
          <w:r>
            <w:rPr>
              <w:spacing w:val="-2"/>
            </w:rPr>
            <w:t>density</w:t>
          </w:r>
          <w:r>
            <w:rPr/>
            <w:tab/>
          </w:r>
          <w:r>
            <w:rPr>
              <w:spacing w:val="-5"/>
            </w:rPr>
            <w:t>58</w:t>
          </w:r>
        </w:p>
        <w:p>
          <w:pPr>
            <w:pStyle w:val="TOC1"/>
            <w:numPr>
              <w:ilvl w:val="2"/>
              <w:numId w:val="6"/>
            </w:numPr>
            <w:tabs>
              <w:tab w:pos="1851" w:val="left" w:leader="none"/>
              <w:tab w:pos="8650" w:val="right" w:leader="dot"/>
            </w:tabs>
            <w:spacing w:line="240" w:lineRule="auto" w:before="44" w:after="0"/>
            <w:ind w:left="1851" w:right="0" w:hanging="1186"/>
            <w:jc w:val="left"/>
          </w:pPr>
          <w:hyperlink w:history="true" w:anchor="_TOC_250055">
            <w:r>
              <w:rPr/>
              <w:t>Dilution</w:t>
            </w:r>
            <w:r>
              <w:rPr>
                <w:spacing w:val="13"/>
              </w:rPr>
              <w:t> </w:t>
            </w:r>
            <w:r>
              <w:rPr>
                <w:spacing w:val="-2"/>
              </w:rPr>
              <w:t>potential</w:t>
            </w:r>
            <w:r>
              <w:rPr/>
              <w:tab/>
            </w:r>
            <w:r>
              <w:rPr>
                <w:spacing w:val="-5"/>
              </w:rPr>
              <w:t>58</w:t>
            </w:r>
          </w:hyperlink>
        </w:p>
        <w:p>
          <w:pPr>
            <w:pStyle w:val="TOC1"/>
            <w:numPr>
              <w:ilvl w:val="1"/>
              <w:numId w:val="6"/>
            </w:numPr>
            <w:tabs>
              <w:tab w:pos="1849" w:val="left" w:leader="none"/>
              <w:tab w:pos="8590" w:val="right" w:leader="dot"/>
            </w:tabs>
            <w:spacing w:line="240" w:lineRule="auto" w:before="141" w:after="0"/>
            <w:ind w:left="1849" w:right="0" w:hanging="1184"/>
            <w:jc w:val="left"/>
          </w:pPr>
          <w:hyperlink w:history="true" w:anchor="_TOC_250054">
            <w:r>
              <w:rPr/>
              <w:t>Granule</w:t>
            </w:r>
            <w:r>
              <w:rPr>
                <w:spacing w:val="8"/>
              </w:rPr>
              <w:t> </w:t>
            </w:r>
            <w:r>
              <w:rPr/>
              <w:t>and</w:t>
            </w:r>
            <w:r>
              <w:rPr>
                <w:spacing w:val="14"/>
              </w:rPr>
              <w:t> </w:t>
            </w:r>
            <w:r>
              <w:rPr/>
              <w:t>tablet</w:t>
            </w:r>
            <w:r>
              <w:rPr>
                <w:spacing w:val="13"/>
              </w:rPr>
              <w:t> </w:t>
            </w:r>
            <w:r>
              <w:rPr>
                <w:spacing w:val="-2"/>
              </w:rPr>
              <w:t>studies</w:t>
            </w:r>
            <w:r>
              <w:rPr/>
              <w:tab/>
            </w:r>
            <w:r>
              <w:rPr>
                <w:spacing w:val="-5"/>
              </w:rPr>
              <w:t>59</w:t>
            </w:r>
          </w:hyperlink>
        </w:p>
        <w:p>
          <w:pPr>
            <w:pStyle w:val="TOC1"/>
            <w:numPr>
              <w:ilvl w:val="2"/>
              <w:numId w:val="6"/>
            </w:numPr>
            <w:tabs>
              <w:tab w:pos="1849" w:val="left" w:leader="none"/>
              <w:tab w:pos="8625" w:val="right" w:leader="dot"/>
            </w:tabs>
            <w:spacing w:line="240" w:lineRule="auto" w:before="45" w:after="0"/>
            <w:ind w:left="1849" w:right="0" w:hanging="1184"/>
            <w:jc w:val="left"/>
          </w:pPr>
          <w:hyperlink w:history="true" w:anchor="_TOC_250053">
            <w:r>
              <w:rPr/>
              <w:t>Preparation</w:t>
            </w:r>
            <w:r>
              <w:rPr>
                <w:spacing w:val="9"/>
              </w:rPr>
              <w:t> </w:t>
            </w:r>
            <w:r>
              <w:rPr/>
              <w:t>of</w:t>
            </w:r>
            <w:r>
              <w:rPr>
                <w:spacing w:val="20"/>
              </w:rPr>
              <w:t> </w:t>
            </w:r>
            <w:r>
              <w:rPr/>
              <w:t>metronidazole</w:t>
            </w:r>
            <w:r>
              <w:rPr>
                <w:spacing w:val="20"/>
              </w:rPr>
              <w:t> </w:t>
            </w:r>
            <w:r>
              <w:rPr>
                <w:spacing w:val="-2"/>
              </w:rPr>
              <w:t>granules</w:t>
            </w:r>
            <w:r>
              <w:rPr/>
              <w:tab/>
            </w:r>
            <w:r>
              <w:rPr>
                <w:spacing w:val="-5"/>
              </w:rPr>
              <w:t>59</w:t>
            </w:r>
          </w:hyperlink>
        </w:p>
        <w:p>
          <w:pPr>
            <w:pStyle w:val="TOC1"/>
            <w:numPr>
              <w:ilvl w:val="2"/>
              <w:numId w:val="6"/>
            </w:numPr>
            <w:tabs>
              <w:tab w:pos="1849" w:val="left" w:leader="none"/>
              <w:tab w:pos="8597" w:val="right" w:leader="dot"/>
            </w:tabs>
            <w:spacing w:line="240" w:lineRule="auto" w:before="44" w:after="0"/>
            <w:ind w:left="1849" w:right="0" w:hanging="1184"/>
            <w:jc w:val="left"/>
          </w:pPr>
          <w:hyperlink w:history="true" w:anchor="_TOC_250052">
            <w:r>
              <w:rPr/>
              <w:t>Analysis</w:t>
            </w:r>
            <w:r>
              <w:rPr>
                <w:spacing w:val="15"/>
              </w:rPr>
              <w:t> </w:t>
            </w:r>
            <w:r>
              <w:rPr/>
              <w:t>of</w:t>
            </w:r>
            <w:r>
              <w:rPr>
                <w:spacing w:val="12"/>
              </w:rPr>
              <w:t> </w:t>
            </w:r>
            <w:r>
              <w:rPr/>
              <w:t>metronidazole</w:t>
            </w:r>
            <w:r>
              <w:rPr>
                <w:spacing w:val="18"/>
              </w:rPr>
              <w:t> </w:t>
            </w:r>
            <w:r>
              <w:rPr>
                <w:spacing w:val="-2"/>
              </w:rPr>
              <w:t>granules</w:t>
            </w:r>
            <w:r>
              <w:rPr/>
              <w:tab/>
            </w:r>
            <w:r>
              <w:rPr>
                <w:spacing w:val="-5"/>
              </w:rPr>
              <w:t>59</w:t>
            </w:r>
          </w:hyperlink>
        </w:p>
        <w:p>
          <w:pPr>
            <w:pStyle w:val="TOC1"/>
            <w:numPr>
              <w:ilvl w:val="2"/>
              <w:numId w:val="6"/>
            </w:numPr>
            <w:tabs>
              <w:tab w:pos="1851" w:val="left" w:leader="none"/>
              <w:tab w:pos="8612" w:val="right" w:leader="dot"/>
            </w:tabs>
            <w:spacing w:line="240" w:lineRule="auto" w:before="45" w:after="0"/>
            <w:ind w:left="1851" w:right="0" w:hanging="1186"/>
            <w:jc w:val="left"/>
          </w:pPr>
          <w:hyperlink w:history="true" w:anchor="_TOC_250051">
            <w:r>
              <w:rPr/>
              <w:t>Compaction</w:t>
            </w:r>
            <w:r>
              <w:rPr>
                <w:spacing w:val="3"/>
              </w:rPr>
              <w:t> </w:t>
            </w:r>
            <w:r>
              <w:rPr/>
              <w:t>of</w:t>
            </w:r>
            <w:r>
              <w:rPr>
                <w:spacing w:val="14"/>
              </w:rPr>
              <w:t> </w:t>
            </w:r>
            <w:r>
              <w:rPr/>
              <w:t>granules</w:t>
            </w:r>
            <w:r>
              <w:rPr>
                <w:spacing w:val="11"/>
              </w:rPr>
              <w:t> </w:t>
            </w:r>
            <w:r>
              <w:rPr/>
              <w:t>to</w:t>
            </w:r>
            <w:r>
              <w:rPr>
                <w:spacing w:val="20"/>
              </w:rPr>
              <w:t> </w:t>
            </w:r>
            <w:r>
              <w:rPr>
                <w:spacing w:val="-2"/>
              </w:rPr>
              <w:t>tablets</w:t>
            </w:r>
            <w:r>
              <w:rPr/>
              <w:tab/>
            </w:r>
            <w:r>
              <w:rPr>
                <w:spacing w:val="-5"/>
              </w:rPr>
              <w:t>59</w:t>
            </w:r>
          </w:hyperlink>
        </w:p>
        <w:p>
          <w:pPr>
            <w:pStyle w:val="TOC1"/>
            <w:numPr>
              <w:ilvl w:val="2"/>
              <w:numId w:val="6"/>
            </w:numPr>
            <w:tabs>
              <w:tab w:pos="1851" w:val="left" w:leader="none"/>
              <w:tab w:pos="8650" w:val="right" w:leader="dot"/>
            </w:tabs>
            <w:spacing w:line="240" w:lineRule="auto" w:before="40" w:after="0"/>
            <w:ind w:left="1851" w:right="0" w:hanging="1186"/>
            <w:jc w:val="left"/>
          </w:pPr>
          <w:hyperlink w:history="true" w:anchor="_TOC_250050">
            <w:r>
              <w:rPr/>
              <w:t>Quality</w:t>
            </w:r>
            <w:r>
              <w:rPr>
                <w:spacing w:val="6"/>
              </w:rPr>
              <w:t> </w:t>
            </w:r>
            <w:r>
              <w:rPr/>
              <w:t>control</w:t>
            </w:r>
            <w:r>
              <w:rPr>
                <w:spacing w:val="8"/>
              </w:rPr>
              <w:t> </w:t>
            </w:r>
            <w:r>
              <w:rPr/>
              <w:t>test</w:t>
            </w:r>
            <w:r>
              <w:rPr>
                <w:spacing w:val="15"/>
              </w:rPr>
              <w:t> </w:t>
            </w:r>
            <w:r>
              <w:rPr/>
              <w:t>for</w:t>
            </w:r>
            <w:r>
              <w:rPr>
                <w:spacing w:val="11"/>
              </w:rPr>
              <w:t> </w:t>
            </w:r>
            <w:r>
              <w:rPr>
                <w:spacing w:val="-2"/>
              </w:rPr>
              <w:t>tablets</w:t>
            </w:r>
            <w:r>
              <w:rPr/>
              <w:tab/>
            </w:r>
            <w:r>
              <w:rPr>
                <w:spacing w:val="-5"/>
              </w:rPr>
              <w:t>62</w:t>
            </w:r>
          </w:hyperlink>
        </w:p>
        <w:p>
          <w:pPr>
            <w:pStyle w:val="TOC1"/>
            <w:numPr>
              <w:ilvl w:val="3"/>
              <w:numId w:val="6"/>
            </w:numPr>
            <w:tabs>
              <w:tab w:pos="1851" w:val="left" w:leader="none"/>
              <w:tab w:pos="8650" w:val="right" w:leader="dot"/>
            </w:tabs>
            <w:spacing w:line="240" w:lineRule="auto" w:before="145" w:after="0"/>
            <w:ind w:left="1851" w:right="0" w:hanging="1186"/>
            <w:jc w:val="left"/>
          </w:pPr>
          <w:hyperlink w:history="true" w:anchor="_TOC_250049">
            <w:r>
              <w:rPr/>
              <w:t>Weight</w:t>
            </w:r>
            <w:r>
              <w:rPr>
                <w:spacing w:val="20"/>
              </w:rPr>
              <w:t> </w:t>
            </w:r>
            <w:r>
              <w:rPr/>
              <w:t>uniformity</w:t>
            </w:r>
            <w:r>
              <w:rPr>
                <w:spacing w:val="7"/>
              </w:rPr>
              <w:t> </w:t>
            </w:r>
            <w:r>
              <w:rPr>
                <w:spacing w:val="-4"/>
              </w:rPr>
              <w:t>test</w:t>
            </w:r>
            <w:r>
              <w:rPr/>
              <w:tab/>
            </w:r>
            <w:r>
              <w:rPr>
                <w:spacing w:val="-5"/>
              </w:rPr>
              <w:t>62</w:t>
            </w:r>
          </w:hyperlink>
        </w:p>
        <w:p>
          <w:pPr>
            <w:pStyle w:val="TOC1"/>
            <w:numPr>
              <w:ilvl w:val="3"/>
              <w:numId w:val="6"/>
            </w:numPr>
            <w:tabs>
              <w:tab w:pos="1851" w:val="left" w:leader="none"/>
              <w:tab w:pos="8650" w:val="right" w:leader="dot"/>
            </w:tabs>
            <w:spacing w:line="240" w:lineRule="auto" w:before="102" w:after="0"/>
            <w:ind w:left="1851" w:right="0" w:hanging="1186"/>
            <w:jc w:val="left"/>
          </w:pPr>
          <w:hyperlink w:history="true" w:anchor="_TOC_250048">
            <w:r>
              <w:rPr/>
              <w:t>Thickness</w:t>
            </w:r>
            <w:r>
              <w:rPr>
                <w:spacing w:val="15"/>
              </w:rPr>
              <w:t> </w:t>
            </w:r>
            <w:r>
              <w:rPr/>
              <w:t>and</w:t>
            </w:r>
            <w:r>
              <w:rPr>
                <w:spacing w:val="13"/>
              </w:rPr>
              <w:t> </w:t>
            </w:r>
            <w:r>
              <w:rPr/>
              <w:t>diameter</w:t>
            </w:r>
            <w:r>
              <w:rPr>
                <w:spacing w:val="13"/>
              </w:rPr>
              <w:t> </w:t>
            </w:r>
            <w:r>
              <w:rPr>
                <w:spacing w:val="-2"/>
              </w:rPr>
              <w:t>measurement</w:t>
            </w:r>
            <w:r>
              <w:rPr/>
              <w:tab/>
            </w:r>
            <w:r>
              <w:rPr>
                <w:spacing w:val="-5"/>
              </w:rPr>
              <w:t>62</w:t>
            </w:r>
          </w:hyperlink>
        </w:p>
        <w:p>
          <w:pPr>
            <w:pStyle w:val="TOC1"/>
            <w:numPr>
              <w:ilvl w:val="3"/>
              <w:numId w:val="6"/>
            </w:numPr>
            <w:tabs>
              <w:tab w:pos="1851" w:val="left" w:leader="none"/>
              <w:tab w:pos="8650" w:val="right" w:leader="dot"/>
            </w:tabs>
            <w:spacing w:line="240" w:lineRule="auto" w:before="102" w:after="0"/>
            <w:ind w:left="1851" w:right="0" w:hanging="1186"/>
            <w:jc w:val="left"/>
          </w:pPr>
          <w:hyperlink w:history="true" w:anchor="_TOC_250047">
            <w:r>
              <w:rPr/>
              <w:t>Crushing</w:t>
            </w:r>
            <w:r>
              <w:rPr>
                <w:spacing w:val="13"/>
              </w:rPr>
              <w:t> </w:t>
            </w:r>
            <w:r>
              <w:rPr/>
              <w:t>strength</w:t>
            </w:r>
            <w:r>
              <w:rPr>
                <w:spacing w:val="14"/>
              </w:rPr>
              <w:t> </w:t>
            </w:r>
            <w:r>
              <w:rPr>
                <w:spacing w:val="-4"/>
              </w:rPr>
              <w:t>test</w:t>
            </w:r>
            <w:r>
              <w:rPr/>
              <w:tab/>
            </w:r>
            <w:r>
              <w:rPr>
                <w:spacing w:val="-5"/>
              </w:rPr>
              <w:t>62</w:t>
            </w:r>
          </w:hyperlink>
        </w:p>
        <w:p>
          <w:pPr>
            <w:pStyle w:val="TOC1"/>
            <w:numPr>
              <w:ilvl w:val="3"/>
              <w:numId w:val="6"/>
            </w:numPr>
            <w:tabs>
              <w:tab w:pos="1851" w:val="left" w:leader="none"/>
              <w:tab w:pos="8650" w:val="right" w:leader="dot"/>
            </w:tabs>
            <w:spacing w:line="240" w:lineRule="auto" w:before="98" w:after="0"/>
            <w:ind w:left="1851" w:right="0" w:hanging="1186"/>
            <w:jc w:val="left"/>
          </w:pPr>
          <w:hyperlink w:history="true" w:anchor="_TOC_250046">
            <w:r>
              <w:rPr/>
              <w:t>Friability</w:t>
            </w:r>
            <w:r>
              <w:rPr>
                <w:spacing w:val="17"/>
              </w:rPr>
              <w:t> </w:t>
            </w:r>
            <w:r>
              <w:rPr>
                <w:spacing w:val="-4"/>
              </w:rPr>
              <w:t>test</w:t>
            </w:r>
            <w:r>
              <w:rPr/>
              <w:tab/>
            </w:r>
            <w:r>
              <w:rPr>
                <w:spacing w:val="-5"/>
              </w:rPr>
              <w:t>62</w:t>
            </w:r>
          </w:hyperlink>
        </w:p>
        <w:p>
          <w:pPr>
            <w:pStyle w:val="TOC1"/>
            <w:numPr>
              <w:ilvl w:val="3"/>
              <w:numId w:val="6"/>
            </w:numPr>
            <w:tabs>
              <w:tab w:pos="1851" w:val="left" w:leader="none"/>
              <w:tab w:pos="8650" w:val="right" w:leader="dot"/>
            </w:tabs>
            <w:spacing w:line="240" w:lineRule="auto" w:before="102" w:after="0"/>
            <w:ind w:left="1851" w:right="0" w:hanging="1186"/>
            <w:jc w:val="left"/>
          </w:pPr>
          <w:hyperlink w:history="true" w:anchor="_TOC_250045">
            <w:r>
              <w:rPr/>
              <w:t>Disintegration</w:t>
            </w:r>
            <w:r>
              <w:rPr>
                <w:spacing w:val="13"/>
              </w:rPr>
              <w:t> </w:t>
            </w:r>
            <w:r>
              <w:rPr/>
              <w:t>time</w:t>
            </w:r>
            <w:r>
              <w:rPr>
                <w:spacing w:val="13"/>
              </w:rPr>
              <w:t> </w:t>
            </w:r>
            <w:r>
              <w:rPr>
                <w:spacing w:val="-4"/>
              </w:rPr>
              <w:t>test</w:t>
            </w:r>
            <w:r>
              <w:rPr/>
              <w:tab/>
            </w:r>
            <w:r>
              <w:rPr>
                <w:spacing w:val="-5"/>
              </w:rPr>
              <w:t>63</w:t>
            </w:r>
          </w:hyperlink>
        </w:p>
        <w:p>
          <w:pPr>
            <w:pStyle w:val="TOC1"/>
            <w:numPr>
              <w:ilvl w:val="3"/>
              <w:numId w:val="6"/>
            </w:numPr>
            <w:tabs>
              <w:tab w:pos="1851" w:val="left" w:leader="none"/>
              <w:tab w:pos="8650" w:val="right" w:leader="dot"/>
            </w:tabs>
            <w:spacing w:line="240" w:lineRule="auto" w:before="102" w:after="0"/>
            <w:ind w:left="1851" w:right="0" w:hanging="1186"/>
            <w:jc w:val="left"/>
          </w:pPr>
          <w:hyperlink w:history="true" w:anchor="_TOC_250044">
            <w:r>
              <w:rPr/>
              <w:t>Dissolution</w:t>
            </w:r>
            <w:r>
              <w:rPr>
                <w:spacing w:val="22"/>
              </w:rPr>
              <w:t> </w:t>
            </w:r>
            <w:r>
              <w:rPr>
                <w:spacing w:val="-2"/>
              </w:rPr>
              <w:t>studies</w:t>
            </w:r>
            <w:r>
              <w:rPr/>
              <w:tab/>
            </w:r>
            <w:r>
              <w:rPr>
                <w:spacing w:val="-5"/>
              </w:rPr>
              <w:t>63</w:t>
            </w:r>
          </w:hyperlink>
        </w:p>
        <w:p>
          <w:pPr>
            <w:pStyle w:val="TOC1"/>
            <w:numPr>
              <w:ilvl w:val="1"/>
              <w:numId w:val="6"/>
            </w:numPr>
            <w:tabs>
              <w:tab w:pos="1851" w:val="left" w:leader="none"/>
              <w:tab w:pos="8650" w:val="right" w:leader="dot"/>
            </w:tabs>
            <w:spacing w:line="240" w:lineRule="auto" w:before="98" w:after="0"/>
            <w:ind w:left="1851" w:right="0" w:hanging="1186"/>
            <w:jc w:val="left"/>
          </w:pPr>
          <w:hyperlink w:history="true" w:anchor="_TOC_250043">
            <w:r>
              <w:rPr/>
              <w:t>Compressional</w:t>
            </w:r>
            <w:r>
              <w:rPr>
                <w:spacing w:val="27"/>
              </w:rPr>
              <w:t> </w:t>
            </w:r>
            <w:r>
              <w:rPr/>
              <w:t>property</w:t>
            </w:r>
            <w:r>
              <w:rPr>
                <w:spacing w:val="10"/>
              </w:rPr>
              <w:t> </w:t>
            </w:r>
            <w:r>
              <w:rPr>
                <w:spacing w:val="-4"/>
              </w:rPr>
              <w:t>study</w:t>
            </w:r>
            <w:r>
              <w:rPr/>
              <w:tab/>
            </w:r>
            <w:r>
              <w:rPr>
                <w:spacing w:val="-5"/>
              </w:rPr>
              <w:t>64</w:t>
            </w:r>
          </w:hyperlink>
        </w:p>
        <w:p>
          <w:pPr>
            <w:pStyle w:val="TOC1"/>
            <w:numPr>
              <w:ilvl w:val="2"/>
              <w:numId w:val="6"/>
            </w:numPr>
            <w:tabs>
              <w:tab w:pos="1851" w:val="left" w:leader="none"/>
              <w:tab w:pos="8650" w:val="right" w:leader="dot"/>
            </w:tabs>
            <w:spacing w:line="240" w:lineRule="auto" w:before="102" w:after="0"/>
            <w:ind w:left="1851" w:right="0" w:hanging="1186"/>
            <w:jc w:val="left"/>
          </w:pPr>
          <w:hyperlink w:history="true" w:anchor="_TOC_250042">
            <w:r>
              <w:rPr/>
              <w:t>Determination</w:t>
            </w:r>
            <w:r>
              <w:rPr>
                <w:spacing w:val="9"/>
              </w:rPr>
              <w:t> </w:t>
            </w:r>
            <w:r>
              <w:rPr/>
              <w:t>of</w:t>
            </w:r>
            <w:r>
              <w:rPr>
                <w:spacing w:val="8"/>
              </w:rPr>
              <w:t> </w:t>
            </w:r>
            <w:r>
              <w:rPr/>
              <w:t>particle</w:t>
            </w:r>
            <w:r>
              <w:rPr>
                <w:spacing w:val="20"/>
              </w:rPr>
              <w:t> </w:t>
            </w:r>
            <w:r>
              <w:rPr>
                <w:spacing w:val="-2"/>
              </w:rPr>
              <w:t>density</w:t>
            </w:r>
            <w:r>
              <w:rPr/>
              <w:tab/>
            </w:r>
            <w:r>
              <w:rPr>
                <w:spacing w:val="-5"/>
              </w:rPr>
              <w:t>64</w:t>
            </w:r>
          </w:hyperlink>
        </w:p>
        <w:p>
          <w:pPr>
            <w:pStyle w:val="TOC1"/>
            <w:numPr>
              <w:ilvl w:val="2"/>
              <w:numId w:val="6"/>
            </w:numPr>
            <w:tabs>
              <w:tab w:pos="1851" w:val="left" w:leader="none"/>
              <w:tab w:pos="8650" w:val="right" w:leader="dot"/>
            </w:tabs>
            <w:spacing w:line="240" w:lineRule="auto" w:before="102" w:after="0"/>
            <w:ind w:left="1851" w:right="0" w:hanging="1186"/>
            <w:jc w:val="left"/>
          </w:pPr>
          <w:hyperlink w:history="true" w:anchor="_TOC_250041">
            <w:r>
              <w:rPr/>
              <w:t>Preparation</w:t>
            </w:r>
            <w:r>
              <w:rPr>
                <w:spacing w:val="13"/>
              </w:rPr>
              <w:t> </w:t>
            </w:r>
            <w:r>
              <w:rPr/>
              <w:t>of</w:t>
            </w:r>
            <w:r>
              <w:rPr>
                <w:spacing w:val="19"/>
              </w:rPr>
              <w:t> </w:t>
            </w:r>
            <w:r>
              <w:rPr>
                <w:spacing w:val="-2"/>
              </w:rPr>
              <w:t>compacts</w:t>
            </w:r>
            <w:r>
              <w:rPr/>
              <w:tab/>
            </w:r>
            <w:r>
              <w:rPr>
                <w:spacing w:val="-5"/>
              </w:rPr>
              <w:t>64</w:t>
            </w:r>
          </w:hyperlink>
        </w:p>
        <w:p>
          <w:pPr>
            <w:pStyle w:val="TOC1"/>
            <w:numPr>
              <w:ilvl w:val="2"/>
              <w:numId w:val="6"/>
            </w:numPr>
            <w:tabs>
              <w:tab w:pos="1851" w:val="left" w:leader="none"/>
              <w:tab w:pos="8650" w:val="right" w:leader="dot"/>
            </w:tabs>
            <w:spacing w:line="240" w:lineRule="auto" w:before="98" w:after="0"/>
            <w:ind w:left="1851" w:right="0" w:hanging="1186"/>
            <w:jc w:val="left"/>
          </w:pPr>
          <w:hyperlink w:history="true" w:anchor="_TOC_250040">
            <w:r>
              <w:rPr/>
              <w:t>Evaluation</w:t>
            </w:r>
            <w:r>
              <w:rPr>
                <w:spacing w:val="16"/>
              </w:rPr>
              <w:t> </w:t>
            </w:r>
            <w:r>
              <w:rPr/>
              <w:t>of</w:t>
            </w:r>
            <w:r>
              <w:rPr>
                <w:spacing w:val="14"/>
              </w:rPr>
              <w:t> </w:t>
            </w:r>
            <w:r>
              <w:rPr/>
              <w:t>compression</w:t>
            </w:r>
            <w:r>
              <w:rPr>
                <w:spacing w:val="16"/>
              </w:rPr>
              <w:t> </w:t>
            </w:r>
            <w:r>
              <w:rPr>
                <w:spacing w:val="-2"/>
              </w:rPr>
              <w:t>properties</w:t>
            </w:r>
            <w:r>
              <w:rPr/>
              <w:tab/>
            </w:r>
            <w:r>
              <w:rPr>
                <w:spacing w:val="-5"/>
              </w:rPr>
              <w:t>64</w:t>
            </w:r>
          </w:hyperlink>
        </w:p>
        <w:p>
          <w:pPr>
            <w:pStyle w:val="TOC1"/>
            <w:numPr>
              <w:ilvl w:val="1"/>
              <w:numId w:val="6"/>
            </w:numPr>
            <w:tabs>
              <w:tab w:pos="1851" w:val="left" w:leader="none"/>
              <w:tab w:pos="8646" w:val="right" w:leader="dot"/>
            </w:tabs>
            <w:spacing w:line="240" w:lineRule="auto" w:before="102" w:after="0"/>
            <w:ind w:left="1851" w:right="0" w:hanging="1186"/>
            <w:jc w:val="left"/>
          </w:pPr>
          <w:hyperlink w:history="true" w:anchor="_TOC_250039">
            <w:r>
              <w:rPr/>
              <w:t>Statistical</w:t>
            </w:r>
            <w:r>
              <w:rPr>
                <w:spacing w:val="16"/>
              </w:rPr>
              <w:t> </w:t>
            </w:r>
            <w:r>
              <w:rPr>
                <w:spacing w:val="-2"/>
              </w:rPr>
              <w:t>analysis</w:t>
            </w:r>
            <w:r>
              <w:rPr/>
              <w:tab/>
            </w:r>
            <w:r>
              <w:rPr>
                <w:spacing w:val="-5"/>
              </w:rPr>
              <w:t>64</w:t>
            </w:r>
          </w:hyperlink>
        </w:p>
        <w:p>
          <w:pPr>
            <w:pStyle w:val="TOC1"/>
            <w:tabs>
              <w:tab w:pos="8650" w:val="right" w:leader="dot"/>
            </w:tabs>
            <w:spacing w:before="40"/>
            <w:ind w:left="665" w:firstLine="0"/>
          </w:pPr>
          <w:hyperlink w:history="true" w:anchor="_TOC_250038">
            <w:r>
              <w:rPr/>
              <w:t>CHAPTER</w:t>
            </w:r>
            <w:r>
              <w:rPr>
                <w:spacing w:val="25"/>
              </w:rPr>
              <w:t> </w:t>
            </w:r>
            <w:r>
              <w:rPr>
                <w:spacing w:val="-4"/>
              </w:rPr>
              <w:t>FOUR</w:t>
            </w:r>
            <w:r>
              <w:rPr/>
              <w:tab/>
            </w:r>
            <w:r>
              <w:rPr>
                <w:spacing w:val="-5"/>
              </w:rPr>
              <w:t>66</w:t>
            </w:r>
          </w:hyperlink>
        </w:p>
        <w:p>
          <w:pPr>
            <w:pStyle w:val="TOC1"/>
            <w:numPr>
              <w:ilvl w:val="1"/>
              <w:numId w:val="7"/>
            </w:numPr>
            <w:tabs>
              <w:tab w:pos="1851" w:val="left" w:leader="none"/>
              <w:tab w:pos="8650" w:val="right" w:leader="dot"/>
            </w:tabs>
            <w:spacing w:line="240" w:lineRule="auto" w:before="145" w:after="0"/>
            <w:ind w:left="1851" w:right="0" w:hanging="1186"/>
            <w:jc w:val="left"/>
          </w:pPr>
          <w:hyperlink w:history="true" w:anchor="_TOC_250037">
            <w:r>
              <w:rPr>
                <w:spacing w:val="-2"/>
              </w:rPr>
              <w:t>RESULTS</w:t>
            </w:r>
            <w:r>
              <w:rPr/>
              <w:tab/>
            </w:r>
            <w:r>
              <w:rPr>
                <w:spacing w:val="-5"/>
              </w:rPr>
              <w:t>66</w:t>
            </w:r>
          </w:hyperlink>
        </w:p>
        <w:p>
          <w:pPr>
            <w:pStyle w:val="TOC1"/>
            <w:numPr>
              <w:ilvl w:val="1"/>
              <w:numId w:val="7"/>
            </w:numPr>
            <w:tabs>
              <w:tab w:pos="1851" w:val="left" w:leader="none"/>
              <w:tab w:pos="8650" w:val="right" w:leader="dot"/>
            </w:tabs>
            <w:spacing w:line="240" w:lineRule="auto" w:before="98" w:after="0"/>
            <w:ind w:left="1851" w:right="0" w:hanging="1186"/>
            <w:jc w:val="left"/>
          </w:pPr>
          <w:hyperlink w:history="true" w:anchor="_TOC_250036">
            <w:r>
              <w:rPr/>
              <w:t>Production</w:t>
            </w:r>
            <w:r>
              <w:rPr>
                <w:spacing w:val="11"/>
              </w:rPr>
              <w:t> </w:t>
            </w:r>
            <w:r>
              <w:rPr/>
              <w:t>of</w:t>
            </w:r>
            <w:r>
              <w:rPr>
                <w:spacing w:val="16"/>
              </w:rPr>
              <w:t> </w:t>
            </w:r>
            <w:r>
              <w:rPr/>
              <w:t>microcrystalline</w:t>
            </w:r>
            <w:r>
              <w:rPr>
                <w:spacing w:val="22"/>
              </w:rPr>
              <w:t> </w:t>
            </w:r>
            <w:r>
              <w:rPr>
                <w:spacing w:val="-2"/>
              </w:rPr>
              <w:t>starch</w:t>
            </w:r>
            <w:r>
              <w:rPr/>
              <w:tab/>
            </w:r>
            <w:r>
              <w:rPr>
                <w:spacing w:val="-5"/>
              </w:rPr>
              <w:t>66</w:t>
            </w:r>
          </w:hyperlink>
        </w:p>
        <w:p>
          <w:pPr>
            <w:pStyle w:val="TOC1"/>
            <w:numPr>
              <w:ilvl w:val="1"/>
              <w:numId w:val="7"/>
            </w:numPr>
            <w:tabs>
              <w:tab w:pos="1851" w:val="left" w:leader="none"/>
            </w:tabs>
            <w:spacing w:line="240" w:lineRule="auto" w:before="102" w:after="0"/>
            <w:ind w:left="1851" w:right="0" w:hanging="1186"/>
            <w:jc w:val="left"/>
          </w:pPr>
          <w:r>
            <w:rPr/>
            <w:t>Amylose</w:t>
          </w:r>
          <w:r>
            <w:rPr>
              <w:spacing w:val="15"/>
            </w:rPr>
            <w:t> </w:t>
          </w:r>
          <w:r>
            <w:rPr/>
            <w:t>–</w:t>
          </w:r>
          <w:r>
            <w:rPr>
              <w:spacing w:val="24"/>
            </w:rPr>
            <w:t> </w:t>
          </w:r>
          <w:r>
            <w:rPr/>
            <w:t>Amylopectin</w:t>
          </w:r>
          <w:r>
            <w:rPr>
              <w:spacing w:val="11"/>
            </w:rPr>
            <w:t> </w:t>
          </w:r>
          <w:r>
            <w:rPr/>
            <w:t>content</w:t>
          </w:r>
          <w:r>
            <w:rPr>
              <w:spacing w:val="20"/>
            </w:rPr>
            <w:t> </w:t>
          </w:r>
          <w:r>
            <w:rPr/>
            <w:t>determination</w:t>
          </w:r>
          <w:r>
            <w:rPr>
              <w:spacing w:val="12"/>
            </w:rPr>
            <w:t> </w:t>
          </w:r>
          <w:r>
            <w:rPr/>
            <w:t>for</w:t>
          </w:r>
          <w:r>
            <w:rPr>
              <w:spacing w:val="10"/>
            </w:rPr>
            <w:t> </w:t>
          </w:r>
          <w:r>
            <w:rPr/>
            <w:t>microcrystalline</w:t>
          </w:r>
          <w:r>
            <w:rPr>
              <w:spacing w:val="16"/>
            </w:rPr>
            <w:t> </w:t>
          </w:r>
          <w:r>
            <w:rPr>
              <w:spacing w:val="-2"/>
            </w:rPr>
            <w:t>starch</w:t>
          </w:r>
        </w:p>
        <w:p>
          <w:pPr>
            <w:pStyle w:val="TOC3"/>
          </w:pPr>
          <w:r>
            <w:rPr>
              <w:spacing w:val="-2"/>
            </w:rPr>
            <w:t>…………………………………………………………………………..67</w:t>
          </w:r>
        </w:p>
        <w:p>
          <w:pPr>
            <w:pStyle w:val="TOC1"/>
            <w:numPr>
              <w:ilvl w:val="1"/>
              <w:numId w:val="7"/>
            </w:numPr>
            <w:tabs>
              <w:tab w:pos="1851" w:val="left" w:leader="none"/>
              <w:tab w:pos="8650" w:val="right" w:leader="dot"/>
            </w:tabs>
            <w:spacing w:line="240" w:lineRule="auto" w:before="40" w:after="0"/>
            <w:ind w:left="1851" w:right="0" w:hanging="1186"/>
            <w:jc w:val="left"/>
          </w:pPr>
          <w:hyperlink w:history="true" w:anchor="_TOC_250035">
            <w:r>
              <w:rPr/>
              <w:t>Physicochemical</w:t>
            </w:r>
            <w:r>
              <w:rPr>
                <w:spacing w:val="26"/>
              </w:rPr>
              <w:t> </w:t>
            </w:r>
            <w:r>
              <w:rPr>
                <w:spacing w:val="-2"/>
              </w:rPr>
              <w:t>properties</w:t>
            </w:r>
            <w:r>
              <w:rPr/>
              <w:tab/>
            </w:r>
            <w:r>
              <w:rPr>
                <w:spacing w:val="-5"/>
              </w:rPr>
              <w:t>68</w:t>
            </w:r>
          </w:hyperlink>
        </w:p>
        <w:p>
          <w:pPr>
            <w:pStyle w:val="TOC1"/>
            <w:numPr>
              <w:ilvl w:val="1"/>
              <w:numId w:val="7"/>
            </w:numPr>
            <w:tabs>
              <w:tab w:pos="1851" w:val="left" w:leader="none"/>
              <w:tab w:pos="8650" w:val="right" w:leader="dot"/>
            </w:tabs>
            <w:spacing w:line="240" w:lineRule="auto" w:before="141" w:after="0"/>
            <w:ind w:left="1851" w:right="0" w:hanging="1186"/>
            <w:jc w:val="left"/>
          </w:pPr>
          <w:hyperlink w:history="true" w:anchor="_TOC_250034">
            <w:r>
              <w:rPr>
                <w:spacing w:val="-2"/>
              </w:rPr>
              <w:t>Microscopy</w:t>
            </w:r>
            <w:r>
              <w:rPr/>
              <w:tab/>
            </w:r>
            <w:r>
              <w:rPr>
                <w:spacing w:val="-5"/>
              </w:rPr>
              <w:t>69</w:t>
            </w:r>
          </w:hyperlink>
        </w:p>
        <w:p>
          <w:pPr>
            <w:pStyle w:val="TOC1"/>
            <w:numPr>
              <w:ilvl w:val="1"/>
              <w:numId w:val="7"/>
            </w:numPr>
            <w:tabs>
              <w:tab w:pos="1851" w:val="left" w:leader="none"/>
              <w:tab w:pos="8650" w:val="right" w:leader="dot"/>
            </w:tabs>
            <w:spacing w:line="240" w:lineRule="auto" w:before="107" w:after="0"/>
            <w:ind w:left="1851" w:right="0" w:hanging="1186"/>
            <w:jc w:val="left"/>
          </w:pPr>
          <w:hyperlink w:history="true" w:anchor="_TOC_250033">
            <w:r>
              <w:rPr/>
              <w:t>Particle</w:t>
            </w:r>
            <w:r>
              <w:rPr>
                <w:spacing w:val="10"/>
              </w:rPr>
              <w:t> </w:t>
            </w:r>
            <w:r>
              <w:rPr/>
              <w:t>size</w:t>
            </w:r>
            <w:r>
              <w:rPr>
                <w:spacing w:val="10"/>
              </w:rPr>
              <w:t> </w:t>
            </w:r>
            <w:r>
              <w:rPr>
                <w:spacing w:val="-2"/>
              </w:rPr>
              <w:t>analysis</w:t>
            </w:r>
            <w:r>
              <w:rPr/>
              <w:tab/>
            </w:r>
            <w:r>
              <w:rPr>
                <w:spacing w:val="-5"/>
              </w:rPr>
              <w:t>75</w:t>
            </w:r>
          </w:hyperlink>
        </w:p>
        <w:p>
          <w:pPr>
            <w:pStyle w:val="TOC1"/>
            <w:numPr>
              <w:ilvl w:val="1"/>
              <w:numId w:val="7"/>
            </w:numPr>
            <w:tabs>
              <w:tab w:pos="1851" w:val="left" w:leader="none"/>
              <w:tab w:pos="8650" w:val="right" w:leader="dot"/>
            </w:tabs>
            <w:spacing w:line="240" w:lineRule="auto" w:before="97" w:after="0"/>
            <w:ind w:left="1851" w:right="0" w:hanging="1186"/>
            <w:jc w:val="left"/>
          </w:pPr>
          <w:hyperlink w:history="true" w:anchor="_TOC_250032">
            <w:r>
              <w:rPr/>
              <w:t>Dilution</w:t>
            </w:r>
            <w:r>
              <w:rPr>
                <w:spacing w:val="18"/>
              </w:rPr>
              <w:t> </w:t>
            </w:r>
            <w:r>
              <w:rPr>
                <w:spacing w:val="-2"/>
              </w:rPr>
              <w:t>potentia</w:t>
            </w:r>
            <w:r>
              <w:rPr>
                <w:rFonts w:ascii="Calibri"/>
                <w:spacing w:val="-2"/>
                <w:sz w:val="20"/>
              </w:rPr>
              <w:t>l</w:t>
            </w:r>
            <w:r>
              <w:rPr>
                <w:rFonts w:ascii="Calibri"/>
                <w:sz w:val="20"/>
              </w:rPr>
              <w:tab/>
            </w:r>
            <w:r>
              <w:rPr>
                <w:spacing w:val="-5"/>
              </w:rPr>
              <w:t>75</w:t>
            </w:r>
          </w:hyperlink>
        </w:p>
        <w:p>
          <w:pPr>
            <w:pStyle w:val="TOC1"/>
            <w:numPr>
              <w:ilvl w:val="1"/>
              <w:numId w:val="7"/>
            </w:numPr>
            <w:tabs>
              <w:tab w:pos="1851" w:val="left" w:leader="none"/>
              <w:tab w:pos="8650" w:val="right" w:leader="dot"/>
            </w:tabs>
            <w:spacing w:line="240" w:lineRule="auto" w:before="101" w:after="0"/>
            <w:ind w:left="1851" w:right="0" w:hanging="1186"/>
            <w:jc w:val="left"/>
          </w:pPr>
          <w:hyperlink w:history="true" w:anchor="_TOC_250031">
            <w:r>
              <w:rPr/>
              <w:t>Physical</w:t>
            </w:r>
            <w:r>
              <w:rPr>
                <w:spacing w:val="16"/>
              </w:rPr>
              <w:t> </w:t>
            </w:r>
            <w:r>
              <w:rPr/>
              <w:t>properties</w:t>
            </w:r>
            <w:r>
              <w:rPr>
                <w:spacing w:val="15"/>
              </w:rPr>
              <w:t> </w:t>
            </w:r>
            <w:r>
              <w:rPr/>
              <w:t>of</w:t>
            </w:r>
            <w:r>
              <w:rPr>
                <w:spacing w:val="13"/>
              </w:rPr>
              <w:t> </w:t>
            </w:r>
            <w:r>
              <w:rPr/>
              <w:t>metronidazole</w:t>
            </w:r>
            <w:r>
              <w:rPr>
                <w:spacing w:val="18"/>
              </w:rPr>
              <w:t> </w:t>
            </w:r>
            <w:r>
              <w:rPr>
                <w:spacing w:val="-2"/>
              </w:rPr>
              <w:t>granules</w:t>
            </w:r>
            <w:r>
              <w:rPr/>
              <w:tab/>
            </w:r>
            <w:r>
              <w:rPr>
                <w:spacing w:val="-5"/>
              </w:rPr>
              <w:t>75</w:t>
            </w:r>
          </w:hyperlink>
        </w:p>
        <w:p>
          <w:pPr>
            <w:pStyle w:val="TOC1"/>
            <w:numPr>
              <w:ilvl w:val="1"/>
              <w:numId w:val="7"/>
            </w:numPr>
            <w:tabs>
              <w:tab w:pos="1851" w:val="left" w:leader="none"/>
              <w:tab w:pos="8650" w:val="right" w:leader="dot"/>
            </w:tabs>
            <w:spacing w:line="240" w:lineRule="auto" w:before="102" w:after="240"/>
            <w:ind w:left="1851" w:right="0" w:hanging="1186"/>
            <w:jc w:val="left"/>
          </w:pPr>
          <w:hyperlink w:history="true" w:anchor="_TOC_250030">
            <w:r>
              <w:rPr/>
              <w:t>Properties</w:t>
            </w:r>
            <w:r>
              <w:rPr>
                <w:spacing w:val="17"/>
              </w:rPr>
              <w:t> </w:t>
            </w:r>
            <w:r>
              <w:rPr/>
              <w:t>of</w:t>
            </w:r>
            <w:r>
              <w:rPr>
                <w:spacing w:val="9"/>
              </w:rPr>
              <w:t> </w:t>
            </w:r>
            <w:r>
              <w:rPr/>
              <w:t>tablets</w:t>
            </w:r>
            <w:r>
              <w:rPr>
                <w:spacing w:val="11"/>
              </w:rPr>
              <w:t> </w:t>
            </w:r>
            <w:r>
              <w:rPr/>
              <w:t>produced</w:t>
            </w:r>
            <w:r>
              <w:rPr>
                <w:spacing w:val="15"/>
              </w:rPr>
              <w:t> </w:t>
            </w:r>
            <w:r>
              <w:rPr/>
              <w:t>by</w:t>
            </w:r>
            <w:r>
              <w:rPr>
                <w:spacing w:val="-2"/>
              </w:rPr>
              <w:t> </w:t>
            </w:r>
            <w:r>
              <w:rPr/>
              <w:t>wet</w:t>
            </w:r>
            <w:r>
              <w:rPr>
                <w:spacing w:val="13"/>
              </w:rPr>
              <w:t> </w:t>
            </w:r>
            <w:r>
              <w:rPr>
                <w:spacing w:val="-2"/>
              </w:rPr>
              <w:t>granulation</w:t>
            </w:r>
            <w:r>
              <w:rPr/>
              <w:tab/>
            </w:r>
            <w:r>
              <w:rPr>
                <w:spacing w:val="-5"/>
              </w:rPr>
              <w:t>77</w:t>
            </w:r>
          </w:hyperlink>
        </w:p>
        <w:p>
          <w:pPr>
            <w:pStyle w:val="TOC1"/>
            <w:numPr>
              <w:ilvl w:val="1"/>
              <w:numId w:val="7"/>
            </w:numPr>
            <w:tabs>
              <w:tab w:pos="1849" w:val="left" w:leader="none"/>
              <w:tab w:pos="8415" w:val="left" w:leader="dot"/>
            </w:tabs>
            <w:spacing w:line="240" w:lineRule="auto" w:before="75" w:after="0"/>
            <w:ind w:left="1849" w:right="0" w:hanging="1184"/>
            <w:jc w:val="left"/>
          </w:pPr>
          <w:hyperlink w:history="true" w:anchor="_TOC_250029">
            <w:r>
              <w:rPr/>
              <w:t>Dissolution</w:t>
            </w:r>
            <w:r>
              <w:rPr>
                <w:spacing w:val="17"/>
              </w:rPr>
              <w:t> </w:t>
            </w:r>
            <w:r>
              <w:rPr>
                <w:spacing w:val="-2"/>
              </w:rPr>
              <w:t>studies</w:t>
            </w:r>
            <w:r>
              <w:rPr/>
              <w:tab/>
            </w:r>
            <w:r>
              <w:rPr>
                <w:spacing w:val="-5"/>
              </w:rPr>
              <w:t>81</w:t>
            </w:r>
          </w:hyperlink>
        </w:p>
        <w:p>
          <w:pPr>
            <w:pStyle w:val="TOC2"/>
            <w:numPr>
              <w:ilvl w:val="1"/>
              <w:numId w:val="7"/>
            </w:numPr>
            <w:tabs>
              <w:tab w:pos="1849" w:val="left" w:leader="none"/>
              <w:tab w:pos="1851" w:val="left" w:leader="none"/>
              <w:tab w:pos="8418" w:val="left" w:leader="dot"/>
            </w:tabs>
            <w:spacing w:line="283" w:lineRule="auto" w:before="50" w:after="0"/>
            <w:ind w:left="1851" w:right="1872" w:hanging="1186"/>
            <w:jc w:val="left"/>
            <w:rPr>
              <w:b w:val="0"/>
              <w:i w:val="0"/>
              <w:sz w:val="22"/>
            </w:rPr>
          </w:pPr>
          <w:r>
            <w:rPr>
              <w:b w:val="0"/>
              <w:i w:val="0"/>
              <w:sz w:val="22"/>
            </w:rPr>
            <w:t>Compression</w:t>
          </w:r>
          <w:r>
            <w:rPr>
              <w:b w:val="0"/>
              <w:i w:val="0"/>
              <w:spacing w:val="40"/>
              <w:sz w:val="22"/>
            </w:rPr>
            <w:t> </w:t>
          </w:r>
          <w:r>
            <w:rPr>
              <w:b w:val="0"/>
              <w:i w:val="0"/>
              <w:sz w:val="22"/>
            </w:rPr>
            <w:t>property study on</w:t>
          </w:r>
          <w:r>
            <w:rPr>
              <w:b w:val="0"/>
              <w:i w:val="0"/>
              <w:spacing w:val="40"/>
              <w:sz w:val="22"/>
            </w:rPr>
            <w:t> </w:t>
          </w:r>
          <w:r>
            <w:rPr>
              <w:b w:val="0"/>
              <w:sz w:val="22"/>
            </w:rPr>
            <w:t>Digitaria</w:t>
          </w:r>
          <w:r>
            <w:rPr>
              <w:b w:val="0"/>
              <w:spacing w:val="40"/>
              <w:sz w:val="22"/>
            </w:rPr>
            <w:t> </w:t>
          </w:r>
          <w:r>
            <w:rPr>
              <w:b w:val="0"/>
              <w:sz w:val="22"/>
            </w:rPr>
            <w:t>iburua</w:t>
          </w:r>
          <w:r>
            <w:rPr>
              <w:b w:val="0"/>
              <w:spacing w:val="40"/>
              <w:sz w:val="22"/>
            </w:rPr>
            <w:t> </w:t>
          </w:r>
          <w:r>
            <w:rPr>
              <w:b w:val="0"/>
              <w:i w:val="0"/>
              <w:sz w:val="22"/>
            </w:rPr>
            <w:t>starch and microcrystalline</w:t>
          </w:r>
          <w:r>
            <w:rPr>
              <w:b w:val="0"/>
              <w:i w:val="0"/>
              <w:spacing w:val="20"/>
              <w:sz w:val="22"/>
            </w:rPr>
            <w:t> </w:t>
          </w:r>
          <w:r>
            <w:rPr>
              <w:b w:val="0"/>
              <w:i w:val="0"/>
              <w:spacing w:val="-2"/>
              <w:sz w:val="22"/>
            </w:rPr>
            <w:t>starch</w:t>
          </w:r>
          <w:r>
            <w:rPr>
              <w:b w:val="0"/>
              <w:i w:val="0"/>
              <w:sz w:val="22"/>
            </w:rPr>
            <w:tab/>
          </w:r>
          <w:r>
            <w:rPr>
              <w:b w:val="0"/>
              <w:i w:val="0"/>
              <w:spacing w:val="-5"/>
              <w:sz w:val="22"/>
            </w:rPr>
            <w:t>83</w:t>
          </w:r>
        </w:p>
        <w:p>
          <w:pPr>
            <w:pStyle w:val="TOC1"/>
            <w:tabs>
              <w:tab w:pos="8427" w:val="left" w:leader="dot"/>
            </w:tabs>
            <w:spacing w:line="251" w:lineRule="exact" w:before="0"/>
            <w:ind w:left="665" w:firstLine="0"/>
          </w:pPr>
          <w:hyperlink w:history="true" w:anchor="_TOC_250028">
            <w:r>
              <w:rPr/>
              <w:t>CHAPTER</w:t>
            </w:r>
            <w:r>
              <w:rPr>
                <w:spacing w:val="25"/>
              </w:rPr>
              <w:t> </w:t>
            </w:r>
            <w:r>
              <w:rPr>
                <w:spacing w:val="-4"/>
              </w:rPr>
              <w:t>FIVE</w:t>
            </w:r>
            <w:r>
              <w:rPr/>
              <w:tab/>
            </w:r>
            <w:r>
              <w:rPr>
                <w:spacing w:val="-5"/>
              </w:rPr>
              <w:t>85</w:t>
            </w:r>
          </w:hyperlink>
        </w:p>
        <w:p>
          <w:pPr>
            <w:pStyle w:val="TOC1"/>
            <w:numPr>
              <w:ilvl w:val="1"/>
              <w:numId w:val="8"/>
            </w:numPr>
            <w:tabs>
              <w:tab w:pos="1851" w:val="left" w:leader="none"/>
              <w:tab w:pos="8427" w:val="left" w:leader="dot"/>
            </w:tabs>
            <w:spacing w:line="240" w:lineRule="auto" w:before="97" w:after="0"/>
            <w:ind w:left="1851" w:right="0" w:hanging="1186"/>
            <w:jc w:val="left"/>
          </w:pPr>
          <w:hyperlink w:history="true" w:anchor="_TOC_250027">
            <w:r>
              <w:rPr>
                <w:spacing w:val="-2"/>
              </w:rPr>
              <w:t>DISCUSSION</w:t>
            </w:r>
            <w:r>
              <w:rPr/>
              <w:tab/>
            </w:r>
            <w:r>
              <w:rPr>
                <w:spacing w:val="-5"/>
              </w:rPr>
              <w:t>85</w:t>
            </w:r>
          </w:hyperlink>
        </w:p>
        <w:p>
          <w:pPr>
            <w:pStyle w:val="TOC1"/>
            <w:numPr>
              <w:ilvl w:val="1"/>
              <w:numId w:val="8"/>
            </w:numPr>
            <w:tabs>
              <w:tab w:pos="1851" w:val="left" w:leader="none"/>
              <w:tab w:pos="8427" w:val="left" w:leader="dot"/>
            </w:tabs>
            <w:spacing w:line="240" w:lineRule="auto" w:before="97" w:after="0"/>
            <w:ind w:left="1851" w:right="0" w:hanging="1186"/>
            <w:jc w:val="left"/>
          </w:pPr>
          <w:hyperlink w:history="true" w:anchor="_TOC_250026">
            <w:r>
              <w:rPr/>
              <w:t>Preliminary</w:t>
            </w:r>
            <w:r>
              <w:rPr>
                <w:spacing w:val="21"/>
              </w:rPr>
              <w:t> </w:t>
            </w:r>
            <w:r>
              <w:rPr>
                <w:spacing w:val="-2"/>
              </w:rPr>
              <w:t>investigation</w:t>
            </w:r>
            <w:r>
              <w:rPr/>
              <w:tab/>
            </w:r>
            <w:r>
              <w:rPr>
                <w:spacing w:val="-5"/>
              </w:rPr>
              <w:t>85</w:t>
            </w:r>
          </w:hyperlink>
        </w:p>
        <w:p>
          <w:pPr>
            <w:pStyle w:val="TOC1"/>
            <w:numPr>
              <w:ilvl w:val="1"/>
              <w:numId w:val="8"/>
            </w:numPr>
            <w:tabs>
              <w:tab w:pos="1851" w:val="left" w:leader="none"/>
              <w:tab w:pos="8427" w:val="left" w:leader="dot"/>
            </w:tabs>
            <w:spacing w:line="240" w:lineRule="auto" w:before="107" w:after="0"/>
            <w:ind w:left="1851" w:right="0" w:hanging="1186"/>
            <w:jc w:val="left"/>
          </w:pPr>
          <w:r>
            <w:rPr/>
            <w:t>Amylose</w:t>
          </w:r>
          <w:r>
            <w:rPr>
              <w:spacing w:val="14"/>
            </w:rPr>
            <w:t> </w:t>
          </w:r>
          <w:r>
            <w:rPr/>
            <w:t>–</w:t>
          </w:r>
          <w:r>
            <w:rPr>
              <w:spacing w:val="17"/>
            </w:rPr>
            <w:t> </w:t>
          </w:r>
          <w:r>
            <w:rPr/>
            <w:t>Amylopectin</w:t>
          </w:r>
          <w:r>
            <w:rPr>
              <w:spacing w:val="11"/>
            </w:rPr>
            <w:t> </w:t>
          </w:r>
          <w:r>
            <w:rPr/>
            <w:t>content</w:t>
          </w:r>
          <w:r>
            <w:rPr>
              <w:spacing w:val="19"/>
            </w:rPr>
            <w:t> </w:t>
          </w:r>
          <w:r>
            <w:rPr/>
            <w:t>of</w:t>
          </w:r>
          <w:r>
            <w:rPr>
              <w:spacing w:val="10"/>
            </w:rPr>
            <w:t> </w:t>
          </w:r>
          <w:r>
            <w:rPr/>
            <w:t>microcrystalline</w:t>
          </w:r>
          <w:r>
            <w:rPr>
              <w:spacing w:val="15"/>
            </w:rPr>
            <w:t> </w:t>
          </w:r>
          <w:r>
            <w:rPr>
              <w:spacing w:val="-2"/>
            </w:rPr>
            <w:t>starch</w:t>
          </w:r>
          <w:r>
            <w:rPr/>
            <w:tab/>
          </w:r>
          <w:r>
            <w:rPr>
              <w:spacing w:val="-5"/>
            </w:rPr>
            <w:t>85</w:t>
          </w:r>
        </w:p>
        <w:p>
          <w:pPr>
            <w:pStyle w:val="TOC1"/>
            <w:numPr>
              <w:ilvl w:val="1"/>
              <w:numId w:val="8"/>
            </w:numPr>
            <w:tabs>
              <w:tab w:pos="1851" w:val="left" w:leader="none"/>
              <w:tab w:pos="8427" w:val="left" w:leader="dot"/>
            </w:tabs>
            <w:spacing w:line="240" w:lineRule="auto" w:before="98" w:after="0"/>
            <w:ind w:left="1851" w:right="0" w:hanging="1186"/>
            <w:jc w:val="left"/>
          </w:pPr>
          <w:hyperlink w:history="true" w:anchor="_TOC_250025">
            <w:r>
              <w:rPr>
                <w:spacing w:val="-2"/>
              </w:rPr>
              <w:t>Microscopy</w:t>
            </w:r>
            <w:r>
              <w:rPr/>
              <w:tab/>
            </w:r>
            <w:r>
              <w:rPr>
                <w:spacing w:val="-5"/>
              </w:rPr>
              <w:t>86</w:t>
            </w:r>
          </w:hyperlink>
        </w:p>
        <w:p>
          <w:pPr>
            <w:pStyle w:val="TOC1"/>
            <w:numPr>
              <w:ilvl w:val="1"/>
              <w:numId w:val="8"/>
            </w:numPr>
            <w:tabs>
              <w:tab w:pos="1851" w:val="left" w:leader="none"/>
              <w:tab w:pos="8427" w:val="left" w:leader="dot"/>
            </w:tabs>
            <w:spacing w:line="240" w:lineRule="auto" w:before="97" w:after="0"/>
            <w:ind w:left="1851" w:right="0" w:hanging="1186"/>
            <w:jc w:val="left"/>
          </w:pPr>
          <w:hyperlink w:history="true" w:anchor="_TOC_250024">
            <w:r>
              <w:rPr/>
              <w:t>Physicochemical</w:t>
            </w:r>
            <w:r>
              <w:rPr>
                <w:spacing w:val="27"/>
              </w:rPr>
              <w:t> </w:t>
            </w:r>
            <w:r>
              <w:rPr>
                <w:spacing w:val="-2"/>
              </w:rPr>
              <w:t>properties</w:t>
            </w:r>
            <w:r>
              <w:rPr/>
              <w:tab/>
            </w:r>
            <w:r>
              <w:rPr>
                <w:spacing w:val="-5"/>
              </w:rPr>
              <w:t>86</w:t>
            </w:r>
          </w:hyperlink>
        </w:p>
        <w:p>
          <w:pPr>
            <w:pStyle w:val="TOC1"/>
            <w:numPr>
              <w:ilvl w:val="1"/>
              <w:numId w:val="8"/>
            </w:numPr>
            <w:tabs>
              <w:tab w:pos="1851" w:val="left" w:leader="none"/>
              <w:tab w:pos="8427" w:val="left" w:leader="dot"/>
            </w:tabs>
            <w:spacing w:line="240" w:lineRule="auto" w:before="102" w:after="0"/>
            <w:ind w:left="1851" w:right="0" w:hanging="1186"/>
            <w:jc w:val="left"/>
          </w:pPr>
          <w:hyperlink w:history="true" w:anchor="_TOC_250023">
            <w:r>
              <w:rPr/>
              <w:t>Analysis</w:t>
            </w:r>
            <w:r>
              <w:rPr>
                <w:spacing w:val="12"/>
              </w:rPr>
              <w:t> </w:t>
            </w:r>
            <w:r>
              <w:rPr/>
              <w:t>of</w:t>
            </w:r>
            <w:r>
              <w:rPr>
                <w:spacing w:val="10"/>
              </w:rPr>
              <w:t> </w:t>
            </w:r>
            <w:r>
              <w:rPr>
                <w:spacing w:val="-2"/>
              </w:rPr>
              <w:t>granules</w:t>
            </w:r>
            <w:r>
              <w:rPr/>
              <w:tab/>
            </w:r>
            <w:r>
              <w:rPr>
                <w:spacing w:val="-5"/>
              </w:rPr>
              <w:t>89</w:t>
            </w:r>
          </w:hyperlink>
        </w:p>
        <w:p>
          <w:pPr>
            <w:pStyle w:val="TOC1"/>
            <w:numPr>
              <w:ilvl w:val="1"/>
              <w:numId w:val="8"/>
            </w:numPr>
            <w:tabs>
              <w:tab w:pos="1851" w:val="left" w:leader="none"/>
              <w:tab w:pos="8427" w:val="left" w:leader="dot"/>
            </w:tabs>
            <w:spacing w:line="240" w:lineRule="auto" w:before="103" w:after="0"/>
            <w:ind w:left="1851" w:right="0" w:hanging="1186"/>
            <w:jc w:val="left"/>
          </w:pPr>
          <w:hyperlink w:history="true" w:anchor="_TOC_250022">
            <w:r>
              <w:rPr/>
              <w:t>Evaluation</w:t>
            </w:r>
            <w:r>
              <w:rPr>
                <w:spacing w:val="11"/>
              </w:rPr>
              <w:t> </w:t>
            </w:r>
            <w:r>
              <w:rPr/>
              <w:t>of</w:t>
            </w:r>
            <w:r>
              <w:rPr>
                <w:spacing w:val="10"/>
              </w:rPr>
              <w:t> </w:t>
            </w:r>
            <w:r>
              <w:rPr/>
              <w:t>tablet</w:t>
            </w:r>
            <w:r>
              <w:rPr>
                <w:spacing w:val="14"/>
              </w:rPr>
              <w:t> </w:t>
            </w:r>
            <w:r>
              <w:rPr>
                <w:spacing w:val="-2"/>
              </w:rPr>
              <w:t>properties</w:t>
            </w:r>
            <w:r>
              <w:rPr/>
              <w:tab/>
            </w:r>
            <w:r>
              <w:rPr>
                <w:spacing w:val="-5"/>
              </w:rPr>
              <w:t>91</w:t>
            </w:r>
          </w:hyperlink>
        </w:p>
        <w:p>
          <w:pPr>
            <w:pStyle w:val="TOC1"/>
            <w:numPr>
              <w:ilvl w:val="1"/>
              <w:numId w:val="8"/>
            </w:numPr>
            <w:tabs>
              <w:tab w:pos="1851" w:val="left" w:leader="none"/>
              <w:tab w:pos="8427" w:val="left" w:leader="dot"/>
            </w:tabs>
            <w:spacing w:line="240" w:lineRule="auto" w:before="97" w:after="0"/>
            <w:ind w:left="1851" w:right="0" w:hanging="1186"/>
            <w:jc w:val="left"/>
          </w:pPr>
          <w:hyperlink w:history="true" w:anchor="_TOC_250021">
            <w:r>
              <w:rPr/>
              <w:t>Compression</w:t>
            </w:r>
            <w:r>
              <w:rPr>
                <w:spacing w:val="24"/>
              </w:rPr>
              <w:t> </w:t>
            </w:r>
            <w:r>
              <w:rPr/>
              <w:t>property</w:t>
            </w:r>
            <w:r>
              <w:rPr>
                <w:spacing w:val="11"/>
              </w:rPr>
              <w:t> </w:t>
            </w:r>
            <w:r>
              <w:rPr>
                <w:spacing w:val="-4"/>
              </w:rPr>
              <w:t>study</w:t>
            </w:r>
            <w:r>
              <w:rPr/>
              <w:tab/>
            </w:r>
            <w:r>
              <w:rPr>
                <w:spacing w:val="-5"/>
              </w:rPr>
              <w:t>94</w:t>
            </w:r>
          </w:hyperlink>
        </w:p>
        <w:p>
          <w:pPr>
            <w:pStyle w:val="TOC1"/>
            <w:tabs>
              <w:tab w:pos="8427" w:val="left" w:leader="dot"/>
            </w:tabs>
            <w:ind w:left="665" w:firstLine="0"/>
          </w:pPr>
          <w:hyperlink w:history="true" w:anchor="_TOC_250020">
            <w:r>
              <w:rPr/>
              <w:t>CHAPTER</w:t>
            </w:r>
            <w:r>
              <w:rPr>
                <w:spacing w:val="25"/>
              </w:rPr>
              <w:t> </w:t>
            </w:r>
            <w:r>
              <w:rPr>
                <w:spacing w:val="-5"/>
              </w:rPr>
              <w:t>SIX</w:t>
            </w:r>
            <w:r>
              <w:rPr/>
              <w:tab/>
            </w:r>
            <w:r>
              <w:rPr>
                <w:spacing w:val="-5"/>
              </w:rPr>
              <w:t>96</w:t>
            </w:r>
          </w:hyperlink>
        </w:p>
        <w:p>
          <w:pPr>
            <w:pStyle w:val="TOC1"/>
            <w:numPr>
              <w:ilvl w:val="1"/>
              <w:numId w:val="9"/>
            </w:numPr>
            <w:tabs>
              <w:tab w:pos="1851" w:val="left" w:leader="none"/>
              <w:tab w:pos="8427" w:val="left" w:leader="dot"/>
            </w:tabs>
            <w:spacing w:line="240" w:lineRule="auto" w:before="103" w:after="0"/>
            <w:ind w:left="1851" w:right="0" w:hanging="1186"/>
            <w:jc w:val="left"/>
          </w:pPr>
          <w:hyperlink w:history="true" w:anchor="_TOC_250019">
            <w:r>
              <w:rPr/>
              <w:t>SUMMARY</w:t>
            </w:r>
            <w:r>
              <w:rPr>
                <w:spacing w:val="18"/>
              </w:rPr>
              <w:t> </w:t>
            </w:r>
            <w:r>
              <w:rPr/>
              <w:t>AND</w:t>
            </w:r>
            <w:r>
              <w:rPr>
                <w:spacing w:val="19"/>
              </w:rPr>
              <w:t> </w:t>
            </w:r>
            <w:r>
              <w:rPr>
                <w:spacing w:val="-2"/>
              </w:rPr>
              <w:t>CONCLUSION</w:t>
            </w:r>
            <w:r>
              <w:rPr/>
              <w:tab/>
            </w:r>
            <w:r>
              <w:rPr>
                <w:spacing w:val="-5"/>
              </w:rPr>
              <w:t>96</w:t>
            </w:r>
          </w:hyperlink>
        </w:p>
        <w:p>
          <w:pPr>
            <w:pStyle w:val="TOC1"/>
            <w:numPr>
              <w:ilvl w:val="1"/>
              <w:numId w:val="9"/>
            </w:numPr>
            <w:tabs>
              <w:tab w:pos="1851" w:val="left" w:leader="none"/>
              <w:tab w:pos="8427" w:val="left" w:leader="dot"/>
            </w:tabs>
            <w:spacing w:line="240" w:lineRule="auto" w:before="97" w:after="0"/>
            <w:ind w:left="1851" w:right="0" w:hanging="1186"/>
            <w:jc w:val="left"/>
          </w:pPr>
          <w:hyperlink w:history="true" w:anchor="_TOC_250018">
            <w:r>
              <w:rPr>
                <w:spacing w:val="-2"/>
              </w:rPr>
              <w:t>Recommendations</w:t>
            </w:r>
            <w:r>
              <w:rPr/>
              <w:tab/>
            </w:r>
            <w:r>
              <w:rPr>
                <w:spacing w:val="-5"/>
              </w:rPr>
              <w:t>97</w:t>
            </w:r>
          </w:hyperlink>
        </w:p>
        <w:p>
          <w:pPr>
            <w:pStyle w:val="TOC1"/>
            <w:tabs>
              <w:tab w:pos="8427" w:val="left" w:leader="dot"/>
            </w:tabs>
            <w:ind w:left="665" w:firstLine="0"/>
          </w:pPr>
          <w:hyperlink w:history="true" w:anchor="_TOC_250017">
            <w:r>
              <w:rPr>
                <w:spacing w:val="-2"/>
              </w:rPr>
              <w:t>REFERENCES</w:t>
            </w:r>
            <w:r>
              <w:rPr/>
              <w:tab/>
            </w:r>
            <w:r>
              <w:rPr>
                <w:spacing w:val="-5"/>
              </w:rPr>
              <w:t>98</w:t>
            </w:r>
          </w:hyperlink>
        </w:p>
        <w:p>
          <w:pPr>
            <w:pStyle w:val="TOC1"/>
            <w:tabs>
              <w:tab w:pos="8286" w:val="left" w:leader="dot"/>
            </w:tabs>
            <w:ind w:left="665" w:firstLine="0"/>
          </w:pPr>
          <w:hyperlink w:history="true" w:anchor="_TOC_250016">
            <w:r>
              <w:rPr>
                <w:spacing w:val="-2"/>
              </w:rPr>
              <w:t>APPENDICES</w:t>
            </w:r>
            <w:r>
              <w:rPr/>
              <w:tab/>
            </w:r>
            <w:r>
              <w:rPr>
                <w:spacing w:val="-5"/>
              </w:rPr>
              <w:t>107</w:t>
            </w:r>
          </w:hyperlink>
        </w:p>
      </w:sdtContent>
    </w:sdt>
    <w:p>
      <w:pPr>
        <w:spacing w:after="0"/>
        <w:sectPr>
          <w:type w:val="continuous"/>
          <w:pgSz w:w="12240" w:h="15840"/>
          <w:pgMar w:header="0" w:footer="999" w:top="1260" w:bottom="1343" w:left="1720" w:right="0"/>
        </w:sectPr>
      </w:pPr>
    </w:p>
    <w:p>
      <w:pPr>
        <w:pStyle w:val="Heading1"/>
        <w:ind w:left="1071"/>
      </w:pPr>
      <w:bookmarkStart w:name="_TOC_250154" w:id="7"/>
      <w:r>
        <w:rPr/>
        <w:t>LIST</w:t>
      </w:r>
      <w:r>
        <w:rPr>
          <w:spacing w:val="10"/>
        </w:rPr>
        <w:t> </w:t>
      </w:r>
      <w:r>
        <w:rPr/>
        <w:t>OF</w:t>
      </w:r>
      <w:r>
        <w:rPr>
          <w:spacing w:val="8"/>
        </w:rPr>
        <w:t> </w:t>
      </w:r>
      <w:bookmarkEnd w:id="7"/>
      <w:r>
        <w:rPr>
          <w:spacing w:val="-2"/>
        </w:rPr>
        <w:t>TABLES</w:t>
      </w:r>
    </w:p>
    <w:p>
      <w:pPr>
        <w:pStyle w:val="BodyText"/>
        <w:spacing w:before="3"/>
        <w:rPr>
          <w:b/>
        </w:rPr>
      </w:pPr>
    </w:p>
    <w:p>
      <w:pPr>
        <w:pStyle w:val="BodyText"/>
        <w:tabs>
          <w:tab w:pos="1851" w:val="left" w:leader="none"/>
          <w:tab w:pos="8537" w:val="left" w:leader="dot"/>
        </w:tabs>
        <w:ind w:left="665"/>
      </w:pPr>
      <w:r>
        <w:rPr/>
        <w:t>Table</w:t>
      </w:r>
      <w:r>
        <w:rPr>
          <w:spacing w:val="11"/>
        </w:rPr>
        <w:t> </w:t>
      </w:r>
      <w:r>
        <w:rPr>
          <w:spacing w:val="-4"/>
        </w:rPr>
        <w:t>1.1:</w:t>
      </w:r>
      <w:r>
        <w:rPr/>
        <w:tab/>
        <w:t>Characteristics</w:t>
      </w:r>
      <w:r>
        <w:rPr>
          <w:spacing w:val="11"/>
        </w:rPr>
        <w:t> </w:t>
      </w:r>
      <w:r>
        <w:rPr/>
        <w:t>of</w:t>
      </w:r>
      <w:r>
        <w:rPr>
          <w:spacing w:val="15"/>
        </w:rPr>
        <w:t> </w:t>
      </w:r>
      <w:r>
        <w:rPr/>
        <w:t>starch</w:t>
      </w:r>
      <w:r>
        <w:rPr>
          <w:spacing w:val="16"/>
        </w:rPr>
        <w:t> </w:t>
      </w:r>
      <w:r>
        <w:rPr>
          <w:spacing w:val="-2"/>
        </w:rPr>
        <w:t>grain</w:t>
      </w:r>
      <w:r>
        <w:rPr/>
        <w:tab/>
      </w:r>
      <w:r>
        <w:rPr>
          <w:spacing w:val="-10"/>
        </w:rPr>
        <w:t>6</w:t>
      </w:r>
    </w:p>
    <w:p>
      <w:pPr>
        <w:pStyle w:val="BodyText"/>
        <w:tabs>
          <w:tab w:pos="1851" w:val="left" w:leader="none"/>
          <w:tab w:pos="8427" w:val="left" w:leader="dot"/>
        </w:tabs>
        <w:spacing w:before="97"/>
        <w:ind w:left="665"/>
      </w:pPr>
      <w:r>
        <w:rPr/>
        <w:t>Table</w:t>
      </w:r>
      <w:r>
        <w:rPr>
          <w:spacing w:val="11"/>
        </w:rPr>
        <w:t> </w:t>
      </w:r>
      <w:r>
        <w:rPr>
          <w:spacing w:val="-4"/>
        </w:rPr>
        <w:t>2.1:</w:t>
      </w:r>
      <w:r>
        <w:rPr/>
        <w:tab/>
        <w:t>Tablet</w:t>
      </w:r>
      <w:r>
        <w:rPr>
          <w:spacing w:val="11"/>
        </w:rPr>
        <w:t> </w:t>
      </w:r>
      <w:r>
        <w:rPr/>
        <w:t>weight</w:t>
      </w:r>
      <w:r>
        <w:rPr>
          <w:spacing w:val="17"/>
        </w:rPr>
        <w:t> </w:t>
      </w:r>
      <w:r>
        <w:rPr/>
        <w:t>variation</w:t>
      </w:r>
      <w:r>
        <w:rPr>
          <w:spacing w:val="9"/>
        </w:rPr>
        <w:t> </w:t>
      </w:r>
      <w:r>
        <w:rPr>
          <w:spacing w:val="-2"/>
        </w:rPr>
        <w:t>requirements</w:t>
      </w:r>
      <w:r>
        <w:rPr/>
        <w:tab/>
      </w:r>
      <w:r>
        <w:rPr>
          <w:spacing w:val="-5"/>
        </w:rPr>
        <w:t>39</w:t>
      </w:r>
    </w:p>
    <w:p>
      <w:pPr>
        <w:pStyle w:val="BodyText"/>
        <w:tabs>
          <w:tab w:pos="1851" w:val="left" w:leader="none"/>
          <w:tab w:pos="8427" w:val="left" w:leader="dot"/>
        </w:tabs>
        <w:spacing w:before="102"/>
        <w:ind w:left="665"/>
      </w:pPr>
      <w:r>
        <w:rPr/>
        <w:t>Table</w:t>
      </w:r>
      <w:r>
        <w:rPr>
          <w:spacing w:val="11"/>
        </w:rPr>
        <w:t> </w:t>
      </w:r>
      <w:r>
        <w:rPr>
          <w:spacing w:val="-4"/>
        </w:rPr>
        <w:t>2.2:</w:t>
      </w:r>
      <w:r>
        <w:rPr/>
        <w:tab/>
        <w:t>Examples</w:t>
      </w:r>
      <w:r>
        <w:rPr>
          <w:spacing w:val="12"/>
        </w:rPr>
        <w:t> </w:t>
      </w:r>
      <w:r>
        <w:rPr/>
        <w:t>of</w:t>
      </w:r>
      <w:r>
        <w:rPr>
          <w:spacing w:val="17"/>
        </w:rPr>
        <w:t> </w:t>
      </w:r>
      <w:r>
        <w:rPr/>
        <w:t>binders</w:t>
      </w:r>
      <w:r>
        <w:rPr>
          <w:spacing w:val="12"/>
        </w:rPr>
        <w:t> </w:t>
      </w:r>
      <w:r>
        <w:rPr/>
        <w:t>commonly used</w:t>
      </w:r>
      <w:r>
        <w:rPr>
          <w:spacing w:val="22"/>
        </w:rPr>
        <w:t> </w:t>
      </w:r>
      <w:r>
        <w:rPr>
          <w:spacing w:val="-2"/>
        </w:rPr>
        <w:t>tableting</w:t>
      </w:r>
      <w:r>
        <w:rPr/>
        <w:tab/>
      </w:r>
      <w:r>
        <w:rPr>
          <w:spacing w:val="-5"/>
        </w:rPr>
        <w:t>45</w:t>
      </w:r>
    </w:p>
    <w:p>
      <w:pPr>
        <w:pStyle w:val="BodyText"/>
        <w:tabs>
          <w:tab w:pos="1851" w:val="left" w:leader="none"/>
          <w:tab w:pos="8427" w:val="left" w:leader="dot"/>
        </w:tabs>
        <w:spacing w:before="103"/>
        <w:ind w:left="665"/>
      </w:pPr>
      <w:r>
        <w:rPr/>
        <w:t>Table</w:t>
      </w:r>
      <w:r>
        <w:rPr>
          <w:spacing w:val="11"/>
        </w:rPr>
        <w:t> </w:t>
      </w:r>
      <w:r>
        <w:rPr>
          <w:spacing w:val="-4"/>
        </w:rPr>
        <w:t>2.3:</w:t>
      </w:r>
      <w:r>
        <w:rPr/>
        <w:tab/>
        <w:t>Examples</w:t>
      </w:r>
      <w:r>
        <w:rPr>
          <w:spacing w:val="11"/>
        </w:rPr>
        <w:t> </w:t>
      </w:r>
      <w:r>
        <w:rPr/>
        <w:t>of</w:t>
      </w:r>
      <w:r>
        <w:rPr>
          <w:spacing w:val="15"/>
        </w:rPr>
        <w:t> </w:t>
      </w:r>
      <w:r>
        <w:rPr/>
        <w:t>lubricants</w:t>
      </w:r>
      <w:r>
        <w:rPr>
          <w:spacing w:val="12"/>
        </w:rPr>
        <w:t> </w:t>
      </w:r>
      <w:r>
        <w:rPr/>
        <w:t>commonly</w:t>
      </w:r>
      <w:r>
        <w:rPr>
          <w:spacing w:val="-2"/>
        </w:rPr>
        <w:t> </w:t>
      </w:r>
      <w:r>
        <w:rPr/>
        <w:t>used</w:t>
      </w:r>
      <w:r>
        <w:rPr>
          <w:spacing w:val="20"/>
        </w:rPr>
        <w:t> </w:t>
      </w:r>
      <w:r>
        <w:rPr/>
        <w:t>in</w:t>
      </w:r>
      <w:r>
        <w:rPr>
          <w:spacing w:val="10"/>
        </w:rPr>
        <w:t> </w:t>
      </w:r>
      <w:r>
        <w:rPr>
          <w:spacing w:val="-2"/>
        </w:rPr>
        <w:t>tableting</w:t>
      </w:r>
      <w:r>
        <w:rPr/>
        <w:tab/>
      </w:r>
      <w:r>
        <w:rPr>
          <w:spacing w:val="-5"/>
        </w:rPr>
        <w:t>48</w:t>
      </w:r>
    </w:p>
    <w:p>
      <w:pPr>
        <w:pStyle w:val="BodyText"/>
        <w:tabs>
          <w:tab w:pos="1851" w:val="left" w:leader="none"/>
        </w:tabs>
        <w:spacing w:before="97"/>
        <w:ind w:left="665"/>
        <w:rPr>
          <w:i/>
        </w:rPr>
      </w:pPr>
      <w:r>
        <w:rPr/>
        <w:t>Table</w:t>
      </w:r>
      <w:r>
        <w:rPr>
          <w:spacing w:val="11"/>
        </w:rPr>
        <w:t> </w:t>
      </w:r>
      <w:r>
        <w:rPr>
          <w:spacing w:val="-4"/>
        </w:rPr>
        <w:t>3.1:</w:t>
      </w:r>
      <w:r>
        <w:rPr/>
        <w:tab/>
        <w:t>Tablet</w:t>
      </w:r>
      <w:r>
        <w:rPr>
          <w:spacing w:val="11"/>
        </w:rPr>
        <w:t> </w:t>
      </w:r>
      <w:r>
        <w:rPr/>
        <w:t>formula</w:t>
      </w:r>
      <w:r>
        <w:rPr>
          <w:spacing w:val="12"/>
        </w:rPr>
        <w:t> </w:t>
      </w:r>
      <w:r>
        <w:rPr/>
        <w:t>for</w:t>
      </w:r>
      <w:r>
        <w:rPr>
          <w:spacing w:val="14"/>
        </w:rPr>
        <w:t> </w:t>
      </w:r>
      <w:r>
        <w:rPr/>
        <w:t>studying</w:t>
      </w:r>
      <w:r>
        <w:rPr>
          <w:spacing w:val="3"/>
        </w:rPr>
        <w:t> </w:t>
      </w:r>
      <w:r>
        <w:rPr/>
        <w:t>the</w:t>
      </w:r>
      <w:r>
        <w:rPr>
          <w:spacing w:val="13"/>
        </w:rPr>
        <w:t> </w:t>
      </w:r>
      <w:r>
        <w:rPr/>
        <w:t>binder</w:t>
      </w:r>
      <w:r>
        <w:rPr>
          <w:spacing w:val="14"/>
        </w:rPr>
        <w:t> </w:t>
      </w:r>
      <w:r>
        <w:rPr/>
        <w:t>properties</w:t>
      </w:r>
      <w:r>
        <w:rPr>
          <w:spacing w:val="10"/>
        </w:rPr>
        <w:t> </w:t>
      </w:r>
      <w:r>
        <w:rPr/>
        <w:t>of</w:t>
      </w:r>
      <w:r>
        <w:rPr>
          <w:spacing w:val="15"/>
        </w:rPr>
        <w:t> </w:t>
      </w:r>
      <w:r>
        <w:rPr>
          <w:i/>
        </w:rPr>
        <w:t>Digitaria</w:t>
      </w:r>
      <w:r>
        <w:rPr>
          <w:i/>
          <w:spacing w:val="19"/>
        </w:rPr>
        <w:t> </w:t>
      </w:r>
      <w:r>
        <w:rPr>
          <w:i/>
          <w:spacing w:val="-2"/>
        </w:rPr>
        <w:t>iburua</w:t>
      </w:r>
    </w:p>
    <w:p>
      <w:pPr>
        <w:pStyle w:val="BodyText"/>
        <w:tabs>
          <w:tab w:pos="8427" w:val="left" w:leader="dot"/>
        </w:tabs>
        <w:spacing w:before="6"/>
        <w:ind w:left="1851"/>
      </w:pPr>
      <w:r>
        <w:rPr/>
        <w:t>starch</w:t>
      </w:r>
      <w:r>
        <w:rPr>
          <w:spacing w:val="9"/>
        </w:rPr>
        <w:t> </w:t>
      </w:r>
      <w:r>
        <w:rPr/>
        <w:t>and</w:t>
      </w:r>
      <w:r>
        <w:rPr>
          <w:spacing w:val="16"/>
        </w:rPr>
        <w:t> </w:t>
      </w:r>
      <w:r>
        <w:rPr/>
        <w:t>microcrystalline</w:t>
      </w:r>
      <w:r>
        <w:rPr>
          <w:spacing w:val="13"/>
        </w:rPr>
        <w:t> </w:t>
      </w:r>
      <w:r>
        <w:rPr>
          <w:spacing w:val="-2"/>
        </w:rPr>
        <w:t>starch</w:t>
      </w:r>
      <w:r>
        <w:rPr/>
        <w:tab/>
      </w:r>
      <w:r>
        <w:rPr>
          <w:spacing w:val="-5"/>
        </w:rPr>
        <w:t>61</w:t>
      </w:r>
    </w:p>
    <w:p>
      <w:pPr>
        <w:pStyle w:val="BodyText"/>
        <w:tabs>
          <w:tab w:pos="1851" w:val="left" w:leader="none"/>
        </w:tabs>
        <w:spacing w:before="102"/>
        <w:ind w:left="665"/>
        <w:rPr>
          <w:i/>
        </w:rPr>
      </w:pPr>
      <w:r>
        <w:rPr/>
        <w:t>Table</w:t>
      </w:r>
      <w:r>
        <w:rPr>
          <w:spacing w:val="11"/>
        </w:rPr>
        <w:t> </w:t>
      </w:r>
      <w:r>
        <w:rPr>
          <w:spacing w:val="-4"/>
        </w:rPr>
        <w:t>3.2:</w:t>
      </w:r>
      <w:r>
        <w:rPr/>
        <w:tab/>
        <w:t>Tablet</w:t>
      </w:r>
      <w:r>
        <w:rPr>
          <w:spacing w:val="12"/>
        </w:rPr>
        <w:t> </w:t>
      </w:r>
      <w:r>
        <w:rPr/>
        <w:t>formula</w:t>
      </w:r>
      <w:r>
        <w:rPr>
          <w:spacing w:val="14"/>
        </w:rPr>
        <w:t> </w:t>
      </w:r>
      <w:r>
        <w:rPr/>
        <w:t>for</w:t>
      </w:r>
      <w:r>
        <w:rPr>
          <w:spacing w:val="15"/>
        </w:rPr>
        <w:t> </w:t>
      </w:r>
      <w:r>
        <w:rPr/>
        <w:t>studying</w:t>
      </w:r>
      <w:r>
        <w:rPr>
          <w:spacing w:val="5"/>
        </w:rPr>
        <w:t> </w:t>
      </w:r>
      <w:r>
        <w:rPr/>
        <w:t>the</w:t>
      </w:r>
      <w:r>
        <w:rPr>
          <w:spacing w:val="14"/>
        </w:rPr>
        <w:t> </w:t>
      </w:r>
      <w:r>
        <w:rPr/>
        <w:t>disintegrant</w:t>
      </w:r>
      <w:r>
        <w:rPr>
          <w:spacing w:val="13"/>
        </w:rPr>
        <w:t> </w:t>
      </w:r>
      <w:r>
        <w:rPr/>
        <w:t>properties</w:t>
      </w:r>
      <w:r>
        <w:rPr>
          <w:spacing w:val="11"/>
        </w:rPr>
        <w:t> </w:t>
      </w:r>
      <w:r>
        <w:rPr/>
        <w:t>of</w:t>
      </w:r>
      <w:r>
        <w:rPr>
          <w:spacing w:val="10"/>
        </w:rPr>
        <w:t> </w:t>
      </w:r>
      <w:r>
        <w:rPr>
          <w:i/>
        </w:rPr>
        <w:t>Digitaria</w:t>
      </w:r>
      <w:r>
        <w:rPr>
          <w:i/>
          <w:spacing w:val="21"/>
        </w:rPr>
        <w:t> </w:t>
      </w:r>
      <w:r>
        <w:rPr>
          <w:i/>
          <w:spacing w:val="-2"/>
        </w:rPr>
        <w:t>iburua</w:t>
      </w:r>
    </w:p>
    <w:p>
      <w:pPr>
        <w:pStyle w:val="BodyText"/>
        <w:tabs>
          <w:tab w:pos="8427" w:val="left" w:leader="dot"/>
        </w:tabs>
        <w:spacing w:before="2"/>
        <w:ind w:left="1851"/>
      </w:pPr>
      <w:r>
        <w:rPr/>
        <w:t>starch</w:t>
      </w:r>
      <w:r>
        <w:rPr>
          <w:spacing w:val="9"/>
        </w:rPr>
        <w:t> </w:t>
      </w:r>
      <w:r>
        <w:rPr/>
        <w:t>and</w:t>
      </w:r>
      <w:r>
        <w:rPr>
          <w:spacing w:val="16"/>
        </w:rPr>
        <w:t> </w:t>
      </w:r>
      <w:r>
        <w:rPr/>
        <w:t>microcrystalline</w:t>
      </w:r>
      <w:r>
        <w:rPr>
          <w:spacing w:val="13"/>
        </w:rPr>
        <w:t> </w:t>
      </w:r>
      <w:r>
        <w:rPr>
          <w:spacing w:val="-2"/>
        </w:rPr>
        <w:t>starch</w:t>
      </w:r>
      <w:r>
        <w:rPr/>
        <w:tab/>
      </w:r>
      <w:r>
        <w:rPr>
          <w:spacing w:val="-5"/>
        </w:rPr>
        <w:t>61</w:t>
      </w:r>
    </w:p>
    <w:p>
      <w:pPr>
        <w:tabs>
          <w:tab w:pos="1851" w:val="left" w:leader="none"/>
          <w:tab w:pos="8427" w:val="left" w:leader="dot"/>
        </w:tabs>
        <w:spacing w:before="107"/>
        <w:ind w:left="665" w:right="0" w:firstLine="0"/>
        <w:jc w:val="left"/>
        <w:rPr>
          <w:sz w:val="22"/>
        </w:rPr>
      </w:pPr>
      <w:r>
        <w:rPr>
          <w:sz w:val="22"/>
        </w:rPr>
        <w:t>Table</w:t>
      </w:r>
      <w:r>
        <w:rPr>
          <w:spacing w:val="11"/>
          <w:sz w:val="22"/>
        </w:rPr>
        <w:t> </w:t>
      </w:r>
      <w:r>
        <w:rPr>
          <w:spacing w:val="-4"/>
          <w:sz w:val="22"/>
        </w:rPr>
        <w:t>4.1:</w:t>
      </w:r>
      <w:r>
        <w:rPr>
          <w:sz w:val="22"/>
        </w:rPr>
        <w:tab/>
        <w:t>Preliminary</w:t>
      </w:r>
      <w:r>
        <w:rPr>
          <w:spacing w:val="9"/>
          <w:sz w:val="22"/>
        </w:rPr>
        <w:t> </w:t>
      </w:r>
      <w:r>
        <w:rPr>
          <w:sz w:val="22"/>
        </w:rPr>
        <w:t>investigation</w:t>
      </w:r>
      <w:r>
        <w:rPr>
          <w:spacing w:val="16"/>
          <w:sz w:val="22"/>
        </w:rPr>
        <w:t> </w:t>
      </w:r>
      <w:r>
        <w:rPr>
          <w:sz w:val="22"/>
        </w:rPr>
        <w:t>on</w:t>
      </w:r>
      <w:r>
        <w:rPr>
          <w:spacing w:val="10"/>
          <w:sz w:val="22"/>
        </w:rPr>
        <w:t> </w:t>
      </w:r>
      <w:r>
        <w:rPr>
          <w:i/>
          <w:sz w:val="22"/>
        </w:rPr>
        <w:t>Digitaria</w:t>
      </w:r>
      <w:r>
        <w:rPr>
          <w:i/>
          <w:spacing w:val="22"/>
          <w:sz w:val="22"/>
        </w:rPr>
        <w:t> </w:t>
      </w:r>
      <w:r>
        <w:rPr>
          <w:i/>
          <w:sz w:val="22"/>
        </w:rPr>
        <w:t>iburua</w:t>
      </w:r>
      <w:r>
        <w:rPr>
          <w:i/>
          <w:spacing w:val="22"/>
          <w:sz w:val="22"/>
        </w:rPr>
        <w:t> </w:t>
      </w:r>
      <w:r>
        <w:rPr>
          <w:spacing w:val="-2"/>
          <w:sz w:val="22"/>
        </w:rPr>
        <w:t>starch</w:t>
      </w:r>
      <w:r>
        <w:rPr>
          <w:sz w:val="22"/>
        </w:rPr>
        <w:tab/>
      </w:r>
      <w:r>
        <w:rPr>
          <w:spacing w:val="-5"/>
          <w:sz w:val="22"/>
        </w:rPr>
        <w:t>67</w:t>
      </w:r>
    </w:p>
    <w:p>
      <w:pPr>
        <w:pStyle w:val="BodyText"/>
        <w:tabs>
          <w:tab w:pos="1851" w:val="left" w:leader="none"/>
          <w:tab w:pos="8427" w:val="left" w:leader="dot"/>
        </w:tabs>
        <w:spacing w:before="97"/>
        <w:ind w:left="665"/>
      </w:pPr>
      <w:r>
        <w:rPr/>
        <w:t>Table</w:t>
      </w:r>
      <w:r>
        <w:rPr>
          <w:spacing w:val="11"/>
        </w:rPr>
        <w:t> </w:t>
      </w:r>
      <w:r>
        <w:rPr>
          <w:spacing w:val="-4"/>
        </w:rPr>
        <w:t>4.2:</w:t>
      </w:r>
      <w:r>
        <w:rPr/>
        <w:tab/>
        <w:t>Percentage</w:t>
      </w:r>
      <w:r>
        <w:rPr>
          <w:spacing w:val="17"/>
        </w:rPr>
        <w:t> </w:t>
      </w:r>
      <w:r>
        <w:rPr/>
        <w:t>yield</w:t>
      </w:r>
      <w:r>
        <w:rPr>
          <w:spacing w:val="19"/>
        </w:rPr>
        <w:t> </w:t>
      </w:r>
      <w:r>
        <w:rPr/>
        <w:t>and</w:t>
      </w:r>
      <w:r>
        <w:rPr>
          <w:spacing w:val="18"/>
        </w:rPr>
        <w:t> </w:t>
      </w:r>
      <w:r>
        <w:rPr/>
        <w:t>colour</w:t>
      </w:r>
      <w:r>
        <w:rPr>
          <w:spacing w:val="2"/>
        </w:rPr>
        <w:t> </w:t>
      </w:r>
      <w:r>
        <w:rPr/>
        <w:t>of</w:t>
      </w:r>
      <w:r>
        <w:rPr>
          <w:spacing w:val="8"/>
        </w:rPr>
        <w:t> </w:t>
      </w:r>
      <w:r>
        <w:rPr/>
        <w:t>microcrystalline</w:t>
      </w:r>
      <w:r>
        <w:rPr>
          <w:spacing w:val="11"/>
        </w:rPr>
        <w:t> </w:t>
      </w:r>
      <w:r>
        <w:rPr>
          <w:spacing w:val="-2"/>
        </w:rPr>
        <w:t>starch</w:t>
      </w:r>
      <w:r>
        <w:rPr/>
        <w:tab/>
      </w:r>
      <w:r>
        <w:rPr>
          <w:spacing w:val="-5"/>
        </w:rPr>
        <w:t>67</w:t>
      </w:r>
    </w:p>
    <w:p>
      <w:pPr>
        <w:pStyle w:val="BodyText"/>
        <w:tabs>
          <w:tab w:pos="1851" w:val="left" w:leader="none"/>
        </w:tabs>
        <w:spacing w:before="98"/>
        <w:ind w:left="665"/>
      </w:pPr>
      <w:r>
        <w:rPr/>
        <w:t>Table</w:t>
      </w:r>
      <w:r>
        <w:rPr>
          <w:spacing w:val="11"/>
        </w:rPr>
        <w:t> </w:t>
      </w:r>
      <w:r>
        <w:rPr>
          <w:spacing w:val="-4"/>
        </w:rPr>
        <w:t>4.3:</w:t>
      </w:r>
      <w:r>
        <w:rPr/>
        <w:tab/>
        <w:t>Determination</w:t>
      </w:r>
      <w:r>
        <w:rPr>
          <w:spacing w:val="10"/>
        </w:rPr>
        <w:t> </w:t>
      </w:r>
      <w:r>
        <w:rPr/>
        <w:t>of</w:t>
      </w:r>
      <w:r>
        <w:rPr>
          <w:spacing w:val="16"/>
        </w:rPr>
        <w:t> </w:t>
      </w:r>
      <w:r>
        <w:rPr/>
        <w:t>amylose-amylopectin</w:t>
      </w:r>
      <w:r>
        <w:rPr>
          <w:spacing w:val="17"/>
        </w:rPr>
        <w:t> </w:t>
      </w:r>
      <w:r>
        <w:rPr/>
        <w:t>content</w:t>
      </w:r>
      <w:r>
        <w:rPr>
          <w:spacing w:val="26"/>
        </w:rPr>
        <w:t> </w:t>
      </w:r>
      <w:r>
        <w:rPr/>
        <w:t>for</w:t>
      </w:r>
      <w:r>
        <w:rPr>
          <w:spacing w:val="22"/>
        </w:rPr>
        <w:t> </w:t>
      </w:r>
      <w:r>
        <w:rPr/>
        <w:t>microcrystalline</w:t>
      </w:r>
      <w:r>
        <w:rPr>
          <w:spacing w:val="14"/>
        </w:rPr>
        <w:t> </w:t>
      </w:r>
      <w:r>
        <w:rPr>
          <w:spacing w:val="-2"/>
        </w:rPr>
        <w:t>starch</w:t>
      </w:r>
    </w:p>
    <w:p>
      <w:pPr>
        <w:pStyle w:val="BodyText"/>
        <w:tabs>
          <w:tab w:pos="8427" w:val="left" w:leader="dot"/>
        </w:tabs>
        <w:spacing w:before="11"/>
        <w:ind w:left="1908"/>
      </w:pPr>
      <w:r>
        <w:rPr>
          <w:spacing w:val="-10"/>
        </w:rPr>
        <w:t>.</w:t>
      </w:r>
      <w:r>
        <w:rPr/>
        <w:tab/>
      </w:r>
      <w:r>
        <w:rPr>
          <w:spacing w:val="-5"/>
        </w:rPr>
        <w:t>67</w:t>
      </w:r>
    </w:p>
    <w:p>
      <w:pPr>
        <w:pStyle w:val="BodyText"/>
        <w:tabs>
          <w:tab w:pos="1851" w:val="left" w:leader="none"/>
          <w:tab w:pos="8427" w:val="left" w:leader="dot"/>
        </w:tabs>
        <w:spacing w:line="249" w:lineRule="auto" w:before="97"/>
        <w:ind w:left="1851" w:right="1867" w:hanging="1186"/>
      </w:pPr>
      <w:r>
        <w:rPr/>
        <w:t>Table 4.4:</w:t>
        <w:tab/>
        <w:t>Physicochemical Parameters</w:t>
      </w:r>
      <w:r>
        <w:rPr>
          <w:spacing w:val="40"/>
        </w:rPr>
        <w:t> </w:t>
      </w:r>
      <w:r>
        <w:rPr/>
        <w:t>of </w:t>
      </w:r>
      <w:r>
        <w:rPr>
          <w:i/>
        </w:rPr>
        <w:t>Digitaria</w:t>
      </w:r>
      <w:r>
        <w:rPr>
          <w:i/>
          <w:spacing w:val="40"/>
        </w:rPr>
        <w:t> </w:t>
      </w:r>
      <w:r>
        <w:rPr>
          <w:i/>
        </w:rPr>
        <w:t>iburua starch</w:t>
      </w:r>
      <w:r>
        <w:rPr>
          <w:i/>
          <w:spacing w:val="40"/>
        </w:rPr>
        <w:t> </w:t>
      </w:r>
      <w:r>
        <w:rPr/>
        <w:t>and microcrystalline</w:t>
      </w:r>
      <w:r>
        <w:rPr>
          <w:spacing w:val="13"/>
        </w:rPr>
        <w:t> </w:t>
      </w:r>
      <w:r>
        <w:rPr/>
        <w:t>starch</w:t>
      </w:r>
      <w:r>
        <w:rPr>
          <w:spacing w:val="11"/>
        </w:rPr>
        <w:t> </w:t>
      </w:r>
      <w:r>
        <w:rPr/>
        <w:t>compared</w:t>
      </w:r>
      <w:r>
        <w:rPr>
          <w:spacing w:val="21"/>
        </w:rPr>
        <w:t> </w:t>
      </w:r>
      <w:r>
        <w:rPr/>
        <w:t>with</w:t>
      </w:r>
      <w:r>
        <w:rPr>
          <w:spacing w:val="10"/>
        </w:rPr>
        <w:t> </w:t>
      </w:r>
      <w:r>
        <w:rPr/>
        <w:t>maize</w:t>
      </w:r>
      <w:r>
        <w:rPr>
          <w:spacing w:val="14"/>
        </w:rPr>
        <w:t> </w:t>
      </w:r>
      <w:r>
        <w:rPr/>
        <w:t>starch</w:t>
      </w:r>
      <w:r>
        <w:rPr>
          <w:spacing w:val="10"/>
        </w:rPr>
        <w:t> </w:t>
      </w:r>
      <w:r>
        <w:rPr>
          <w:spacing w:val="-5"/>
        </w:rPr>
        <w:t>B.P</w:t>
      </w:r>
      <w:r>
        <w:rPr/>
        <w:tab/>
      </w:r>
      <w:r>
        <w:rPr>
          <w:spacing w:val="-5"/>
        </w:rPr>
        <w:t>69</w:t>
      </w:r>
    </w:p>
    <w:p>
      <w:pPr>
        <w:pStyle w:val="BodyText"/>
        <w:tabs>
          <w:tab w:pos="1864" w:val="left" w:leader="none"/>
          <w:tab w:pos="8425" w:val="left" w:leader="dot"/>
        </w:tabs>
        <w:spacing w:before="88"/>
        <w:ind w:left="665"/>
      </w:pPr>
      <w:r>
        <w:rPr/>
        <w:t>Table</w:t>
      </w:r>
      <w:r>
        <w:rPr>
          <w:spacing w:val="11"/>
        </w:rPr>
        <w:t> </w:t>
      </w:r>
      <w:r>
        <w:rPr>
          <w:spacing w:val="-4"/>
        </w:rPr>
        <w:t>4.5:</w:t>
      </w:r>
      <w:r>
        <w:rPr/>
        <w:tab/>
        <w:t>Dilution</w:t>
      </w:r>
      <w:r>
        <w:rPr>
          <w:spacing w:val="12"/>
        </w:rPr>
        <w:t> </w:t>
      </w:r>
      <w:r>
        <w:rPr/>
        <w:t>Potential</w:t>
      </w:r>
      <w:r>
        <w:rPr>
          <w:spacing w:val="9"/>
        </w:rPr>
        <w:t> </w:t>
      </w:r>
      <w:r>
        <w:rPr/>
        <w:t>for</w:t>
      </w:r>
      <w:r>
        <w:rPr>
          <w:spacing w:val="17"/>
        </w:rPr>
        <w:t> </w:t>
      </w:r>
      <w:r>
        <w:rPr/>
        <w:t>metronidazole</w:t>
      </w:r>
      <w:r>
        <w:rPr>
          <w:spacing w:val="17"/>
        </w:rPr>
        <w:t> </w:t>
      </w:r>
      <w:r>
        <w:rPr/>
        <w:t>and</w:t>
      </w:r>
      <w:r>
        <w:rPr>
          <w:spacing w:val="26"/>
        </w:rPr>
        <w:t> </w:t>
      </w:r>
      <w:r>
        <w:rPr/>
        <w:t>microcrystalline</w:t>
      </w:r>
      <w:r>
        <w:rPr>
          <w:spacing w:val="16"/>
        </w:rPr>
        <w:t> </w:t>
      </w:r>
      <w:r>
        <w:rPr>
          <w:spacing w:val="-2"/>
        </w:rPr>
        <w:t>starch</w:t>
      </w:r>
      <w:r>
        <w:rPr/>
        <w:tab/>
      </w:r>
      <w:r>
        <w:rPr>
          <w:spacing w:val="-5"/>
        </w:rPr>
        <w:t>75</w:t>
      </w:r>
    </w:p>
    <w:p>
      <w:pPr>
        <w:pStyle w:val="BodyText"/>
        <w:tabs>
          <w:tab w:pos="1851" w:val="left" w:leader="none"/>
          <w:tab w:pos="8427" w:val="left" w:leader="dot"/>
        </w:tabs>
        <w:spacing w:line="244" w:lineRule="auto" w:before="7"/>
        <w:ind w:left="1851" w:right="1867" w:hanging="1186"/>
      </w:pPr>
      <w:r>
        <w:rPr/>
        <w:t>Table 4.6:</w:t>
        <w:tab/>
        <w:t>Effects of disintegrant concentration (% w/w) on the physical properties of the granules</w:t>
      </w:r>
      <w:r>
        <w:rPr/>
        <w:tab/>
      </w:r>
      <w:r>
        <w:rPr>
          <w:spacing w:val="-6"/>
        </w:rPr>
        <w:t>76</w:t>
      </w:r>
    </w:p>
    <w:p>
      <w:pPr>
        <w:pStyle w:val="BodyText"/>
        <w:tabs>
          <w:tab w:pos="1851" w:val="left" w:leader="none"/>
          <w:tab w:pos="8427" w:val="left" w:leader="dot"/>
        </w:tabs>
        <w:spacing w:line="249" w:lineRule="auto" w:before="93"/>
        <w:ind w:left="1851" w:right="1867" w:hanging="1186"/>
      </w:pPr>
      <w:r>
        <w:rPr/>
        <w:t>Table 4.7:</w:t>
        <w:tab/>
        <w:t>Effects of binder concentration (% w/v) on the physical properties of the </w:t>
      </w:r>
      <w:r>
        <w:rPr>
          <w:spacing w:val="-2"/>
        </w:rPr>
        <w:t>granules</w:t>
      </w:r>
      <w:r>
        <w:rPr/>
        <w:tab/>
      </w:r>
      <w:r>
        <w:rPr>
          <w:spacing w:val="-6"/>
        </w:rPr>
        <w:t>77</w:t>
      </w:r>
    </w:p>
    <w:p>
      <w:pPr>
        <w:pStyle w:val="BodyText"/>
        <w:tabs>
          <w:tab w:pos="1851" w:val="left" w:leader="none"/>
          <w:tab w:pos="8427" w:val="left" w:leader="dot"/>
        </w:tabs>
        <w:spacing w:line="249" w:lineRule="auto" w:before="88"/>
        <w:ind w:left="1851" w:right="1867" w:hanging="1186"/>
      </w:pPr>
      <w:r>
        <w:rPr/>
        <w:t>Table 4.8:</w:t>
        <w:tab/>
        <w:t>Quality control tests on the binding properties of tablets produced by wet </w:t>
      </w:r>
      <w:r>
        <w:rPr>
          <w:spacing w:val="-2"/>
        </w:rPr>
        <w:t>granulation</w:t>
      </w:r>
      <w:r>
        <w:rPr/>
        <w:tab/>
      </w:r>
      <w:r>
        <w:rPr>
          <w:spacing w:val="-6"/>
        </w:rPr>
        <w:t>79</w:t>
      </w:r>
    </w:p>
    <w:p>
      <w:pPr>
        <w:pStyle w:val="BodyText"/>
        <w:tabs>
          <w:tab w:pos="1851" w:val="left" w:leader="none"/>
        </w:tabs>
        <w:spacing w:before="89"/>
        <w:ind w:left="665"/>
      </w:pPr>
      <w:r>
        <w:rPr/>
        <w:t>Table</w:t>
      </w:r>
      <w:r>
        <w:rPr>
          <w:spacing w:val="11"/>
        </w:rPr>
        <w:t> </w:t>
      </w:r>
      <w:r>
        <w:rPr>
          <w:spacing w:val="-4"/>
        </w:rPr>
        <w:t>4.9:</w:t>
      </w:r>
      <w:r>
        <w:rPr/>
        <w:tab/>
        <w:t>Quality</w:t>
      </w:r>
      <w:r>
        <w:rPr>
          <w:spacing w:val="6"/>
        </w:rPr>
        <w:t> </w:t>
      </w:r>
      <w:r>
        <w:rPr/>
        <w:t>control</w:t>
      </w:r>
      <w:r>
        <w:rPr>
          <w:spacing w:val="10"/>
        </w:rPr>
        <w:t> </w:t>
      </w:r>
      <w:r>
        <w:rPr/>
        <w:t>tests</w:t>
      </w:r>
      <w:r>
        <w:rPr>
          <w:spacing w:val="14"/>
        </w:rPr>
        <w:t> </w:t>
      </w:r>
      <w:r>
        <w:rPr/>
        <w:t>on</w:t>
      </w:r>
      <w:r>
        <w:rPr>
          <w:spacing w:val="13"/>
        </w:rPr>
        <w:t> </w:t>
      </w:r>
      <w:r>
        <w:rPr/>
        <w:t>the</w:t>
      </w:r>
      <w:r>
        <w:rPr>
          <w:spacing w:val="16"/>
        </w:rPr>
        <w:t> </w:t>
      </w:r>
      <w:r>
        <w:rPr/>
        <w:t>disintegrating</w:t>
      </w:r>
      <w:r>
        <w:rPr>
          <w:spacing w:val="13"/>
        </w:rPr>
        <w:t> </w:t>
      </w:r>
      <w:r>
        <w:rPr/>
        <w:t>properties</w:t>
      </w:r>
      <w:r>
        <w:rPr>
          <w:spacing w:val="14"/>
        </w:rPr>
        <w:t> </w:t>
      </w:r>
      <w:r>
        <w:rPr>
          <w:spacing w:val="-5"/>
        </w:rPr>
        <w:t>of</w:t>
      </w:r>
    </w:p>
    <w:p>
      <w:pPr>
        <w:pStyle w:val="BodyText"/>
        <w:tabs>
          <w:tab w:pos="8427" w:val="left" w:leader="dot"/>
        </w:tabs>
        <w:spacing w:before="97"/>
        <w:ind w:left="1851"/>
      </w:pPr>
      <w:r>
        <w:rPr/>
        <w:t>tablets</w:t>
      </w:r>
      <w:r>
        <w:rPr>
          <w:spacing w:val="12"/>
        </w:rPr>
        <w:t> </w:t>
      </w:r>
      <w:r>
        <w:rPr/>
        <w:t>produced</w:t>
      </w:r>
      <w:r>
        <w:rPr>
          <w:spacing w:val="11"/>
        </w:rPr>
        <w:t> </w:t>
      </w:r>
      <w:r>
        <w:rPr/>
        <w:t>by</w:t>
      </w:r>
      <w:r>
        <w:rPr>
          <w:spacing w:val="-1"/>
        </w:rPr>
        <w:t> </w:t>
      </w:r>
      <w:r>
        <w:rPr/>
        <w:t>wet</w:t>
      </w:r>
      <w:r>
        <w:rPr>
          <w:spacing w:val="19"/>
        </w:rPr>
        <w:t> </w:t>
      </w:r>
      <w:r>
        <w:rPr>
          <w:spacing w:val="-2"/>
        </w:rPr>
        <w:t>granulation</w:t>
      </w:r>
      <w:r>
        <w:rPr/>
        <w:tab/>
      </w:r>
      <w:r>
        <w:rPr>
          <w:spacing w:val="-5"/>
        </w:rPr>
        <w:t>80</w:t>
      </w:r>
    </w:p>
    <w:p>
      <w:pPr>
        <w:pStyle w:val="BodyText"/>
        <w:tabs>
          <w:tab w:pos="8427" w:val="left" w:leader="dot"/>
        </w:tabs>
        <w:spacing w:before="107"/>
        <w:ind w:left="665"/>
      </w:pPr>
      <w:r>
        <w:rPr/>
        <w:t>Table</w:t>
      </w:r>
      <w:r>
        <w:rPr>
          <w:spacing w:val="7"/>
        </w:rPr>
        <w:t> </w:t>
      </w:r>
      <w:r>
        <w:rPr/>
        <w:t>4.10:</w:t>
      </w:r>
      <w:r>
        <w:rPr>
          <w:spacing w:val="34"/>
        </w:rPr>
        <w:t>  </w:t>
      </w:r>
      <w:r>
        <w:rPr/>
        <w:t>Parameters</w:t>
      </w:r>
      <w:r>
        <w:rPr>
          <w:spacing w:val="11"/>
        </w:rPr>
        <w:t> </w:t>
      </w:r>
      <w:r>
        <w:rPr/>
        <w:t>from</w:t>
      </w:r>
      <w:r>
        <w:rPr>
          <w:spacing w:val="9"/>
        </w:rPr>
        <w:t> </w:t>
      </w:r>
      <w:r>
        <w:rPr/>
        <w:t>Heckel</w:t>
      </w:r>
      <w:r>
        <w:rPr>
          <w:spacing w:val="12"/>
        </w:rPr>
        <w:t> </w:t>
      </w:r>
      <w:r>
        <w:rPr>
          <w:spacing w:val="-4"/>
        </w:rPr>
        <w:t>plots</w:t>
      </w:r>
      <w:r>
        <w:rPr/>
        <w:tab/>
      </w:r>
      <w:r>
        <w:rPr>
          <w:spacing w:val="-5"/>
        </w:rPr>
        <w:t>83</w:t>
      </w:r>
    </w:p>
    <w:p>
      <w:pPr>
        <w:spacing w:after="0"/>
        <w:sectPr>
          <w:pgSz w:w="12240" w:h="15840"/>
          <w:pgMar w:header="0" w:footer="999" w:top="1260" w:bottom="1180" w:left="1720" w:right="0"/>
        </w:sectPr>
      </w:pPr>
    </w:p>
    <w:p>
      <w:pPr>
        <w:pStyle w:val="Heading1"/>
        <w:ind w:left="1066"/>
      </w:pPr>
      <w:bookmarkStart w:name="_TOC_250153" w:id="8"/>
      <w:r>
        <w:rPr/>
        <w:t>LIST</w:t>
      </w:r>
      <w:r>
        <w:rPr>
          <w:spacing w:val="7"/>
        </w:rPr>
        <w:t> </w:t>
      </w:r>
      <w:r>
        <w:rPr/>
        <w:t>OF</w:t>
      </w:r>
      <w:r>
        <w:rPr>
          <w:spacing w:val="6"/>
        </w:rPr>
        <w:t> </w:t>
      </w:r>
      <w:bookmarkEnd w:id="8"/>
      <w:r>
        <w:rPr>
          <w:spacing w:val="-2"/>
        </w:rPr>
        <w:t>FIGURES</w:t>
      </w:r>
    </w:p>
    <w:p>
      <w:pPr>
        <w:pStyle w:val="BodyText"/>
        <w:tabs>
          <w:tab w:pos="8383" w:val="left" w:leader="dot"/>
        </w:tabs>
        <w:spacing w:before="247"/>
        <w:ind w:left="665"/>
        <w:rPr>
          <w:rFonts w:ascii="Cambria Math"/>
        </w:rPr>
      </w:pPr>
      <w:r>
        <w:rPr>
          <w:rFonts w:ascii="Cambria Math"/>
        </w:rPr>
        <w:t>Figure</w:t>
      </w:r>
      <w:r>
        <w:rPr>
          <w:rFonts w:ascii="Cambria Math"/>
          <w:spacing w:val="11"/>
        </w:rPr>
        <w:t> </w:t>
      </w:r>
      <w:r>
        <w:rPr>
          <w:rFonts w:ascii="Cambria Math"/>
        </w:rPr>
        <w:t>1.1:</w:t>
      </w:r>
      <w:r>
        <w:rPr>
          <w:rFonts w:ascii="Cambria Math"/>
          <w:spacing w:val="34"/>
        </w:rPr>
        <w:t>  </w:t>
      </w:r>
      <w:r>
        <w:rPr>
          <w:rFonts w:ascii="Cambria Math"/>
        </w:rPr>
        <w:t>Linear</w:t>
      </w:r>
      <w:r>
        <w:rPr>
          <w:rFonts w:ascii="Cambria Math"/>
          <w:spacing w:val="8"/>
        </w:rPr>
        <w:t> </w:t>
      </w:r>
      <w:r>
        <w:rPr>
          <w:rFonts w:ascii="Cambria Math"/>
        </w:rPr>
        <w:t>and</w:t>
      </w:r>
      <w:r>
        <w:rPr>
          <w:rFonts w:ascii="Cambria Math"/>
          <w:spacing w:val="11"/>
        </w:rPr>
        <w:t> </w:t>
      </w:r>
      <w:r>
        <w:rPr>
          <w:rFonts w:ascii="Cambria Math"/>
        </w:rPr>
        <w:t>branched</w:t>
      </w:r>
      <w:r>
        <w:rPr>
          <w:rFonts w:ascii="Cambria Math"/>
          <w:spacing w:val="6"/>
        </w:rPr>
        <w:t> </w:t>
      </w:r>
      <w:r>
        <w:rPr>
          <w:rFonts w:ascii="Cambria Math"/>
        </w:rPr>
        <w:t>starch</w:t>
      </w:r>
      <w:r>
        <w:rPr>
          <w:rFonts w:ascii="Cambria Math"/>
          <w:spacing w:val="11"/>
        </w:rPr>
        <w:t> </w:t>
      </w:r>
      <w:r>
        <w:rPr>
          <w:rFonts w:ascii="Cambria Math"/>
          <w:spacing w:val="-2"/>
        </w:rPr>
        <w:t>polymer</w:t>
      </w:r>
      <w:r>
        <w:rPr>
          <w:rFonts w:ascii="Cambria Math"/>
        </w:rPr>
        <w:tab/>
      </w:r>
      <w:r>
        <w:rPr>
          <w:rFonts w:ascii="Cambria Math"/>
          <w:spacing w:val="-10"/>
        </w:rPr>
        <w:t>3</w:t>
      </w:r>
    </w:p>
    <w:p>
      <w:pPr>
        <w:pStyle w:val="BodyText"/>
        <w:tabs>
          <w:tab w:pos="8427" w:val="left" w:leader="dot"/>
        </w:tabs>
        <w:spacing w:line="244" w:lineRule="auto" w:before="140"/>
        <w:ind w:left="1851" w:right="1858" w:hanging="1186"/>
      </w:pPr>
      <w:r>
        <w:rPr/>
        <w:t>Figure 4.1:</w:t>
      </w:r>
      <w:r>
        <w:rPr>
          <w:spacing w:val="80"/>
          <w:w w:val="150"/>
        </w:rPr>
        <w:t> </w:t>
      </w:r>
      <w:r>
        <w:rPr/>
        <w:t>Graph of percentage frequency (%) against</w:t>
      </w:r>
      <w:r>
        <w:rPr>
          <w:spacing w:val="25"/>
        </w:rPr>
        <w:t> </w:t>
      </w:r>
      <w:r>
        <w:rPr/>
        <w:t>particle size (</w:t>
      </w:r>
      <w:r>
        <w:rPr>
          <w:rFonts w:ascii="Calibri" w:hAnsi="Calibri"/>
        </w:rPr>
        <w:t>µ</w:t>
      </w:r>
      <w:r>
        <w:rPr/>
        <w:t>m) for </w:t>
      </w:r>
      <w:r>
        <w:rPr>
          <w:i/>
        </w:rPr>
        <w:t>Digitaria</w:t>
      </w:r>
      <w:r>
        <w:rPr>
          <w:i/>
          <w:spacing w:val="40"/>
        </w:rPr>
        <w:t> </w:t>
      </w:r>
      <w:r>
        <w:rPr>
          <w:i/>
        </w:rPr>
        <w:t>iburua</w:t>
      </w:r>
      <w:r>
        <w:rPr>
          <w:i/>
          <w:spacing w:val="19"/>
        </w:rPr>
        <w:t> </w:t>
      </w:r>
      <w:r>
        <w:rPr/>
        <w:t>starch</w:t>
      </w:r>
      <w:r>
        <w:rPr>
          <w:spacing w:val="8"/>
        </w:rPr>
        <w:t> </w:t>
      </w:r>
      <w:r>
        <w:rPr/>
        <w:t>and</w:t>
      </w:r>
      <w:r>
        <w:rPr>
          <w:spacing w:val="19"/>
        </w:rPr>
        <w:t> </w:t>
      </w:r>
      <w:r>
        <w:rPr/>
        <w:t>microcrystalline</w:t>
      </w:r>
      <w:r>
        <w:rPr>
          <w:spacing w:val="6"/>
        </w:rPr>
        <w:t> </w:t>
      </w:r>
      <w:r>
        <w:rPr>
          <w:spacing w:val="-2"/>
        </w:rPr>
        <w:t>starch</w:t>
      </w:r>
      <w:r>
        <w:rPr/>
        <w:tab/>
      </w:r>
      <w:r>
        <w:rPr>
          <w:spacing w:val="-5"/>
        </w:rPr>
        <w:t>73</w:t>
      </w:r>
    </w:p>
    <w:p>
      <w:pPr>
        <w:pStyle w:val="BodyText"/>
        <w:tabs>
          <w:tab w:pos="8427" w:val="left" w:leader="dot"/>
        </w:tabs>
        <w:spacing w:line="247" w:lineRule="auto" w:before="92"/>
        <w:ind w:left="1851" w:right="1858" w:hanging="1186"/>
      </w:pPr>
      <w:r>
        <w:rPr/>
        <w:t>Figure 4.2:</w:t>
      </w:r>
      <w:r>
        <w:rPr>
          <w:spacing w:val="80"/>
          <w:w w:val="150"/>
        </w:rPr>
        <w:t> </w:t>
      </w:r>
      <w:r>
        <w:rPr/>
        <w:t>Graph</w:t>
      </w:r>
      <w:r>
        <w:rPr>
          <w:spacing w:val="40"/>
        </w:rPr>
        <w:t> </w:t>
      </w:r>
      <w:r>
        <w:rPr/>
        <w:t>of</w:t>
      </w:r>
      <w:r>
        <w:rPr>
          <w:spacing w:val="40"/>
        </w:rPr>
        <w:t> </w:t>
      </w:r>
      <w:r>
        <w:rPr/>
        <w:t>cumulative</w:t>
      </w:r>
      <w:r>
        <w:rPr>
          <w:spacing w:val="40"/>
        </w:rPr>
        <w:t> </w:t>
      </w:r>
      <w:r>
        <w:rPr/>
        <w:t>frequency</w:t>
      </w:r>
      <w:r>
        <w:rPr>
          <w:spacing w:val="40"/>
        </w:rPr>
        <w:t> </w:t>
      </w:r>
      <w:r>
        <w:rPr/>
        <w:t>against</w:t>
      </w:r>
      <w:r>
        <w:rPr>
          <w:spacing w:val="40"/>
        </w:rPr>
        <w:t> </w:t>
      </w:r>
      <w:r>
        <w:rPr/>
        <w:t>particle</w:t>
      </w:r>
      <w:r>
        <w:rPr>
          <w:spacing w:val="40"/>
        </w:rPr>
        <w:t> </w:t>
      </w:r>
      <w:r>
        <w:rPr/>
        <w:t>size</w:t>
      </w:r>
      <w:r>
        <w:rPr>
          <w:spacing w:val="40"/>
        </w:rPr>
        <w:t> </w:t>
      </w:r>
      <w:r>
        <w:rPr/>
        <w:t>(</w:t>
      </w:r>
      <w:r>
        <w:rPr>
          <w:rFonts w:ascii="Calibri" w:hAnsi="Calibri"/>
        </w:rPr>
        <w:t>µ</w:t>
      </w:r>
      <w:r>
        <w:rPr/>
        <w:t>m)</w:t>
      </w:r>
      <w:r>
        <w:rPr>
          <w:spacing w:val="40"/>
        </w:rPr>
        <w:t> </w:t>
      </w:r>
      <w:r>
        <w:rPr/>
        <w:t>for</w:t>
      </w:r>
      <w:r>
        <w:rPr>
          <w:spacing w:val="40"/>
        </w:rPr>
        <w:t> </w:t>
      </w:r>
      <w:r>
        <w:rPr>
          <w:i/>
        </w:rPr>
        <w:t>Digitaria</w:t>
      </w:r>
      <w:r>
        <w:rPr>
          <w:i/>
          <w:spacing w:val="40"/>
        </w:rPr>
        <w:t> </w:t>
      </w:r>
      <w:r>
        <w:rPr>
          <w:i/>
        </w:rPr>
        <w:t>iburua</w:t>
      </w:r>
      <w:r>
        <w:rPr>
          <w:i/>
          <w:spacing w:val="19"/>
        </w:rPr>
        <w:t> </w:t>
      </w:r>
      <w:r>
        <w:rPr/>
        <w:t>starch</w:t>
      </w:r>
      <w:r>
        <w:rPr>
          <w:spacing w:val="8"/>
        </w:rPr>
        <w:t> </w:t>
      </w:r>
      <w:r>
        <w:rPr/>
        <w:t>and</w:t>
      </w:r>
      <w:r>
        <w:rPr>
          <w:spacing w:val="19"/>
        </w:rPr>
        <w:t> </w:t>
      </w:r>
      <w:r>
        <w:rPr/>
        <w:t>microcrystalline</w:t>
      </w:r>
      <w:r>
        <w:rPr>
          <w:spacing w:val="6"/>
        </w:rPr>
        <w:t> </w:t>
      </w:r>
      <w:r>
        <w:rPr>
          <w:spacing w:val="-2"/>
        </w:rPr>
        <w:t>starch</w:t>
      </w:r>
      <w:r>
        <w:rPr/>
        <w:tab/>
      </w:r>
      <w:r>
        <w:rPr>
          <w:spacing w:val="-5"/>
        </w:rPr>
        <w:t>74</w:t>
      </w:r>
    </w:p>
    <w:p>
      <w:pPr>
        <w:pStyle w:val="BodyText"/>
        <w:spacing w:before="91"/>
        <w:ind w:left="665"/>
      </w:pPr>
      <w:r>
        <w:rPr/>
        <w:t>Figure</w:t>
      </w:r>
      <w:r>
        <w:rPr>
          <w:spacing w:val="26"/>
        </w:rPr>
        <w:t> </w:t>
      </w:r>
      <w:r>
        <w:rPr/>
        <w:t>4.3:</w:t>
      </w:r>
      <w:r>
        <w:rPr>
          <w:spacing w:val="33"/>
        </w:rPr>
        <w:t>  </w:t>
      </w:r>
      <w:r>
        <w:rPr/>
        <w:t>Graph</w:t>
      </w:r>
      <w:r>
        <w:rPr>
          <w:spacing w:val="27"/>
        </w:rPr>
        <w:t> </w:t>
      </w:r>
      <w:r>
        <w:rPr/>
        <w:t>showing</w:t>
      </w:r>
      <w:r>
        <w:rPr>
          <w:spacing w:val="27"/>
        </w:rPr>
        <w:t> </w:t>
      </w:r>
      <w:r>
        <w:rPr/>
        <w:t>dissolution</w:t>
      </w:r>
      <w:r>
        <w:rPr>
          <w:spacing w:val="33"/>
        </w:rPr>
        <w:t> </w:t>
      </w:r>
      <w:r>
        <w:rPr/>
        <w:t>profile</w:t>
      </w:r>
      <w:r>
        <w:rPr>
          <w:spacing w:val="37"/>
        </w:rPr>
        <w:t> </w:t>
      </w:r>
      <w:r>
        <w:rPr/>
        <w:t>of</w:t>
      </w:r>
      <w:r>
        <w:rPr>
          <w:spacing w:val="39"/>
        </w:rPr>
        <w:t> </w:t>
      </w:r>
      <w:r>
        <w:rPr/>
        <w:t>metronidazole</w:t>
      </w:r>
      <w:r>
        <w:rPr>
          <w:spacing w:val="31"/>
        </w:rPr>
        <w:t> </w:t>
      </w:r>
      <w:r>
        <w:rPr/>
        <w:t>tablets</w:t>
      </w:r>
      <w:r>
        <w:rPr>
          <w:spacing w:val="28"/>
        </w:rPr>
        <w:t> </w:t>
      </w:r>
      <w:r>
        <w:rPr/>
        <w:t>containing</w:t>
      </w:r>
      <w:r>
        <w:rPr>
          <w:spacing w:val="34"/>
        </w:rPr>
        <w:t> </w:t>
      </w:r>
      <w:r>
        <w:rPr>
          <w:spacing w:val="-5"/>
        </w:rPr>
        <w:t>7.5</w:t>
      </w:r>
    </w:p>
    <w:p>
      <w:pPr>
        <w:pStyle w:val="BodyText"/>
        <w:tabs>
          <w:tab w:pos="8427" w:val="left" w:leader="dot"/>
        </w:tabs>
        <w:spacing w:before="6"/>
        <w:ind w:left="1851"/>
      </w:pPr>
      <w:r>
        <w:rPr/>
        <w:t>%</w:t>
      </w:r>
      <w:r>
        <w:rPr>
          <w:spacing w:val="9"/>
        </w:rPr>
        <w:t> </w:t>
      </w:r>
      <w:r>
        <w:rPr/>
        <w:t>w/v</w:t>
      </w:r>
      <w:r>
        <w:rPr>
          <w:spacing w:val="8"/>
        </w:rPr>
        <w:t> </w:t>
      </w:r>
      <w:r>
        <w:rPr/>
        <w:t>binder</w:t>
      </w:r>
      <w:r>
        <w:rPr>
          <w:spacing w:val="12"/>
        </w:rPr>
        <w:t> </w:t>
      </w:r>
      <w:r>
        <w:rPr>
          <w:spacing w:val="-2"/>
        </w:rPr>
        <w:t>concentration</w:t>
      </w:r>
      <w:r>
        <w:rPr/>
        <w:tab/>
      </w:r>
      <w:r>
        <w:rPr>
          <w:spacing w:val="-5"/>
        </w:rPr>
        <w:t>81</w:t>
      </w:r>
    </w:p>
    <w:p>
      <w:pPr>
        <w:pStyle w:val="BodyText"/>
        <w:spacing w:before="103"/>
        <w:ind w:left="665"/>
      </w:pPr>
      <w:r>
        <w:rPr/>
        <w:t>Figure</w:t>
      </w:r>
      <w:r>
        <w:rPr>
          <w:spacing w:val="20"/>
        </w:rPr>
        <w:t> </w:t>
      </w:r>
      <w:r>
        <w:rPr/>
        <w:t>4.4:</w:t>
      </w:r>
      <w:r>
        <w:rPr>
          <w:spacing w:val="72"/>
          <w:w w:val="150"/>
        </w:rPr>
        <w:t> </w:t>
      </w:r>
      <w:r>
        <w:rPr/>
        <w:t>Graph</w:t>
      </w:r>
      <w:r>
        <w:rPr>
          <w:spacing w:val="23"/>
        </w:rPr>
        <w:t> </w:t>
      </w:r>
      <w:r>
        <w:rPr/>
        <w:t>showing</w:t>
      </w:r>
      <w:r>
        <w:rPr>
          <w:spacing w:val="22"/>
        </w:rPr>
        <w:t> </w:t>
      </w:r>
      <w:r>
        <w:rPr/>
        <w:t>dissolution</w:t>
      </w:r>
      <w:r>
        <w:rPr>
          <w:spacing w:val="23"/>
        </w:rPr>
        <w:t> </w:t>
      </w:r>
      <w:r>
        <w:rPr/>
        <w:t>profile</w:t>
      </w:r>
      <w:r>
        <w:rPr>
          <w:spacing w:val="25"/>
        </w:rPr>
        <w:t> </w:t>
      </w:r>
      <w:r>
        <w:rPr/>
        <w:t>of</w:t>
      </w:r>
      <w:r>
        <w:rPr>
          <w:spacing w:val="22"/>
        </w:rPr>
        <w:t> </w:t>
      </w:r>
      <w:r>
        <w:rPr/>
        <w:t>metronidazole</w:t>
      </w:r>
      <w:r>
        <w:rPr>
          <w:spacing w:val="20"/>
        </w:rPr>
        <w:t> </w:t>
      </w:r>
      <w:r>
        <w:rPr/>
        <w:t>tablets</w:t>
      </w:r>
      <w:r>
        <w:rPr>
          <w:spacing w:val="23"/>
        </w:rPr>
        <w:t> </w:t>
      </w:r>
      <w:r>
        <w:rPr/>
        <w:t>containing</w:t>
      </w:r>
      <w:r>
        <w:rPr>
          <w:spacing w:val="17"/>
        </w:rPr>
        <w:t> </w:t>
      </w:r>
      <w:r>
        <w:rPr>
          <w:spacing w:val="-4"/>
        </w:rPr>
        <w:t>10.0</w:t>
      </w:r>
    </w:p>
    <w:p>
      <w:pPr>
        <w:pStyle w:val="BodyText"/>
        <w:tabs>
          <w:tab w:pos="8427" w:val="left" w:leader="dot"/>
        </w:tabs>
        <w:spacing w:before="6"/>
        <w:ind w:left="1851"/>
      </w:pPr>
      <w:r>
        <w:rPr/>
        <w:t>%</w:t>
      </w:r>
      <w:r>
        <w:rPr>
          <w:spacing w:val="9"/>
        </w:rPr>
        <w:t> </w:t>
      </w:r>
      <w:r>
        <w:rPr/>
        <w:t>w/w</w:t>
      </w:r>
      <w:r>
        <w:rPr>
          <w:spacing w:val="10"/>
        </w:rPr>
        <w:t> </w:t>
      </w:r>
      <w:r>
        <w:rPr/>
        <w:t>disintegrant</w:t>
      </w:r>
      <w:r>
        <w:rPr>
          <w:spacing w:val="10"/>
        </w:rPr>
        <w:t> </w:t>
      </w:r>
      <w:r>
        <w:rPr>
          <w:spacing w:val="-2"/>
        </w:rPr>
        <w:t>concentration</w:t>
      </w:r>
      <w:r>
        <w:rPr/>
        <w:tab/>
      </w:r>
      <w:r>
        <w:rPr>
          <w:spacing w:val="-5"/>
        </w:rPr>
        <w:t>82</w:t>
      </w:r>
    </w:p>
    <w:p>
      <w:pPr>
        <w:pStyle w:val="BodyText"/>
        <w:tabs>
          <w:tab w:pos="8376" w:val="left" w:leader="dot"/>
        </w:tabs>
        <w:spacing w:line="350" w:lineRule="auto" w:before="102"/>
        <w:ind w:left="1851" w:right="1918" w:hanging="1186"/>
      </w:pPr>
      <w:r>
        <w:rPr/>
        <w:t>Figure 4.5:</w:t>
      </w:r>
      <w:r>
        <w:rPr>
          <w:spacing w:val="40"/>
        </w:rPr>
        <w:t> </w:t>
      </w:r>
      <w:r>
        <w:rPr/>
        <w:t>Graph of ln (1/1-D) against pressure for </w:t>
      </w:r>
      <w:r>
        <w:rPr>
          <w:i/>
        </w:rPr>
        <w:t>Digitaria iburua </w:t>
      </w:r>
      <w:r>
        <w:rPr/>
        <w:t>starch, microcrystalline starch and gelatin compact…</w:t>
      </w:r>
      <w:r>
        <w:rPr/>
        <w:tab/>
      </w:r>
      <w:r>
        <w:rPr>
          <w:spacing w:val="-6"/>
        </w:rPr>
        <w:t>84</w:t>
      </w:r>
    </w:p>
    <w:p>
      <w:pPr>
        <w:spacing w:after="0" w:line="350" w:lineRule="auto"/>
        <w:sectPr>
          <w:pgSz w:w="12240" w:h="15840"/>
          <w:pgMar w:header="0" w:footer="999" w:top="1260" w:bottom="1180" w:left="1720" w:right="0"/>
        </w:sectPr>
      </w:pPr>
    </w:p>
    <w:p>
      <w:pPr>
        <w:pStyle w:val="Heading1"/>
        <w:ind w:left="1067"/>
      </w:pPr>
      <w:bookmarkStart w:name="_TOC_250152" w:id="9"/>
      <w:r>
        <w:rPr/>
        <w:t>LIST</w:t>
      </w:r>
      <w:r>
        <w:rPr>
          <w:spacing w:val="10"/>
        </w:rPr>
        <w:t> </w:t>
      </w:r>
      <w:r>
        <w:rPr/>
        <w:t>OF</w:t>
      </w:r>
      <w:r>
        <w:rPr>
          <w:spacing w:val="8"/>
        </w:rPr>
        <w:t> </w:t>
      </w:r>
      <w:bookmarkEnd w:id="9"/>
      <w:r>
        <w:rPr>
          <w:spacing w:val="-2"/>
        </w:rPr>
        <w:t>PLATES</w:t>
      </w:r>
    </w:p>
    <w:p>
      <w:pPr>
        <w:pStyle w:val="BodyText"/>
        <w:tabs>
          <w:tab w:pos="1142" w:val="left" w:leader="none"/>
          <w:tab w:pos="7756" w:val="left" w:leader="dot"/>
        </w:tabs>
        <w:spacing w:before="247"/>
        <w:ind w:right="1180"/>
        <w:jc w:val="center"/>
        <w:rPr>
          <w:rFonts w:ascii="Cambria Math" w:eastAsia="Cambria Math"/>
        </w:rPr>
      </w:pPr>
      <w:r>
        <w:rPr>
          <w:rFonts w:ascii="Cambria Math" w:eastAsia="Cambria Math"/>
        </w:rPr>
        <w:t>Plate</w:t>
      </w:r>
      <w:r>
        <w:rPr>
          <w:rFonts w:ascii="Cambria Math" w:eastAsia="Cambria Math"/>
          <w:spacing w:val="15"/>
        </w:rPr>
        <w:t> </w:t>
      </w:r>
      <w:r>
        <w:rPr>
          <w:rFonts w:ascii="Cambria Math" w:eastAsia="Cambria Math"/>
          <w:spacing w:val="-4"/>
        </w:rPr>
        <w:t>1.1:</w:t>
      </w:r>
      <w:r>
        <w:rPr>
          <w:rFonts w:ascii="Cambria Math" w:eastAsia="Cambria Math"/>
        </w:rPr>
        <w:tab/>
        <w:t>Photograph</w:t>
      </w:r>
      <w:r>
        <w:rPr>
          <w:rFonts w:ascii="Cambria Math" w:eastAsia="Cambria Math"/>
          <w:spacing w:val="13"/>
        </w:rPr>
        <w:t> </w:t>
      </w:r>
      <w:r>
        <w:rPr>
          <w:rFonts w:ascii="Cambria Math" w:eastAsia="Cambria Math"/>
        </w:rPr>
        <w:t>of</w:t>
      </w:r>
      <w:r>
        <w:rPr>
          <w:rFonts w:ascii="Cambria Math" w:eastAsia="Cambria Math"/>
          <w:spacing w:val="5"/>
        </w:rPr>
        <w:t> </w:t>
      </w:r>
      <w:r>
        <w:rPr>
          <w:rFonts w:ascii="Cambria Math" w:eastAsia="Cambria Math"/>
        </w:rPr>
        <w:t>𝐷𝑖𝑔𝑖𝑡𝑎𝑟𝑖𝑎</w:t>
      </w:r>
      <w:r>
        <w:rPr>
          <w:rFonts w:ascii="Cambria Math" w:eastAsia="Cambria Math"/>
          <w:spacing w:val="25"/>
        </w:rPr>
        <w:t> </w:t>
      </w:r>
      <w:r>
        <w:rPr>
          <w:rFonts w:ascii="Cambria Math" w:eastAsia="Cambria Math"/>
        </w:rPr>
        <w:t>𝑖𝑏𝑢𝑟𝑢𝑎</w:t>
      </w:r>
      <w:r>
        <w:rPr>
          <w:rFonts w:ascii="Cambria Math" w:eastAsia="Cambria Math"/>
          <w:spacing w:val="24"/>
        </w:rPr>
        <w:t> </w:t>
      </w:r>
      <w:r>
        <w:rPr>
          <w:rFonts w:ascii="Cambria Math" w:eastAsia="Cambria Math"/>
          <w:spacing w:val="-4"/>
        </w:rPr>
        <w:t>grain</w:t>
      </w:r>
      <w:r>
        <w:rPr>
          <w:rFonts w:ascii="Cambria Math" w:eastAsia="Cambria Math"/>
        </w:rPr>
        <w:tab/>
      </w:r>
      <w:r>
        <w:rPr>
          <w:rFonts w:ascii="Cambria Math" w:eastAsia="Cambria Math"/>
          <w:spacing w:val="-5"/>
        </w:rPr>
        <w:t>16</w:t>
      </w:r>
    </w:p>
    <w:p>
      <w:pPr>
        <w:pStyle w:val="BodyText"/>
        <w:spacing w:before="6"/>
        <w:rPr>
          <w:rFonts w:ascii="Cambria Math"/>
        </w:rPr>
      </w:pPr>
    </w:p>
    <w:p>
      <w:pPr>
        <w:pStyle w:val="BodyText"/>
        <w:tabs>
          <w:tab w:pos="1851" w:val="left" w:leader="none"/>
          <w:tab w:pos="3923" w:val="left" w:leader="none"/>
          <w:tab w:pos="4620" w:val="left" w:leader="none"/>
          <w:tab w:pos="5965" w:val="left" w:leader="none"/>
          <w:tab w:pos="8427" w:val="left" w:leader="dot"/>
        </w:tabs>
        <w:ind w:left="1851" w:right="1858" w:hanging="1186"/>
      </w:pPr>
      <w:r>
        <w:rPr/>
        <w:t>Plate 4.1:</w:t>
        <w:tab/>
      </w:r>
      <w:r>
        <w:rPr>
          <w:spacing w:val="-2"/>
        </w:rPr>
        <w:t>Photomicrograph</w:t>
      </w:r>
      <w:r>
        <w:rPr/>
        <w:tab/>
      </w:r>
      <w:r>
        <w:rPr>
          <w:spacing w:val="-6"/>
        </w:rPr>
        <w:t>of</w:t>
      </w:r>
      <w:r>
        <w:rPr/>
        <w:tab/>
      </w:r>
      <w:r>
        <w:rPr>
          <w:i/>
          <w:spacing w:val="-2"/>
        </w:rPr>
        <w:t>Digitaria</w:t>
      </w:r>
      <w:r>
        <w:rPr>
          <w:i/>
        </w:rPr>
        <w:tab/>
        <w:t>iburua</w:t>
      </w:r>
      <w:r>
        <w:rPr>
          <w:i/>
          <w:spacing w:val="80"/>
        </w:rPr>
        <w:t>   </w:t>
      </w:r>
      <w:r>
        <w:rPr/>
        <w:t>native</w:t>
      </w:r>
      <w:r>
        <w:rPr>
          <w:spacing w:val="80"/>
        </w:rPr>
        <w:t>   </w:t>
      </w:r>
      <w:r>
        <w:rPr/>
        <w:t>starch</w:t>
      </w:r>
      <w:r>
        <w:rPr>
          <w:spacing w:val="40"/>
        </w:rPr>
        <w:t> </w:t>
      </w:r>
      <w:r>
        <w:rPr/>
        <w:t>(Mag.</w:t>
      </w:r>
      <w:r>
        <w:rPr>
          <w:spacing w:val="10"/>
        </w:rPr>
        <w:t> </w:t>
      </w:r>
      <w:r>
        <w:rPr/>
        <w:t>X</w:t>
      </w:r>
      <w:r>
        <w:rPr>
          <w:spacing w:val="6"/>
        </w:rPr>
        <w:t> </w:t>
      </w:r>
      <w:r>
        <w:rPr/>
        <w:t>400)</w:t>
      </w:r>
      <w:r>
        <w:rPr>
          <w:spacing w:val="6"/>
        </w:rPr>
        <w:t> </w:t>
      </w:r>
      <w:r>
        <w:rPr/>
        <w:t>(Fisher,</w:t>
      </w:r>
      <w:r>
        <w:rPr>
          <w:spacing w:val="11"/>
        </w:rPr>
        <w:t> </w:t>
      </w:r>
      <w:r>
        <w:rPr/>
        <w:t>Rochester</w:t>
      </w:r>
      <w:r>
        <w:rPr>
          <w:spacing w:val="19"/>
        </w:rPr>
        <w:t> </w:t>
      </w:r>
      <w:r>
        <w:rPr/>
        <w:t>–</w:t>
      </w:r>
      <w:r>
        <w:rPr>
          <w:spacing w:val="13"/>
        </w:rPr>
        <w:t> </w:t>
      </w:r>
      <w:r>
        <w:rPr/>
        <w:t>New</w:t>
      </w:r>
      <w:r>
        <w:rPr>
          <w:spacing w:val="5"/>
        </w:rPr>
        <w:t> </w:t>
      </w:r>
      <w:r>
        <w:rPr>
          <w:spacing w:val="-2"/>
        </w:rPr>
        <w:t>York)</w:t>
      </w:r>
      <w:r>
        <w:rPr/>
        <w:tab/>
      </w:r>
      <w:r>
        <w:rPr>
          <w:spacing w:val="-5"/>
        </w:rPr>
        <w:t>70</w:t>
      </w:r>
    </w:p>
    <w:p>
      <w:pPr>
        <w:tabs>
          <w:tab w:pos="1851" w:val="left" w:leader="none"/>
          <w:tab w:pos="8427" w:val="left" w:leader="dot"/>
        </w:tabs>
        <w:spacing w:before="109"/>
        <w:ind w:left="665" w:right="0" w:firstLine="0"/>
        <w:jc w:val="left"/>
        <w:rPr>
          <w:sz w:val="22"/>
        </w:rPr>
      </w:pPr>
      <w:r>
        <w:rPr>
          <w:sz w:val="22"/>
        </w:rPr>
        <w:t>Plate</w:t>
      </w:r>
      <w:r>
        <w:rPr>
          <w:spacing w:val="5"/>
          <w:sz w:val="22"/>
        </w:rPr>
        <w:t> </w:t>
      </w:r>
      <w:r>
        <w:rPr>
          <w:spacing w:val="-4"/>
          <w:sz w:val="22"/>
        </w:rPr>
        <w:t>4.2:</w:t>
      </w:r>
      <w:r>
        <w:rPr>
          <w:sz w:val="22"/>
        </w:rPr>
        <w:tab/>
        <w:t>Photomicrograph</w:t>
      </w:r>
      <w:r>
        <w:rPr>
          <w:spacing w:val="13"/>
          <w:sz w:val="22"/>
        </w:rPr>
        <w:t> </w:t>
      </w:r>
      <w:r>
        <w:rPr>
          <w:sz w:val="22"/>
        </w:rPr>
        <w:t>of</w:t>
      </w:r>
      <w:r>
        <w:rPr>
          <w:spacing w:val="19"/>
          <w:sz w:val="22"/>
        </w:rPr>
        <w:t> </w:t>
      </w:r>
      <w:r>
        <w:rPr>
          <w:i/>
          <w:sz w:val="22"/>
        </w:rPr>
        <w:t>Digitaria</w:t>
      </w:r>
      <w:r>
        <w:rPr>
          <w:i/>
          <w:spacing w:val="20"/>
          <w:sz w:val="22"/>
        </w:rPr>
        <w:t> </w:t>
      </w:r>
      <w:r>
        <w:rPr>
          <w:i/>
          <w:sz w:val="22"/>
        </w:rPr>
        <w:t>iburua</w:t>
      </w:r>
      <w:r>
        <w:rPr>
          <w:i/>
          <w:spacing w:val="18"/>
          <w:sz w:val="22"/>
        </w:rPr>
        <w:t> </w:t>
      </w:r>
      <w:r>
        <w:rPr>
          <w:sz w:val="22"/>
        </w:rPr>
        <w:t>microcrystalline</w:t>
      </w:r>
      <w:r>
        <w:rPr>
          <w:spacing w:val="17"/>
          <w:sz w:val="22"/>
        </w:rPr>
        <w:t> </w:t>
      </w:r>
      <w:r>
        <w:rPr>
          <w:spacing w:val="-2"/>
          <w:sz w:val="22"/>
        </w:rPr>
        <w:t>starch</w:t>
      </w:r>
      <w:r>
        <w:rPr>
          <w:sz w:val="22"/>
        </w:rPr>
        <w:tab/>
      </w:r>
      <w:r>
        <w:rPr>
          <w:spacing w:val="-5"/>
          <w:sz w:val="22"/>
        </w:rPr>
        <w:t>71</w:t>
      </w:r>
    </w:p>
    <w:p>
      <w:pPr>
        <w:pStyle w:val="BodyText"/>
        <w:tabs>
          <w:tab w:pos="8427" w:val="left" w:leader="dot"/>
        </w:tabs>
        <w:spacing w:before="97"/>
        <w:ind w:left="1851"/>
      </w:pPr>
      <w:r>
        <w:rPr/>
        <w:t>(Mag.</w:t>
      </w:r>
      <w:r>
        <w:rPr>
          <w:spacing w:val="10"/>
        </w:rPr>
        <w:t> </w:t>
      </w:r>
      <w:r>
        <w:rPr/>
        <w:t>X</w:t>
      </w:r>
      <w:r>
        <w:rPr>
          <w:spacing w:val="6"/>
        </w:rPr>
        <w:t> </w:t>
      </w:r>
      <w:r>
        <w:rPr/>
        <w:t>400)</w:t>
      </w:r>
      <w:r>
        <w:rPr>
          <w:spacing w:val="6"/>
        </w:rPr>
        <w:t> </w:t>
      </w:r>
      <w:r>
        <w:rPr/>
        <w:t>(Fisher,</w:t>
      </w:r>
      <w:r>
        <w:rPr>
          <w:spacing w:val="11"/>
        </w:rPr>
        <w:t> </w:t>
      </w:r>
      <w:r>
        <w:rPr/>
        <w:t>Rochester</w:t>
      </w:r>
      <w:r>
        <w:rPr>
          <w:spacing w:val="19"/>
        </w:rPr>
        <w:t> </w:t>
      </w:r>
      <w:r>
        <w:rPr/>
        <w:t>–</w:t>
      </w:r>
      <w:r>
        <w:rPr>
          <w:spacing w:val="13"/>
        </w:rPr>
        <w:t> </w:t>
      </w:r>
      <w:r>
        <w:rPr/>
        <w:t>New</w:t>
      </w:r>
      <w:r>
        <w:rPr>
          <w:spacing w:val="5"/>
        </w:rPr>
        <w:t> </w:t>
      </w:r>
      <w:r>
        <w:rPr>
          <w:spacing w:val="-4"/>
        </w:rPr>
        <w:t>York)</w:t>
      </w:r>
      <w:r>
        <w:rPr/>
        <w:tab/>
      </w:r>
      <w:r>
        <w:rPr>
          <w:spacing w:val="-5"/>
        </w:rPr>
        <w:t>71</w:t>
      </w:r>
    </w:p>
    <w:p>
      <w:pPr>
        <w:pStyle w:val="BodyText"/>
        <w:tabs>
          <w:tab w:pos="1851" w:val="left" w:leader="none"/>
          <w:tab w:pos="8427" w:val="left" w:leader="dot"/>
        </w:tabs>
        <w:spacing w:before="98"/>
        <w:ind w:left="665"/>
      </w:pPr>
      <w:r>
        <w:rPr/>
        <w:t>Plate</w:t>
      </w:r>
      <w:r>
        <w:rPr>
          <w:spacing w:val="5"/>
        </w:rPr>
        <w:t> </w:t>
      </w:r>
      <w:r>
        <w:rPr>
          <w:spacing w:val="-4"/>
        </w:rPr>
        <w:t>4.3:</w:t>
      </w:r>
      <w:r>
        <w:rPr/>
        <w:tab/>
        <w:t>Photomicrograph</w:t>
      </w:r>
      <w:r>
        <w:rPr>
          <w:spacing w:val="13"/>
        </w:rPr>
        <w:t> </w:t>
      </w:r>
      <w:r>
        <w:rPr/>
        <w:t>of</w:t>
      </w:r>
      <w:r>
        <w:rPr>
          <w:spacing w:val="12"/>
        </w:rPr>
        <w:t> </w:t>
      </w:r>
      <w:r>
        <w:rPr/>
        <w:t>Maize</w:t>
      </w:r>
      <w:r>
        <w:rPr>
          <w:spacing w:val="17"/>
        </w:rPr>
        <w:t> </w:t>
      </w:r>
      <w:r>
        <w:rPr/>
        <w:t>Starch</w:t>
      </w:r>
      <w:r>
        <w:rPr>
          <w:spacing w:val="13"/>
        </w:rPr>
        <w:t> </w:t>
      </w:r>
      <w:r>
        <w:rPr>
          <w:spacing w:val="-5"/>
        </w:rPr>
        <w:t>BP</w:t>
      </w:r>
      <w:r>
        <w:rPr/>
        <w:tab/>
      </w:r>
      <w:r>
        <w:rPr>
          <w:spacing w:val="-5"/>
        </w:rPr>
        <w:t>72</w:t>
      </w:r>
    </w:p>
    <w:p>
      <w:pPr>
        <w:pStyle w:val="BodyText"/>
        <w:tabs>
          <w:tab w:pos="8427" w:val="left" w:leader="dot"/>
        </w:tabs>
        <w:spacing w:before="107"/>
        <w:ind w:left="1851"/>
      </w:pPr>
      <w:r>
        <w:rPr/>
        <w:t>(Mag.</w:t>
      </w:r>
      <w:r>
        <w:rPr>
          <w:spacing w:val="10"/>
        </w:rPr>
        <w:t> </w:t>
      </w:r>
      <w:r>
        <w:rPr/>
        <w:t>X</w:t>
      </w:r>
      <w:r>
        <w:rPr>
          <w:spacing w:val="6"/>
        </w:rPr>
        <w:t> </w:t>
      </w:r>
      <w:r>
        <w:rPr/>
        <w:t>400)</w:t>
      </w:r>
      <w:r>
        <w:rPr>
          <w:spacing w:val="6"/>
        </w:rPr>
        <w:t> </w:t>
      </w:r>
      <w:r>
        <w:rPr/>
        <w:t>(Fisher,</w:t>
      </w:r>
      <w:r>
        <w:rPr>
          <w:spacing w:val="11"/>
        </w:rPr>
        <w:t> </w:t>
      </w:r>
      <w:r>
        <w:rPr/>
        <w:t>Rochester</w:t>
      </w:r>
      <w:r>
        <w:rPr>
          <w:spacing w:val="19"/>
        </w:rPr>
        <w:t> </w:t>
      </w:r>
      <w:r>
        <w:rPr/>
        <w:t>–</w:t>
      </w:r>
      <w:r>
        <w:rPr>
          <w:spacing w:val="13"/>
        </w:rPr>
        <w:t> </w:t>
      </w:r>
      <w:r>
        <w:rPr/>
        <w:t>New</w:t>
      </w:r>
      <w:r>
        <w:rPr>
          <w:spacing w:val="5"/>
        </w:rPr>
        <w:t> </w:t>
      </w:r>
      <w:r>
        <w:rPr>
          <w:spacing w:val="-4"/>
        </w:rPr>
        <w:t>York)</w:t>
      </w:r>
      <w:r>
        <w:rPr/>
        <w:tab/>
      </w:r>
      <w:r>
        <w:rPr>
          <w:spacing w:val="-5"/>
        </w:rPr>
        <w:t>72</w:t>
      </w:r>
    </w:p>
    <w:p>
      <w:pPr>
        <w:spacing w:after="0"/>
        <w:sectPr>
          <w:pgSz w:w="12240" w:h="15840"/>
          <w:pgMar w:header="0" w:footer="999" w:top="1260" w:bottom="1180" w:left="1720" w:right="0"/>
        </w:sectPr>
      </w:pPr>
    </w:p>
    <w:p>
      <w:pPr>
        <w:pStyle w:val="Heading1"/>
        <w:ind w:left="3473" w:right="0"/>
        <w:jc w:val="left"/>
      </w:pPr>
      <w:bookmarkStart w:name="_TOC_250151" w:id="10"/>
      <w:r>
        <w:rPr/>
        <w:t>LIST</w:t>
      </w:r>
      <w:r>
        <w:rPr>
          <w:spacing w:val="7"/>
        </w:rPr>
        <w:t> </w:t>
      </w:r>
      <w:r>
        <w:rPr/>
        <w:t>OF</w:t>
      </w:r>
      <w:r>
        <w:rPr>
          <w:spacing w:val="6"/>
        </w:rPr>
        <w:t> </w:t>
      </w:r>
      <w:bookmarkEnd w:id="10"/>
      <w:r>
        <w:rPr>
          <w:spacing w:val="-2"/>
        </w:rPr>
        <w:t>APPENDICES</w:t>
      </w:r>
    </w:p>
    <w:p>
      <w:pPr>
        <w:pStyle w:val="ListParagraph"/>
        <w:numPr>
          <w:ilvl w:val="1"/>
          <w:numId w:val="10"/>
        </w:numPr>
        <w:tabs>
          <w:tab w:pos="1851" w:val="left" w:leader="none"/>
          <w:tab w:pos="8311" w:val="left" w:leader="dot"/>
        </w:tabs>
        <w:spacing w:line="240" w:lineRule="auto" w:before="246" w:after="0"/>
        <w:ind w:left="1851" w:right="0" w:hanging="1186"/>
        <w:jc w:val="left"/>
        <w:rPr>
          <w:sz w:val="22"/>
        </w:rPr>
      </w:pPr>
      <w:hyperlink w:history="true" w:anchor="_TOC_250015">
        <w:r>
          <w:rPr>
            <w:sz w:val="22"/>
          </w:rPr>
          <w:t>Particle</w:t>
        </w:r>
        <w:r>
          <w:rPr>
            <w:spacing w:val="10"/>
            <w:sz w:val="22"/>
          </w:rPr>
          <w:t> </w:t>
        </w:r>
        <w:r>
          <w:rPr>
            <w:sz w:val="22"/>
          </w:rPr>
          <w:t>size</w:t>
        </w:r>
        <w:r>
          <w:rPr>
            <w:spacing w:val="10"/>
            <w:sz w:val="22"/>
          </w:rPr>
          <w:t> </w:t>
        </w:r>
        <w:r>
          <w:rPr>
            <w:spacing w:val="-2"/>
            <w:sz w:val="22"/>
          </w:rPr>
          <w:t>distribution</w:t>
        </w:r>
        <w:r>
          <w:rPr>
            <w:sz w:val="22"/>
          </w:rPr>
          <w:tab/>
        </w:r>
        <w:r>
          <w:rPr>
            <w:spacing w:val="-5"/>
            <w:sz w:val="22"/>
          </w:rPr>
          <w:t>107</w:t>
        </w:r>
      </w:hyperlink>
    </w:p>
    <w:p>
      <w:pPr>
        <w:pStyle w:val="ListParagraph"/>
        <w:numPr>
          <w:ilvl w:val="1"/>
          <w:numId w:val="10"/>
        </w:numPr>
        <w:tabs>
          <w:tab w:pos="1851" w:val="left" w:leader="none"/>
          <w:tab w:pos="8311" w:val="left" w:leader="dot"/>
        </w:tabs>
        <w:spacing w:line="240" w:lineRule="auto" w:before="98" w:after="0"/>
        <w:ind w:left="1851" w:right="0" w:hanging="1186"/>
        <w:jc w:val="left"/>
        <w:rPr>
          <w:sz w:val="22"/>
        </w:rPr>
      </w:pPr>
      <w:hyperlink w:history="true" w:anchor="_TOC_250014">
        <w:r>
          <w:rPr>
            <w:sz w:val="22"/>
          </w:rPr>
          <w:t>Size</w:t>
        </w:r>
        <w:r>
          <w:rPr>
            <w:spacing w:val="14"/>
            <w:sz w:val="22"/>
          </w:rPr>
          <w:t> </w:t>
        </w:r>
        <w:r>
          <w:rPr>
            <w:sz w:val="22"/>
          </w:rPr>
          <w:t>distribution</w:t>
        </w:r>
        <w:r>
          <w:rPr>
            <w:spacing w:val="10"/>
            <w:sz w:val="22"/>
          </w:rPr>
          <w:t> </w:t>
        </w:r>
        <w:r>
          <w:rPr>
            <w:sz w:val="22"/>
          </w:rPr>
          <w:t>of</w:t>
        </w:r>
        <w:r>
          <w:rPr>
            <w:spacing w:val="16"/>
            <w:sz w:val="22"/>
          </w:rPr>
          <w:t> </w:t>
        </w:r>
        <w:r>
          <w:rPr>
            <w:sz w:val="22"/>
          </w:rPr>
          <w:t>metronidazole</w:t>
        </w:r>
        <w:r>
          <w:rPr>
            <w:spacing w:val="14"/>
            <w:sz w:val="22"/>
          </w:rPr>
          <w:t> </w:t>
        </w:r>
        <w:r>
          <w:rPr>
            <w:sz w:val="22"/>
          </w:rPr>
          <w:t>granules</w:t>
        </w:r>
        <w:r>
          <w:rPr>
            <w:spacing w:val="13"/>
            <w:sz w:val="22"/>
          </w:rPr>
          <w:t> </w:t>
        </w:r>
        <w:r>
          <w:rPr>
            <w:sz w:val="22"/>
          </w:rPr>
          <w:t>as</w:t>
        </w:r>
        <w:r>
          <w:rPr>
            <w:spacing w:val="12"/>
            <w:sz w:val="22"/>
          </w:rPr>
          <w:t> </w:t>
        </w:r>
        <w:r>
          <w:rPr>
            <w:spacing w:val="-2"/>
            <w:sz w:val="22"/>
          </w:rPr>
          <w:t>binder</w:t>
        </w:r>
        <w:r>
          <w:rPr>
            <w:sz w:val="22"/>
          </w:rPr>
          <w:tab/>
        </w:r>
        <w:r>
          <w:rPr>
            <w:spacing w:val="-5"/>
            <w:sz w:val="22"/>
          </w:rPr>
          <w:t>108</w:t>
        </w:r>
      </w:hyperlink>
    </w:p>
    <w:p>
      <w:pPr>
        <w:pStyle w:val="ListParagraph"/>
        <w:numPr>
          <w:ilvl w:val="1"/>
          <w:numId w:val="10"/>
        </w:numPr>
        <w:tabs>
          <w:tab w:pos="1851" w:val="left" w:leader="none"/>
          <w:tab w:pos="8311" w:val="left" w:leader="dot"/>
        </w:tabs>
        <w:spacing w:line="240" w:lineRule="auto" w:before="97" w:after="0"/>
        <w:ind w:left="1851" w:right="0" w:hanging="1186"/>
        <w:jc w:val="left"/>
        <w:rPr>
          <w:sz w:val="22"/>
        </w:rPr>
      </w:pPr>
      <w:r>
        <w:rPr>
          <w:sz w:val="22"/>
        </w:rPr>
        <w:t>Size</w:t>
      </w:r>
      <w:r>
        <w:rPr>
          <w:spacing w:val="14"/>
          <w:sz w:val="22"/>
        </w:rPr>
        <w:t> </w:t>
      </w:r>
      <w:r>
        <w:rPr>
          <w:sz w:val="22"/>
        </w:rPr>
        <w:t>distribution</w:t>
      </w:r>
      <w:r>
        <w:rPr>
          <w:spacing w:val="10"/>
          <w:sz w:val="22"/>
        </w:rPr>
        <w:t> </w:t>
      </w:r>
      <w:r>
        <w:rPr>
          <w:sz w:val="22"/>
        </w:rPr>
        <w:t>of</w:t>
      </w:r>
      <w:r>
        <w:rPr>
          <w:spacing w:val="16"/>
          <w:sz w:val="22"/>
        </w:rPr>
        <w:t> </w:t>
      </w:r>
      <w:r>
        <w:rPr>
          <w:sz w:val="22"/>
        </w:rPr>
        <w:t>metronidazole</w:t>
      </w:r>
      <w:r>
        <w:rPr>
          <w:spacing w:val="14"/>
          <w:sz w:val="22"/>
        </w:rPr>
        <w:t> </w:t>
      </w:r>
      <w:r>
        <w:rPr>
          <w:sz w:val="22"/>
        </w:rPr>
        <w:t>granules</w:t>
      </w:r>
      <w:r>
        <w:rPr>
          <w:spacing w:val="13"/>
          <w:sz w:val="22"/>
        </w:rPr>
        <w:t> </w:t>
      </w:r>
      <w:r>
        <w:rPr>
          <w:sz w:val="22"/>
        </w:rPr>
        <w:t>as</w:t>
      </w:r>
      <w:r>
        <w:rPr>
          <w:spacing w:val="12"/>
          <w:sz w:val="22"/>
        </w:rPr>
        <w:t> </w:t>
      </w:r>
      <w:r>
        <w:rPr>
          <w:spacing w:val="-2"/>
          <w:sz w:val="22"/>
        </w:rPr>
        <w:t>disintegrant</w:t>
      </w:r>
      <w:r>
        <w:rPr>
          <w:sz w:val="22"/>
        </w:rPr>
        <w:tab/>
      </w:r>
      <w:r>
        <w:rPr>
          <w:spacing w:val="-5"/>
          <w:sz w:val="22"/>
        </w:rPr>
        <w:t>109</w:t>
      </w:r>
    </w:p>
    <w:p>
      <w:pPr>
        <w:pStyle w:val="BodyText"/>
        <w:tabs>
          <w:tab w:pos="8311" w:val="left" w:leader="dot"/>
        </w:tabs>
        <w:spacing w:before="107"/>
        <w:ind w:left="1851" w:right="1867" w:hanging="1186"/>
      </w:pPr>
      <w:r>
        <w:rPr/>
        <w:t>Figure</w:t>
      </w:r>
      <w:r>
        <w:rPr>
          <w:spacing w:val="32"/>
        </w:rPr>
        <w:t> </w:t>
      </w:r>
      <w:r>
        <w:rPr/>
        <w:t>A.</w:t>
      </w:r>
      <w:r>
        <w:rPr>
          <w:spacing w:val="26"/>
        </w:rPr>
        <w:t> </w:t>
      </w:r>
      <w:r>
        <w:rPr/>
        <w:t>1:</w:t>
      </w:r>
      <w:r>
        <w:rPr>
          <w:spacing w:val="30"/>
        </w:rPr>
        <w:t> </w:t>
      </w:r>
      <w:r>
        <w:rPr/>
        <w:t>Cumulative</w:t>
      </w:r>
      <w:r>
        <w:rPr>
          <w:spacing w:val="32"/>
        </w:rPr>
        <w:t> </w:t>
      </w:r>
      <w:r>
        <w:rPr/>
        <w:t>oversize</w:t>
      </w:r>
      <w:r>
        <w:rPr>
          <w:spacing w:val="24"/>
        </w:rPr>
        <w:t> </w:t>
      </w:r>
      <w:r>
        <w:rPr/>
        <w:t>distribution</w:t>
      </w:r>
      <w:r>
        <w:rPr>
          <w:spacing w:val="20"/>
        </w:rPr>
        <w:t> </w:t>
      </w:r>
      <w:r>
        <w:rPr/>
        <w:t>of</w:t>
      </w:r>
      <w:r>
        <w:rPr>
          <w:spacing w:val="33"/>
        </w:rPr>
        <w:t> </w:t>
      </w:r>
      <w:r>
        <w:rPr/>
        <w:t>metronidazole</w:t>
      </w:r>
      <w:r>
        <w:rPr>
          <w:spacing w:val="32"/>
        </w:rPr>
        <w:t> </w:t>
      </w:r>
      <w:r>
        <w:rPr/>
        <w:t>granules</w:t>
      </w:r>
      <w:r>
        <w:rPr>
          <w:spacing w:val="29"/>
        </w:rPr>
        <w:t> </w:t>
      </w:r>
      <w:r>
        <w:rPr/>
        <w:t>using</w:t>
      </w:r>
      <w:r>
        <w:rPr>
          <w:spacing w:val="27"/>
        </w:rPr>
        <w:t> </w:t>
      </w:r>
      <w:r>
        <w:rPr/>
        <w:t>2.5</w:t>
      </w:r>
      <w:r>
        <w:rPr>
          <w:spacing w:val="36"/>
        </w:rPr>
        <w:t> </w:t>
      </w:r>
      <w:r>
        <w:rPr/>
        <w:t>% w/v as binder</w:t>
      </w:r>
      <w:r>
        <w:rPr/>
        <w:tab/>
      </w:r>
      <w:r>
        <w:rPr>
          <w:spacing w:val="-4"/>
        </w:rPr>
        <w:t>110</w:t>
      </w:r>
    </w:p>
    <w:p>
      <w:pPr>
        <w:pStyle w:val="BodyText"/>
        <w:tabs>
          <w:tab w:pos="8311" w:val="left" w:leader="dot"/>
        </w:tabs>
        <w:spacing w:line="244" w:lineRule="auto" w:before="104"/>
        <w:ind w:left="1851" w:right="1867" w:hanging="1186"/>
      </w:pPr>
      <w:r>
        <w:rPr/>
        <w:t>Figure</w:t>
      </w:r>
      <w:r>
        <w:rPr>
          <w:spacing w:val="32"/>
        </w:rPr>
        <w:t> </w:t>
      </w:r>
      <w:r>
        <w:rPr/>
        <w:t>A.</w:t>
      </w:r>
      <w:r>
        <w:rPr>
          <w:spacing w:val="26"/>
        </w:rPr>
        <w:t> </w:t>
      </w:r>
      <w:r>
        <w:rPr/>
        <w:t>2:</w:t>
      </w:r>
      <w:r>
        <w:rPr>
          <w:spacing w:val="30"/>
        </w:rPr>
        <w:t> </w:t>
      </w:r>
      <w:r>
        <w:rPr/>
        <w:t>Cumulative</w:t>
      </w:r>
      <w:r>
        <w:rPr>
          <w:spacing w:val="32"/>
        </w:rPr>
        <w:t> </w:t>
      </w:r>
      <w:r>
        <w:rPr/>
        <w:t>oversize</w:t>
      </w:r>
      <w:r>
        <w:rPr>
          <w:spacing w:val="24"/>
        </w:rPr>
        <w:t> </w:t>
      </w:r>
      <w:r>
        <w:rPr/>
        <w:t>distribution</w:t>
      </w:r>
      <w:r>
        <w:rPr>
          <w:spacing w:val="20"/>
        </w:rPr>
        <w:t> </w:t>
      </w:r>
      <w:r>
        <w:rPr/>
        <w:t>of</w:t>
      </w:r>
      <w:r>
        <w:rPr>
          <w:spacing w:val="33"/>
        </w:rPr>
        <w:t> </w:t>
      </w:r>
      <w:r>
        <w:rPr/>
        <w:t>metronidazole</w:t>
      </w:r>
      <w:r>
        <w:rPr>
          <w:spacing w:val="32"/>
        </w:rPr>
        <w:t> </w:t>
      </w:r>
      <w:r>
        <w:rPr/>
        <w:t>granules</w:t>
      </w:r>
      <w:r>
        <w:rPr>
          <w:spacing w:val="29"/>
        </w:rPr>
        <w:t> </w:t>
      </w:r>
      <w:r>
        <w:rPr/>
        <w:t>using</w:t>
      </w:r>
      <w:r>
        <w:rPr>
          <w:spacing w:val="27"/>
        </w:rPr>
        <w:t> </w:t>
      </w:r>
      <w:r>
        <w:rPr/>
        <w:t>5.0</w:t>
      </w:r>
      <w:r>
        <w:rPr>
          <w:spacing w:val="36"/>
        </w:rPr>
        <w:t> </w:t>
      </w:r>
      <w:r>
        <w:rPr/>
        <w:t>% w/v as binder</w:t>
      </w:r>
      <w:r>
        <w:rPr/>
        <w:tab/>
      </w:r>
      <w:r>
        <w:rPr>
          <w:spacing w:val="-4"/>
        </w:rPr>
        <w:t>111</w:t>
      </w:r>
    </w:p>
    <w:p>
      <w:pPr>
        <w:pStyle w:val="BodyText"/>
        <w:tabs>
          <w:tab w:pos="8311" w:val="left" w:leader="dot"/>
        </w:tabs>
        <w:spacing w:line="249" w:lineRule="auto" w:before="93"/>
        <w:ind w:left="1851" w:right="1867" w:hanging="1186"/>
      </w:pPr>
      <w:r>
        <w:rPr/>
        <w:t>Figure</w:t>
      </w:r>
      <w:r>
        <w:rPr>
          <w:spacing w:val="32"/>
        </w:rPr>
        <w:t> </w:t>
      </w:r>
      <w:r>
        <w:rPr/>
        <w:t>A.</w:t>
      </w:r>
      <w:r>
        <w:rPr>
          <w:spacing w:val="26"/>
        </w:rPr>
        <w:t> </w:t>
      </w:r>
      <w:r>
        <w:rPr/>
        <w:t>3:</w:t>
      </w:r>
      <w:r>
        <w:rPr>
          <w:spacing w:val="30"/>
        </w:rPr>
        <w:t> </w:t>
      </w:r>
      <w:r>
        <w:rPr/>
        <w:t>Cumulative</w:t>
      </w:r>
      <w:r>
        <w:rPr>
          <w:spacing w:val="32"/>
        </w:rPr>
        <w:t> </w:t>
      </w:r>
      <w:r>
        <w:rPr/>
        <w:t>oversize</w:t>
      </w:r>
      <w:r>
        <w:rPr>
          <w:spacing w:val="24"/>
        </w:rPr>
        <w:t> </w:t>
      </w:r>
      <w:r>
        <w:rPr/>
        <w:t>distribution</w:t>
      </w:r>
      <w:r>
        <w:rPr>
          <w:spacing w:val="20"/>
        </w:rPr>
        <w:t> </w:t>
      </w:r>
      <w:r>
        <w:rPr/>
        <w:t>of</w:t>
      </w:r>
      <w:r>
        <w:rPr>
          <w:spacing w:val="33"/>
        </w:rPr>
        <w:t> </w:t>
      </w:r>
      <w:r>
        <w:rPr/>
        <w:t>metronidazole</w:t>
      </w:r>
      <w:r>
        <w:rPr>
          <w:spacing w:val="32"/>
        </w:rPr>
        <w:t> </w:t>
      </w:r>
      <w:r>
        <w:rPr/>
        <w:t>granules</w:t>
      </w:r>
      <w:r>
        <w:rPr>
          <w:spacing w:val="29"/>
        </w:rPr>
        <w:t> </w:t>
      </w:r>
      <w:r>
        <w:rPr/>
        <w:t>using</w:t>
      </w:r>
      <w:r>
        <w:rPr>
          <w:spacing w:val="27"/>
        </w:rPr>
        <w:t> </w:t>
      </w:r>
      <w:r>
        <w:rPr/>
        <w:t>7.5</w:t>
      </w:r>
      <w:r>
        <w:rPr>
          <w:spacing w:val="36"/>
        </w:rPr>
        <w:t> </w:t>
      </w:r>
      <w:r>
        <w:rPr/>
        <w:t>% w/v as binder</w:t>
      </w:r>
      <w:r>
        <w:rPr/>
        <w:tab/>
      </w:r>
      <w:r>
        <w:rPr>
          <w:spacing w:val="-4"/>
        </w:rPr>
        <w:t>112</w:t>
      </w:r>
    </w:p>
    <w:p>
      <w:pPr>
        <w:pStyle w:val="BodyText"/>
        <w:tabs>
          <w:tab w:pos="8311" w:val="left" w:leader="dot"/>
        </w:tabs>
        <w:spacing w:line="249" w:lineRule="auto" w:before="88"/>
        <w:ind w:left="1851" w:right="1867" w:hanging="1186"/>
      </w:pPr>
      <w:r>
        <w:rPr/>
        <w:t>Figure</w:t>
      </w:r>
      <w:r>
        <w:rPr>
          <w:spacing w:val="32"/>
        </w:rPr>
        <w:t> </w:t>
      </w:r>
      <w:r>
        <w:rPr/>
        <w:t>A. 4: Cumulative</w:t>
      </w:r>
      <w:r>
        <w:rPr>
          <w:spacing w:val="32"/>
        </w:rPr>
        <w:t> </w:t>
      </w:r>
      <w:r>
        <w:rPr/>
        <w:t>oversize distribution of</w:t>
      </w:r>
      <w:r>
        <w:rPr>
          <w:spacing w:val="34"/>
        </w:rPr>
        <w:t> </w:t>
      </w:r>
      <w:r>
        <w:rPr/>
        <w:t>metronidazole</w:t>
      </w:r>
      <w:r>
        <w:rPr>
          <w:spacing w:val="32"/>
        </w:rPr>
        <w:t> </w:t>
      </w:r>
      <w:r>
        <w:rPr/>
        <w:t>granules using 10.0 % w/v as binder</w:t>
      </w:r>
      <w:r>
        <w:rPr/>
        <w:tab/>
      </w:r>
      <w:r>
        <w:rPr>
          <w:spacing w:val="-4"/>
        </w:rPr>
        <w:t>113</w:t>
      </w:r>
    </w:p>
    <w:p>
      <w:pPr>
        <w:pStyle w:val="BodyText"/>
        <w:tabs>
          <w:tab w:pos="8311" w:val="left" w:leader="dot"/>
        </w:tabs>
        <w:spacing w:line="244" w:lineRule="auto" w:before="89"/>
        <w:ind w:left="1851" w:right="1867" w:hanging="1186"/>
      </w:pPr>
      <w:r>
        <w:rPr/>
        <w:t>Figure</w:t>
      </w:r>
      <w:r>
        <w:rPr>
          <w:spacing w:val="32"/>
        </w:rPr>
        <w:t> </w:t>
      </w:r>
      <w:r>
        <w:rPr/>
        <w:t>A. 5: Cumulative</w:t>
      </w:r>
      <w:r>
        <w:rPr>
          <w:spacing w:val="32"/>
        </w:rPr>
        <w:t> </w:t>
      </w:r>
      <w:r>
        <w:rPr/>
        <w:t>oversize distribution of</w:t>
      </w:r>
      <w:r>
        <w:rPr>
          <w:spacing w:val="34"/>
        </w:rPr>
        <w:t> </w:t>
      </w:r>
      <w:r>
        <w:rPr/>
        <w:t>metronidazole</w:t>
      </w:r>
      <w:r>
        <w:rPr>
          <w:spacing w:val="32"/>
        </w:rPr>
        <w:t> </w:t>
      </w:r>
      <w:r>
        <w:rPr/>
        <w:t>granules using 12.5 % w/v as binder</w:t>
      </w:r>
      <w:r>
        <w:rPr/>
        <w:tab/>
      </w:r>
      <w:r>
        <w:rPr>
          <w:spacing w:val="-4"/>
        </w:rPr>
        <w:t>114</w:t>
      </w:r>
    </w:p>
    <w:p>
      <w:pPr>
        <w:pStyle w:val="BodyText"/>
        <w:tabs>
          <w:tab w:pos="8311" w:val="left" w:leader="dot"/>
        </w:tabs>
        <w:spacing w:line="244" w:lineRule="auto" w:before="98"/>
        <w:ind w:left="1851" w:right="1867" w:hanging="1186"/>
      </w:pPr>
      <w:r>
        <w:rPr/>
        <w:t>Figure</w:t>
      </w:r>
      <w:r>
        <w:rPr>
          <w:spacing w:val="32"/>
        </w:rPr>
        <w:t> </w:t>
      </w:r>
      <w:r>
        <w:rPr/>
        <w:t>A.</w:t>
      </w:r>
      <w:r>
        <w:rPr>
          <w:spacing w:val="26"/>
        </w:rPr>
        <w:t> </w:t>
      </w:r>
      <w:r>
        <w:rPr/>
        <w:t>6:</w:t>
      </w:r>
      <w:r>
        <w:rPr>
          <w:spacing w:val="30"/>
        </w:rPr>
        <w:t> </w:t>
      </w:r>
      <w:r>
        <w:rPr/>
        <w:t>Cumulative</w:t>
      </w:r>
      <w:r>
        <w:rPr>
          <w:spacing w:val="32"/>
        </w:rPr>
        <w:t> </w:t>
      </w:r>
      <w:r>
        <w:rPr/>
        <w:t>oversize</w:t>
      </w:r>
      <w:r>
        <w:rPr>
          <w:spacing w:val="24"/>
        </w:rPr>
        <w:t> </w:t>
      </w:r>
      <w:r>
        <w:rPr/>
        <w:t>distribution of</w:t>
      </w:r>
      <w:r>
        <w:rPr>
          <w:spacing w:val="33"/>
        </w:rPr>
        <w:t> </w:t>
      </w:r>
      <w:r>
        <w:rPr/>
        <w:t>metronidazole</w:t>
      </w:r>
      <w:r>
        <w:rPr>
          <w:spacing w:val="32"/>
        </w:rPr>
        <w:t> </w:t>
      </w:r>
      <w:r>
        <w:rPr/>
        <w:t>granules</w:t>
      </w:r>
      <w:r>
        <w:rPr>
          <w:spacing w:val="29"/>
        </w:rPr>
        <w:t> </w:t>
      </w:r>
      <w:r>
        <w:rPr/>
        <w:t>using</w:t>
      </w:r>
      <w:r>
        <w:rPr>
          <w:spacing w:val="27"/>
        </w:rPr>
        <w:t> </w:t>
      </w:r>
      <w:r>
        <w:rPr/>
        <w:t>2.5</w:t>
      </w:r>
      <w:r>
        <w:rPr>
          <w:spacing w:val="36"/>
        </w:rPr>
        <w:t> </w:t>
      </w:r>
      <w:r>
        <w:rPr/>
        <w:t>% w/w as disintegrant.</w:t>
      </w:r>
      <w:r>
        <w:rPr/>
        <w:tab/>
      </w:r>
      <w:r>
        <w:rPr>
          <w:spacing w:val="-4"/>
        </w:rPr>
        <w:t>115</w:t>
      </w:r>
    </w:p>
    <w:p>
      <w:pPr>
        <w:pStyle w:val="BodyText"/>
        <w:tabs>
          <w:tab w:pos="8311" w:val="left" w:leader="dot"/>
        </w:tabs>
        <w:spacing w:before="98"/>
        <w:ind w:left="1851" w:right="1867" w:hanging="1186"/>
      </w:pPr>
      <w:r>
        <w:rPr/>
        <w:t>Figure</w:t>
      </w:r>
      <w:r>
        <w:rPr>
          <w:spacing w:val="31"/>
        </w:rPr>
        <w:t> </w:t>
      </w:r>
      <w:r>
        <w:rPr/>
        <w:t>A.</w:t>
      </w:r>
      <w:r>
        <w:rPr>
          <w:spacing w:val="25"/>
        </w:rPr>
        <w:t> </w:t>
      </w:r>
      <w:r>
        <w:rPr/>
        <w:t>7:</w:t>
      </w:r>
      <w:r>
        <w:rPr>
          <w:spacing w:val="29"/>
        </w:rPr>
        <w:t> </w:t>
      </w:r>
      <w:r>
        <w:rPr/>
        <w:t>Cumulative</w:t>
      </w:r>
      <w:r>
        <w:rPr>
          <w:spacing w:val="31"/>
        </w:rPr>
        <w:t> </w:t>
      </w:r>
      <w:r>
        <w:rPr/>
        <w:t>oversize</w:t>
      </w:r>
      <w:r>
        <w:rPr>
          <w:spacing w:val="31"/>
        </w:rPr>
        <w:t> </w:t>
      </w:r>
      <w:r>
        <w:rPr/>
        <w:t>distribution of</w:t>
      </w:r>
      <w:r>
        <w:rPr>
          <w:spacing w:val="32"/>
        </w:rPr>
        <w:t> </w:t>
      </w:r>
      <w:r>
        <w:rPr/>
        <w:t>metronidazole</w:t>
      </w:r>
      <w:r>
        <w:rPr>
          <w:spacing w:val="31"/>
        </w:rPr>
        <w:t> </w:t>
      </w:r>
      <w:r>
        <w:rPr/>
        <w:t>granules</w:t>
      </w:r>
      <w:r>
        <w:rPr>
          <w:spacing w:val="28"/>
        </w:rPr>
        <w:t> </w:t>
      </w:r>
      <w:r>
        <w:rPr/>
        <w:t>using</w:t>
      </w:r>
      <w:r>
        <w:rPr>
          <w:spacing w:val="26"/>
        </w:rPr>
        <w:t> </w:t>
      </w:r>
      <w:r>
        <w:rPr/>
        <w:t>5.0</w:t>
      </w:r>
      <w:r>
        <w:rPr>
          <w:spacing w:val="35"/>
        </w:rPr>
        <w:t> </w:t>
      </w:r>
      <w:r>
        <w:rPr/>
        <w:t>% w/w as disintegrant.</w:t>
      </w:r>
      <w:r>
        <w:rPr/>
        <w:tab/>
      </w:r>
      <w:r>
        <w:rPr>
          <w:spacing w:val="-4"/>
        </w:rPr>
        <w:t>116</w:t>
      </w:r>
    </w:p>
    <w:p>
      <w:pPr>
        <w:pStyle w:val="BodyText"/>
        <w:tabs>
          <w:tab w:pos="8311" w:val="left" w:leader="dot"/>
        </w:tabs>
        <w:spacing w:line="244" w:lineRule="auto" w:before="104"/>
        <w:ind w:left="1851" w:right="1867" w:hanging="1186"/>
      </w:pPr>
      <w:r>
        <w:rPr/>
        <w:t>Figure</w:t>
      </w:r>
      <w:r>
        <w:rPr>
          <w:spacing w:val="32"/>
        </w:rPr>
        <w:t> </w:t>
      </w:r>
      <w:r>
        <w:rPr/>
        <w:t>A.</w:t>
      </w:r>
      <w:r>
        <w:rPr>
          <w:spacing w:val="26"/>
        </w:rPr>
        <w:t> </w:t>
      </w:r>
      <w:r>
        <w:rPr/>
        <w:t>8:</w:t>
      </w:r>
      <w:r>
        <w:rPr>
          <w:spacing w:val="30"/>
        </w:rPr>
        <w:t> </w:t>
      </w:r>
      <w:r>
        <w:rPr/>
        <w:t>Cumulative</w:t>
      </w:r>
      <w:r>
        <w:rPr>
          <w:spacing w:val="32"/>
        </w:rPr>
        <w:t> </w:t>
      </w:r>
      <w:r>
        <w:rPr/>
        <w:t>oversize</w:t>
      </w:r>
      <w:r>
        <w:rPr>
          <w:spacing w:val="24"/>
        </w:rPr>
        <w:t> </w:t>
      </w:r>
      <w:r>
        <w:rPr/>
        <w:t>distribution of</w:t>
      </w:r>
      <w:r>
        <w:rPr>
          <w:spacing w:val="33"/>
        </w:rPr>
        <w:t> </w:t>
      </w:r>
      <w:r>
        <w:rPr/>
        <w:t>metronidazole</w:t>
      </w:r>
      <w:r>
        <w:rPr>
          <w:spacing w:val="32"/>
        </w:rPr>
        <w:t> </w:t>
      </w:r>
      <w:r>
        <w:rPr/>
        <w:t>granules</w:t>
      </w:r>
      <w:r>
        <w:rPr>
          <w:spacing w:val="29"/>
        </w:rPr>
        <w:t> </w:t>
      </w:r>
      <w:r>
        <w:rPr/>
        <w:t>using</w:t>
      </w:r>
      <w:r>
        <w:rPr>
          <w:spacing w:val="27"/>
        </w:rPr>
        <w:t> </w:t>
      </w:r>
      <w:r>
        <w:rPr/>
        <w:t>7.5</w:t>
      </w:r>
      <w:r>
        <w:rPr>
          <w:spacing w:val="35"/>
        </w:rPr>
        <w:t> </w:t>
      </w:r>
      <w:r>
        <w:rPr/>
        <w:t>% w/w as disintegrant.</w:t>
      </w:r>
      <w:r>
        <w:rPr/>
        <w:tab/>
      </w:r>
      <w:r>
        <w:rPr>
          <w:spacing w:val="-4"/>
        </w:rPr>
        <w:t>117</w:t>
      </w:r>
    </w:p>
    <w:p>
      <w:pPr>
        <w:pStyle w:val="BodyText"/>
        <w:tabs>
          <w:tab w:pos="8311" w:val="left" w:leader="dot"/>
        </w:tabs>
        <w:spacing w:line="244" w:lineRule="auto" w:before="98"/>
        <w:ind w:left="1851" w:right="1867" w:hanging="1186"/>
      </w:pPr>
      <w:r>
        <w:rPr/>
        <w:t>Figure A. 9: Cumulative oversize distribution of metronidazole granules using 10.0 %</w:t>
      </w:r>
      <w:r>
        <w:rPr>
          <w:spacing w:val="40"/>
        </w:rPr>
        <w:t> </w:t>
      </w:r>
      <w:r>
        <w:rPr/>
        <w:t>w/w as disintegrant.</w:t>
      </w:r>
      <w:r>
        <w:rPr/>
        <w:tab/>
      </w:r>
      <w:r>
        <w:rPr>
          <w:spacing w:val="-4"/>
        </w:rPr>
        <w:t>118</w:t>
      </w:r>
    </w:p>
    <w:p>
      <w:pPr>
        <w:pStyle w:val="BodyText"/>
        <w:tabs>
          <w:tab w:pos="8311" w:val="left" w:leader="dot"/>
        </w:tabs>
        <w:spacing w:line="249" w:lineRule="auto" w:before="94"/>
        <w:ind w:left="1851" w:right="1867" w:hanging="1186"/>
      </w:pPr>
      <w:r>
        <w:rPr/>
        <w:t>Figure A. 10: Cumulative oversize distribution of metronidazole granules using 12.5 % w/w</w:t>
      </w:r>
      <w:r>
        <w:rPr>
          <w:spacing w:val="7"/>
        </w:rPr>
        <w:t> </w:t>
      </w:r>
      <w:r>
        <w:rPr/>
        <w:t>as</w:t>
      </w:r>
      <w:r>
        <w:rPr>
          <w:spacing w:val="6"/>
        </w:rPr>
        <w:t> </w:t>
      </w:r>
      <w:r>
        <w:rPr>
          <w:spacing w:val="-2"/>
        </w:rPr>
        <w:t>disintegrant.</w:t>
      </w:r>
      <w:r>
        <w:rPr/>
        <w:tab/>
      </w:r>
      <w:r>
        <w:rPr>
          <w:spacing w:val="-5"/>
        </w:rPr>
        <w:t>119</w:t>
      </w:r>
    </w:p>
    <w:p>
      <w:pPr>
        <w:pStyle w:val="BodyText"/>
        <w:tabs>
          <w:tab w:pos="8311" w:val="left" w:leader="dot"/>
        </w:tabs>
        <w:spacing w:before="438"/>
        <w:ind w:left="1851" w:right="1857" w:hanging="1186"/>
        <w:jc w:val="both"/>
      </w:pPr>
      <w:hyperlink w:history="true" w:anchor="_TOC_250013">
        <w:r>
          <w:rPr/>
          <w:t>Figure A.11: Graph of crushing strength (kgf) against binder concentration (% w/v) of metronidazole</w:t>
        </w:r>
        <w:r>
          <w:rPr>
            <w:spacing w:val="11"/>
          </w:rPr>
          <w:t> </w:t>
        </w:r>
        <w:r>
          <w:rPr/>
          <w:t>tablets</w:t>
        </w:r>
        <w:r>
          <w:rPr>
            <w:spacing w:val="10"/>
          </w:rPr>
          <w:t> </w:t>
        </w:r>
        <w:r>
          <w:rPr/>
          <w:t>produced</w:t>
        </w:r>
        <w:r>
          <w:rPr>
            <w:spacing w:val="21"/>
          </w:rPr>
          <w:t> </w:t>
        </w:r>
        <w:r>
          <w:rPr/>
          <w:t>by</w:t>
        </w:r>
        <w:r>
          <w:rPr>
            <w:spacing w:val="1"/>
          </w:rPr>
          <w:t> </w:t>
        </w:r>
        <w:r>
          <w:rPr/>
          <w:t>wet</w:t>
        </w:r>
        <w:r>
          <w:rPr>
            <w:spacing w:val="17"/>
          </w:rPr>
          <w:t> </w:t>
        </w:r>
        <w:r>
          <w:rPr>
            <w:spacing w:val="-2"/>
          </w:rPr>
          <w:t>granulation</w:t>
        </w:r>
        <w:r>
          <w:rPr/>
          <w:tab/>
        </w:r>
        <w:r>
          <w:rPr>
            <w:spacing w:val="-5"/>
          </w:rPr>
          <w:t>120</w:t>
        </w:r>
      </w:hyperlink>
    </w:p>
    <w:p>
      <w:pPr>
        <w:pStyle w:val="BodyText"/>
        <w:tabs>
          <w:tab w:pos="8311" w:val="left" w:leader="dot"/>
        </w:tabs>
        <w:spacing w:line="244" w:lineRule="auto" w:before="104"/>
        <w:ind w:left="1851" w:right="1857" w:hanging="1186"/>
        <w:jc w:val="both"/>
      </w:pPr>
      <w:hyperlink w:history="true" w:anchor="_TOC_250012">
        <w:r>
          <w:rPr/>
          <w:t>Figure A.12:</w:t>
        </w:r>
        <w:r>
          <w:rPr>
            <w:spacing w:val="-4"/>
          </w:rPr>
          <w:t> </w:t>
        </w:r>
        <w:r>
          <w:rPr/>
          <w:t>Graph of friability (%) against binder concentration (% w/v) of metronidazole</w:t>
        </w:r>
        <w:r>
          <w:rPr>
            <w:spacing w:val="11"/>
          </w:rPr>
          <w:t> </w:t>
        </w:r>
        <w:r>
          <w:rPr/>
          <w:t>tablets</w:t>
        </w:r>
        <w:r>
          <w:rPr>
            <w:spacing w:val="10"/>
          </w:rPr>
          <w:t> </w:t>
        </w:r>
        <w:r>
          <w:rPr/>
          <w:t>produced</w:t>
        </w:r>
        <w:r>
          <w:rPr>
            <w:spacing w:val="21"/>
          </w:rPr>
          <w:t> </w:t>
        </w:r>
        <w:r>
          <w:rPr/>
          <w:t>by</w:t>
        </w:r>
        <w:r>
          <w:rPr>
            <w:spacing w:val="1"/>
          </w:rPr>
          <w:t> </w:t>
        </w:r>
        <w:r>
          <w:rPr/>
          <w:t>wet</w:t>
        </w:r>
        <w:r>
          <w:rPr>
            <w:spacing w:val="17"/>
          </w:rPr>
          <w:t> </w:t>
        </w:r>
        <w:r>
          <w:rPr>
            <w:spacing w:val="-2"/>
          </w:rPr>
          <w:t>granulation</w:t>
        </w:r>
        <w:r>
          <w:rPr/>
          <w:tab/>
        </w:r>
        <w:r>
          <w:rPr>
            <w:spacing w:val="-5"/>
          </w:rPr>
          <w:t>121</w:t>
        </w:r>
      </w:hyperlink>
    </w:p>
    <w:p>
      <w:pPr>
        <w:pStyle w:val="BodyText"/>
        <w:tabs>
          <w:tab w:pos="8311" w:val="left" w:leader="dot"/>
        </w:tabs>
        <w:spacing w:line="249" w:lineRule="auto" w:before="93"/>
        <w:ind w:left="1851" w:right="1858" w:hanging="1186"/>
        <w:jc w:val="both"/>
      </w:pPr>
      <w:hyperlink w:history="true" w:anchor="_TOC_250011">
        <w:r>
          <w:rPr/>
          <w:t>Figure A.13: Graph of disintegration time (min) against binder concentration (% w/v) of metronidazole</w:t>
        </w:r>
        <w:r>
          <w:rPr>
            <w:spacing w:val="11"/>
          </w:rPr>
          <w:t> </w:t>
        </w:r>
        <w:r>
          <w:rPr/>
          <w:t>tablets</w:t>
        </w:r>
        <w:r>
          <w:rPr>
            <w:spacing w:val="10"/>
          </w:rPr>
          <w:t> </w:t>
        </w:r>
        <w:r>
          <w:rPr/>
          <w:t>produced</w:t>
        </w:r>
        <w:r>
          <w:rPr>
            <w:spacing w:val="21"/>
          </w:rPr>
          <w:t> </w:t>
        </w:r>
        <w:r>
          <w:rPr/>
          <w:t>by</w:t>
        </w:r>
        <w:r>
          <w:rPr>
            <w:spacing w:val="1"/>
          </w:rPr>
          <w:t> </w:t>
        </w:r>
        <w:r>
          <w:rPr/>
          <w:t>wet</w:t>
        </w:r>
        <w:r>
          <w:rPr>
            <w:spacing w:val="17"/>
          </w:rPr>
          <w:t> </w:t>
        </w:r>
        <w:r>
          <w:rPr>
            <w:spacing w:val="-2"/>
          </w:rPr>
          <w:t>granulation</w:t>
        </w:r>
        <w:r>
          <w:rPr/>
          <w:tab/>
        </w:r>
        <w:r>
          <w:rPr>
            <w:spacing w:val="-5"/>
          </w:rPr>
          <w:t>122</w:t>
        </w:r>
      </w:hyperlink>
    </w:p>
    <w:p>
      <w:pPr>
        <w:pStyle w:val="BodyText"/>
        <w:tabs>
          <w:tab w:pos="8311" w:val="left" w:leader="dot"/>
        </w:tabs>
        <w:spacing w:line="249" w:lineRule="auto" w:before="89"/>
        <w:ind w:left="1851" w:right="1860" w:hanging="1186"/>
        <w:jc w:val="both"/>
      </w:pPr>
      <w:hyperlink w:history="true" w:anchor="_TOC_250010">
        <w:r>
          <w:rPr/>
          <w:t>Figure A.14: Graph of crushing strength-friability index against binder concentration (% w/v)</w:t>
        </w:r>
        <w:r>
          <w:rPr>
            <w:spacing w:val="15"/>
          </w:rPr>
          <w:t> </w:t>
        </w:r>
        <w:r>
          <w:rPr/>
          <w:t>of</w:t>
        </w:r>
        <w:r>
          <w:rPr>
            <w:spacing w:val="9"/>
          </w:rPr>
          <w:t> </w:t>
        </w:r>
        <w:r>
          <w:rPr/>
          <w:t>metronidazole</w:t>
        </w:r>
        <w:r>
          <w:rPr>
            <w:spacing w:val="14"/>
          </w:rPr>
          <w:t> </w:t>
        </w:r>
        <w:r>
          <w:rPr/>
          <w:t>tablets</w:t>
        </w:r>
        <w:r>
          <w:rPr>
            <w:spacing w:val="11"/>
          </w:rPr>
          <w:t> </w:t>
        </w:r>
        <w:r>
          <w:rPr/>
          <w:t>produced</w:t>
        </w:r>
        <w:r>
          <w:rPr>
            <w:spacing w:val="11"/>
          </w:rPr>
          <w:t> </w:t>
        </w:r>
        <w:r>
          <w:rPr/>
          <w:t>by</w:t>
        </w:r>
        <w:r>
          <w:rPr>
            <w:spacing w:val="-2"/>
          </w:rPr>
          <w:t> </w:t>
        </w:r>
        <w:r>
          <w:rPr/>
          <w:t>wet</w:t>
        </w:r>
        <w:r>
          <w:rPr>
            <w:spacing w:val="19"/>
          </w:rPr>
          <w:t> </w:t>
        </w:r>
        <w:r>
          <w:rPr>
            <w:spacing w:val="-2"/>
          </w:rPr>
          <w:t>granulation</w:t>
        </w:r>
        <w:r>
          <w:rPr/>
          <w:tab/>
        </w:r>
        <w:r>
          <w:rPr>
            <w:spacing w:val="-5"/>
          </w:rPr>
          <w:t>123</w:t>
        </w:r>
      </w:hyperlink>
    </w:p>
    <w:p>
      <w:pPr>
        <w:pStyle w:val="BodyText"/>
        <w:tabs>
          <w:tab w:pos="8311" w:val="left" w:leader="dot"/>
        </w:tabs>
        <w:spacing w:line="244" w:lineRule="auto" w:before="88"/>
        <w:ind w:left="1851" w:right="1859" w:hanging="1186"/>
        <w:jc w:val="both"/>
      </w:pPr>
      <w:r>
        <w:rPr/>
        <w:t>Figure A.15: Graph</w:t>
      </w:r>
      <w:r>
        <w:rPr>
          <w:spacing w:val="40"/>
        </w:rPr>
        <w:t> </w:t>
      </w:r>
      <w:r>
        <w:rPr/>
        <w:t>of</w:t>
      </w:r>
      <w:r>
        <w:rPr>
          <w:spacing w:val="40"/>
        </w:rPr>
        <w:t> </w:t>
      </w:r>
      <w:r>
        <w:rPr/>
        <w:t>crushing</w:t>
      </w:r>
      <w:r>
        <w:rPr>
          <w:spacing w:val="40"/>
        </w:rPr>
        <w:t> </w:t>
      </w:r>
      <w:r>
        <w:rPr/>
        <w:t>strength-friability/disintegration</w:t>
      </w:r>
      <w:r>
        <w:rPr>
          <w:spacing w:val="40"/>
        </w:rPr>
        <w:t> </w:t>
      </w:r>
      <w:r>
        <w:rPr/>
        <w:t>time</w:t>
      </w:r>
      <w:r>
        <w:rPr>
          <w:spacing w:val="40"/>
        </w:rPr>
        <w:t> </w:t>
      </w:r>
      <w:r>
        <w:rPr/>
        <w:t>index</w:t>
      </w:r>
      <w:r>
        <w:rPr>
          <w:spacing w:val="40"/>
        </w:rPr>
        <w:t> </w:t>
      </w:r>
      <w:r>
        <w:rPr/>
        <w:t>against binder concentration (% w/v) of metronidazole tablets produced by wet </w:t>
      </w:r>
      <w:r>
        <w:rPr>
          <w:spacing w:val="-2"/>
        </w:rPr>
        <w:t>granulation</w:t>
      </w:r>
      <w:r>
        <w:rPr/>
        <w:tab/>
      </w:r>
      <w:r>
        <w:rPr>
          <w:spacing w:val="-5"/>
        </w:rPr>
        <w:t>124</w:t>
      </w:r>
    </w:p>
    <w:p>
      <w:pPr>
        <w:pStyle w:val="BodyText"/>
        <w:tabs>
          <w:tab w:pos="8311" w:val="left" w:leader="dot"/>
        </w:tabs>
        <w:spacing w:line="249" w:lineRule="auto" w:before="95"/>
        <w:ind w:left="1851" w:right="1860" w:hanging="1186"/>
        <w:jc w:val="both"/>
      </w:pPr>
      <w:hyperlink w:history="true" w:anchor="_TOC_250009">
        <w:r>
          <w:rPr/>
          <w:t>Figure A.16: Graph</w:t>
        </w:r>
        <w:r>
          <w:rPr>
            <w:spacing w:val="40"/>
          </w:rPr>
          <w:t> </w:t>
        </w:r>
        <w:r>
          <w:rPr/>
          <w:t>of</w:t>
        </w:r>
        <w:r>
          <w:rPr>
            <w:spacing w:val="40"/>
          </w:rPr>
          <w:t> </w:t>
        </w:r>
        <w:r>
          <w:rPr/>
          <w:t>crushing</w:t>
        </w:r>
        <w:r>
          <w:rPr>
            <w:spacing w:val="40"/>
          </w:rPr>
          <w:t> </w:t>
        </w:r>
        <w:r>
          <w:rPr/>
          <w:t>strength</w:t>
        </w:r>
        <w:r>
          <w:rPr>
            <w:spacing w:val="40"/>
          </w:rPr>
          <w:t> </w:t>
        </w:r>
        <w:r>
          <w:rPr/>
          <w:t>(kgf)</w:t>
        </w:r>
        <w:r>
          <w:rPr>
            <w:spacing w:val="40"/>
          </w:rPr>
          <w:t> </w:t>
        </w:r>
        <w:r>
          <w:rPr/>
          <w:t>against</w:t>
        </w:r>
        <w:r>
          <w:rPr>
            <w:spacing w:val="40"/>
          </w:rPr>
          <w:t> </w:t>
        </w:r>
        <w:r>
          <w:rPr/>
          <w:t>disintegrant</w:t>
        </w:r>
        <w:r>
          <w:rPr>
            <w:spacing w:val="40"/>
          </w:rPr>
          <w:t> </w:t>
        </w:r>
        <w:r>
          <w:rPr/>
          <w:t>concentration</w:t>
        </w:r>
        <w:r>
          <w:rPr>
            <w:spacing w:val="40"/>
          </w:rPr>
          <w:t> </w:t>
        </w:r>
        <w:r>
          <w:rPr/>
          <w:t>(% w/w)</w:t>
        </w:r>
        <w:r>
          <w:rPr>
            <w:spacing w:val="15"/>
          </w:rPr>
          <w:t> </w:t>
        </w:r>
        <w:r>
          <w:rPr/>
          <w:t>of</w:t>
        </w:r>
        <w:r>
          <w:rPr>
            <w:spacing w:val="9"/>
          </w:rPr>
          <w:t> </w:t>
        </w:r>
        <w:r>
          <w:rPr/>
          <w:t>metronidazole</w:t>
        </w:r>
        <w:r>
          <w:rPr>
            <w:spacing w:val="14"/>
          </w:rPr>
          <w:t> </w:t>
        </w:r>
        <w:r>
          <w:rPr/>
          <w:t>tablets</w:t>
        </w:r>
        <w:r>
          <w:rPr>
            <w:spacing w:val="12"/>
          </w:rPr>
          <w:t> </w:t>
        </w:r>
        <w:r>
          <w:rPr/>
          <w:t>produced</w:t>
        </w:r>
        <w:r>
          <w:rPr>
            <w:spacing w:val="10"/>
          </w:rPr>
          <w:t> </w:t>
        </w:r>
        <w:r>
          <w:rPr/>
          <w:t>by</w:t>
        </w:r>
        <w:r>
          <w:rPr>
            <w:spacing w:val="-1"/>
          </w:rPr>
          <w:t> </w:t>
        </w:r>
        <w:r>
          <w:rPr/>
          <w:t>wet</w:t>
        </w:r>
        <w:r>
          <w:rPr>
            <w:spacing w:val="13"/>
          </w:rPr>
          <w:t> </w:t>
        </w:r>
        <w:r>
          <w:rPr>
            <w:spacing w:val="-2"/>
          </w:rPr>
          <w:t>granulation</w:t>
        </w:r>
        <w:r>
          <w:rPr/>
          <w:tab/>
        </w:r>
        <w:r>
          <w:rPr>
            <w:spacing w:val="-5"/>
          </w:rPr>
          <w:t>125</w:t>
        </w:r>
      </w:hyperlink>
    </w:p>
    <w:p>
      <w:pPr>
        <w:pStyle w:val="BodyText"/>
        <w:tabs>
          <w:tab w:pos="8311" w:val="left" w:leader="dot"/>
        </w:tabs>
        <w:spacing w:line="249" w:lineRule="auto" w:before="88"/>
        <w:ind w:left="1851" w:right="1858" w:hanging="1186"/>
        <w:jc w:val="both"/>
      </w:pPr>
      <w:hyperlink w:history="true" w:anchor="_TOC_250008">
        <w:r>
          <w:rPr/>
          <w:t>Figure A.17:</w:t>
        </w:r>
        <w:r>
          <w:rPr>
            <w:spacing w:val="-2"/>
          </w:rPr>
          <w:t> </w:t>
        </w:r>
        <w:r>
          <w:rPr/>
          <w:t>Graph of friability (%) against disintegrant concentration (% w/w) of metronidazole</w:t>
        </w:r>
        <w:r>
          <w:rPr>
            <w:spacing w:val="11"/>
          </w:rPr>
          <w:t> </w:t>
        </w:r>
        <w:r>
          <w:rPr/>
          <w:t>tablets</w:t>
        </w:r>
        <w:r>
          <w:rPr>
            <w:spacing w:val="10"/>
          </w:rPr>
          <w:t> </w:t>
        </w:r>
        <w:r>
          <w:rPr/>
          <w:t>produced</w:t>
        </w:r>
        <w:r>
          <w:rPr>
            <w:spacing w:val="21"/>
          </w:rPr>
          <w:t> </w:t>
        </w:r>
        <w:r>
          <w:rPr/>
          <w:t>by</w:t>
        </w:r>
        <w:r>
          <w:rPr>
            <w:spacing w:val="1"/>
          </w:rPr>
          <w:t> </w:t>
        </w:r>
        <w:r>
          <w:rPr/>
          <w:t>wet</w:t>
        </w:r>
        <w:r>
          <w:rPr>
            <w:spacing w:val="17"/>
          </w:rPr>
          <w:t> </w:t>
        </w:r>
        <w:r>
          <w:rPr>
            <w:spacing w:val="-2"/>
          </w:rPr>
          <w:t>granulation</w:t>
        </w:r>
        <w:r>
          <w:rPr/>
          <w:tab/>
        </w:r>
        <w:r>
          <w:rPr>
            <w:spacing w:val="-5"/>
          </w:rPr>
          <w:t>126</w:t>
        </w:r>
      </w:hyperlink>
    </w:p>
    <w:p>
      <w:pPr>
        <w:pStyle w:val="BodyText"/>
        <w:tabs>
          <w:tab w:pos="8311" w:val="left" w:leader="dot"/>
        </w:tabs>
        <w:spacing w:line="244" w:lineRule="auto" w:before="88"/>
        <w:ind w:left="1851" w:right="1860" w:hanging="1186"/>
        <w:jc w:val="both"/>
      </w:pPr>
      <w:hyperlink w:history="true" w:anchor="_TOC_250007">
        <w:r>
          <w:rPr/>
          <w:t>Figure A.18: Graph of disintegration time (min) against disintegrant concentration (% w/w)</w:t>
        </w:r>
        <w:r>
          <w:rPr>
            <w:spacing w:val="15"/>
          </w:rPr>
          <w:t> </w:t>
        </w:r>
        <w:r>
          <w:rPr/>
          <w:t>of</w:t>
        </w:r>
        <w:r>
          <w:rPr>
            <w:spacing w:val="9"/>
          </w:rPr>
          <w:t> </w:t>
        </w:r>
        <w:r>
          <w:rPr/>
          <w:t>metronidazole</w:t>
        </w:r>
        <w:r>
          <w:rPr>
            <w:spacing w:val="14"/>
          </w:rPr>
          <w:t> </w:t>
        </w:r>
        <w:r>
          <w:rPr/>
          <w:t>tablets</w:t>
        </w:r>
        <w:r>
          <w:rPr>
            <w:spacing w:val="12"/>
          </w:rPr>
          <w:t> </w:t>
        </w:r>
        <w:r>
          <w:rPr/>
          <w:t>produced</w:t>
        </w:r>
        <w:r>
          <w:rPr>
            <w:spacing w:val="10"/>
          </w:rPr>
          <w:t> </w:t>
        </w:r>
        <w:r>
          <w:rPr/>
          <w:t>by</w:t>
        </w:r>
        <w:r>
          <w:rPr>
            <w:spacing w:val="-1"/>
          </w:rPr>
          <w:t> </w:t>
        </w:r>
        <w:r>
          <w:rPr/>
          <w:t>wet</w:t>
        </w:r>
        <w:r>
          <w:rPr>
            <w:spacing w:val="13"/>
          </w:rPr>
          <w:t> </w:t>
        </w:r>
        <w:r>
          <w:rPr>
            <w:spacing w:val="-2"/>
          </w:rPr>
          <w:t>granulation</w:t>
        </w:r>
        <w:r>
          <w:rPr/>
          <w:tab/>
        </w:r>
        <w:r>
          <w:rPr>
            <w:spacing w:val="-5"/>
          </w:rPr>
          <w:t>127</w:t>
        </w:r>
      </w:hyperlink>
    </w:p>
    <w:p>
      <w:pPr>
        <w:spacing w:after="0" w:line="244" w:lineRule="auto"/>
        <w:jc w:val="both"/>
        <w:sectPr>
          <w:pgSz w:w="12240" w:h="15840"/>
          <w:pgMar w:header="0" w:footer="999" w:top="1260" w:bottom="1180" w:left="1720" w:right="0"/>
        </w:sectPr>
      </w:pPr>
    </w:p>
    <w:p>
      <w:pPr>
        <w:pStyle w:val="BodyText"/>
        <w:tabs>
          <w:tab w:pos="8311" w:val="left" w:leader="dot"/>
        </w:tabs>
        <w:spacing w:line="244" w:lineRule="auto" w:before="75"/>
        <w:ind w:left="1851" w:right="1859" w:hanging="1186"/>
        <w:jc w:val="both"/>
      </w:pPr>
      <w:hyperlink w:history="true" w:anchor="_TOC_250006">
        <w:r>
          <w:rPr/>
          <w:t>Figure A.19:</w:t>
        </w:r>
        <w:r>
          <w:rPr>
            <w:spacing w:val="-4"/>
          </w:rPr>
          <w:t> </w:t>
        </w:r>
        <w:r>
          <w:rPr/>
          <w:t>Graph</w:t>
        </w:r>
        <w:r>
          <w:rPr>
            <w:spacing w:val="40"/>
          </w:rPr>
          <w:t> </w:t>
        </w:r>
        <w:r>
          <w:rPr/>
          <w:t>of</w:t>
        </w:r>
        <w:r>
          <w:rPr>
            <w:spacing w:val="40"/>
          </w:rPr>
          <w:t> </w:t>
        </w:r>
        <w:r>
          <w:rPr/>
          <w:t>crushing</w:t>
        </w:r>
        <w:r>
          <w:rPr>
            <w:spacing w:val="40"/>
          </w:rPr>
          <w:t> </w:t>
        </w:r>
        <w:r>
          <w:rPr/>
          <w:t>strength-friability</w:t>
        </w:r>
        <w:r>
          <w:rPr>
            <w:spacing w:val="40"/>
          </w:rPr>
          <w:t> </w:t>
        </w:r>
        <w:r>
          <w:rPr/>
          <w:t>index</w:t>
        </w:r>
        <w:r>
          <w:rPr>
            <w:spacing w:val="40"/>
          </w:rPr>
          <w:t> </w:t>
        </w:r>
        <w:r>
          <w:rPr/>
          <w:t>against</w:t>
        </w:r>
        <w:r>
          <w:rPr>
            <w:spacing w:val="40"/>
          </w:rPr>
          <w:t> </w:t>
        </w:r>
        <w:r>
          <w:rPr/>
          <w:t>disintegrant concentration (%</w:t>
        </w:r>
        <w:r>
          <w:rPr>
            <w:spacing w:val="40"/>
          </w:rPr>
          <w:t> </w:t>
        </w:r>
        <w:r>
          <w:rPr/>
          <w:t>w/w)</w:t>
        </w:r>
        <w:r>
          <w:rPr>
            <w:spacing w:val="40"/>
          </w:rPr>
          <w:t> </w:t>
        </w:r>
        <w:r>
          <w:rPr/>
          <w:t>of</w:t>
        </w:r>
        <w:r>
          <w:rPr>
            <w:spacing w:val="40"/>
          </w:rPr>
          <w:t> </w:t>
        </w:r>
        <w:r>
          <w:rPr/>
          <w:t>metronidazole</w:t>
        </w:r>
        <w:r>
          <w:rPr>
            <w:spacing w:val="40"/>
          </w:rPr>
          <w:t> </w:t>
        </w:r>
        <w:r>
          <w:rPr/>
          <w:t>tablets produced</w:t>
        </w:r>
        <w:r>
          <w:rPr>
            <w:spacing w:val="40"/>
          </w:rPr>
          <w:t> </w:t>
        </w:r>
        <w:r>
          <w:rPr/>
          <w:t>by wet </w:t>
        </w:r>
        <w:r>
          <w:rPr>
            <w:spacing w:val="-2"/>
          </w:rPr>
          <w:t>granulation</w:t>
        </w:r>
        <w:r>
          <w:rPr/>
          <w:tab/>
        </w:r>
        <w:r>
          <w:rPr>
            <w:spacing w:val="-5"/>
          </w:rPr>
          <w:t>128</w:t>
        </w:r>
      </w:hyperlink>
    </w:p>
    <w:p>
      <w:pPr>
        <w:pStyle w:val="BodyText"/>
        <w:tabs>
          <w:tab w:pos="8311" w:val="left" w:leader="dot"/>
        </w:tabs>
        <w:spacing w:line="244" w:lineRule="auto" w:before="100"/>
        <w:ind w:left="1851" w:right="1850" w:hanging="1186"/>
        <w:jc w:val="both"/>
      </w:pPr>
      <w:hyperlink w:history="true" w:anchor="_TOC_250005">
        <w:r>
          <w:rPr/>
          <w:t>Figure A.20: Graph of crushing strength-friability/disintegration time index against disintegrant concentration (% w/w) of metronidazole tablets produced by</w:t>
        </w:r>
        <w:r>
          <w:rPr>
            <w:spacing w:val="80"/>
          </w:rPr>
          <w:t> </w:t>
        </w:r>
        <w:r>
          <w:rPr/>
          <w:t>wet</w:t>
        </w:r>
        <w:r>
          <w:rPr>
            <w:spacing w:val="8"/>
          </w:rPr>
          <w:t> </w:t>
        </w:r>
        <w:r>
          <w:rPr>
            <w:spacing w:val="-2"/>
          </w:rPr>
          <w:t>granulation</w:t>
        </w:r>
        <w:r>
          <w:rPr/>
          <w:tab/>
        </w:r>
        <w:r>
          <w:rPr>
            <w:spacing w:val="-5"/>
          </w:rPr>
          <w:t>129</w:t>
        </w:r>
      </w:hyperlink>
    </w:p>
    <w:p>
      <w:pPr>
        <w:pStyle w:val="ListParagraph"/>
        <w:numPr>
          <w:ilvl w:val="1"/>
          <w:numId w:val="10"/>
        </w:numPr>
        <w:tabs>
          <w:tab w:pos="1851" w:val="left" w:leader="none"/>
          <w:tab w:pos="8311" w:val="left" w:leader="dot"/>
        </w:tabs>
        <w:spacing w:line="240" w:lineRule="auto" w:before="94" w:after="0"/>
        <w:ind w:left="1851" w:right="0" w:hanging="1186"/>
        <w:jc w:val="both"/>
        <w:rPr>
          <w:sz w:val="22"/>
        </w:rPr>
      </w:pPr>
      <w:hyperlink w:history="true" w:anchor="_TOC_250004">
        <w:r>
          <w:rPr>
            <w:sz w:val="22"/>
          </w:rPr>
          <w:t>Calibration</w:t>
        </w:r>
        <w:r>
          <w:rPr>
            <w:spacing w:val="10"/>
            <w:sz w:val="22"/>
          </w:rPr>
          <w:t> </w:t>
        </w:r>
        <w:r>
          <w:rPr>
            <w:sz w:val="22"/>
          </w:rPr>
          <w:t>curve</w:t>
        </w:r>
        <w:r>
          <w:rPr>
            <w:spacing w:val="13"/>
            <w:sz w:val="22"/>
          </w:rPr>
          <w:t> </w:t>
        </w:r>
        <w:r>
          <w:rPr>
            <w:sz w:val="22"/>
          </w:rPr>
          <w:t>for</w:t>
        </w:r>
        <w:r>
          <w:rPr>
            <w:spacing w:val="15"/>
            <w:sz w:val="22"/>
          </w:rPr>
          <w:t> </w:t>
        </w:r>
        <w:r>
          <w:rPr>
            <w:spacing w:val="-2"/>
            <w:sz w:val="22"/>
          </w:rPr>
          <w:t>metronidazole</w:t>
        </w:r>
        <w:r>
          <w:rPr>
            <w:sz w:val="22"/>
          </w:rPr>
          <w:tab/>
        </w:r>
        <w:r>
          <w:rPr>
            <w:spacing w:val="-5"/>
            <w:sz w:val="22"/>
          </w:rPr>
          <w:t>130</w:t>
        </w:r>
      </w:hyperlink>
    </w:p>
    <w:p>
      <w:pPr>
        <w:pStyle w:val="BodyText"/>
        <w:tabs>
          <w:tab w:pos="8311" w:val="left" w:leader="dot"/>
        </w:tabs>
        <w:spacing w:before="103"/>
        <w:ind w:left="665"/>
        <w:jc w:val="both"/>
      </w:pPr>
      <w:r>
        <w:rPr/>
        <w:t>Figure</w:t>
      </w:r>
      <w:r>
        <w:rPr>
          <w:spacing w:val="13"/>
        </w:rPr>
        <w:t> </w:t>
      </w:r>
      <w:r>
        <w:rPr/>
        <w:t>A.</w:t>
      </w:r>
      <w:r>
        <w:rPr>
          <w:spacing w:val="8"/>
        </w:rPr>
        <w:t> </w:t>
      </w:r>
      <w:r>
        <w:rPr/>
        <w:t>21:</w:t>
      </w:r>
      <w:r>
        <w:rPr>
          <w:spacing w:val="6"/>
        </w:rPr>
        <w:t> </w:t>
      </w:r>
      <w:r>
        <w:rPr/>
        <w:t>Calibration</w:t>
      </w:r>
      <w:r>
        <w:rPr>
          <w:spacing w:val="9"/>
        </w:rPr>
        <w:t> </w:t>
      </w:r>
      <w:r>
        <w:rPr/>
        <w:t>curve</w:t>
      </w:r>
      <w:r>
        <w:rPr>
          <w:spacing w:val="13"/>
        </w:rPr>
        <w:t> </w:t>
      </w:r>
      <w:r>
        <w:rPr/>
        <w:t>for</w:t>
      </w:r>
      <w:r>
        <w:rPr>
          <w:spacing w:val="9"/>
        </w:rPr>
        <w:t> </w:t>
      </w:r>
      <w:r>
        <w:rPr>
          <w:spacing w:val="-2"/>
        </w:rPr>
        <w:t>metronidazole</w:t>
      </w:r>
      <w:r>
        <w:rPr/>
        <w:tab/>
      </w:r>
      <w:r>
        <w:rPr>
          <w:spacing w:val="-5"/>
        </w:rPr>
        <w:t>131</w:t>
      </w:r>
    </w:p>
    <w:p>
      <w:pPr>
        <w:pStyle w:val="ListParagraph"/>
        <w:numPr>
          <w:ilvl w:val="1"/>
          <w:numId w:val="10"/>
        </w:numPr>
        <w:tabs>
          <w:tab w:pos="1851" w:val="left" w:leader="none"/>
          <w:tab w:pos="8311" w:val="left" w:leader="dot"/>
        </w:tabs>
        <w:spacing w:line="240" w:lineRule="auto" w:before="102" w:after="0"/>
        <w:ind w:left="1851" w:right="0" w:hanging="1186"/>
        <w:jc w:val="left"/>
        <w:rPr>
          <w:sz w:val="22"/>
        </w:rPr>
      </w:pPr>
      <w:r>
        <w:rPr>
          <w:sz w:val="22"/>
        </w:rPr>
        <w:t>Dissolution</w:t>
      </w:r>
      <w:r>
        <w:rPr>
          <w:spacing w:val="7"/>
          <w:sz w:val="22"/>
        </w:rPr>
        <w:t> </w:t>
      </w:r>
      <w:r>
        <w:rPr>
          <w:sz w:val="22"/>
        </w:rPr>
        <w:t>test</w:t>
      </w:r>
      <w:r>
        <w:rPr>
          <w:spacing w:val="10"/>
          <w:sz w:val="22"/>
        </w:rPr>
        <w:t> </w:t>
      </w:r>
      <w:r>
        <w:rPr>
          <w:sz w:val="22"/>
        </w:rPr>
        <w:t>results</w:t>
      </w:r>
      <w:r>
        <w:rPr>
          <w:spacing w:val="9"/>
          <w:sz w:val="22"/>
        </w:rPr>
        <w:t> </w:t>
      </w:r>
      <w:r>
        <w:rPr>
          <w:sz w:val="22"/>
        </w:rPr>
        <w:t>at</w:t>
      </w:r>
      <w:r>
        <w:rPr>
          <w:spacing w:val="9"/>
          <w:sz w:val="22"/>
        </w:rPr>
        <w:t> </w:t>
      </w:r>
      <w:r>
        <w:rPr>
          <w:sz w:val="22"/>
        </w:rPr>
        <w:t>7.5</w:t>
      </w:r>
      <w:r>
        <w:rPr>
          <w:spacing w:val="19"/>
          <w:sz w:val="22"/>
        </w:rPr>
        <w:t> </w:t>
      </w:r>
      <w:r>
        <w:rPr>
          <w:sz w:val="22"/>
        </w:rPr>
        <w:t>%</w:t>
      </w:r>
      <w:r>
        <w:rPr>
          <w:spacing w:val="10"/>
          <w:sz w:val="22"/>
        </w:rPr>
        <w:t> </w:t>
      </w:r>
      <w:r>
        <w:rPr>
          <w:sz w:val="22"/>
        </w:rPr>
        <w:t>w/v</w:t>
      </w:r>
      <w:r>
        <w:rPr>
          <w:spacing w:val="-4"/>
          <w:sz w:val="22"/>
        </w:rPr>
        <w:t> </w:t>
      </w:r>
      <w:r>
        <w:rPr>
          <w:sz w:val="22"/>
        </w:rPr>
        <w:t>binder</w:t>
      </w:r>
      <w:r>
        <w:rPr>
          <w:spacing w:val="13"/>
          <w:sz w:val="22"/>
        </w:rPr>
        <w:t> </w:t>
      </w:r>
      <w:r>
        <w:rPr>
          <w:spacing w:val="-2"/>
          <w:sz w:val="22"/>
        </w:rPr>
        <w:t>concentration</w:t>
      </w:r>
      <w:r>
        <w:rPr>
          <w:sz w:val="22"/>
        </w:rPr>
        <w:tab/>
      </w:r>
      <w:r>
        <w:rPr>
          <w:spacing w:val="-5"/>
          <w:sz w:val="22"/>
        </w:rPr>
        <w:t>132</w:t>
      </w:r>
    </w:p>
    <w:p>
      <w:pPr>
        <w:pStyle w:val="ListParagraph"/>
        <w:numPr>
          <w:ilvl w:val="1"/>
          <w:numId w:val="10"/>
        </w:numPr>
        <w:tabs>
          <w:tab w:pos="1851" w:val="left" w:leader="none"/>
          <w:tab w:pos="8311" w:val="left" w:leader="dot"/>
        </w:tabs>
        <w:spacing w:line="240" w:lineRule="auto" w:before="97" w:after="0"/>
        <w:ind w:left="1851" w:right="0" w:hanging="1186"/>
        <w:jc w:val="left"/>
        <w:rPr>
          <w:sz w:val="22"/>
        </w:rPr>
      </w:pPr>
      <w:r>
        <w:rPr>
          <w:sz w:val="22"/>
        </w:rPr>
        <w:t>Dissolution</w:t>
      </w:r>
      <w:r>
        <w:rPr>
          <w:spacing w:val="8"/>
          <w:sz w:val="22"/>
        </w:rPr>
        <w:t> </w:t>
      </w:r>
      <w:r>
        <w:rPr>
          <w:sz w:val="22"/>
        </w:rPr>
        <w:t>test</w:t>
      </w:r>
      <w:r>
        <w:rPr>
          <w:spacing w:val="11"/>
          <w:sz w:val="22"/>
        </w:rPr>
        <w:t> </w:t>
      </w:r>
      <w:r>
        <w:rPr>
          <w:sz w:val="22"/>
        </w:rPr>
        <w:t>results</w:t>
      </w:r>
      <w:r>
        <w:rPr>
          <w:spacing w:val="9"/>
          <w:sz w:val="22"/>
        </w:rPr>
        <w:t> </w:t>
      </w:r>
      <w:r>
        <w:rPr>
          <w:sz w:val="22"/>
        </w:rPr>
        <w:t>at</w:t>
      </w:r>
      <w:r>
        <w:rPr>
          <w:spacing w:val="11"/>
          <w:sz w:val="22"/>
        </w:rPr>
        <w:t> </w:t>
      </w:r>
      <w:r>
        <w:rPr>
          <w:sz w:val="22"/>
        </w:rPr>
        <w:t>10.0</w:t>
      </w:r>
      <w:r>
        <w:rPr>
          <w:spacing w:val="14"/>
          <w:sz w:val="22"/>
        </w:rPr>
        <w:t> </w:t>
      </w:r>
      <w:r>
        <w:rPr>
          <w:sz w:val="22"/>
        </w:rPr>
        <w:t>%</w:t>
      </w:r>
      <w:r>
        <w:rPr>
          <w:spacing w:val="11"/>
          <w:sz w:val="22"/>
        </w:rPr>
        <w:t> </w:t>
      </w:r>
      <w:r>
        <w:rPr>
          <w:sz w:val="22"/>
        </w:rPr>
        <w:t>w/w disintegrant</w:t>
      </w:r>
      <w:r>
        <w:rPr>
          <w:spacing w:val="16"/>
          <w:sz w:val="22"/>
        </w:rPr>
        <w:t> </w:t>
      </w:r>
      <w:r>
        <w:rPr>
          <w:spacing w:val="-2"/>
          <w:sz w:val="22"/>
        </w:rPr>
        <w:t>concentration</w:t>
      </w:r>
      <w:r>
        <w:rPr>
          <w:sz w:val="22"/>
        </w:rPr>
        <w:tab/>
      </w:r>
      <w:r>
        <w:rPr>
          <w:spacing w:val="-5"/>
          <w:sz w:val="22"/>
        </w:rPr>
        <w:t>133</w:t>
      </w:r>
    </w:p>
    <w:p>
      <w:pPr>
        <w:pStyle w:val="ListParagraph"/>
        <w:numPr>
          <w:ilvl w:val="1"/>
          <w:numId w:val="10"/>
        </w:numPr>
        <w:tabs>
          <w:tab w:pos="1851" w:val="left" w:leader="none"/>
        </w:tabs>
        <w:spacing w:line="240" w:lineRule="auto" w:before="102" w:after="0"/>
        <w:ind w:left="1851" w:right="0" w:hanging="1186"/>
        <w:jc w:val="left"/>
        <w:rPr>
          <w:sz w:val="22"/>
        </w:rPr>
      </w:pPr>
      <w:r>
        <w:rPr>
          <w:sz w:val="22"/>
        </w:rPr>
        <w:t>Parameter</w:t>
      </w:r>
      <w:r>
        <w:rPr>
          <w:spacing w:val="16"/>
          <w:sz w:val="22"/>
        </w:rPr>
        <w:t> </w:t>
      </w:r>
      <w:r>
        <w:rPr>
          <w:sz w:val="22"/>
        </w:rPr>
        <w:t>from</w:t>
      </w:r>
      <w:r>
        <w:rPr>
          <w:spacing w:val="12"/>
          <w:sz w:val="22"/>
        </w:rPr>
        <w:t> </w:t>
      </w:r>
      <w:r>
        <w:rPr>
          <w:sz w:val="22"/>
        </w:rPr>
        <w:t>dissolution</w:t>
      </w:r>
      <w:r>
        <w:rPr>
          <w:spacing w:val="11"/>
          <w:sz w:val="22"/>
        </w:rPr>
        <w:t> </w:t>
      </w:r>
      <w:r>
        <w:rPr>
          <w:sz w:val="22"/>
        </w:rPr>
        <w:t>profile</w:t>
      </w:r>
      <w:r>
        <w:rPr>
          <w:spacing w:val="16"/>
          <w:sz w:val="22"/>
        </w:rPr>
        <w:t> </w:t>
      </w:r>
      <w:r>
        <w:rPr>
          <w:sz w:val="22"/>
        </w:rPr>
        <w:t>of</w:t>
      </w:r>
      <w:r>
        <w:rPr>
          <w:spacing w:val="10"/>
          <w:sz w:val="22"/>
        </w:rPr>
        <w:t> </w:t>
      </w:r>
      <w:r>
        <w:rPr>
          <w:sz w:val="22"/>
        </w:rPr>
        <w:t>metronidazole</w:t>
      </w:r>
      <w:r>
        <w:rPr>
          <w:spacing w:val="15"/>
          <w:sz w:val="22"/>
        </w:rPr>
        <w:t> </w:t>
      </w:r>
      <w:r>
        <w:rPr>
          <w:sz w:val="22"/>
        </w:rPr>
        <w:t>tablets</w:t>
      </w:r>
      <w:r>
        <w:rPr>
          <w:spacing w:val="19"/>
          <w:sz w:val="22"/>
        </w:rPr>
        <w:t> </w:t>
      </w:r>
      <w:r>
        <w:rPr>
          <w:sz w:val="22"/>
        </w:rPr>
        <w:t>containing</w:t>
      </w:r>
      <w:r>
        <w:rPr>
          <w:spacing w:val="12"/>
          <w:sz w:val="22"/>
        </w:rPr>
        <w:t> </w:t>
      </w:r>
      <w:r>
        <w:rPr>
          <w:spacing w:val="-5"/>
          <w:sz w:val="22"/>
        </w:rPr>
        <w:t>7.5</w:t>
      </w:r>
    </w:p>
    <w:p>
      <w:pPr>
        <w:pStyle w:val="BodyText"/>
        <w:tabs>
          <w:tab w:pos="8311" w:val="left" w:leader="dot"/>
        </w:tabs>
        <w:spacing w:before="7"/>
        <w:ind w:left="1851"/>
      </w:pPr>
      <w:r>
        <w:rPr/>
        <w:t>%</w:t>
      </w:r>
      <w:r>
        <w:rPr>
          <w:spacing w:val="9"/>
        </w:rPr>
        <w:t> </w:t>
      </w:r>
      <w:r>
        <w:rPr/>
        <w:t>w/v</w:t>
      </w:r>
      <w:r>
        <w:rPr>
          <w:spacing w:val="8"/>
        </w:rPr>
        <w:t> </w:t>
      </w:r>
      <w:r>
        <w:rPr/>
        <w:t>binder</w:t>
      </w:r>
      <w:r>
        <w:rPr>
          <w:spacing w:val="12"/>
        </w:rPr>
        <w:t> </w:t>
      </w:r>
      <w:r>
        <w:rPr>
          <w:spacing w:val="-2"/>
        </w:rPr>
        <w:t>concentration</w:t>
      </w:r>
      <w:r>
        <w:rPr/>
        <w:tab/>
      </w:r>
      <w:r>
        <w:rPr>
          <w:spacing w:val="-5"/>
        </w:rPr>
        <w:t>134</w:t>
      </w:r>
    </w:p>
    <w:p>
      <w:pPr>
        <w:pStyle w:val="ListParagraph"/>
        <w:numPr>
          <w:ilvl w:val="1"/>
          <w:numId w:val="10"/>
        </w:numPr>
        <w:tabs>
          <w:tab w:pos="1851" w:val="left" w:leader="none"/>
        </w:tabs>
        <w:spacing w:line="240" w:lineRule="auto" w:before="97" w:after="0"/>
        <w:ind w:left="1851" w:right="0" w:hanging="1186"/>
        <w:jc w:val="left"/>
        <w:rPr>
          <w:sz w:val="22"/>
        </w:rPr>
      </w:pPr>
      <w:hyperlink w:history="true" w:anchor="_TOC_250003">
        <w:r>
          <w:rPr>
            <w:sz w:val="22"/>
          </w:rPr>
          <w:t>Parameter</w:t>
        </w:r>
        <w:r>
          <w:rPr>
            <w:spacing w:val="16"/>
            <w:sz w:val="22"/>
          </w:rPr>
          <w:t> </w:t>
        </w:r>
        <w:r>
          <w:rPr>
            <w:sz w:val="22"/>
          </w:rPr>
          <w:t>from</w:t>
        </w:r>
        <w:r>
          <w:rPr>
            <w:spacing w:val="11"/>
            <w:sz w:val="22"/>
          </w:rPr>
          <w:t> </w:t>
        </w:r>
        <w:r>
          <w:rPr>
            <w:sz w:val="22"/>
          </w:rPr>
          <w:t>dissolution</w:t>
        </w:r>
        <w:r>
          <w:rPr>
            <w:spacing w:val="11"/>
            <w:sz w:val="22"/>
          </w:rPr>
          <w:t> </w:t>
        </w:r>
        <w:r>
          <w:rPr>
            <w:sz w:val="22"/>
          </w:rPr>
          <w:t>profile</w:t>
        </w:r>
        <w:r>
          <w:rPr>
            <w:spacing w:val="15"/>
            <w:sz w:val="22"/>
          </w:rPr>
          <w:t> </w:t>
        </w:r>
        <w:r>
          <w:rPr>
            <w:sz w:val="22"/>
          </w:rPr>
          <w:t>of</w:t>
        </w:r>
        <w:r>
          <w:rPr>
            <w:spacing w:val="11"/>
            <w:sz w:val="22"/>
          </w:rPr>
          <w:t> </w:t>
        </w:r>
        <w:r>
          <w:rPr>
            <w:sz w:val="22"/>
          </w:rPr>
          <w:t>metronidazole</w:t>
        </w:r>
        <w:r>
          <w:rPr>
            <w:spacing w:val="15"/>
            <w:sz w:val="22"/>
          </w:rPr>
          <w:t> </w:t>
        </w:r>
        <w:r>
          <w:rPr>
            <w:sz w:val="22"/>
          </w:rPr>
          <w:t>tablets</w:t>
        </w:r>
        <w:r>
          <w:rPr>
            <w:spacing w:val="18"/>
            <w:sz w:val="22"/>
          </w:rPr>
          <w:t> </w:t>
        </w:r>
        <w:r>
          <w:rPr>
            <w:spacing w:val="-2"/>
            <w:sz w:val="22"/>
          </w:rPr>
          <w:t>containing</w:t>
        </w:r>
      </w:hyperlink>
    </w:p>
    <w:p>
      <w:pPr>
        <w:pStyle w:val="BodyText"/>
        <w:tabs>
          <w:tab w:pos="8311" w:val="left" w:leader="dot"/>
        </w:tabs>
        <w:spacing w:before="11"/>
        <w:ind w:left="1851"/>
      </w:pPr>
      <w:hyperlink w:history="true" w:anchor="_TOC_250002">
        <w:r>
          <w:rPr/>
          <w:t>10.0</w:t>
        </w:r>
        <w:r>
          <w:rPr>
            <w:spacing w:val="13"/>
          </w:rPr>
          <w:t> </w:t>
        </w:r>
        <w:r>
          <w:rPr/>
          <w:t>%</w:t>
        </w:r>
        <w:r>
          <w:rPr>
            <w:spacing w:val="9"/>
          </w:rPr>
          <w:t> </w:t>
        </w:r>
        <w:r>
          <w:rPr/>
          <w:t>w/w</w:t>
        </w:r>
        <w:r>
          <w:rPr>
            <w:spacing w:val="6"/>
          </w:rPr>
          <w:t> </w:t>
        </w:r>
        <w:r>
          <w:rPr/>
          <w:t>disintegrant</w:t>
        </w:r>
        <w:r>
          <w:rPr>
            <w:spacing w:val="9"/>
          </w:rPr>
          <w:t> </w:t>
        </w:r>
        <w:r>
          <w:rPr>
            <w:spacing w:val="-2"/>
          </w:rPr>
          <w:t>concentration</w:t>
        </w:r>
        <w:r>
          <w:rPr/>
          <w:tab/>
        </w:r>
        <w:r>
          <w:rPr>
            <w:spacing w:val="-5"/>
          </w:rPr>
          <w:t>135</w:t>
        </w:r>
      </w:hyperlink>
    </w:p>
    <w:p>
      <w:pPr>
        <w:pStyle w:val="ListParagraph"/>
        <w:numPr>
          <w:ilvl w:val="1"/>
          <w:numId w:val="10"/>
        </w:numPr>
        <w:tabs>
          <w:tab w:pos="1851" w:val="left" w:leader="none"/>
          <w:tab w:pos="8311" w:val="left" w:leader="dot"/>
        </w:tabs>
        <w:spacing w:line="240" w:lineRule="auto" w:before="93" w:after="0"/>
        <w:ind w:left="1851" w:right="0" w:hanging="1186"/>
        <w:jc w:val="left"/>
        <w:rPr>
          <w:sz w:val="22"/>
        </w:rPr>
      </w:pPr>
      <w:hyperlink w:history="true" w:anchor="_TOC_250001">
        <w:r>
          <w:rPr>
            <w:sz w:val="22"/>
          </w:rPr>
          <w:t>Parameters</w:t>
        </w:r>
        <w:r>
          <w:rPr>
            <w:spacing w:val="12"/>
            <w:sz w:val="22"/>
          </w:rPr>
          <w:t> </w:t>
        </w:r>
        <w:r>
          <w:rPr>
            <w:sz w:val="22"/>
          </w:rPr>
          <w:t>for</w:t>
        </w:r>
        <w:r>
          <w:rPr>
            <w:spacing w:val="9"/>
            <w:sz w:val="22"/>
          </w:rPr>
          <w:t> </w:t>
        </w:r>
        <w:r>
          <w:rPr>
            <w:sz w:val="22"/>
          </w:rPr>
          <w:t>Heckel</w:t>
        </w:r>
        <w:r>
          <w:rPr>
            <w:spacing w:val="14"/>
            <w:sz w:val="22"/>
          </w:rPr>
          <w:t> </w:t>
        </w:r>
        <w:r>
          <w:rPr>
            <w:spacing w:val="-4"/>
            <w:sz w:val="22"/>
          </w:rPr>
          <w:t>plot</w:t>
        </w:r>
        <w:r>
          <w:rPr>
            <w:sz w:val="22"/>
          </w:rPr>
          <w:tab/>
        </w:r>
        <w:r>
          <w:rPr>
            <w:spacing w:val="-5"/>
            <w:sz w:val="22"/>
          </w:rPr>
          <w:t>136</w:t>
        </w:r>
      </w:hyperlink>
    </w:p>
    <w:p>
      <w:pPr>
        <w:pStyle w:val="BodyText"/>
        <w:tabs>
          <w:tab w:pos="1846" w:val="left" w:leader="none"/>
          <w:tab w:pos="8307" w:val="left" w:leader="dot"/>
        </w:tabs>
        <w:spacing w:before="145"/>
        <w:ind w:left="665"/>
      </w:pPr>
      <w:hyperlink w:history="true" w:anchor="_TOC_250000">
        <w:r>
          <w:rPr/>
          <w:t>A.</w:t>
        </w:r>
        <w:r>
          <w:rPr>
            <w:spacing w:val="7"/>
          </w:rPr>
          <w:t> </w:t>
        </w:r>
        <w:r>
          <w:rPr>
            <w:spacing w:val="-5"/>
          </w:rPr>
          <w:t>10</w:t>
        </w:r>
        <w:r>
          <w:rPr/>
          <w:tab/>
          <w:t>Statistical</w:t>
        </w:r>
        <w:r>
          <w:rPr>
            <w:spacing w:val="11"/>
          </w:rPr>
          <w:t> </w:t>
        </w:r>
        <w:r>
          <w:rPr>
            <w:spacing w:val="-2"/>
          </w:rPr>
          <w:t>analysis</w:t>
        </w:r>
        <w:r>
          <w:rPr/>
          <w:tab/>
        </w:r>
        <w:r>
          <w:rPr>
            <w:spacing w:val="-5"/>
          </w:rPr>
          <w:t>137</w:t>
        </w:r>
      </w:hyperlink>
    </w:p>
    <w:p>
      <w:pPr>
        <w:spacing w:after="0"/>
        <w:sectPr>
          <w:pgSz w:w="12240" w:h="15840"/>
          <w:pgMar w:header="0" w:footer="999" w:top="1260" w:bottom="1180" w:left="1720" w:right="0"/>
        </w:sectPr>
      </w:pPr>
    </w:p>
    <w:p>
      <w:pPr>
        <w:pStyle w:val="Heading2"/>
        <w:spacing w:before="80"/>
        <w:ind w:left="2201" w:firstLine="0"/>
      </w:pPr>
      <w:bookmarkStart w:name="_TOC_250150" w:id="11"/>
      <w:r>
        <w:rPr/>
        <w:t>Abbreviations,</w:t>
      </w:r>
      <w:r>
        <w:rPr>
          <w:spacing w:val="20"/>
        </w:rPr>
        <w:t> </w:t>
      </w:r>
      <w:r>
        <w:rPr/>
        <w:t>Definitions,</w:t>
      </w:r>
      <w:r>
        <w:rPr>
          <w:spacing w:val="21"/>
        </w:rPr>
        <w:t> </w:t>
      </w:r>
      <w:r>
        <w:rPr/>
        <w:t>Glossaries</w:t>
      </w:r>
      <w:r>
        <w:rPr>
          <w:spacing w:val="11"/>
        </w:rPr>
        <w:t> </w:t>
      </w:r>
      <w:r>
        <w:rPr/>
        <w:t>and</w:t>
      </w:r>
      <w:r>
        <w:rPr>
          <w:spacing w:val="19"/>
        </w:rPr>
        <w:t> </w:t>
      </w:r>
      <w:bookmarkEnd w:id="11"/>
      <w:r>
        <w:rPr>
          <w:spacing w:val="-2"/>
        </w:rPr>
        <w:t>Symbols</w:t>
      </w:r>
    </w:p>
    <w:p>
      <w:pPr>
        <w:pStyle w:val="BodyText"/>
        <w:spacing w:before="20" w:after="1"/>
        <w:rPr>
          <w:b/>
          <w:sz w:val="20"/>
        </w:rPr>
      </w:pPr>
    </w:p>
    <w:tbl>
      <w:tblPr>
        <w:tblW w:w="0" w:type="auto"/>
        <w:jc w:val="left"/>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4500"/>
      </w:tblGrid>
      <w:tr>
        <w:trPr>
          <w:trHeight w:val="319" w:hRule="atLeast"/>
        </w:trPr>
        <w:tc>
          <w:tcPr>
            <w:tcW w:w="1746" w:type="dxa"/>
          </w:tcPr>
          <w:p>
            <w:pPr>
              <w:pStyle w:val="TableParagraph"/>
              <w:spacing w:line="249" w:lineRule="exact"/>
              <w:ind w:left="50"/>
              <w:rPr>
                <w:sz w:val="22"/>
              </w:rPr>
            </w:pPr>
            <w:r>
              <w:rPr>
                <w:spacing w:val="-5"/>
                <w:sz w:val="22"/>
              </w:rPr>
              <w:t>ADP</w:t>
            </w:r>
          </w:p>
        </w:tc>
        <w:tc>
          <w:tcPr>
            <w:tcW w:w="4500" w:type="dxa"/>
          </w:tcPr>
          <w:p>
            <w:pPr>
              <w:pStyle w:val="TableParagraph"/>
              <w:spacing w:line="249" w:lineRule="exact"/>
              <w:ind w:left="503"/>
              <w:rPr>
                <w:sz w:val="22"/>
              </w:rPr>
            </w:pPr>
            <w:r>
              <w:rPr>
                <w:sz w:val="22"/>
              </w:rPr>
              <w:t>Adenosine</w:t>
            </w:r>
            <w:r>
              <w:rPr>
                <w:spacing w:val="8"/>
                <w:sz w:val="22"/>
              </w:rPr>
              <w:t> </w:t>
            </w:r>
            <w:r>
              <w:rPr>
                <w:spacing w:val="-2"/>
                <w:sz w:val="22"/>
              </w:rPr>
              <w:t>Diphosphate</w:t>
            </w:r>
          </w:p>
        </w:tc>
      </w:tr>
      <w:tr>
        <w:trPr>
          <w:trHeight w:val="388" w:hRule="atLeast"/>
        </w:trPr>
        <w:tc>
          <w:tcPr>
            <w:tcW w:w="1746" w:type="dxa"/>
          </w:tcPr>
          <w:p>
            <w:pPr>
              <w:pStyle w:val="TableParagraph"/>
              <w:spacing w:before="65"/>
              <w:ind w:left="50"/>
              <w:rPr>
                <w:sz w:val="22"/>
              </w:rPr>
            </w:pPr>
            <w:r>
              <w:rPr>
                <w:spacing w:val="-5"/>
                <w:sz w:val="22"/>
              </w:rPr>
              <w:t>Am</w:t>
            </w:r>
          </w:p>
        </w:tc>
        <w:tc>
          <w:tcPr>
            <w:tcW w:w="4500" w:type="dxa"/>
          </w:tcPr>
          <w:p>
            <w:pPr>
              <w:pStyle w:val="TableParagraph"/>
              <w:spacing w:before="65"/>
              <w:ind w:left="507"/>
              <w:rPr>
                <w:sz w:val="22"/>
              </w:rPr>
            </w:pPr>
            <w:r>
              <w:rPr>
                <w:spacing w:val="-2"/>
                <w:sz w:val="22"/>
              </w:rPr>
              <w:t>Amylose</w:t>
            </w:r>
          </w:p>
        </w:tc>
      </w:tr>
      <w:tr>
        <w:trPr>
          <w:trHeight w:val="386" w:hRule="atLeast"/>
        </w:trPr>
        <w:tc>
          <w:tcPr>
            <w:tcW w:w="1746" w:type="dxa"/>
          </w:tcPr>
          <w:p>
            <w:pPr>
              <w:pStyle w:val="TableParagraph"/>
              <w:spacing w:before="65"/>
              <w:ind w:left="50"/>
              <w:rPr>
                <w:sz w:val="22"/>
              </w:rPr>
            </w:pPr>
            <w:r>
              <w:rPr>
                <w:spacing w:val="-5"/>
                <w:sz w:val="22"/>
              </w:rPr>
              <w:t>AP</w:t>
            </w:r>
          </w:p>
        </w:tc>
        <w:tc>
          <w:tcPr>
            <w:tcW w:w="4500" w:type="dxa"/>
          </w:tcPr>
          <w:p>
            <w:pPr>
              <w:pStyle w:val="TableParagraph"/>
              <w:spacing w:before="65"/>
              <w:ind w:left="516"/>
              <w:rPr>
                <w:sz w:val="22"/>
              </w:rPr>
            </w:pPr>
            <w:r>
              <w:rPr>
                <w:spacing w:val="-2"/>
                <w:sz w:val="22"/>
              </w:rPr>
              <w:t>Amylopectin</w:t>
            </w:r>
          </w:p>
        </w:tc>
      </w:tr>
      <w:tr>
        <w:trPr>
          <w:trHeight w:val="388" w:hRule="atLeast"/>
        </w:trPr>
        <w:tc>
          <w:tcPr>
            <w:tcW w:w="1746" w:type="dxa"/>
          </w:tcPr>
          <w:p>
            <w:pPr>
              <w:pStyle w:val="TableParagraph"/>
              <w:spacing w:before="62"/>
              <w:ind w:left="50"/>
              <w:rPr>
                <w:sz w:val="22"/>
              </w:rPr>
            </w:pPr>
            <w:r>
              <w:rPr>
                <w:spacing w:val="-5"/>
                <w:sz w:val="22"/>
              </w:rPr>
              <w:t>API</w:t>
            </w:r>
          </w:p>
        </w:tc>
        <w:tc>
          <w:tcPr>
            <w:tcW w:w="4500" w:type="dxa"/>
          </w:tcPr>
          <w:p>
            <w:pPr>
              <w:pStyle w:val="TableParagraph"/>
              <w:spacing w:before="62"/>
              <w:ind w:left="535"/>
              <w:rPr>
                <w:sz w:val="22"/>
              </w:rPr>
            </w:pPr>
            <w:r>
              <w:rPr>
                <w:sz w:val="22"/>
              </w:rPr>
              <w:t>Active</w:t>
            </w:r>
            <w:r>
              <w:rPr>
                <w:spacing w:val="13"/>
                <w:sz w:val="22"/>
              </w:rPr>
              <w:t> </w:t>
            </w:r>
            <w:r>
              <w:rPr>
                <w:sz w:val="22"/>
              </w:rPr>
              <w:t>pharmaceutical</w:t>
            </w:r>
            <w:r>
              <w:rPr>
                <w:spacing w:val="12"/>
                <w:sz w:val="22"/>
              </w:rPr>
              <w:t> </w:t>
            </w:r>
            <w:r>
              <w:rPr>
                <w:spacing w:val="-2"/>
                <w:sz w:val="22"/>
              </w:rPr>
              <w:t>ingredient</w:t>
            </w:r>
          </w:p>
        </w:tc>
      </w:tr>
      <w:tr>
        <w:trPr>
          <w:trHeight w:val="391" w:hRule="atLeast"/>
        </w:trPr>
        <w:tc>
          <w:tcPr>
            <w:tcW w:w="1746" w:type="dxa"/>
          </w:tcPr>
          <w:p>
            <w:pPr>
              <w:pStyle w:val="TableParagraph"/>
              <w:spacing w:before="67"/>
              <w:ind w:left="50"/>
              <w:rPr>
                <w:sz w:val="22"/>
              </w:rPr>
            </w:pPr>
            <w:r>
              <w:rPr>
                <w:spacing w:val="-5"/>
                <w:sz w:val="22"/>
              </w:rPr>
              <w:t>ATP</w:t>
            </w:r>
          </w:p>
        </w:tc>
        <w:tc>
          <w:tcPr>
            <w:tcW w:w="4500" w:type="dxa"/>
          </w:tcPr>
          <w:p>
            <w:pPr>
              <w:pStyle w:val="TableParagraph"/>
              <w:spacing w:before="67"/>
              <w:ind w:left="540"/>
              <w:rPr>
                <w:sz w:val="22"/>
              </w:rPr>
            </w:pPr>
            <w:r>
              <w:rPr>
                <w:sz w:val="22"/>
              </w:rPr>
              <w:t>Adenosine</w:t>
            </w:r>
            <w:r>
              <w:rPr>
                <w:spacing w:val="10"/>
                <w:sz w:val="22"/>
              </w:rPr>
              <w:t> </w:t>
            </w:r>
            <w:r>
              <w:rPr>
                <w:spacing w:val="-2"/>
                <w:sz w:val="22"/>
              </w:rPr>
              <w:t>Triphosphate</w:t>
            </w:r>
          </w:p>
        </w:tc>
      </w:tr>
      <w:tr>
        <w:trPr>
          <w:trHeight w:val="388" w:hRule="atLeast"/>
        </w:trPr>
        <w:tc>
          <w:tcPr>
            <w:tcW w:w="1746" w:type="dxa"/>
          </w:tcPr>
          <w:p>
            <w:pPr>
              <w:pStyle w:val="TableParagraph"/>
              <w:spacing w:before="65"/>
              <w:ind w:left="50"/>
              <w:rPr>
                <w:sz w:val="22"/>
              </w:rPr>
            </w:pPr>
            <w:r>
              <w:rPr>
                <w:spacing w:val="-5"/>
                <w:sz w:val="22"/>
              </w:rPr>
              <w:t>BP</w:t>
            </w:r>
          </w:p>
        </w:tc>
        <w:tc>
          <w:tcPr>
            <w:tcW w:w="4500" w:type="dxa"/>
          </w:tcPr>
          <w:p>
            <w:pPr>
              <w:pStyle w:val="TableParagraph"/>
              <w:spacing w:before="65"/>
              <w:ind w:left="555"/>
              <w:rPr>
                <w:sz w:val="22"/>
              </w:rPr>
            </w:pPr>
            <w:r>
              <w:rPr>
                <w:sz w:val="22"/>
              </w:rPr>
              <w:t>British</w:t>
            </w:r>
            <w:r>
              <w:rPr>
                <w:spacing w:val="2"/>
                <w:sz w:val="22"/>
              </w:rPr>
              <w:t> </w:t>
            </w:r>
            <w:r>
              <w:rPr>
                <w:spacing w:val="-2"/>
                <w:sz w:val="22"/>
              </w:rPr>
              <w:t>Pharmacoeia</w:t>
            </w:r>
          </w:p>
        </w:tc>
      </w:tr>
      <w:tr>
        <w:trPr>
          <w:trHeight w:val="388" w:hRule="atLeast"/>
        </w:trPr>
        <w:tc>
          <w:tcPr>
            <w:tcW w:w="1746" w:type="dxa"/>
          </w:tcPr>
          <w:p>
            <w:pPr>
              <w:pStyle w:val="TableParagraph"/>
              <w:spacing w:before="65"/>
              <w:ind w:left="50"/>
              <w:rPr>
                <w:sz w:val="22"/>
              </w:rPr>
            </w:pPr>
            <w:r>
              <w:rPr>
                <w:spacing w:val="-5"/>
                <w:sz w:val="22"/>
              </w:rPr>
              <w:t>CS</w:t>
            </w:r>
          </w:p>
        </w:tc>
        <w:tc>
          <w:tcPr>
            <w:tcW w:w="4500" w:type="dxa"/>
          </w:tcPr>
          <w:p>
            <w:pPr>
              <w:pStyle w:val="TableParagraph"/>
              <w:spacing w:before="65"/>
              <w:ind w:left="555"/>
              <w:rPr>
                <w:sz w:val="22"/>
              </w:rPr>
            </w:pPr>
            <w:r>
              <w:rPr>
                <w:sz w:val="22"/>
              </w:rPr>
              <w:t>Crushing</w:t>
            </w:r>
            <w:r>
              <w:rPr>
                <w:spacing w:val="11"/>
                <w:sz w:val="22"/>
              </w:rPr>
              <w:t> </w:t>
            </w:r>
            <w:r>
              <w:rPr>
                <w:spacing w:val="-2"/>
                <w:sz w:val="22"/>
              </w:rPr>
              <w:t>Strength</w:t>
            </w:r>
          </w:p>
        </w:tc>
      </w:tr>
      <w:tr>
        <w:trPr>
          <w:trHeight w:val="388" w:hRule="atLeast"/>
        </w:trPr>
        <w:tc>
          <w:tcPr>
            <w:tcW w:w="1746" w:type="dxa"/>
          </w:tcPr>
          <w:p>
            <w:pPr>
              <w:pStyle w:val="TableParagraph"/>
              <w:spacing w:before="65"/>
              <w:ind w:left="50"/>
              <w:rPr>
                <w:sz w:val="22"/>
              </w:rPr>
            </w:pPr>
            <w:r>
              <w:rPr>
                <w:sz w:val="22"/>
              </w:rPr>
              <w:t>D.E</w:t>
            </w:r>
            <w:r>
              <w:rPr>
                <w:spacing w:val="7"/>
                <w:sz w:val="22"/>
              </w:rPr>
              <w:t> </w:t>
            </w:r>
            <w:r>
              <w:rPr>
                <w:sz w:val="22"/>
              </w:rPr>
              <w:t>(30</w:t>
            </w:r>
            <w:r>
              <w:rPr>
                <w:spacing w:val="13"/>
                <w:sz w:val="22"/>
              </w:rPr>
              <w:t> </w:t>
            </w:r>
            <w:r>
              <w:rPr>
                <w:spacing w:val="-4"/>
                <w:sz w:val="22"/>
              </w:rPr>
              <w:t>min)</w:t>
            </w:r>
          </w:p>
        </w:tc>
        <w:tc>
          <w:tcPr>
            <w:tcW w:w="4500" w:type="dxa"/>
          </w:tcPr>
          <w:p>
            <w:pPr>
              <w:pStyle w:val="TableParagraph"/>
              <w:spacing w:before="65"/>
              <w:ind w:left="518"/>
              <w:rPr>
                <w:sz w:val="22"/>
              </w:rPr>
            </w:pPr>
            <w:r>
              <w:rPr>
                <w:sz w:val="22"/>
              </w:rPr>
              <w:t>Percentage</w:t>
            </w:r>
            <w:r>
              <w:rPr>
                <w:spacing w:val="9"/>
                <w:sz w:val="22"/>
              </w:rPr>
              <w:t> </w:t>
            </w:r>
            <w:r>
              <w:rPr>
                <w:sz w:val="22"/>
              </w:rPr>
              <w:t>drug</w:t>
            </w:r>
            <w:r>
              <w:rPr>
                <w:spacing w:val="5"/>
                <w:sz w:val="22"/>
              </w:rPr>
              <w:t> </w:t>
            </w:r>
            <w:r>
              <w:rPr>
                <w:sz w:val="22"/>
              </w:rPr>
              <w:t>released</w:t>
            </w:r>
            <w:r>
              <w:rPr>
                <w:spacing w:val="11"/>
                <w:sz w:val="22"/>
              </w:rPr>
              <w:t> </w:t>
            </w:r>
            <w:r>
              <w:rPr>
                <w:sz w:val="22"/>
              </w:rPr>
              <w:t>after</w:t>
            </w:r>
            <w:r>
              <w:rPr>
                <w:spacing w:val="11"/>
                <w:sz w:val="22"/>
              </w:rPr>
              <w:t> </w:t>
            </w:r>
            <w:r>
              <w:rPr>
                <w:sz w:val="22"/>
              </w:rPr>
              <w:t>30</w:t>
            </w:r>
            <w:r>
              <w:rPr>
                <w:spacing w:val="11"/>
                <w:sz w:val="22"/>
              </w:rPr>
              <w:t> </w:t>
            </w:r>
            <w:r>
              <w:rPr>
                <w:spacing w:val="-5"/>
                <w:sz w:val="22"/>
              </w:rPr>
              <w:t>min</w:t>
            </w:r>
          </w:p>
        </w:tc>
      </w:tr>
      <w:tr>
        <w:trPr>
          <w:trHeight w:val="394" w:hRule="atLeast"/>
        </w:trPr>
        <w:tc>
          <w:tcPr>
            <w:tcW w:w="1746" w:type="dxa"/>
          </w:tcPr>
          <w:p>
            <w:pPr>
              <w:pStyle w:val="TableParagraph"/>
              <w:spacing w:before="65"/>
              <w:ind w:left="50"/>
              <w:rPr>
                <w:sz w:val="22"/>
              </w:rPr>
            </w:pPr>
            <w:r>
              <w:rPr>
                <w:spacing w:val="-5"/>
                <w:w w:val="105"/>
                <w:sz w:val="22"/>
              </w:rPr>
              <w:t>D</w:t>
            </w:r>
            <w:r>
              <w:rPr>
                <w:spacing w:val="-5"/>
                <w:w w:val="105"/>
                <w:sz w:val="22"/>
                <w:vertAlign w:val="subscript"/>
              </w:rPr>
              <w:t>A</w:t>
            </w:r>
          </w:p>
        </w:tc>
        <w:tc>
          <w:tcPr>
            <w:tcW w:w="4500" w:type="dxa"/>
          </w:tcPr>
          <w:p>
            <w:pPr>
              <w:pStyle w:val="TableParagraph"/>
              <w:spacing w:before="65"/>
              <w:ind w:right="47"/>
              <w:jc w:val="right"/>
              <w:rPr>
                <w:sz w:val="22"/>
              </w:rPr>
            </w:pPr>
            <w:r>
              <w:rPr>
                <w:sz w:val="22"/>
              </w:rPr>
              <w:t>Total</w:t>
            </w:r>
            <w:r>
              <w:rPr>
                <w:spacing w:val="7"/>
                <w:sz w:val="22"/>
              </w:rPr>
              <w:t> </w:t>
            </w:r>
            <w:r>
              <w:rPr>
                <w:sz w:val="22"/>
              </w:rPr>
              <w:t>Deformation</w:t>
            </w:r>
            <w:r>
              <w:rPr>
                <w:spacing w:val="12"/>
                <w:sz w:val="22"/>
              </w:rPr>
              <w:t> </w:t>
            </w:r>
            <w:r>
              <w:rPr>
                <w:sz w:val="22"/>
              </w:rPr>
              <w:t>occurring</w:t>
            </w:r>
            <w:r>
              <w:rPr>
                <w:spacing w:val="11"/>
                <w:sz w:val="22"/>
              </w:rPr>
              <w:t> </w:t>
            </w:r>
            <w:r>
              <w:rPr>
                <w:sz w:val="22"/>
              </w:rPr>
              <w:t>in</w:t>
            </w:r>
            <w:r>
              <w:rPr>
                <w:spacing w:val="12"/>
                <w:sz w:val="22"/>
              </w:rPr>
              <w:t> </w:t>
            </w:r>
            <w:r>
              <w:rPr>
                <w:sz w:val="22"/>
              </w:rPr>
              <w:t>the</w:t>
            </w:r>
            <w:r>
              <w:rPr>
                <w:spacing w:val="9"/>
                <w:sz w:val="22"/>
              </w:rPr>
              <w:t> </w:t>
            </w:r>
            <w:r>
              <w:rPr>
                <w:spacing w:val="-2"/>
                <w:sz w:val="22"/>
              </w:rPr>
              <w:t>powder</w:t>
            </w:r>
          </w:p>
        </w:tc>
      </w:tr>
      <w:tr>
        <w:trPr>
          <w:trHeight w:val="388" w:hRule="atLeast"/>
        </w:trPr>
        <w:tc>
          <w:tcPr>
            <w:tcW w:w="1746" w:type="dxa"/>
          </w:tcPr>
          <w:p>
            <w:pPr>
              <w:pStyle w:val="TableParagraph"/>
              <w:spacing w:before="59"/>
              <w:ind w:left="50"/>
              <w:rPr>
                <w:sz w:val="22"/>
              </w:rPr>
            </w:pPr>
            <w:r>
              <w:rPr>
                <w:spacing w:val="-5"/>
                <w:w w:val="105"/>
                <w:sz w:val="22"/>
              </w:rPr>
              <w:t>D</w:t>
            </w:r>
            <w:r>
              <w:rPr>
                <w:spacing w:val="-5"/>
                <w:w w:val="105"/>
                <w:sz w:val="22"/>
                <w:vertAlign w:val="subscript"/>
              </w:rPr>
              <w:t>B</w:t>
            </w:r>
          </w:p>
        </w:tc>
        <w:tc>
          <w:tcPr>
            <w:tcW w:w="4500" w:type="dxa"/>
          </w:tcPr>
          <w:p>
            <w:pPr>
              <w:pStyle w:val="TableParagraph"/>
              <w:spacing w:before="59"/>
              <w:ind w:left="564"/>
              <w:rPr>
                <w:sz w:val="22"/>
              </w:rPr>
            </w:pPr>
            <w:r>
              <w:rPr>
                <w:sz w:val="22"/>
              </w:rPr>
              <w:t>Fragmentation</w:t>
            </w:r>
            <w:r>
              <w:rPr>
                <w:spacing w:val="13"/>
                <w:sz w:val="22"/>
              </w:rPr>
              <w:t> </w:t>
            </w:r>
            <w:r>
              <w:rPr>
                <w:sz w:val="22"/>
              </w:rPr>
              <w:t>Tendency</w:t>
            </w:r>
            <w:r>
              <w:rPr>
                <w:spacing w:val="8"/>
                <w:sz w:val="22"/>
              </w:rPr>
              <w:t> </w:t>
            </w:r>
            <w:r>
              <w:rPr>
                <w:sz w:val="22"/>
              </w:rPr>
              <w:t>of</w:t>
            </w:r>
            <w:r>
              <w:rPr>
                <w:spacing w:val="12"/>
                <w:sz w:val="22"/>
              </w:rPr>
              <w:t> </w:t>
            </w:r>
            <w:r>
              <w:rPr>
                <w:sz w:val="22"/>
              </w:rPr>
              <w:t>the</w:t>
            </w:r>
            <w:r>
              <w:rPr>
                <w:spacing w:val="18"/>
                <w:sz w:val="22"/>
              </w:rPr>
              <w:t> </w:t>
            </w:r>
            <w:r>
              <w:rPr>
                <w:spacing w:val="-2"/>
                <w:sz w:val="22"/>
              </w:rPr>
              <w:t>powder</w:t>
            </w:r>
          </w:p>
        </w:tc>
      </w:tr>
      <w:tr>
        <w:trPr>
          <w:trHeight w:val="388" w:hRule="atLeast"/>
        </w:trPr>
        <w:tc>
          <w:tcPr>
            <w:tcW w:w="1746" w:type="dxa"/>
          </w:tcPr>
          <w:p>
            <w:pPr>
              <w:pStyle w:val="TableParagraph"/>
              <w:spacing w:before="59"/>
              <w:ind w:left="50"/>
              <w:rPr>
                <w:sz w:val="22"/>
              </w:rPr>
            </w:pPr>
            <w:r>
              <w:rPr>
                <w:spacing w:val="-5"/>
                <w:w w:val="105"/>
                <w:sz w:val="22"/>
              </w:rPr>
              <w:t>D</w:t>
            </w:r>
            <w:r>
              <w:rPr>
                <w:spacing w:val="-5"/>
                <w:w w:val="105"/>
                <w:sz w:val="22"/>
                <w:vertAlign w:val="subscript"/>
              </w:rPr>
              <w:t>O</w:t>
            </w:r>
          </w:p>
        </w:tc>
        <w:tc>
          <w:tcPr>
            <w:tcW w:w="4500" w:type="dxa"/>
          </w:tcPr>
          <w:p>
            <w:pPr>
              <w:pStyle w:val="TableParagraph"/>
              <w:spacing w:before="59"/>
              <w:ind w:left="555"/>
              <w:rPr>
                <w:sz w:val="22"/>
              </w:rPr>
            </w:pPr>
            <w:r>
              <w:rPr>
                <w:sz w:val="22"/>
              </w:rPr>
              <w:t>Relative</w:t>
            </w:r>
            <w:r>
              <w:rPr>
                <w:spacing w:val="10"/>
                <w:sz w:val="22"/>
              </w:rPr>
              <w:t> </w:t>
            </w:r>
            <w:r>
              <w:rPr>
                <w:sz w:val="22"/>
              </w:rPr>
              <w:t>Density</w:t>
            </w:r>
            <w:r>
              <w:rPr>
                <w:spacing w:val="1"/>
                <w:sz w:val="22"/>
              </w:rPr>
              <w:t> </w:t>
            </w:r>
            <w:r>
              <w:rPr>
                <w:sz w:val="22"/>
              </w:rPr>
              <w:t>at</w:t>
            </w:r>
            <w:r>
              <w:rPr>
                <w:spacing w:val="15"/>
                <w:sz w:val="22"/>
              </w:rPr>
              <w:t> </w:t>
            </w:r>
            <w:r>
              <w:rPr>
                <w:sz w:val="22"/>
              </w:rPr>
              <w:t>Zero</w:t>
            </w:r>
            <w:r>
              <w:rPr>
                <w:spacing w:val="6"/>
                <w:sz w:val="22"/>
              </w:rPr>
              <w:t> </w:t>
            </w:r>
            <w:r>
              <w:rPr>
                <w:spacing w:val="-2"/>
                <w:sz w:val="22"/>
              </w:rPr>
              <w:t>Pressure</w:t>
            </w:r>
          </w:p>
        </w:tc>
      </w:tr>
      <w:tr>
        <w:trPr>
          <w:trHeight w:val="385" w:hRule="atLeast"/>
        </w:trPr>
        <w:tc>
          <w:tcPr>
            <w:tcW w:w="1746" w:type="dxa"/>
          </w:tcPr>
          <w:p>
            <w:pPr>
              <w:pStyle w:val="TableParagraph"/>
              <w:spacing w:before="59"/>
              <w:ind w:left="50"/>
              <w:rPr>
                <w:sz w:val="22"/>
              </w:rPr>
            </w:pPr>
            <w:r>
              <w:rPr>
                <w:spacing w:val="-5"/>
                <w:sz w:val="22"/>
              </w:rPr>
              <w:t>DS</w:t>
            </w:r>
          </w:p>
        </w:tc>
        <w:tc>
          <w:tcPr>
            <w:tcW w:w="4500" w:type="dxa"/>
          </w:tcPr>
          <w:p>
            <w:pPr>
              <w:pStyle w:val="TableParagraph"/>
              <w:spacing w:before="59"/>
              <w:ind w:left="569"/>
              <w:rPr>
                <w:sz w:val="22"/>
              </w:rPr>
            </w:pPr>
            <w:r>
              <w:rPr>
                <w:i/>
                <w:sz w:val="22"/>
              </w:rPr>
              <w:t>Digitaria</w:t>
            </w:r>
            <w:r>
              <w:rPr>
                <w:i/>
                <w:spacing w:val="17"/>
                <w:sz w:val="22"/>
              </w:rPr>
              <w:t> </w:t>
            </w:r>
            <w:r>
              <w:rPr>
                <w:i/>
                <w:sz w:val="22"/>
              </w:rPr>
              <w:t>iburua</w:t>
            </w:r>
            <w:r>
              <w:rPr>
                <w:i/>
                <w:spacing w:val="13"/>
                <w:sz w:val="22"/>
              </w:rPr>
              <w:t> </w:t>
            </w:r>
            <w:r>
              <w:rPr>
                <w:spacing w:val="-2"/>
                <w:sz w:val="22"/>
              </w:rPr>
              <w:t>Starch</w:t>
            </w:r>
          </w:p>
        </w:tc>
      </w:tr>
      <w:tr>
        <w:trPr>
          <w:trHeight w:val="391" w:hRule="atLeast"/>
        </w:trPr>
        <w:tc>
          <w:tcPr>
            <w:tcW w:w="1746" w:type="dxa"/>
          </w:tcPr>
          <w:p>
            <w:pPr>
              <w:pStyle w:val="TableParagraph"/>
              <w:spacing w:before="67"/>
              <w:ind w:left="50"/>
              <w:rPr>
                <w:sz w:val="22"/>
              </w:rPr>
            </w:pPr>
            <w:r>
              <w:rPr>
                <w:spacing w:val="-5"/>
                <w:sz w:val="22"/>
              </w:rPr>
              <w:t>DT</w:t>
            </w:r>
          </w:p>
        </w:tc>
        <w:tc>
          <w:tcPr>
            <w:tcW w:w="4500" w:type="dxa"/>
          </w:tcPr>
          <w:p>
            <w:pPr>
              <w:pStyle w:val="TableParagraph"/>
              <w:spacing w:before="67"/>
              <w:ind w:left="579"/>
              <w:rPr>
                <w:sz w:val="22"/>
              </w:rPr>
            </w:pPr>
            <w:r>
              <w:rPr>
                <w:sz w:val="22"/>
              </w:rPr>
              <w:t>Disintegration</w:t>
            </w:r>
            <w:r>
              <w:rPr>
                <w:spacing w:val="14"/>
                <w:sz w:val="22"/>
              </w:rPr>
              <w:t> </w:t>
            </w:r>
            <w:r>
              <w:rPr>
                <w:spacing w:val="-4"/>
                <w:sz w:val="22"/>
              </w:rPr>
              <w:t>Time</w:t>
            </w:r>
          </w:p>
        </w:tc>
      </w:tr>
      <w:tr>
        <w:trPr>
          <w:trHeight w:val="386" w:hRule="atLeast"/>
        </w:trPr>
        <w:tc>
          <w:tcPr>
            <w:tcW w:w="1746" w:type="dxa"/>
          </w:tcPr>
          <w:p>
            <w:pPr>
              <w:pStyle w:val="TableParagraph"/>
              <w:spacing w:before="65"/>
              <w:ind w:left="50"/>
              <w:rPr>
                <w:sz w:val="22"/>
              </w:rPr>
            </w:pPr>
            <w:r>
              <w:rPr>
                <w:spacing w:val="-5"/>
                <w:sz w:val="22"/>
              </w:rPr>
              <w:t>FR</w:t>
            </w:r>
          </w:p>
        </w:tc>
        <w:tc>
          <w:tcPr>
            <w:tcW w:w="4500" w:type="dxa"/>
          </w:tcPr>
          <w:p>
            <w:pPr>
              <w:pStyle w:val="TableParagraph"/>
              <w:spacing w:before="65"/>
              <w:ind w:left="555"/>
              <w:rPr>
                <w:sz w:val="22"/>
              </w:rPr>
            </w:pPr>
            <w:r>
              <w:rPr>
                <w:spacing w:val="-2"/>
                <w:sz w:val="22"/>
              </w:rPr>
              <w:t>Friability</w:t>
            </w:r>
          </w:p>
        </w:tc>
      </w:tr>
      <w:tr>
        <w:trPr>
          <w:trHeight w:val="386" w:hRule="atLeast"/>
        </w:trPr>
        <w:tc>
          <w:tcPr>
            <w:tcW w:w="1746" w:type="dxa"/>
          </w:tcPr>
          <w:p>
            <w:pPr>
              <w:pStyle w:val="TableParagraph"/>
              <w:spacing w:before="62"/>
              <w:ind w:left="50"/>
              <w:rPr>
                <w:sz w:val="22"/>
              </w:rPr>
            </w:pPr>
            <w:r>
              <w:rPr>
                <w:spacing w:val="-5"/>
                <w:sz w:val="22"/>
              </w:rPr>
              <w:t>GEL</w:t>
            </w:r>
          </w:p>
        </w:tc>
        <w:tc>
          <w:tcPr>
            <w:tcW w:w="4500" w:type="dxa"/>
          </w:tcPr>
          <w:p>
            <w:pPr>
              <w:pStyle w:val="TableParagraph"/>
              <w:spacing w:before="62"/>
              <w:ind w:left="546"/>
              <w:rPr>
                <w:sz w:val="22"/>
              </w:rPr>
            </w:pPr>
            <w:r>
              <w:rPr>
                <w:spacing w:val="-2"/>
                <w:sz w:val="22"/>
              </w:rPr>
              <w:t>Gelatin</w:t>
            </w:r>
          </w:p>
        </w:tc>
      </w:tr>
      <w:tr>
        <w:trPr>
          <w:trHeight w:val="391" w:hRule="atLeast"/>
        </w:trPr>
        <w:tc>
          <w:tcPr>
            <w:tcW w:w="1746" w:type="dxa"/>
          </w:tcPr>
          <w:p>
            <w:pPr>
              <w:pStyle w:val="TableParagraph"/>
              <w:spacing w:before="65"/>
              <w:ind w:left="50"/>
              <w:rPr>
                <w:sz w:val="22"/>
              </w:rPr>
            </w:pPr>
            <w:r>
              <w:rPr>
                <w:spacing w:val="-5"/>
                <w:sz w:val="22"/>
              </w:rPr>
              <w:t>GIT</w:t>
            </w:r>
          </w:p>
        </w:tc>
        <w:tc>
          <w:tcPr>
            <w:tcW w:w="4500" w:type="dxa"/>
          </w:tcPr>
          <w:p>
            <w:pPr>
              <w:pStyle w:val="TableParagraph"/>
              <w:spacing w:before="65"/>
              <w:ind w:left="545"/>
              <w:rPr>
                <w:sz w:val="22"/>
              </w:rPr>
            </w:pPr>
            <w:r>
              <w:rPr>
                <w:sz w:val="22"/>
              </w:rPr>
              <w:t>Gastro</w:t>
            </w:r>
            <w:r>
              <w:rPr>
                <w:spacing w:val="17"/>
                <w:sz w:val="22"/>
              </w:rPr>
              <w:t> </w:t>
            </w:r>
            <w:r>
              <w:rPr>
                <w:sz w:val="22"/>
              </w:rPr>
              <w:t>intestinal</w:t>
            </w:r>
            <w:r>
              <w:rPr>
                <w:spacing w:val="3"/>
                <w:sz w:val="22"/>
              </w:rPr>
              <w:t> </w:t>
            </w:r>
            <w:r>
              <w:rPr>
                <w:spacing w:val="-4"/>
                <w:sz w:val="22"/>
              </w:rPr>
              <w:t>Tract</w:t>
            </w:r>
          </w:p>
        </w:tc>
      </w:tr>
      <w:tr>
        <w:trPr>
          <w:trHeight w:val="391" w:hRule="atLeast"/>
        </w:trPr>
        <w:tc>
          <w:tcPr>
            <w:tcW w:w="1746" w:type="dxa"/>
          </w:tcPr>
          <w:p>
            <w:pPr>
              <w:pStyle w:val="TableParagraph"/>
              <w:spacing w:before="67"/>
              <w:ind w:left="107"/>
              <w:rPr>
                <w:sz w:val="22"/>
              </w:rPr>
            </w:pPr>
            <w:r>
              <w:rPr>
                <w:spacing w:val="-5"/>
                <w:sz w:val="22"/>
              </w:rPr>
              <w:t>HCl</w:t>
            </w:r>
          </w:p>
        </w:tc>
        <w:tc>
          <w:tcPr>
            <w:tcW w:w="4500" w:type="dxa"/>
          </w:tcPr>
          <w:p>
            <w:pPr>
              <w:pStyle w:val="TableParagraph"/>
              <w:spacing w:before="67"/>
              <w:ind w:left="603"/>
              <w:rPr>
                <w:sz w:val="22"/>
              </w:rPr>
            </w:pPr>
            <w:r>
              <w:rPr>
                <w:sz w:val="22"/>
              </w:rPr>
              <w:t>Hydrochloric</w:t>
            </w:r>
            <w:r>
              <w:rPr>
                <w:spacing w:val="14"/>
                <w:sz w:val="22"/>
              </w:rPr>
              <w:t> </w:t>
            </w:r>
            <w:r>
              <w:rPr>
                <w:spacing w:val="-4"/>
                <w:sz w:val="22"/>
              </w:rPr>
              <w:t>Acid</w:t>
            </w:r>
          </w:p>
        </w:tc>
      </w:tr>
      <w:tr>
        <w:trPr>
          <w:trHeight w:val="388" w:hRule="atLeast"/>
        </w:trPr>
        <w:tc>
          <w:tcPr>
            <w:tcW w:w="1746" w:type="dxa"/>
          </w:tcPr>
          <w:p>
            <w:pPr>
              <w:pStyle w:val="TableParagraph"/>
              <w:spacing w:before="65"/>
              <w:ind w:left="50"/>
              <w:rPr>
                <w:sz w:val="22"/>
              </w:rPr>
            </w:pPr>
            <w:r>
              <w:rPr>
                <w:spacing w:val="-4"/>
                <w:sz w:val="22"/>
              </w:rPr>
              <w:t>MADG</w:t>
            </w:r>
          </w:p>
        </w:tc>
        <w:tc>
          <w:tcPr>
            <w:tcW w:w="4500" w:type="dxa"/>
          </w:tcPr>
          <w:p>
            <w:pPr>
              <w:pStyle w:val="TableParagraph"/>
              <w:spacing w:before="65"/>
              <w:ind w:left="518"/>
              <w:rPr>
                <w:sz w:val="22"/>
              </w:rPr>
            </w:pPr>
            <w:r>
              <w:rPr>
                <w:sz w:val="22"/>
              </w:rPr>
              <w:t>Moisture</w:t>
            </w:r>
            <w:r>
              <w:rPr>
                <w:spacing w:val="10"/>
                <w:sz w:val="22"/>
              </w:rPr>
              <w:t> </w:t>
            </w:r>
            <w:r>
              <w:rPr>
                <w:sz w:val="22"/>
              </w:rPr>
              <w:t>Activated</w:t>
            </w:r>
            <w:r>
              <w:rPr>
                <w:spacing w:val="24"/>
                <w:sz w:val="22"/>
              </w:rPr>
              <w:t> </w:t>
            </w:r>
            <w:r>
              <w:rPr>
                <w:sz w:val="22"/>
              </w:rPr>
              <w:t>Dry</w:t>
            </w:r>
            <w:r>
              <w:rPr>
                <w:spacing w:val="-6"/>
                <w:sz w:val="22"/>
              </w:rPr>
              <w:t> </w:t>
            </w:r>
            <w:r>
              <w:rPr>
                <w:spacing w:val="-2"/>
                <w:sz w:val="22"/>
              </w:rPr>
              <w:t>Granulation</w:t>
            </w:r>
          </w:p>
        </w:tc>
      </w:tr>
      <w:tr>
        <w:trPr>
          <w:trHeight w:val="388" w:hRule="atLeast"/>
        </w:trPr>
        <w:tc>
          <w:tcPr>
            <w:tcW w:w="1746" w:type="dxa"/>
          </w:tcPr>
          <w:p>
            <w:pPr>
              <w:pStyle w:val="TableParagraph"/>
              <w:spacing w:before="65"/>
              <w:ind w:left="50"/>
              <w:rPr>
                <w:sz w:val="22"/>
              </w:rPr>
            </w:pPr>
            <w:r>
              <w:rPr>
                <w:spacing w:val="-4"/>
                <w:sz w:val="22"/>
              </w:rPr>
              <w:t>MAGT</w:t>
            </w:r>
          </w:p>
        </w:tc>
        <w:tc>
          <w:tcPr>
            <w:tcW w:w="4500" w:type="dxa"/>
          </w:tcPr>
          <w:p>
            <w:pPr>
              <w:pStyle w:val="TableParagraph"/>
              <w:spacing w:before="65"/>
              <w:ind w:right="57"/>
              <w:jc w:val="right"/>
              <w:rPr>
                <w:sz w:val="22"/>
              </w:rPr>
            </w:pPr>
            <w:r>
              <w:rPr>
                <w:sz w:val="22"/>
              </w:rPr>
              <w:t>Moisture</w:t>
            </w:r>
            <w:r>
              <w:rPr>
                <w:spacing w:val="18"/>
                <w:sz w:val="22"/>
              </w:rPr>
              <w:t> </w:t>
            </w:r>
            <w:r>
              <w:rPr>
                <w:sz w:val="22"/>
              </w:rPr>
              <w:t>Activated</w:t>
            </w:r>
            <w:r>
              <w:rPr>
                <w:spacing w:val="19"/>
                <w:sz w:val="22"/>
              </w:rPr>
              <w:t> </w:t>
            </w:r>
            <w:r>
              <w:rPr>
                <w:sz w:val="22"/>
              </w:rPr>
              <w:t>Granulation</w:t>
            </w:r>
            <w:r>
              <w:rPr>
                <w:spacing w:val="9"/>
                <w:sz w:val="22"/>
              </w:rPr>
              <w:t> </w:t>
            </w:r>
            <w:r>
              <w:rPr>
                <w:spacing w:val="-2"/>
                <w:sz w:val="22"/>
              </w:rPr>
              <w:t>Technique</w:t>
            </w:r>
          </w:p>
        </w:tc>
      </w:tr>
      <w:tr>
        <w:trPr>
          <w:trHeight w:val="388" w:hRule="atLeast"/>
        </w:trPr>
        <w:tc>
          <w:tcPr>
            <w:tcW w:w="1746" w:type="dxa"/>
          </w:tcPr>
          <w:p>
            <w:pPr>
              <w:pStyle w:val="TableParagraph"/>
              <w:spacing w:before="65"/>
              <w:ind w:left="50"/>
              <w:rPr>
                <w:sz w:val="22"/>
              </w:rPr>
            </w:pPr>
            <w:r>
              <w:rPr>
                <w:spacing w:val="-5"/>
                <w:sz w:val="22"/>
              </w:rPr>
              <w:t>MCC</w:t>
            </w:r>
          </w:p>
        </w:tc>
        <w:tc>
          <w:tcPr>
            <w:tcW w:w="4500" w:type="dxa"/>
          </w:tcPr>
          <w:p>
            <w:pPr>
              <w:pStyle w:val="TableParagraph"/>
              <w:spacing w:before="65"/>
              <w:ind w:left="551"/>
              <w:rPr>
                <w:sz w:val="22"/>
              </w:rPr>
            </w:pPr>
            <w:r>
              <w:rPr>
                <w:sz w:val="22"/>
              </w:rPr>
              <w:t>Microcrystalline</w:t>
            </w:r>
            <w:r>
              <w:rPr>
                <w:spacing w:val="26"/>
                <w:sz w:val="22"/>
              </w:rPr>
              <w:t> </w:t>
            </w:r>
            <w:r>
              <w:rPr>
                <w:spacing w:val="-2"/>
                <w:sz w:val="22"/>
              </w:rPr>
              <w:t>Cellulose</w:t>
            </w:r>
          </w:p>
        </w:tc>
      </w:tr>
      <w:tr>
        <w:trPr>
          <w:trHeight w:val="388" w:hRule="atLeast"/>
        </w:trPr>
        <w:tc>
          <w:tcPr>
            <w:tcW w:w="1746" w:type="dxa"/>
          </w:tcPr>
          <w:p>
            <w:pPr>
              <w:pStyle w:val="TableParagraph"/>
              <w:spacing w:before="65"/>
              <w:ind w:left="50"/>
              <w:rPr>
                <w:sz w:val="22"/>
              </w:rPr>
            </w:pPr>
            <w:r>
              <w:rPr>
                <w:spacing w:val="-5"/>
                <w:sz w:val="22"/>
              </w:rPr>
              <w:t>MCS</w:t>
            </w:r>
          </w:p>
        </w:tc>
        <w:tc>
          <w:tcPr>
            <w:tcW w:w="4500" w:type="dxa"/>
          </w:tcPr>
          <w:p>
            <w:pPr>
              <w:pStyle w:val="TableParagraph"/>
              <w:spacing w:before="65"/>
              <w:ind w:left="531"/>
              <w:rPr>
                <w:sz w:val="22"/>
              </w:rPr>
            </w:pPr>
            <w:r>
              <w:rPr>
                <w:sz w:val="22"/>
              </w:rPr>
              <w:t>Microcrystalline</w:t>
            </w:r>
            <w:r>
              <w:rPr>
                <w:spacing w:val="20"/>
                <w:sz w:val="22"/>
              </w:rPr>
              <w:t> </w:t>
            </w:r>
            <w:r>
              <w:rPr>
                <w:spacing w:val="-2"/>
                <w:sz w:val="22"/>
              </w:rPr>
              <w:t>Starch</w:t>
            </w:r>
          </w:p>
        </w:tc>
      </w:tr>
      <w:tr>
        <w:trPr>
          <w:trHeight w:val="388" w:hRule="atLeast"/>
        </w:trPr>
        <w:tc>
          <w:tcPr>
            <w:tcW w:w="1746" w:type="dxa"/>
          </w:tcPr>
          <w:p>
            <w:pPr>
              <w:pStyle w:val="TableParagraph"/>
              <w:spacing w:before="65"/>
              <w:ind w:left="50"/>
              <w:rPr>
                <w:sz w:val="22"/>
              </w:rPr>
            </w:pPr>
            <w:r>
              <w:rPr>
                <w:spacing w:val="-5"/>
                <w:sz w:val="22"/>
              </w:rPr>
              <w:t>MS</w:t>
            </w:r>
          </w:p>
        </w:tc>
        <w:tc>
          <w:tcPr>
            <w:tcW w:w="4500" w:type="dxa"/>
          </w:tcPr>
          <w:p>
            <w:pPr>
              <w:pStyle w:val="TableParagraph"/>
              <w:spacing w:before="65"/>
              <w:ind w:left="546"/>
              <w:rPr>
                <w:sz w:val="22"/>
              </w:rPr>
            </w:pPr>
            <w:r>
              <w:rPr>
                <w:sz w:val="22"/>
              </w:rPr>
              <w:t>Maize</w:t>
            </w:r>
            <w:r>
              <w:rPr>
                <w:spacing w:val="13"/>
                <w:sz w:val="22"/>
              </w:rPr>
              <w:t> </w:t>
            </w:r>
            <w:r>
              <w:rPr>
                <w:sz w:val="22"/>
              </w:rPr>
              <w:t>Starch</w:t>
            </w:r>
            <w:r>
              <w:rPr>
                <w:spacing w:val="10"/>
                <w:sz w:val="22"/>
              </w:rPr>
              <w:t> </w:t>
            </w:r>
            <w:r>
              <w:rPr>
                <w:spacing w:val="-4"/>
                <w:sz w:val="22"/>
              </w:rPr>
              <w:t>B.P.</w:t>
            </w:r>
          </w:p>
        </w:tc>
      </w:tr>
      <w:tr>
        <w:trPr>
          <w:trHeight w:val="388" w:hRule="atLeast"/>
        </w:trPr>
        <w:tc>
          <w:tcPr>
            <w:tcW w:w="1746" w:type="dxa"/>
          </w:tcPr>
          <w:p>
            <w:pPr>
              <w:pStyle w:val="TableParagraph"/>
              <w:spacing w:before="65"/>
              <w:ind w:left="50"/>
              <w:rPr>
                <w:sz w:val="22"/>
              </w:rPr>
            </w:pPr>
            <w:r>
              <w:rPr>
                <w:spacing w:val="-4"/>
                <w:sz w:val="22"/>
              </w:rPr>
              <w:t>NaOH</w:t>
            </w:r>
          </w:p>
        </w:tc>
        <w:tc>
          <w:tcPr>
            <w:tcW w:w="4500" w:type="dxa"/>
          </w:tcPr>
          <w:p>
            <w:pPr>
              <w:pStyle w:val="TableParagraph"/>
              <w:spacing w:before="65"/>
              <w:ind w:left="588"/>
              <w:rPr>
                <w:sz w:val="22"/>
              </w:rPr>
            </w:pPr>
            <w:r>
              <w:rPr>
                <w:sz w:val="22"/>
              </w:rPr>
              <w:t>Sodium</w:t>
            </w:r>
            <w:r>
              <w:rPr>
                <w:spacing w:val="18"/>
                <w:sz w:val="22"/>
              </w:rPr>
              <w:t> </w:t>
            </w:r>
            <w:r>
              <w:rPr>
                <w:spacing w:val="-2"/>
                <w:sz w:val="22"/>
              </w:rPr>
              <w:t>Hydrochloride</w:t>
            </w:r>
          </w:p>
        </w:tc>
      </w:tr>
      <w:tr>
        <w:trPr>
          <w:trHeight w:val="388" w:hRule="atLeast"/>
        </w:trPr>
        <w:tc>
          <w:tcPr>
            <w:tcW w:w="1746" w:type="dxa"/>
          </w:tcPr>
          <w:p>
            <w:pPr>
              <w:pStyle w:val="TableParagraph"/>
              <w:spacing w:before="65"/>
              <w:ind w:left="50"/>
              <w:rPr>
                <w:sz w:val="22"/>
              </w:rPr>
            </w:pPr>
            <w:r>
              <w:rPr>
                <w:spacing w:val="-5"/>
                <w:sz w:val="22"/>
              </w:rPr>
              <w:t>PEG</w:t>
            </w:r>
          </w:p>
        </w:tc>
        <w:tc>
          <w:tcPr>
            <w:tcW w:w="4500" w:type="dxa"/>
          </w:tcPr>
          <w:p>
            <w:pPr>
              <w:pStyle w:val="TableParagraph"/>
              <w:spacing w:before="65"/>
              <w:ind w:left="540"/>
              <w:rPr>
                <w:sz w:val="22"/>
              </w:rPr>
            </w:pPr>
            <w:r>
              <w:rPr>
                <w:sz w:val="22"/>
              </w:rPr>
              <w:t>Polyethylene</w:t>
            </w:r>
            <w:r>
              <w:rPr>
                <w:spacing w:val="11"/>
                <w:sz w:val="22"/>
              </w:rPr>
              <w:t> </w:t>
            </w:r>
            <w:r>
              <w:rPr>
                <w:spacing w:val="-2"/>
                <w:sz w:val="22"/>
              </w:rPr>
              <w:t>Glycol</w:t>
            </w:r>
          </w:p>
        </w:tc>
      </w:tr>
      <w:tr>
        <w:trPr>
          <w:trHeight w:val="392" w:hRule="atLeast"/>
        </w:trPr>
        <w:tc>
          <w:tcPr>
            <w:tcW w:w="1746" w:type="dxa"/>
          </w:tcPr>
          <w:p>
            <w:pPr>
              <w:pStyle w:val="TableParagraph"/>
              <w:spacing w:before="65"/>
              <w:ind w:left="50"/>
              <w:rPr>
                <w:sz w:val="22"/>
              </w:rPr>
            </w:pPr>
            <w:r>
              <w:rPr>
                <w:spacing w:val="-5"/>
                <w:w w:val="105"/>
                <w:sz w:val="22"/>
              </w:rPr>
              <w:t>P</w:t>
            </w:r>
            <w:r>
              <w:rPr>
                <w:spacing w:val="-5"/>
                <w:w w:val="105"/>
                <w:sz w:val="22"/>
                <w:vertAlign w:val="subscript"/>
              </w:rPr>
              <w:t>Y</w:t>
            </w:r>
          </w:p>
        </w:tc>
        <w:tc>
          <w:tcPr>
            <w:tcW w:w="4500" w:type="dxa"/>
          </w:tcPr>
          <w:p>
            <w:pPr>
              <w:pStyle w:val="TableParagraph"/>
              <w:spacing w:before="65"/>
              <w:ind w:left="569"/>
              <w:rPr>
                <w:sz w:val="22"/>
              </w:rPr>
            </w:pPr>
            <w:r>
              <w:rPr>
                <w:sz w:val="22"/>
              </w:rPr>
              <w:t>Mean</w:t>
            </w:r>
            <w:r>
              <w:rPr>
                <w:spacing w:val="4"/>
                <w:sz w:val="22"/>
              </w:rPr>
              <w:t> </w:t>
            </w:r>
            <w:r>
              <w:rPr>
                <w:sz w:val="22"/>
              </w:rPr>
              <w:t>Yield</w:t>
            </w:r>
            <w:r>
              <w:rPr>
                <w:spacing w:val="15"/>
                <w:sz w:val="22"/>
              </w:rPr>
              <w:t> </w:t>
            </w:r>
            <w:r>
              <w:rPr>
                <w:spacing w:val="-2"/>
                <w:sz w:val="22"/>
              </w:rPr>
              <w:t>Pressure</w:t>
            </w:r>
          </w:p>
        </w:tc>
      </w:tr>
      <w:tr>
        <w:trPr>
          <w:trHeight w:val="385" w:hRule="atLeast"/>
        </w:trPr>
        <w:tc>
          <w:tcPr>
            <w:tcW w:w="1746" w:type="dxa"/>
          </w:tcPr>
          <w:p>
            <w:pPr>
              <w:pStyle w:val="TableParagraph"/>
              <w:spacing w:before="61"/>
              <w:ind w:left="50"/>
              <w:rPr>
                <w:sz w:val="22"/>
              </w:rPr>
            </w:pPr>
            <w:r>
              <w:rPr>
                <w:spacing w:val="-4"/>
                <w:sz w:val="22"/>
              </w:rPr>
              <w:t>TAGP</w:t>
            </w:r>
          </w:p>
        </w:tc>
        <w:tc>
          <w:tcPr>
            <w:tcW w:w="4500" w:type="dxa"/>
          </w:tcPr>
          <w:p>
            <w:pPr>
              <w:pStyle w:val="TableParagraph"/>
              <w:spacing w:before="61"/>
              <w:ind w:left="535"/>
              <w:rPr>
                <w:sz w:val="22"/>
              </w:rPr>
            </w:pPr>
            <w:r>
              <w:rPr>
                <w:sz w:val="22"/>
              </w:rPr>
              <w:t>Thermal</w:t>
            </w:r>
            <w:r>
              <w:rPr>
                <w:spacing w:val="17"/>
                <w:sz w:val="22"/>
              </w:rPr>
              <w:t> </w:t>
            </w:r>
            <w:r>
              <w:rPr>
                <w:sz w:val="22"/>
              </w:rPr>
              <w:t>Adhesion</w:t>
            </w:r>
            <w:r>
              <w:rPr>
                <w:spacing w:val="14"/>
                <w:sz w:val="22"/>
              </w:rPr>
              <w:t> </w:t>
            </w:r>
            <w:r>
              <w:rPr>
                <w:sz w:val="22"/>
              </w:rPr>
              <w:t>Granulation</w:t>
            </w:r>
            <w:r>
              <w:rPr>
                <w:spacing w:val="8"/>
                <w:sz w:val="22"/>
              </w:rPr>
              <w:t> </w:t>
            </w:r>
            <w:r>
              <w:rPr>
                <w:spacing w:val="-2"/>
                <w:sz w:val="22"/>
              </w:rPr>
              <w:t>Process</w:t>
            </w:r>
          </w:p>
        </w:tc>
      </w:tr>
      <w:tr>
        <w:trPr>
          <w:trHeight w:val="319" w:hRule="atLeast"/>
        </w:trPr>
        <w:tc>
          <w:tcPr>
            <w:tcW w:w="1746" w:type="dxa"/>
          </w:tcPr>
          <w:p>
            <w:pPr>
              <w:pStyle w:val="TableParagraph"/>
              <w:spacing w:line="234" w:lineRule="exact" w:before="65"/>
              <w:ind w:left="50"/>
              <w:rPr>
                <w:sz w:val="22"/>
              </w:rPr>
            </w:pPr>
            <w:r>
              <w:rPr>
                <w:spacing w:val="-5"/>
                <w:sz w:val="22"/>
              </w:rPr>
              <w:t>UDP</w:t>
            </w:r>
          </w:p>
        </w:tc>
        <w:tc>
          <w:tcPr>
            <w:tcW w:w="4500" w:type="dxa"/>
          </w:tcPr>
          <w:p>
            <w:pPr>
              <w:pStyle w:val="TableParagraph"/>
              <w:spacing w:line="234" w:lineRule="exact" w:before="65"/>
              <w:ind w:left="561"/>
              <w:rPr>
                <w:sz w:val="22"/>
              </w:rPr>
            </w:pPr>
            <w:r>
              <w:rPr>
                <w:sz w:val="22"/>
              </w:rPr>
              <w:t>Uridine</w:t>
            </w:r>
            <w:r>
              <w:rPr>
                <w:spacing w:val="10"/>
                <w:sz w:val="22"/>
              </w:rPr>
              <w:t> </w:t>
            </w:r>
            <w:r>
              <w:rPr>
                <w:spacing w:val="-2"/>
                <w:sz w:val="22"/>
              </w:rPr>
              <w:t>diphosphate</w:t>
            </w:r>
          </w:p>
        </w:tc>
      </w:tr>
    </w:tbl>
    <w:p>
      <w:pPr>
        <w:spacing w:after="0" w:line="234" w:lineRule="exact"/>
        <w:rPr>
          <w:sz w:val="22"/>
        </w:rPr>
        <w:sectPr>
          <w:pgSz w:w="12240" w:h="15840"/>
          <w:pgMar w:header="0" w:footer="999" w:top="1260" w:bottom="1180" w:left="1720" w:right="0"/>
        </w:sectPr>
      </w:pPr>
    </w:p>
    <w:p>
      <w:pPr>
        <w:pStyle w:val="Heading1"/>
        <w:ind w:left="1067"/>
      </w:pPr>
      <w:bookmarkStart w:name="_TOC_250149" w:id="12"/>
      <w:r>
        <w:rPr/>
        <w:t>CHAPTER</w:t>
      </w:r>
      <w:r>
        <w:rPr>
          <w:spacing w:val="18"/>
        </w:rPr>
        <w:t> </w:t>
      </w:r>
      <w:bookmarkEnd w:id="12"/>
      <w:r>
        <w:rPr>
          <w:spacing w:val="-5"/>
        </w:rPr>
        <w:t>ONE</w:t>
      </w:r>
    </w:p>
    <w:p>
      <w:pPr>
        <w:pStyle w:val="BodyText"/>
        <w:spacing w:before="108"/>
        <w:rPr>
          <w:b/>
        </w:rPr>
      </w:pPr>
    </w:p>
    <w:p>
      <w:pPr>
        <w:pStyle w:val="Heading1"/>
        <w:numPr>
          <w:ilvl w:val="1"/>
          <w:numId w:val="11"/>
        </w:numPr>
        <w:tabs>
          <w:tab w:pos="1342" w:val="left" w:leader="none"/>
        </w:tabs>
        <w:spacing w:line="240" w:lineRule="auto" w:before="0" w:after="0"/>
        <w:ind w:left="1342" w:right="0" w:hanging="677"/>
        <w:jc w:val="left"/>
      </w:pPr>
      <w:bookmarkStart w:name="_TOC_250148" w:id="13"/>
      <w:bookmarkEnd w:id="13"/>
      <w:r>
        <w:rPr>
          <w:spacing w:val="-2"/>
        </w:rPr>
        <w:t>INTRODUCTION</w:t>
      </w:r>
    </w:p>
    <w:p>
      <w:pPr>
        <w:pStyle w:val="BodyText"/>
        <w:spacing w:line="491" w:lineRule="auto" w:before="247"/>
        <w:ind w:left="665" w:right="1848" w:firstLine="676"/>
        <w:jc w:val="both"/>
      </w:pPr>
      <w:r>
        <w:rPr/>
        <w:t>Tablets consist of the active pharmaceutical ingredient (API) and excipients making</w:t>
      </w:r>
      <w:r>
        <w:rPr>
          <w:spacing w:val="23"/>
        </w:rPr>
        <w:t> </w:t>
      </w:r>
      <w:r>
        <w:rPr/>
        <w:t>up</w:t>
      </w:r>
      <w:r>
        <w:rPr>
          <w:spacing w:val="29"/>
        </w:rPr>
        <w:t> </w:t>
      </w:r>
      <w:r>
        <w:rPr/>
        <w:t>to</w:t>
      </w:r>
      <w:r>
        <w:rPr>
          <w:spacing w:val="35"/>
        </w:rPr>
        <w:t> </w:t>
      </w:r>
      <w:r>
        <w:rPr/>
        <w:t>70</w:t>
      </w:r>
      <w:r>
        <w:rPr>
          <w:spacing w:val="30"/>
        </w:rPr>
        <w:t> </w:t>
      </w:r>
      <w:r>
        <w:rPr/>
        <w:t>–</w:t>
      </w:r>
      <w:r>
        <w:rPr>
          <w:spacing w:val="29"/>
        </w:rPr>
        <w:t> </w:t>
      </w:r>
      <w:r>
        <w:rPr/>
        <w:t>80</w:t>
      </w:r>
      <w:r>
        <w:rPr>
          <w:spacing w:val="35"/>
        </w:rPr>
        <w:t> </w:t>
      </w:r>
      <w:r>
        <w:rPr/>
        <w:t>%</w:t>
      </w:r>
      <w:r>
        <w:rPr>
          <w:spacing w:val="25"/>
        </w:rPr>
        <w:t> </w:t>
      </w:r>
      <w:r>
        <w:rPr/>
        <w:t>of</w:t>
      </w:r>
      <w:r>
        <w:rPr>
          <w:spacing w:val="22"/>
        </w:rPr>
        <w:t> </w:t>
      </w:r>
      <w:r>
        <w:rPr/>
        <w:t>drug</w:t>
      </w:r>
      <w:r>
        <w:rPr>
          <w:spacing w:val="29"/>
        </w:rPr>
        <w:t> </w:t>
      </w:r>
      <w:r>
        <w:rPr/>
        <w:t>(York,</w:t>
      </w:r>
      <w:r>
        <w:rPr>
          <w:spacing w:val="27"/>
        </w:rPr>
        <w:t> </w:t>
      </w:r>
      <w:r>
        <w:rPr/>
        <w:t>1992).</w:t>
      </w:r>
      <w:r>
        <w:rPr>
          <w:spacing w:val="32"/>
        </w:rPr>
        <w:t> </w:t>
      </w:r>
      <w:r>
        <w:rPr/>
        <w:t>An</w:t>
      </w:r>
      <w:r>
        <w:rPr>
          <w:spacing w:val="29"/>
        </w:rPr>
        <w:t> </w:t>
      </w:r>
      <w:r>
        <w:rPr/>
        <w:t>active</w:t>
      </w:r>
      <w:r>
        <w:rPr>
          <w:spacing w:val="27"/>
        </w:rPr>
        <w:t> </w:t>
      </w:r>
      <w:r>
        <w:rPr/>
        <w:t>pharmaceutical</w:t>
      </w:r>
      <w:r>
        <w:rPr>
          <w:spacing w:val="31"/>
        </w:rPr>
        <w:t> </w:t>
      </w:r>
      <w:r>
        <w:rPr/>
        <w:t>ingredient</w:t>
      </w:r>
      <w:r>
        <w:rPr>
          <w:spacing w:val="37"/>
        </w:rPr>
        <w:t> </w:t>
      </w:r>
      <w:r>
        <w:rPr/>
        <w:t>is the component of medication responsible for the medication’s effect (Bihari, 2008). An excipient is an inert substance added to the formulation in order to facilitate the preparation, patient acceptability and functioning of the dosage form as a drug delivery system (Ashford, 2002).</w:t>
      </w:r>
    </w:p>
    <w:p>
      <w:pPr>
        <w:pStyle w:val="BodyText"/>
        <w:spacing w:line="491" w:lineRule="auto"/>
        <w:ind w:left="665" w:right="1857" w:firstLine="676"/>
        <w:jc w:val="both"/>
      </w:pPr>
      <w:r>
        <w:rPr/>
        <w:t>Excipients contribute significantly to a formulations functionality and process- ability (Bansal</w:t>
      </w:r>
      <w:r>
        <w:rPr>
          <w:spacing w:val="40"/>
        </w:rPr>
        <w:t> </w:t>
      </w:r>
      <w:r>
        <w:rPr/>
        <w:t>and</w:t>
      </w:r>
      <w:r>
        <w:rPr>
          <w:spacing w:val="40"/>
        </w:rPr>
        <w:t> </w:t>
      </w:r>
      <w:r>
        <w:rPr/>
        <w:t>Nachaegari,</w:t>
      </w:r>
      <w:r>
        <w:rPr>
          <w:spacing w:val="40"/>
        </w:rPr>
        <w:t> </w:t>
      </w:r>
      <w:r>
        <w:rPr/>
        <w:t>2004).</w:t>
      </w:r>
      <w:r>
        <w:rPr>
          <w:spacing w:val="40"/>
        </w:rPr>
        <w:t> </w:t>
      </w:r>
      <w:r>
        <w:rPr/>
        <w:t>Starches</w:t>
      </w:r>
      <w:r>
        <w:rPr>
          <w:spacing w:val="40"/>
        </w:rPr>
        <w:t> </w:t>
      </w:r>
      <w:r>
        <w:rPr/>
        <w:t>are</w:t>
      </w:r>
      <w:r>
        <w:rPr>
          <w:spacing w:val="40"/>
        </w:rPr>
        <w:t> </w:t>
      </w:r>
      <w:r>
        <w:rPr/>
        <w:t>widely available</w:t>
      </w:r>
      <w:r>
        <w:rPr>
          <w:spacing w:val="40"/>
        </w:rPr>
        <w:t> </w:t>
      </w:r>
      <w:r>
        <w:rPr/>
        <w:t>and</w:t>
      </w:r>
      <w:r>
        <w:rPr>
          <w:spacing w:val="40"/>
        </w:rPr>
        <w:t> </w:t>
      </w:r>
      <w:r>
        <w:rPr/>
        <w:t>have</w:t>
      </w:r>
      <w:r>
        <w:rPr>
          <w:spacing w:val="40"/>
        </w:rPr>
        <w:t> </w:t>
      </w:r>
      <w:r>
        <w:rPr/>
        <w:t>been useful in tablet production due to their inertness, cheapness and utilization as fillers, binders, disintegrants and glidants (Alebiowu and Itiola, 2002). Starch is the major carbohydrate reserve of plant tubers and seed endosperm (Buleon </w:t>
      </w:r>
      <w:r>
        <w:rPr>
          <w:i/>
        </w:rPr>
        <w:t>et al, </w:t>
      </w:r>
      <w:r>
        <w:rPr/>
        <w:t>1998) and has</w:t>
      </w:r>
      <w:r>
        <w:rPr>
          <w:spacing w:val="40"/>
        </w:rPr>
        <w:t> </w:t>
      </w:r>
      <w:r>
        <w:rPr/>
        <w:t>been identified by the Joint Conference on Excipients as one of the top ten excipients in the pharmaceutical industry (Adebayo and Itiola</w:t>
      </w:r>
      <w:r>
        <w:rPr>
          <w:i/>
        </w:rPr>
        <w:t>, </w:t>
      </w:r>
      <w:r>
        <w:rPr/>
        <w:t>2003).</w:t>
      </w:r>
    </w:p>
    <w:p>
      <w:pPr>
        <w:pStyle w:val="BodyText"/>
        <w:spacing w:line="491" w:lineRule="auto" w:before="2"/>
        <w:ind w:left="665" w:right="1853" w:firstLine="561"/>
        <w:jc w:val="both"/>
      </w:pPr>
      <w:r>
        <w:rPr/>
        <w:t>Starch occurs abundantly in most plants and is the most widely distributed substances</w:t>
      </w:r>
      <w:r>
        <w:rPr>
          <w:spacing w:val="40"/>
        </w:rPr>
        <w:t> </w:t>
      </w:r>
      <w:r>
        <w:rPr/>
        <w:t>in</w:t>
      </w:r>
      <w:r>
        <w:rPr>
          <w:spacing w:val="40"/>
        </w:rPr>
        <w:t> </w:t>
      </w:r>
      <w:r>
        <w:rPr/>
        <w:t>nature.</w:t>
      </w:r>
      <w:r>
        <w:rPr>
          <w:spacing w:val="40"/>
        </w:rPr>
        <w:t> </w:t>
      </w:r>
      <w:r>
        <w:rPr/>
        <w:t>Starch</w:t>
      </w:r>
      <w:r>
        <w:rPr>
          <w:spacing w:val="40"/>
        </w:rPr>
        <w:t> </w:t>
      </w:r>
      <w:r>
        <w:rPr/>
        <w:t>is</w:t>
      </w:r>
      <w:r>
        <w:rPr>
          <w:spacing w:val="40"/>
        </w:rPr>
        <w:t> </w:t>
      </w:r>
      <w:r>
        <w:rPr/>
        <w:t>formed</w:t>
      </w:r>
      <w:r>
        <w:rPr>
          <w:spacing w:val="40"/>
        </w:rPr>
        <w:t> </w:t>
      </w:r>
      <w:r>
        <w:rPr/>
        <w:t>by</w:t>
      </w:r>
      <w:r>
        <w:rPr>
          <w:spacing w:val="40"/>
        </w:rPr>
        <w:t> </w:t>
      </w:r>
      <w:r>
        <w:rPr/>
        <w:t>a</w:t>
      </w:r>
      <w:r>
        <w:rPr>
          <w:spacing w:val="40"/>
        </w:rPr>
        <w:t> </w:t>
      </w:r>
      <w:r>
        <w:rPr/>
        <w:t>process</w:t>
      </w:r>
      <w:r>
        <w:rPr>
          <w:spacing w:val="40"/>
        </w:rPr>
        <w:t> </w:t>
      </w:r>
      <w:r>
        <w:rPr/>
        <w:t>of</w:t>
      </w:r>
      <w:r>
        <w:rPr>
          <w:spacing w:val="40"/>
        </w:rPr>
        <w:t> </w:t>
      </w:r>
      <w:r>
        <w:rPr/>
        <w:t>photosynthesis</w:t>
      </w:r>
      <w:r>
        <w:rPr>
          <w:spacing w:val="40"/>
        </w:rPr>
        <w:t> </w:t>
      </w:r>
      <w:r>
        <w:rPr/>
        <w:t>when</w:t>
      </w:r>
      <w:r>
        <w:rPr>
          <w:spacing w:val="40"/>
        </w:rPr>
        <w:t> </w:t>
      </w:r>
      <w:r>
        <w:rPr/>
        <w:t>water, carbon dioxide interact in the presence of light and chlorophyll. The largest source of starch is the caryopsis of maize, wheat, tuber of potato, yam and cocoyam, roots of</w:t>
      </w:r>
      <w:r>
        <w:rPr>
          <w:spacing w:val="40"/>
        </w:rPr>
        <w:t> </w:t>
      </w:r>
      <w:r>
        <w:rPr/>
        <w:t>tapioca,</w:t>
      </w:r>
      <w:r>
        <w:rPr>
          <w:spacing w:val="40"/>
        </w:rPr>
        <w:t> </w:t>
      </w:r>
      <w:r>
        <w:rPr/>
        <w:t>and</w:t>
      </w:r>
      <w:r>
        <w:rPr>
          <w:spacing w:val="40"/>
        </w:rPr>
        <w:t> </w:t>
      </w:r>
      <w:r>
        <w:rPr/>
        <w:t>caryopsis</w:t>
      </w:r>
      <w:r>
        <w:rPr>
          <w:spacing w:val="40"/>
        </w:rPr>
        <w:t> </w:t>
      </w:r>
      <w:r>
        <w:rPr/>
        <w:t>of</w:t>
      </w:r>
      <w:r>
        <w:rPr>
          <w:spacing w:val="40"/>
        </w:rPr>
        <w:t> </w:t>
      </w:r>
      <w:r>
        <w:rPr/>
        <w:t>rice</w:t>
      </w:r>
      <w:r>
        <w:rPr>
          <w:spacing w:val="40"/>
        </w:rPr>
        <w:t> </w:t>
      </w:r>
      <w:r>
        <w:rPr/>
        <w:t>etc</w:t>
      </w:r>
      <w:r>
        <w:rPr>
          <w:spacing w:val="40"/>
        </w:rPr>
        <w:t> </w:t>
      </w:r>
      <w:r>
        <w:rPr/>
        <w:t>(Muazu,</w:t>
      </w:r>
      <w:r>
        <w:rPr>
          <w:spacing w:val="40"/>
        </w:rPr>
        <w:t> </w:t>
      </w:r>
      <w:r>
        <w:rPr/>
        <w:t>2008).</w:t>
      </w:r>
      <w:r>
        <w:rPr>
          <w:spacing w:val="40"/>
        </w:rPr>
        <w:t> </w:t>
      </w:r>
      <w:r>
        <w:rPr/>
        <w:t>Several</w:t>
      </w:r>
      <w:r>
        <w:rPr>
          <w:spacing w:val="40"/>
        </w:rPr>
        <w:t> </w:t>
      </w:r>
      <w:r>
        <w:rPr/>
        <w:t>starches</w:t>
      </w:r>
      <w:r>
        <w:rPr>
          <w:spacing w:val="40"/>
        </w:rPr>
        <w:t> </w:t>
      </w:r>
      <w:r>
        <w:rPr/>
        <w:t>obtained</w:t>
      </w:r>
      <w:r>
        <w:rPr>
          <w:spacing w:val="40"/>
        </w:rPr>
        <w:t> </w:t>
      </w:r>
      <w:r>
        <w:rPr/>
        <w:t>from different food crops have shown enough potential as excipients in tablet formulations (Itiola </w:t>
      </w:r>
      <w:r>
        <w:rPr>
          <w:i/>
        </w:rPr>
        <w:t>et al</w:t>
      </w:r>
      <w:r>
        <w:rPr/>
        <w:t>, 2005). Starch is routinely used, for example as diluents, binder, disintegrant and glidant. Starch is widely used as a thickener, water binder, emulsion, stabilizer and gelling agent.</w:t>
      </w:r>
    </w:p>
    <w:p>
      <w:pPr>
        <w:spacing w:after="0" w:line="491" w:lineRule="auto"/>
        <w:jc w:val="both"/>
        <w:sectPr>
          <w:footerReference w:type="default" r:id="rId6"/>
          <w:pgSz w:w="12240" w:h="15840"/>
          <w:pgMar w:header="0" w:footer="999" w:top="1260" w:bottom="1180" w:left="1720" w:right="0"/>
          <w:pgNumType w:start="1"/>
        </w:sectPr>
      </w:pPr>
    </w:p>
    <w:p>
      <w:pPr>
        <w:pStyle w:val="BodyText"/>
        <w:spacing w:line="491" w:lineRule="auto" w:before="75"/>
        <w:ind w:left="665" w:right="1852" w:firstLine="504"/>
        <w:jc w:val="both"/>
      </w:pPr>
      <w:r>
        <w:rPr/>
        <w:t>Starch is commonly used in an amount of 5 to 15 % when it functions as a binder (Handbook of Pharmaceutical Excipients, 2003). All percentages, unless specified are percentage by weight based on the total weight of the compressed solid dosage form. When</w:t>
      </w:r>
      <w:r>
        <w:rPr>
          <w:spacing w:val="28"/>
        </w:rPr>
        <w:t> </w:t>
      </w:r>
      <w:r>
        <w:rPr/>
        <w:t>functioning as</w:t>
      </w:r>
      <w:r>
        <w:rPr>
          <w:spacing w:val="29"/>
        </w:rPr>
        <w:t> </w:t>
      </w:r>
      <w:r>
        <w:rPr/>
        <w:t>a</w:t>
      </w:r>
      <w:r>
        <w:rPr>
          <w:spacing w:val="26"/>
        </w:rPr>
        <w:t> </w:t>
      </w:r>
      <w:r>
        <w:rPr/>
        <w:t>disintegrant,</w:t>
      </w:r>
      <w:r>
        <w:rPr>
          <w:spacing w:val="32"/>
        </w:rPr>
        <w:t> </w:t>
      </w:r>
      <w:r>
        <w:rPr/>
        <w:t>it</w:t>
      </w:r>
      <w:r>
        <w:rPr>
          <w:spacing w:val="36"/>
        </w:rPr>
        <w:t> </w:t>
      </w:r>
      <w:r>
        <w:rPr/>
        <w:t>is</w:t>
      </w:r>
      <w:r>
        <w:rPr>
          <w:spacing w:val="29"/>
        </w:rPr>
        <w:t> </w:t>
      </w:r>
      <w:r>
        <w:rPr/>
        <w:t>commonly added</w:t>
      </w:r>
      <w:r>
        <w:rPr>
          <w:spacing w:val="38"/>
        </w:rPr>
        <w:t> </w:t>
      </w:r>
      <w:r>
        <w:rPr/>
        <w:t>in</w:t>
      </w:r>
      <w:r>
        <w:rPr>
          <w:spacing w:val="24"/>
        </w:rPr>
        <w:t> </w:t>
      </w:r>
      <w:r>
        <w:rPr/>
        <w:t>an</w:t>
      </w:r>
      <w:r>
        <w:rPr>
          <w:spacing w:val="28"/>
        </w:rPr>
        <w:t> </w:t>
      </w:r>
      <w:r>
        <w:rPr/>
        <w:t>amount</w:t>
      </w:r>
      <w:r>
        <w:rPr>
          <w:spacing w:val="30"/>
        </w:rPr>
        <w:t> </w:t>
      </w:r>
      <w:r>
        <w:rPr/>
        <w:t>of</w:t>
      </w:r>
      <w:r>
        <w:rPr>
          <w:spacing w:val="27"/>
        </w:rPr>
        <w:t> </w:t>
      </w:r>
      <w:r>
        <w:rPr/>
        <w:t>3</w:t>
      </w:r>
      <w:r>
        <w:rPr>
          <w:spacing w:val="34"/>
        </w:rPr>
        <w:t> </w:t>
      </w:r>
      <w:r>
        <w:rPr/>
        <w:t>to 15</w:t>
      </w:r>
      <w:r>
        <w:rPr>
          <w:spacing w:val="35"/>
        </w:rPr>
        <w:t> </w:t>
      </w:r>
      <w:r>
        <w:rPr/>
        <w:t>%. The amount of diluent that is called for in a particular application depends upon many parameters and is highly variable.</w:t>
      </w:r>
    </w:p>
    <w:p>
      <w:pPr>
        <w:pStyle w:val="BodyText"/>
        <w:spacing w:line="491" w:lineRule="auto"/>
        <w:ind w:left="665" w:right="1860" w:firstLine="566"/>
        <w:jc w:val="both"/>
      </w:pPr>
      <w:r>
        <w:rPr/>
        <w:t>However, as the handbook notes, starch does not compress well and tends to increase tablet friability and capping if used in high concentration. Thus, the use of high concentration of starch as a diluent is limited by the deterioration in the hardness and friability (resistance</w:t>
      </w:r>
      <w:r>
        <w:rPr>
          <w:spacing w:val="40"/>
        </w:rPr>
        <w:t> </w:t>
      </w:r>
      <w:r>
        <w:rPr/>
        <w:t>to</w:t>
      </w:r>
      <w:r>
        <w:rPr>
          <w:spacing w:val="40"/>
        </w:rPr>
        <w:t> </w:t>
      </w:r>
      <w:r>
        <w:rPr/>
        <w:t>chipping)</w:t>
      </w:r>
      <w:r>
        <w:rPr>
          <w:spacing w:val="40"/>
        </w:rPr>
        <w:t> </w:t>
      </w:r>
      <w:r>
        <w:rPr/>
        <w:t>that</w:t>
      </w:r>
      <w:r>
        <w:rPr>
          <w:spacing w:val="40"/>
        </w:rPr>
        <w:t> </w:t>
      </w:r>
      <w:r>
        <w:rPr/>
        <w:t>occurs</w:t>
      </w:r>
      <w:r>
        <w:rPr>
          <w:spacing w:val="40"/>
        </w:rPr>
        <w:t> </w:t>
      </w:r>
      <w:r>
        <w:rPr/>
        <w:t>as</w:t>
      </w:r>
      <w:r>
        <w:rPr>
          <w:spacing w:val="40"/>
        </w:rPr>
        <w:t> </w:t>
      </w:r>
      <w:r>
        <w:rPr/>
        <w:t>the</w:t>
      </w:r>
      <w:r>
        <w:rPr>
          <w:spacing w:val="40"/>
        </w:rPr>
        <w:t> </w:t>
      </w:r>
      <w:r>
        <w:rPr/>
        <w:t>proportion</w:t>
      </w:r>
      <w:r>
        <w:rPr>
          <w:spacing w:val="40"/>
        </w:rPr>
        <w:t> </w:t>
      </w:r>
      <w:r>
        <w:rPr/>
        <w:t>of</w:t>
      </w:r>
      <w:r>
        <w:rPr>
          <w:spacing w:val="40"/>
        </w:rPr>
        <w:t> </w:t>
      </w:r>
      <w:r>
        <w:rPr/>
        <w:t>starch</w:t>
      </w:r>
      <w:r>
        <w:rPr>
          <w:spacing w:val="40"/>
        </w:rPr>
        <w:t> </w:t>
      </w:r>
      <w:r>
        <w:rPr/>
        <w:t>in</w:t>
      </w:r>
      <w:r>
        <w:rPr>
          <w:spacing w:val="40"/>
        </w:rPr>
        <w:t> </w:t>
      </w:r>
      <w:r>
        <w:rPr/>
        <w:t>the formulation is increased.</w:t>
      </w:r>
    </w:p>
    <w:p>
      <w:pPr>
        <w:pStyle w:val="Heading2"/>
        <w:numPr>
          <w:ilvl w:val="1"/>
          <w:numId w:val="11"/>
        </w:numPr>
        <w:tabs>
          <w:tab w:pos="1342" w:val="left" w:leader="none"/>
        </w:tabs>
        <w:spacing w:line="240" w:lineRule="auto" w:before="233" w:after="0"/>
        <w:ind w:left="1342" w:right="0" w:hanging="677"/>
        <w:jc w:val="left"/>
      </w:pPr>
      <w:bookmarkStart w:name="_TOC_250147" w:id="14"/>
      <w:r>
        <w:rPr/>
        <w:t>Starch</w:t>
      </w:r>
      <w:r>
        <w:rPr>
          <w:spacing w:val="17"/>
        </w:rPr>
        <w:t> </w:t>
      </w:r>
      <w:bookmarkEnd w:id="14"/>
      <w:r>
        <w:rPr>
          <w:spacing w:val="-2"/>
        </w:rPr>
        <w:t>Chemistry</w:t>
      </w:r>
    </w:p>
    <w:p>
      <w:pPr>
        <w:pStyle w:val="BodyText"/>
        <w:spacing w:line="491" w:lineRule="auto" w:before="246"/>
        <w:ind w:left="665" w:right="1858" w:firstLine="676"/>
        <w:jc w:val="both"/>
      </w:pPr>
      <w:r>
        <w:rPr/>
        <w:t>Starch</w:t>
      </w:r>
      <w:r>
        <w:rPr>
          <w:spacing w:val="40"/>
        </w:rPr>
        <w:t> </w:t>
      </w:r>
      <w:r>
        <w:rPr/>
        <w:t>or</w:t>
      </w:r>
      <w:r>
        <w:rPr>
          <w:spacing w:val="40"/>
        </w:rPr>
        <w:t> </w:t>
      </w:r>
      <w:r>
        <w:rPr/>
        <w:t>amylum</w:t>
      </w:r>
      <w:r>
        <w:rPr>
          <w:spacing w:val="40"/>
        </w:rPr>
        <w:t> </w:t>
      </w:r>
      <w:r>
        <w:rPr/>
        <w:t>is</w:t>
      </w:r>
      <w:r>
        <w:rPr>
          <w:spacing w:val="40"/>
        </w:rPr>
        <w:t> </w:t>
      </w:r>
      <w:r>
        <w:rPr/>
        <w:t>a</w:t>
      </w:r>
      <w:r>
        <w:rPr>
          <w:spacing w:val="40"/>
        </w:rPr>
        <w:t> </w:t>
      </w:r>
      <w:r>
        <w:rPr/>
        <w:t>carbohydrate</w:t>
      </w:r>
      <w:r>
        <w:rPr>
          <w:spacing w:val="40"/>
        </w:rPr>
        <w:t> </w:t>
      </w:r>
      <w:r>
        <w:rPr/>
        <w:t>consisting</w:t>
      </w:r>
      <w:r>
        <w:rPr>
          <w:spacing w:val="40"/>
        </w:rPr>
        <w:t> </w:t>
      </w:r>
      <w:r>
        <w:rPr/>
        <w:t>of</w:t>
      </w:r>
      <w:r>
        <w:rPr>
          <w:spacing w:val="40"/>
        </w:rPr>
        <w:t> </w:t>
      </w:r>
      <w:r>
        <w:rPr/>
        <w:t>a</w:t>
      </w:r>
      <w:r>
        <w:rPr>
          <w:spacing w:val="40"/>
        </w:rPr>
        <w:t> </w:t>
      </w:r>
      <w:r>
        <w:rPr/>
        <w:t>large</w:t>
      </w:r>
      <w:r>
        <w:rPr>
          <w:spacing w:val="40"/>
        </w:rPr>
        <w:t> </w:t>
      </w:r>
      <w:r>
        <w:rPr/>
        <w:t>number</w:t>
      </w:r>
      <w:r>
        <w:rPr>
          <w:spacing w:val="40"/>
        </w:rPr>
        <w:t> </w:t>
      </w:r>
      <w:r>
        <w:rPr/>
        <w:t>of</w:t>
      </w:r>
      <w:r>
        <w:rPr>
          <w:spacing w:val="40"/>
        </w:rPr>
        <w:t> </w:t>
      </w:r>
      <w:r>
        <w:rPr/>
        <w:t>glucose units</w:t>
      </w:r>
      <w:r>
        <w:rPr>
          <w:spacing w:val="24"/>
        </w:rPr>
        <w:t> </w:t>
      </w:r>
      <w:r>
        <w:rPr/>
        <w:t>joined</w:t>
      </w:r>
      <w:r>
        <w:rPr>
          <w:spacing w:val="23"/>
        </w:rPr>
        <w:t> </w:t>
      </w:r>
      <w:r>
        <w:rPr/>
        <w:t>by glycosidic</w:t>
      </w:r>
      <w:r>
        <w:rPr>
          <w:spacing w:val="22"/>
        </w:rPr>
        <w:t> </w:t>
      </w:r>
      <w:r>
        <w:rPr/>
        <w:t>bonds. This polysaccharide is produced</w:t>
      </w:r>
      <w:r>
        <w:rPr>
          <w:spacing w:val="23"/>
        </w:rPr>
        <w:t> </w:t>
      </w:r>
      <w:r>
        <w:rPr/>
        <w:t>by all green plants as an energy store. It is the most important carbohydrate in the human diet.</w:t>
      </w:r>
    </w:p>
    <w:p>
      <w:pPr>
        <w:pStyle w:val="BodyText"/>
        <w:spacing w:line="491" w:lineRule="auto"/>
        <w:ind w:left="665" w:right="1861" w:firstLine="676"/>
        <w:jc w:val="both"/>
      </w:pPr>
      <w:r>
        <w:rPr/>
        <w:t>Pure starch is</w:t>
      </w:r>
      <w:r>
        <w:rPr>
          <w:spacing w:val="40"/>
        </w:rPr>
        <w:t> </w:t>
      </w:r>
      <w:r>
        <w:rPr/>
        <w:t>a</w:t>
      </w:r>
      <w:r>
        <w:rPr>
          <w:spacing w:val="40"/>
        </w:rPr>
        <w:t> </w:t>
      </w:r>
      <w:r>
        <w:rPr/>
        <w:t>white,</w:t>
      </w:r>
      <w:r>
        <w:rPr>
          <w:spacing w:val="40"/>
        </w:rPr>
        <w:t> </w:t>
      </w:r>
      <w:r>
        <w:rPr/>
        <w:t>tasteless</w:t>
      </w:r>
      <w:r>
        <w:rPr>
          <w:spacing w:val="40"/>
        </w:rPr>
        <w:t> </w:t>
      </w:r>
      <w:r>
        <w:rPr/>
        <w:t>and</w:t>
      </w:r>
      <w:r>
        <w:rPr>
          <w:spacing w:val="40"/>
        </w:rPr>
        <w:t> </w:t>
      </w:r>
      <w:r>
        <w:rPr/>
        <w:t>odorless</w:t>
      </w:r>
      <w:r>
        <w:rPr>
          <w:spacing w:val="40"/>
        </w:rPr>
        <w:t> </w:t>
      </w:r>
      <w:r>
        <w:rPr/>
        <w:t>powder</w:t>
      </w:r>
      <w:r>
        <w:rPr>
          <w:spacing w:val="40"/>
        </w:rPr>
        <w:t> </w:t>
      </w:r>
      <w:r>
        <w:rPr/>
        <w:t>that</w:t>
      </w:r>
      <w:r>
        <w:rPr>
          <w:spacing w:val="40"/>
        </w:rPr>
        <w:t> </w:t>
      </w:r>
      <w:r>
        <w:rPr/>
        <w:t>is</w:t>
      </w:r>
      <w:r>
        <w:rPr>
          <w:spacing w:val="40"/>
        </w:rPr>
        <w:t> </w:t>
      </w:r>
      <w:r>
        <w:rPr/>
        <w:t>insoluble</w:t>
      </w:r>
      <w:r>
        <w:rPr>
          <w:spacing w:val="40"/>
        </w:rPr>
        <w:t> </w:t>
      </w:r>
      <w:r>
        <w:rPr/>
        <w:t>in cold water</w:t>
      </w:r>
      <w:r>
        <w:rPr>
          <w:spacing w:val="34"/>
        </w:rPr>
        <w:t> </w:t>
      </w:r>
      <w:r>
        <w:rPr/>
        <w:t>or</w:t>
      </w:r>
      <w:r>
        <w:rPr>
          <w:spacing w:val="34"/>
        </w:rPr>
        <w:t> </w:t>
      </w:r>
      <w:r>
        <w:rPr/>
        <w:t>alcohol.</w:t>
      </w:r>
      <w:r>
        <w:rPr>
          <w:spacing w:val="33"/>
        </w:rPr>
        <w:t> </w:t>
      </w:r>
      <w:r>
        <w:rPr/>
        <w:t>It</w:t>
      </w:r>
      <w:r>
        <w:rPr>
          <w:spacing w:val="37"/>
        </w:rPr>
        <w:t> </w:t>
      </w:r>
      <w:r>
        <w:rPr/>
        <w:t>consists</w:t>
      </w:r>
      <w:r>
        <w:rPr>
          <w:spacing w:val="30"/>
        </w:rPr>
        <w:t> </w:t>
      </w:r>
      <w:r>
        <w:rPr/>
        <w:t>of</w:t>
      </w:r>
      <w:r>
        <w:rPr>
          <w:spacing w:val="28"/>
        </w:rPr>
        <w:t> </w:t>
      </w:r>
      <w:r>
        <w:rPr/>
        <w:t>two</w:t>
      </w:r>
      <w:r>
        <w:rPr>
          <w:spacing w:val="39"/>
        </w:rPr>
        <w:t> </w:t>
      </w:r>
      <w:r>
        <w:rPr/>
        <w:t>types</w:t>
      </w:r>
      <w:r>
        <w:rPr>
          <w:spacing w:val="30"/>
        </w:rPr>
        <w:t> </w:t>
      </w:r>
      <w:r>
        <w:rPr/>
        <w:t>of</w:t>
      </w:r>
      <w:r>
        <w:rPr>
          <w:spacing w:val="28"/>
        </w:rPr>
        <w:t> </w:t>
      </w:r>
      <w:r>
        <w:rPr/>
        <w:t>molecules:</w:t>
      </w:r>
      <w:r>
        <w:rPr>
          <w:spacing w:val="26"/>
        </w:rPr>
        <w:t> </w:t>
      </w:r>
      <w:r>
        <w:rPr/>
        <w:t>the</w:t>
      </w:r>
      <w:r>
        <w:rPr>
          <w:spacing w:val="33"/>
        </w:rPr>
        <w:t> </w:t>
      </w:r>
      <w:r>
        <w:rPr/>
        <w:t>linear</w:t>
      </w:r>
      <w:r>
        <w:rPr>
          <w:spacing w:val="34"/>
        </w:rPr>
        <w:t> </w:t>
      </w:r>
      <w:r>
        <w:rPr/>
        <w:t>and</w:t>
      </w:r>
      <w:r>
        <w:rPr>
          <w:spacing w:val="35"/>
        </w:rPr>
        <w:t> </w:t>
      </w:r>
      <w:r>
        <w:rPr/>
        <w:t>helical</w:t>
      </w:r>
      <w:r>
        <w:rPr>
          <w:spacing w:val="31"/>
        </w:rPr>
        <w:t> </w:t>
      </w:r>
      <w:r>
        <w:rPr/>
        <w:t>amylose and</w:t>
      </w:r>
      <w:r>
        <w:rPr>
          <w:spacing w:val="37"/>
        </w:rPr>
        <w:t> </w:t>
      </w:r>
      <w:r>
        <w:rPr/>
        <w:t>the</w:t>
      </w:r>
      <w:r>
        <w:rPr>
          <w:spacing w:val="24"/>
        </w:rPr>
        <w:t> </w:t>
      </w:r>
      <w:r>
        <w:rPr/>
        <w:t>branched</w:t>
      </w:r>
      <w:r>
        <w:rPr>
          <w:spacing w:val="31"/>
        </w:rPr>
        <w:t> </w:t>
      </w:r>
      <w:r>
        <w:rPr/>
        <w:t>amylopectin.</w:t>
      </w:r>
      <w:r>
        <w:rPr>
          <w:spacing w:val="29"/>
        </w:rPr>
        <w:t> </w:t>
      </w:r>
      <w:r>
        <w:rPr/>
        <w:t>Depending</w:t>
      </w:r>
      <w:r>
        <w:rPr>
          <w:spacing w:val="26"/>
        </w:rPr>
        <w:t> </w:t>
      </w:r>
      <w:r>
        <w:rPr/>
        <w:t>on</w:t>
      </w:r>
      <w:r>
        <w:rPr>
          <w:spacing w:val="26"/>
        </w:rPr>
        <w:t> </w:t>
      </w:r>
      <w:r>
        <w:rPr/>
        <w:t>the</w:t>
      </w:r>
      <w:r>
        <w:rPr>
          <w:spacing w:val="35"/>
        </w:rPr>
        <w:t> </w:t>
      </w:r>
      <w:r>
        <w:rPr/>
        <w:t>plant,</w:t>
      </w:r>
      <w:r>
        <w:rPr>
          <w:spacing w:val="29"/>
        </w:rPr>
        <w:t> </w:t>
      </w:r>
      <w:r>
        <w:rPr/>
        <w:t>starch</w:t>
      </w:r>
      <w:r>
        <w:rPr>
          <w:spacing w:val="26"/>
        </w:rPr>
        <w:t> </w:t>
      </w:r>
      <w:r>
        <w:rPr/>
        <w:t>generally contains</w:t>
      </w:r>
      <w:r>
        <w:rPr>
          <w:spacing w:val="27"/>
        </w:rPr>
        <w:t> </w:t>
      </w:r>
      <w:r>
        <w:rPr/>
        <w:t>20</w:t>
      </w:r>
      <w:r>
        <w:rPr>
          <w:spacing w:val="31"/>
        </w:rPr>
        <w:t> </w:t>
      </w:r>
      <w:r>
        <w:rPr/>
        <w:t>to 25 % amylose and 75 to 80 % amylopectin (Brown and Poon, 2005). Glycogen, the glucose store of animals, is a more branched version of amylopectin.</w:t>
      </w:r>
    </w:p>
    <w:p>
      <w:pPr>
        <w:spacing w:after="0" w:line="491" w:lineRule="auto"/>
        <w:jc w:val="both"/>
        <w:sectPr>
          <w:pgSz w:w="12240" w:h="15840"/>
          <w:pgMar w:header="0" w:footer="999" w:top="1260" w:bottom="1180" w:left="1720" w:right="0"/>
        </w:sectPr>
      </w:pPr>
    </w:p>
    <w:p>
      <w:pPr>
        <w:pStyle w:val="BodyText"/>
        <w:ind w:left="689"/>
        <w:rPr>
          <w:sz w:val="20"/>
        </w:rPr>
      </w:pPr>
      <w:r>
        <w:rPr>
          <w:sz w:val="20"/>
        </w:rPr>
        <w:drawing>
          <wp:inline distT="0" distB="0" distL="0" distR="0">
            <wp:extent cx="5062424" cy="374046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5062424" cy="3740467"/>
                    </a:xfrm>
                    <a:prstGeom prst="rect">
                      <a:avLst/>
                    </a:prstGeom>
                  </pic:spPr>
                </pic:pic>
              </a:graphicData>
            </a:graphic>
          </wp:inline>
        </w:drawing>
      </w:r>
      <w:r>
        <w:rPr>
          <w:sz w:val="20"/>
        </w:rPr>
      </w:r>
    </w:p>
    <w:p>
      <w:pPr>
        <w:pStyle w:val="BodyText"/>
      </w:pPr>
    </w:p>
    <w:p>
      <w:pPr>
        <w:pStyle w:val="BodyText"/>
        <w:spacing w:before="31"/>
      </w:pPr>
    </w:p>
    <w:p>
      <w:pPr>
        <w:pStyle w:val="Heading2"/>
        <w:spacing w:line="244" w:lineRule="auto"/>
        <w:ind w:left="1740" w:right="2566" w:hanging="1076"/>
      </w:pPr>
      <w:r>
        <w:rPr/>
        <w:t>Figure 1.1: Linear and branched starch polymers (Light, 1990; Crogan and Mason, 1998, Whistler et al, 1984).</w:t>
      </w:r>
    </w:p>
    <w:p>
      <w:pPr>
        <w:pStyle w:val="BodyText"/>
        <w:rPr>
          <w:b/>
        </w:rPr>
      </w:pPr>
    </w:p>
    <w:p>
      <w:pPr>
        <w:pStyle w:val="BodyText"/>
        <w:spacing w:before="10"/>
        <w:rPr>
          <w:b/>
        </w:rPr>
      </w:pPr>
    </w:p>
    <w:p>
      <w:pPr>
        <w:pStyle w:val="BodyText"/>
        <w:spacing w:line="491" w:lineRule="auto"/>
        <w:ind w:left="665" w:right="1859" w:firstLine="446"/>
        <w:jc w:val="both"/>
      </w:pPr>
      <w:r>
        <w:rPr/>
        <w:t>Amylose is a hydrocolloid. Its extended conformation causes the high viscosity of water</w:t>
      </w:r>
      <w:r>
        <w:rPr>
          <w:spacing w:val="40"/>
        </w:rPr>
        <w:t> </w:t>
      </w:r>
      <w:r>
        <w:rPr/>
        <w:t>soluble</w:t>
      </w:r>
      <w:r>
        <w:rPr>
          <w:spacing w:val="40"/>
        </w:rPr>
        <w:t> </w:t>
      </w:r>
      <w:r>
        <w:rPr/>
        <w:t>starch</w:t>
      </w:r>
      <w:r>
        <w:rPr>
          <w:spacing w:val="40"/>
        </w:rPr>
        <w:t> </w:t>
      </w:r>
      <w:r>
        <w:rPr/>
        <w:t>which</w:t>
      </w:r>
      <w:r>
        <w:rPr>
          <w:spacing w:val="40"/>
        </w:rPr>
        <w:t> </w:t>
      </w:r>
      <w:r>
        <w:rPr/>
        <w:t>varies</w:t>
      </w:r>
      <w:r>
        <w:rPr>
          <w:spacing w:val="40"/>
        </w:rPr>
        <w:t> </w:t>
      </w:r>
      <w:r>
        <w:rPr/>
        <w:t>relatively</w:t>
      </w:r>
      <w:r>
        <w:rPr>
          <w:spacing w:val="40"/>
        </w:rPr>
        <w:t> </w:t>
      </w:r>
      <w:r>
        <w:rPr/>
        <w:t>little</w:t>
      </w:r>
      <w:r>
        <w:rPr>
          <w:spacing w:val="40"/>
        </w:rPr>
        <w:t> </w:t>
      </w:r>
      <w:r>
        <w:rPr/>
        <w:t>with</w:t>
      </w:r>
      <w:r>
        <w:rPr>
          <w:spacing w:val="40"/>
        </w:rPr>
        <w:t> </w:t>
      </w:r>
      <w:r>
        <w:rPr/>
        <w:t>temperature.</w:t>
      </w:r>
      <w:r>
        <w:rPr>
          <w:spacing w:val="40"/>
        </w:rPr>
        <w:t> </w:t>
      </w:r>
      <w:r>
        <w:rPr/>
        <w:t>The</w:t>
      </w:r>
      <w:r>
        <w:rPr>
          <w:spacing w:val="40"/>
        </w:rPr>
        <w:t> </w:t>
      </w:r>
      <w:r>
        <w:rPr/>
        <w:t>extended loosely helical chains possess a relatively hydrophobic inner surface that is not able to</w:t>
      </w:r>
      <w:r>
        <w:rPr>
          <w:spacing w:val="40"/>
        </w:rPr>
        <w:t> </w:t>
      </w:r>
      <w:r>
        <w:rPr/>
        <w:t>hold water. Amylose forms useful gels and films. Its association and crystallization (retrogradation) on cooling and storage decrease storage stability, causing shrinkage and the</w:t>
      </w:r>
      <w:r>
        <w:rPr>
          <w:spacing w:val="40"/>
        </w:rPr>
        <w:t> </w:t>
      </w:r>
      <w:r>
        <w:rPr/>
        <w:t>release</w:t>
      </w:r>
      <w:r>
        <w:rPr>
          <w:spacing w:val="40"/>
        </w:rPr>
        <w:t> </w:t>
      </w:r>
      <w:r>
        <w:rPr/>
        <w:t>of</w:t>
      </w:r>
      <w:r>
        <w:rPr>
          <w:spacing w:val="40"/>
        </w:rPr>
        <w:t> </w:t>
      </w:r>
      <w:r>
        <w:rPr/>
        <w:t>water</w:t>
      </w:r>
      <w:r>
        <w:rPr>
          <w:spacing w:val="40"/>
        </w:rPr>
        <w:t> </w:t>
      </w:r>
      <w:r>
        <w:rPr/>
        <w:t>(syneresis).</w:t>
      </w:r>
      <w:r>
        <w:rPr>
          <w:spacing w:val="40"/>
        </w:rPr>
        <w:t> </w:t>
      </w:r>
      <w:r>
        <w:rPr/>
        <w:t>Increasing</w:t>
      </w:r>
      <w:r>
        <w:rPr>
          <w:spacing w:val="36"/>
        </w:rPr>
        <w:t> </w:t>
      </w:r>
      <w:r>
        <w:rPr/>
        <w:t>amylose</w:t>
      </w:r>
      <w:r>
        <w:rPr>
          <w:spacing w:val="40"/>
        </w:rPr>
        <w:t> </w:t>
      </w:r>
      <w:r>
        <w:rPr/>
        <w:t>concentration</w:t>
      </w:r>
      <w:r>
        <w:rPr>
          <w:spacing w:val="40"/>
        </w:rPr>
        <w:t> </w:t>
      </w:r>
      <w:r>
        <w:rPr/>
        <w:t>decrease</w:t>
      </w:r>
      <w:r>
        <w:rPr>
          <w:spacing w:val="40"/>
        </w:rPr>
        <w:t> </w:t>
      </w:r>
      <w:r>
        <w:rPr/>
        <w:t>stickiness, but increases gel firmness.</w:t>
      </w:r>
    </w:p>
    <w:p>
      <w:pPr>
        <w:pStyle w:val="BodyText"/>
        <w:spacing w:line="491" w:lineRule="auto"/>
        <w:ind w:left="665" w:right="1860" w:firstLine="393"/>
        <w:jc w:val="both"/>
      </w:pPr>
      <w:r>
        <w:rPr/>
        <w:t>Amylopectin interferes with the interaction between amylose chains (and retrogradation) and its solution can lead to an initial loss in viscosity and followed by a slimy consistency. In normal starch, the amylose: amylopectin (Am:AP) ratio is approximately</w:t>
      </w:r>
      <w:r>
        <w:rPr>
          <w:spacing w:val="70"/>
        </w:rPr>
        <w:t> </w:t>
      </w:r>
      <w:r>
        <w:rPr/>
        <w:t>1:4.</w:t>
      </w:r>
      <w:r>
        <w:rPr>
          <w:spacing w:val="63"/>
          <w:w w:val="150"/>
        </w:rPr>
        <w:t> </w:t>
      </w:r>
      <w:r>
        <w:rPr/>
        <w:t>Starch</w:t>
      </w:r>
      <w:r>
        <w:rPr>
          <w:spacing w:val="76"/>
        </w:rPr>
        <w:t> </w:t>
      </w:r>
      <w:r>
        <w:rPr/>
        <w:t>films</w:t>
      </w:r>
      <w:r>
        <w:rPr>
          <w:spacing w:val="60"/>
          <w:w w:val="150"/>
        </w:rPr>
        <w:t> </w:t>
      </w:r>
      <w:r>
        <w:rPr/>
        <w:t>made</w:t>
      </w:r>
      <w:r>
        <w:rPr>
          <w:spacing w:val="58"/>
          <w:w w:val="150"/>
        </w:rPr>
        <w:t> </w:t>
      </w:r>
      <w:r>
        <w:rPr/>
        <w:t>from</w:t>
      </w:r>
      <w:r>
        <w:rPr>
          <w:spacing w:val="76"/>
        </w:rPr>
        <w:t> </w:t>
      </w:r>
      <w:r>
        <w:rPr/>
        <w:t>different</w:t>
      </w:r>
      <w:r>
        <w:rPr>
          <w:spacing w:val="61"/>
          <w:w w:val="150"/>
        </w:rPr>
        <w:t> </w:t>
      </w:r>
      <w:r>
        <w:rPr/>
        <w:t>Am:AP</w:t>
      </w:r>
      <w:r>
        <w:rPr>
          <w:spacing w:val="61"/>
          <w:w w:val="150"/>
        </w:rPr>
        <w:t> </w:t>
      </w:r>
      <w:r>
        <w:rPr/>
        <w:t>ratio</w:t>
      </w:r>
      <w:r>
        <w:rPr>
          <w:spacing w:val="63"/>
          <w:w w:val="150"/>
        </w:rPr>
        <w:t> </w:t>
      </w:r>
      <w:r>
        <w:rPr/>
        <w:t>have</w:t>
      </w:r>
      <w:r>
        <w:rPr>
          <w:spacing w:val="57"/>
          <w:w w:val="150"/>
        </w:rPr>
        <w:t> </w:t>
      </w:r>
      <w:r>
        <w:rPr>
          <w:spacing w:val="-2"/>
        </w:rPr>
        <w:t>different</w:t>
      </w:r>
    </w:p>
    <w:p>
      <w:pPr>
        <w:spacing w:after="0" w:line="491" w:lineRule="auto"/>
        <w:jc w:val="both"/>
        <w:sectPr>
          <w:pgSz w:w="12240" w:h="15840"/>
          <w:pgMar w:header="0" w:footer="999" w:top="1320" w:bottom="1180" w:left="1720" w:right="0"/>
        </w:sectPr>
      </w:pPr>
    </w:p>
    <w:p>
      <w:pPr>
        <w:pStyle w:val="BodyText"/>
        <w:spacing w:line="491" w:lineRule="auto" w:before="75"/>
        <w:ind w:left="665" w:right="1858"/>
        <w:jc w:val="both"/>
      </w:pPr>
      <w:r>
        <w:rPr/>
        <w:t>properties.</w:t>
      </w:r>
      <w:r>
        <w:rPr>
          <w:spacing w:val="38"/>
        </w:rPr>
        <w:t> </w:t>
      </w:r>
      <w:r>
        <w:rPr/>
        <w:t>Amylose</w:t>
      </w:r>
      <w:r>
        <w:rPr>
          <w:spacing w:val="38"/>
        </w:rPr>
        <w:t> </w:t>
      </w:r>
      <w:r>
        <w:rPr/>
        <w:t>in</w:t>
      </w:r>
      <w:r>
        <w:rPr>
          <w:spacing w:val="34"/>
        </w:rPr>
        <w:t> </w:t>
      </w:r>
      <w:r>
        <w:rPr/>
        <w:t>starch</w:t>
      </w:r>
      <w:r>
        <w:rPr>
          <w:spacing w:val="28"/>
        </w:rPr>
        <w:t> </w:t>
      </w:r>
      <w:r>
        <w:rPr/>
        <w:t>gives</w:t>
      </w:r>
      <w:r>
        <w:rPr>
          <w:spacing w:val="36"/>
        </w:rPr>
        <w:t> </w:t>
      </w:r>
      <w:r>
        <w:rPr/>
        <w:t>stronger</w:t>
      </w:r>
      <w:r>
        <w:rPr>
          <w:spacing w:val="39"/>
        </w:rPr>
        <w:t> </w:t>
      </w:r>
      <w:r>
        <w:rPr/>
        <w:t>film</w:t>
      </w:r>
      <w:r>
        <w:rPr>
          <w:spacing w:val="40"/>
        </w:rPr>
        <w:t> </w:t>
      </w:r>
      <w:r>
        <w:rPr/>
        <w:t>whereas</w:t>
      </w:r>
      <w:r>
        <w:rPr>
          <w:spacing w:val="36"/>
        </w:rPr>
        <w:t> </w:t>
      </w:r>
      <w:r>
        <w:rPr/>
        <w:t>amylopectin</w:t>
      </w:r>
      <w:r>
        <w:rPr>
          <w:spacing w:val="28"/>
        </w:rPr>
        <w:t> </w:t>
      </w:r>
      <w:r>
        <w:rPr/>
        <w:t>generally</w:t>
      </w:r>
      <w:r>
        <w:rPr>
          <w:spacing w:val="28"/>
        </w:rPr>
        <w:t> </w:t>
      </w:r>
      <w:r>
        <w:rPr/>
        <w:t>leads to lower mechanical properties (Tharanathan, 2003; Mali and Grossmann, 2006). Adjustment of Am:Ap ratio may lead to tailoring of physical and chemical properties of starch films (Belitz and Grosh; 1999; Delvile </w:t>
      </w:r>
      <w:r>
        <w:rPr>
          <w:i/>
        </w:rPr>
        <w:t>et al, </w:t>
      </w:r>
      <w:r>
        <w:rPr/>
        <w:t>2002).</w:t>
      </w:r>
    </w:p>
    <w:p>
      <w:pPr>
        <w:pStyle w:val="Heading2"/>
        <w:numPr>
          <w:ilvl w:val="1"/>
          <w:numId w:val="11"/>
        </w:numPr>
        <w:tabs>
          <w:tab w:pos="1342" w:val="left" w:leader="none"/>
        </w:tabs>
        <w:spacing w:line="240" w:lineRule="auto" w:before="230" w:after="0"/>
        <w:ind w:left="1342" w:right="0" w:hanging="677"/>
        <w:jc w:val="left"/>
      </w:pPr>
      <w:bookmarkStart w:name="_TOC_250146" w:id="15"/>
      <w:r>
        <w:rPr/>
        <w:t>Energy</w:t>
      </w:r>
      <w:r>
        <w:rPr>
          <w:spacing w:val="11"/>
        </w:rPr>
        <w:t> </w:t>
      </w:r>
      <w:r>
        <w:rPr/>
        <w:t>Store</w:t>
      </w:r>
      <w:r>
        <w:rPr>
          <w:spacing w:val="8"/>
        </w:rPr>
        <w:t> </w:t>
      </w:r>
      <w:r>
        <w:rPr/>
        <w:t>of</w:t>
      </w:r>
      <w:r>
        <w:rPr>
          <w:spacing w:val="10"/>
        </w:rPr>
        <w:t> </w:t>
      </w:r>
      <w:bookmarkEnd w:id="15"/>
      <w:r>
        <w:rPr>
          <w:spacing w:val="-2"/>
        </w:rPr>
        <w:t>Plants</w:t>
      </w:r>
    </w:p>
    <w:p>
      <w:pPr>
        <w:pStyle w:val="BodyText"/>
        <w:spacing w:line="491" w:lineRule="auto" w:before="246"/>
        <w:ind w:left="665" w:right="1855" w:firstLine="676"/>
        <w:jc w:val="both"/>
      </w:pPr>
      <w:r>
        <w:rPr/>
        <w:t>In photosynthesis, glucose is produced from carbon dioxide in the presence of</w:t>
      </w:r>
      <w:r>
        <w:rPr>
          <w:spacing w:val="40"/>
        </w:rPr>
        <w:t> </w:t>
      </w:r>
      <w:r>
        <w:rPr/>
        <w:t>light</w:t>
      </w:r>
      <w:r>
        <w:rPr>
          <w:spacing w:val="40"/>
        </w:rPr>
        <w:t> </w:t>
      </w:r>
      <w:r>
        <w:rPr/>
        <w:t>energy.</w:t>
      </w:r>
      <w:r>
        <w:rPr>
          <w:spacing w:val="40"/>
        </w:rPr>
        <w:t> </w:t>
      </w:r>
      <w:r>
        <w:rPr/>
        <w:t>The</w:t>
      </w:r>
      <w:r>
        <w:rPr>
          <w:spacing w:val="40"/>
        </w:rPr>
        <w:t> </w:t>
      </w:r>
      <w:r>
        <w:rPr/>
        <w:t>glucose</w:t>
      </w:r>
      <w:r>
        <w:rPr>
          <w:spacing w:val="39"/>
        </w:rPr>
        <w:t> </w:t>
      </w:r>
      <w:r>
        <w:rPr/>
        <w:t>is</w:t>
      </w:r>
      <w:r>
        <w:rPr>
          <w:spacing w:val="40"/>
        </w:rPr>
        <w:t> </w:t>
      </w:r>
      <w:r>
        <w:rPr/>
        <w:t>stored</w:t>
      </w:r>
      <w:r>
        <w:rPr>
          <w:spacing w:val="40"/>
        </w:rPr>
        <w:t> </w:t>
      </w:r>
      <w:r>
        <w:rPr/>
        <w:t>mainly</w:t>
      </w:r>
      <w:r>
        <w:rPr>
          <w:spacing w:val="31"/>
        </w:rPr>
        <w:t> </w:t>
      </w:r>
      <w:r>
        <w:rPr/>
        <w:t>in</w:t>
      </w:r>
      <w:r>
        <w:rPr>
          <w:spacing w:val="40"/>
        </w:rPr>
        <w:t> </w:t>
      </w:r>
      <w:r>
        <w:rPr/>
        <w:t>the</w:t>
      </w:r>
      <w:r>
        <w:rPr>
          <w:spacing w:val="40"/>
        </w:rPr>
        <w:t> </w:t>
      </w:r>
      <w:r>
        <w:rPr/>
        <w:t>form</w:t>
      </w:r>
      <w:r>
        <w:rPr>
          <w:spacing w:val="36"/>
        </w:rPr>
        <w:t> </w:t>
      </w:r>
      <w:r>
        <w:rPr/>
        <w:t>of</w:t>
      </w:r>
      <w:r>
        <w:rPr>
          <w:spacing w:val="40"/>
        </w:rPr>
        <w:t> </w:t>
      </w:r>
      <w:r>
        <w:rPr/>
        <w:t>starch</w:t>
      </w:r>
      <w:r>
        <w:rPr>
          <w:spacing w:val="40"/>
        </w:rPr>
        <w:t> </w:t>
      </w:r>
      <w:r>
        <w:rPr/>
        <w:t>granules,</w:t>
      </w:r>
      <w:r>
        <w:rPr>
          <w:spacing w:val="40"/>
        </w:rPr>
        <w:t> </w:t>
      </w:r>
      <w:r>
        <w:rPr/>
        <w:t>in</w:t>
      </w:r>
      <w:r>
        <w:rPr>
          <w:spacing w:val="36"/>
        </w:rPr>
        <w:t> </w:t>
      </w:r>
      <w:r>
        <w:rPr/>
        <w:t>plastids such</w:t>
      </w:r>
      <w:r>
        <w:rPr>
          <w:spacing w:val="40"/>
        </w:rPr>
        <w:t> </w:t>
      </w:r>
      <w:r>
        <w:rPr/>
        <w:t>as</w:t>
      </w:r>
      <w:r>
        <w:rPr>
          <w:spacing w:val="40"/>
        </w:rPr>
        <w:t> </w:t>
      </w:r>
      <w:r>
        <w:rPr/>
        <w:t>chloroplasts</w:t>
      </w:r>
      <w:r>
        <w:rPr>
          <w:spacing w:val="40"/>
        </w:rPr>
        <w:t> </w:t>
      </w:r>
      <w:r>
        <w:rPr/>
        <w:t>and</w:t>
      </w:r>
      <w:r>
        <w:rPr>
          <w:spacing w:val="40"/>
        </w:rPr>
        <w:t> </w:t>
      </w:r>
      <w:r>
        <w:rPr/>
        <w:t>especially</w:t>
      </w:r>
      <w:r>
        <w:rPr>
          <w:spacing w:val="40"/>
        </w:rPr>
        <w:t> </w:t>
      </w:r>
      <w:r>
        <w:rPr/>
        <w:t>amyloplasts.</w:t>
      </w:r>
      <w:r>
        <w:rPr>
          <w:spacing w:val="40"/>
        </w:rPr>
        <w:t> </w:t>
      </w:r>
      <w:r>
        <w:rPr/>
        <w:t>Starch</w:t>
      </w:r>
      <w:r>
        <w:rPr>
          <w:spacing w:val="40"/>
        </w:rPr>
        <w:t> </w:t>
      </w:r>
      <w:r>
        <w:rPr/>
        <w:t>accumulates</w:t>
      </w:r>
      <w:r>
        <w:rPr>
          <w:spacing w:val="40"/>
        </w:rPr>
        <w:t> </w:t>
      </w:r>
      <w:r>
        <w:rPr/>
        <w:t>in</w:t>
      </w:r>
      <w:r>
        <w:rPr>
          <w:spacing w:val="40"/>
        </w:rPr>
        <w:t> </w:t>
      </w:r>
      <w:r>
        <w:rPr/>
        <w:t>twigs</w:t>
      </w:r>
      <w:r>
        <w:rPr>
          <w:spacing w:val="40"/>
        </w:rPr>
        <w:t> </w:t>
      </w:r>
      <w:r>
        <w:rPr/>
        <w:t>of</w:t>
      </w:r>
      <w:r>
        <w:rPr>
          <w:spacing w:val="40"/>
        </w:rPr>
        <w:t> </w:t>
      </w:r>
      <w:r>
        <w:rPr/>
        <w:t>trees near the buds toward the end of growing season. In preparation for the next growing season, starch is stored in fruit, seeds, rhizomes and tubers.</w:t>
      </w:r>
    </w:p>
    <w:p>
      <w:pPr>
        <w:pStyle w:val="BodyText"/>
        <w:spacing w:line="491" w:lineRule="auto" w:before="4"/>
        <w:ind w:left="665" w:right="1858" w:firstLine="676"/>
        <w:jc w:val="both"/>
      </w:pPr>
      <w:r>
        <w:rPr/>
        <w:t>Glucose is soluble in water, hydrophilic, binds much water and</w:t>
      </w:r>
      <w:r>
        <w:rPr>
          <w:spacing w:val="40"/>
        </w:rPr>
        <w:t> </w:t>
      </w:r>
      <w:r>
        <w:rPr/>
        <w:t>then takes up</w:t>
      </w:r>
      <w:r>
        <w:rPr>
          <w:spacing w:val="40"/>
        </w:rPr>
        <w:t> </w:t>
      </w:r>
      <w:r>
        <w:rPr/>
        <w:t>much space. Glucose in the form of starch is insoluble and can be stored much more compactly.</w:t>
      </w:r>
      <w:r>
        <w:rPr>
          <w:spacing w:val="40"/>
        </w:rPr>
        <w:t> </w:t>
      </w:r>
      <w:r>
        <w:rPr/>
        <w:t>Glucose</w:t>
      </w:r>
      <w:r>
        <w:rPr>
          <w:spacing w:val="40"/>
        </w:rPr>
        <w:t> </w:t>
      </w:r>
      <w:r>
        <w:rPr/>
        <w:t>molecules</w:t>
      </w:r>
      <w:r>
        <w:rPr>
          <w:spacing w:val="40"/>
        </w:rPr>
        <w:t> </w:t>
      </w:r>
      <w:r>
        <w:rPr/>
        <w:t>are</w:t>
      </w:r>
      <w:r>
        <w:rPr>
          <w:spacing w:val="40"/>
        </w:rPr>
        <w:t> </w:t>
      </w:r>
      <w:r>
        <w:rPr/>
        <w:t>bound</w:t>
      </w:r>
      <w:r>
        <w:rPr>
          <w:spacing w:val="40"/>
        </w:rPr>
        <w:t> </w:t>
      </w:r>
      <w:r>
        <w:rPr/>
        <w:t>in</w:t>
      </w:r>
      <w:r>
        <w:rPr>
          <w:spacing w:val="40"/>
        </w:rPr>
        <w:t> </w:t>
      </w:r>
      <w:r>
        <w:rPr/>
        <w:t>starch</w:t>
      </w:r>
      <w:r>
        <w:rPr>
          <w:spacing w:val="40"/>
        </w:rPr>
        <w:t> </w:t>
      </w:r>
      <w:r>
        <w:rPr/>
        <w:t>by</w:t>
      </w:r>
      <w:r>
        <w:rPr>
          <w:spacing w:val="40"/>
        </w:rPr>
        <w:t> </w:t>
      </w:r>
      <w:r>
        <w:rPr/>
        <w:t>the</w:t>
      </w:r>
      <w:r>
        <w:rPr>
          <w:spacing w:val="40"/>
        </w:rPr>
        <w:t> </w:t>
      </w:r>
      <w:r>
        <w:rPr/>
        <w:t>easily</w:t>
      </w:r>
      <w:r>
        <w:rPr>
          <w:spacing w:val="40"/>
        </w:rPr>
        <w:t> </w:t>
      </w:r>
      <w:r>
        <w:rPr/>
        <w:t>hydrolyzed</w:t>
      </w:r>
      <w:r>
        <w:rPr>
          <w:spacing w:val="40"/>
        </w:rPr>
        <w:t> </w:t>
      </w:r>
      <w:r>
        <w:rPr/>
        <w:t>alpha bonds. The same type of bond can also be seen in the animal reserve polysaccharide </w:t>
      </w:r>
      <w:r>
        <w:rPr>
          <w:spacing w:val="-2"/>
        </w:rPr>
        <w:t>glycogen.</w:t>
      </w:r>
    </w:p>
    <w:p>
      <w:pPr>
        <w:pStyle w:val="Heading2"/>
        <w:numPr>
          <w:ilvl w:val="1"/>
          <w:numId w:val="11"/>
        </w:numPr>
        <w:tabs>
          <w:tab w:pos="1342" w:val="left" w:leader="none"/>
        </w:tabs>
        <w:spacing w:line="240" w:lineRule="auto" w:before="229" w:after="0"/>
        <w:ind w:left="1342" w:right="0" w:hanging="677"/>
        <w:jc w:val="left"/>
      </w:pPr>
      <w:bookmarkStart w:name="_TOC_250145" w:id="16"/>
      <w:bookmarkEnd w:id="16"/>
      <w:r>
        <w:rPr>
          <w:spacing w:val="-2"/>
        </w:rPr>
        <w:t>Biosynthesis</w:t>
      </w:r>
    </w:p>
    <w:p>
      <w:pPr>
        <w:pStyle w:val="BodyText"/>
        <w:spacing w:line="491" w:lineRule="auto" w:before="246"/>
        <w:ind w:left="665" w:right="1855" w:firstLine="676"/>
        <w:jc w:val="both"/>
      </w:pPr>
      <w:r>
        <w:rPr/>
        <w:t>Plants produce starch by first converting glucose 1-phosphate to ADP-glucose using the enzyme glucose-1-phosphate adenylyl transferase. This step requires energy in the</w:t>
      </w:r>
      <w:r>
        <w:rPr>
          <w:spacing w:val="37"/>
        </w:rPr>
        <w:t> </w:t>
      </w:r>
      <w:r>
        <w:rPr/>
        <w:t>form of ATP. The</w:t>
      </w:r>
      <w:r>
        <w:rPr>
          <w:spacing w:val="37"/>
        </w:rPr>
        <w:t> </w:t>
      </w:r>
      <w:r>
        <w:rPr/>
        <w:t>enzyme starch synthase</w:t>
      </w:r>
      <w:r>
        <w:rPr>
          <w:spacing w:val="37"/>
        </w:rPr>
        <w:t> </w:t>
      </w:r>
      <w:r>
        <w:rPr/>
        <w:t>then adds the ADP-glucose</w:t>
      </w:r>
      <w:r>
        <w:rPr>
          <w:spacing w:val="37"/>
        </w:rPr>
        <w:t> </w:t>
      </w:r>
      <w:r>
        <w:rPr/>
        <w:t>via a</w:t>
      </w:r>
      <w:r>
        <w:rPr>
          <w:spacing w:val="37"/>
        </w:rPr>
        <w:t> </w:t>
      </w:r>
      <w:r>
        <w:rPr/>
        <w:t>1,</w:t>
      </w:r>
      <w:r>
        <w:rPr>
          <w:spacing w:val="37"/>
        </w:rPr>
        <w:t> </w:t>
      </w:r>
      <w:r>
        <w:rPr/>
        <w:t>4- alpha</w:t>
      </w:r>
      <w:r>
        <w:rPr>
          <w:spacing w:val="40"/>
        </w:rPr>
        <w:t> </w:t>
      </w:r>
      <w:r>
        <w:rPr/>
        <w:t>glycosidic</w:t>
      </w:r>
      <w:r>
        <w:rPr>
          <w:spacing w:val="40"/>
        </w:rPr>
        <w:t> </w:t>
      </w:r>
      <w:r>
        <w:rPr/>
        <w:t>bond to</w:t>
      </w:r>
      <w:r>
        <w:rPr>
          <w:spacing w:val="40"/>
        </w:rPr>
        <w:t> </w:t>
      </w:r>
      <w:r>
        <w:rPr/>
        <w:t>a</w:t>
      </w:r>
      <w:r>
        <w:rPr>
          <w:spacing w:val="40"/>
        </w:rPr>
        <w:t> </w:t>
      </w:r>
      <w:r>
        <w:rPr/>
        <w:t>growing chain of glucose</w:t>
      </w:r>
      <w:r>
        <w:rPr>
          <w:spacing w:val="40"/>
        </w:rPr>
        <w:t> </w:t>
      </w:r>
      <w:r>
        <w:rPr/>
        <w:t>residues,</w:t>
      </w:r>
      <w:r>
        <w:rPr>
          <w:spacing w:val="40"/>
        </w:rPr>
        <w:t> </w:t>
      </w:r>
      <w:r>
        <w:rPr/>
        <w:t>liberating ADP and creating amylose. Starch branching enzyme introduces 1, 6-alpha glycosidic bonds between these chains, creating amylopectin. The starch debranching enzyme isoamylase removes some of these branches. Several isoforms of these enzymes exist, leading to a highly complex synthesis process (Smith, 2001).</w:t>
      </w:r>
    </w:p>
    <w:p>
      <w:pPr>
        <w:spacing w:after="0" w:line="491" w:lineRule="auto"/>
        <w:jc w:val="both"/>
        <w:sectPr>
          <w:pgSz w:w="12240" w:h="15840"/>
          <w:pgMar w:header="0" w:footer="999" w:top="1260" w:bottom="1180" w:left="1720" w:right="0"/>
        </w:sectPr>
      </w:pPr>
    </w:p>
    <w:p>
      <w:pPr>
        <w:pStyle w:val="BodyText"/>
        <w:spacing w:line="491" w:lineRule="auto" w:before="75"/>
        <w:ind w:left="665" w:right="1857" w:firstLine="676"/>
        <w:jc w:val="both"/>
      </w:pPr>
      <w:r>
        <w:rPr/>
        <w:t>Amylose</w:t>
      </w:r>
      <w:r>
        <w:rPr>
          <w:spacing w:val="28"/>
        </w:rPr>
        <w:t> </w:t>
      </w:r>
      <w:r>
        <w:rPr/>
        <w:t>was</w:t>
      </w:r>
      <w:r>
        <w:rPr>
          <w:spacing w:val="31"/>
        </w:rPr>
        <w:t> </w:t>
      </w:r>
      <w:r>
        <w:rPr/>
        <w:t>traditionally thought</w:t>
      </w:r>
      <w:r>
        <w:rPr>
          <w:spacing w:val="32"/>
        </w:rPr>
        <w:t> </w:t>
      </w:r>
      <w:r>
        <w:rPr/>
        <w:t>to</w:t>
      </w:r>
      <w:r>
        <w:rPr>
          <w:spacing w:val="36"/>
        </w:rPr>
        <w:t> </w:t>
      </w:r>
      <w:r>
        <w:rPr/>
        <w:t>be</w:t>
      </w:r>
      <w:r>
        <w:rPr>
          <w:spacing w:val="33"/>
        </w:rPr>
        <w:t> </w:t>
      </w:r>
      <w:r>
        <w:rPr/>
        <w:t>completely</w:t>
      </w:r>
      <w:r>
        <w:rPr>
          <w:spacing w:val="23"/>
        </w:rPr>
        <w:t> </w:t>
      </w:r>
      <w:r>
        <w:rPr/>
        <w:t>unbranched.</w:t>
      </w:r>
      <w:r>
        <w:rPr>
          <w:spacing w:val="33"/>
        </w:rPr>
        <w:t> </w:t>
      </w:r>
      <w:r>
        <w:rPr/>
        <w:t>Conversely,</w:t>
      </w:r>
      <w:r>
        <w:rPr>
          <w:spacing w:val="40"/>
        </w:rPr>
        <w:t> </w:t>
      </w:r>
      <w:r>
        <w:rPr/>
        <w:t>it is now known that some of its molecules contain a few branched points. Glycogen and amylopectin have the same structure; but glycogen has about one branch point per</w:t>
      </w:r>
      <w:r>
        <w:rPr>
          <w:spacing w:val="21"/>
        </w:rPr>
        <w:t> </w:t>
      </w:r>
      <w:r>
        <w:rPr/>
        <w:t>ten 1,</w:t>
      </w:r>
      <w:r>
        <w:rPr>
          <w:spacing w:val="40"/>
        </w:rPr>
        <w:t> </w:t>
      </w:r>
      <w:r>
        <w:rPr/>
        <w:t>4-alpha bonds, compared to about one branch per thirty 1, 4-alpha bonds in amylopectin (Lubert </w:t>
      </w:r>
      <w:r>
        <w:rPr>
          <w:i/>
        </w:rPr>
        <w:t>et al, </w:t>
      </w:r>
      <w:r>
        <w:rPr/>
        <w:t>2002). Glycogen is synthesized from UDP-glucose while starch is synthesized from ADP-glucose.</w:t>
      </w:r>
    </w:p>
    <w:p>
      <w:pPr>
        <w:pStyle w:val="Heading2"/>
        <w:numPr>
          <w:ilvl w:val="1"/>
          <w:numId w:val="11"/>
        </w:numPr>
        <w:tabs>
          <w:tab w:pos="1342" w:val="left" w:leader="none"/>
        </w:tabs>
        <w:spacing w:line="240" w:lineRule="auto" w:before="229" w:after="0"/>
        <w:ind w:left="1342" w:right="0" w:hanging="677"/>
        <w:jc w:val="left"/>
      </w:pPr>
      <w:bookmarkStart w:name="_TOC_250144" w:id="17"/>
      <w:r>
        <w:rPr/>
        <w:t>Commonly</w:t>
      </w:r>
      <w:r>
        <w:rPr>
          <w:spacing w:val="13"/>
        </w:rPr>
        <w:t> </w:t>
      </w:r>
      <w:r>
        <w:rPr/>
        <w:t>used</w:t>
      </w:r>
      <w:r>
        <w:rPr>
          <w:spacing w:val="22"/>
        </w:rPr>
        <w:t> </w:t>
      </w:r>
      <w:bookmarkEnd w:id="17"/>
      <w:r>
        <w:rPr>
          <w:spacing w:val="-2"/>
        </w:rPr>
        <w:t>starches</w:t>
      </w:r>
    </w:p>
    <w:p>
      <w:pPr>
        <w:pStyle w:val="BodyText"/>
        <w:spacing w:line="496" w:lineRule="auto" w:before="246"/>
        <w:ind w:left="665" w:right="1858" w:firstLine="278"/>
      </w:pPr>
      <w:r>
        <w:rPr/>
        <w:t>Commonly</w:t>
      </w:r>
      <w:r>
        <w:rPr>
          <w:spacing w:val="37"/>
        </w:rPr>
        <w:t> </w:t>
      </w:r>
      <w:r>
        <w:rPr/>
        <w:t>used</w:t>
      </w:r>
      <w:r>
        <w:rPr>
          <w:spacing w:val="40"/>
        </w:rPr>
        <w:t> </w:t>
      </w:r>
      <w:r>
        <w:rPr/>
        <w:t>starches</w:t>
      </w:r>
      <w:r>
        <w:rPr>
          <w:spacing w:val="40"/>
        </w:rPr>
        <w:t> </w:t>
      </w:r>
      <w:r>
        <w:rPr/>
        <w:t>recommended</w:t>
      </w:r>
      <w:r>
        <w:rPr>
          <w:spacing w:val="40"/>
        </w:rPr>
        <w:t> </w:t>
      </w:r>
      <w:r>
        <w:rPr/>
        <w:t>by the</w:t>
      </w:r>
      <w:r>
        <w:rPr>
          <w:spacing w:val="40"/>
        </w:rPr>
        <w:t> </w:t>
      </w:r>
      <w:r>
        <w:rPr/>
        <w:t>British</w:t>
      </w:r>
      <w:r>
        <w:rPr>
          <w:spacing w:val="37"/>
        </w:rPr>
        <w:t> </w:t>
      </w:r>
      <w:r>
        <w:rPr/>
        <w:t>Pharmacopoeia,</w:t>
      </w:r>
      <w:r>
        <w:rPr>
          <w:spacing w:val="40"/>
        </w:rPr>
        <w:t> </w:t>
      </w:r>
      <w:r>
        <w:rPr/>
        <w:t>(B.P.</w:t>
      </w:r>
      <w:r>
        <w:rPr>
          <w:spacing w:val="40"/>
        </w:rPr>
        <w:t> </w:t>
      </w:r>
      <w:r>
        <w:rPr/>
        <w:t>2002) for pharmaceutical industries include:</w:t>
      </w:r>
    </w:p>
    <w:p>
      <w:pPr>
        <w:pStyle w:val="ListParagraph"/>
        <w:numPr>
          <w:ilvl w:val="0"/>
          <w:numId w:val="12"/>
        </w:numPr>
        <w:tabs>
          <w:tab w:pos="1340" w:val="left" w:leader="none"/>
        </w:tabs>
        <w:spacing w:line="247" w:lineRule="exact" w:before="0" w:after="0"/>
        <w:ind w:left="1340" w:right="0" w:hanging="334"/>
        <w:jc w:val="left"/>
        <w:rPr>
          <w:sz w:val="22"/>
        </w:rPr>
      </w:pPr>
      <w:r>
        <w:rPr>
          <w:sz w:val="22"/>
        </w:rPr>
        <w:t>Maize</w:t>
      </w:r>
      <w:r>
        <w:rPr>
          <w:spacing w:val="10"/>
          <w:sz w:val="22"/>
        </w:rPr>
        <w:t> </w:t>
      </w:r>
      <w:r>
        <w:rPr>
          <w:sz w:val="22"/>
        </w:rPr>
        <w:t>starch</w:t>
      </w:r>
      <w:r>
        <w:rPr>
          <w:spacing w:val="7"/>
          <w:sz w:val="22"/>
        </w:rPr>
        <w:t> </w:t>
      </w:r>
      <w:r>
        <w:rPr>
          <w:sz w:val="22"/>
        </w:rPr>
        <w:t>obtained</w:t>
      </w:r>
      <w:r>
        <w:rPr>
          <w:spacing w:val="17"/>
          <w:sz w:val="22"/>
        </w:rPr>
        <w:t> </w:t>
      </w:r>
      <w:r>
        <w:rPr>
          <w:sz w:val="22"/>
        </w:rPr>
        <w:t>from</w:t>
      </w:r>
      <w:r>
        <w:rPr>
          <w:spacing w:val="12"/>
          <w:sz w:val="22"/>
        </w:rPr>
        <w:t> </w:t>
      </w:r>
      <w:r>
        <w:rPr>
          <w:sz w:val="22"/>
        </w:rPr>
        <w:t>caryopsis</w:t>
      </w:r>
      <w:r>
        <w:rPr>
          <w:spacing w:val="8"/>
          <w:sz w:val="22"/>
        </w:rPr>
        <w:t> </w:t>
      </w:r>
      <w:r>
        <w:rPr>
          <w:sz w:val="22"/>
        </w:rPr>
        <w:t>of</w:t>
      </w:r>
      <w:r>
        <w:rPr>
          <w:spacing w:val="8"/>
          <w:sz w:val="22"/>
        </w:rPr>
        <w:t> </w:t>
      </w:r>
      <w:r>
        <w:rPr>
          <w:i/>
          <w:sz w:val="22"/>
        </w:rPr>
        <w:t>Zea</w:t>
      </w:r>
      <w:r>
        <w:rPr>
          <w:i/>
          <w:spacing w:val="17"/>
          <w:sz w:val="22"/>
        </w:rPr>
        <w:t> </w:t>
      </w:r>
      <w:r>
        <w:rPr>
          <w:i/>
          <w:sz w:val="22"/>
        </w:rPr>
        <w:t>mays</w:t>
      </w:r>
      <w:r>
        <w:rPr>
          <w:i/>
          <w:spacing w:val="3"/>
          <w:sz w:val="22"/>
        </w:rPr>
        <w:t> </w:t>
      </w:r>
      <w:r>
        <w:rPr>
          <w:spacing w:val="-7"/>
          <w:sz w:val="22"/>
        </w:rPr>
        <w:t>L.</w:t>
      </w:r>
    </w:p>
    <w:p>
      <w:pPr>
        <w:pStyle w:val="BodyText"/>
        <w:spacing w:before="13"/>
      </w:pPr>
    </w:p>
    <w:p>
      <w:pPr>
        <w:pStyle w:val="ListParagraph"/>
        <w:numPr>
          <w:ilvl w:val="0"/>
          <w:numId w:val="12"/>
        </w:numPr>
        <w:tabs>
          <w:tab w:pos="1340" w:val="left" w:leader="none"/>
        </w:tabs>
        <w:spacing w:line="240" w:lineRule="auto" w:before="0" w:after="0"/>
        <w:ind w:left="1340" w:right="0" w:hanging="334"/>
        <w:jc w:val="left"/>
        <w:rPr>
          <w:sz w:val="22"/>
        </w:rPr>
      </w:pPr>
      <w:r>
        <w:rPr>
          <w:sz w:val="22"/>
        </w:rPr>
        <w:t>Rice</w:t>
      </w:r>
      <w:r>
        <w:rPr>
          <w:spacing w:val="10"/>
          <w:sz w:val="22"/>
        </w:rPr>
        <w:t> </w:t>
      </w:r>
      <w:r>
        <w:rPr>
          <w:sz w:val="22"/>
        </w:rPr>
        <w:t>starch</w:t>
      </w:r>
      <w:r>
        <w:rPr>
          <w:spacing w:val="7"/>
          <w:sz w:val="22"/>
        </w:rPr>
        <w:t> </w:t>
      </w:r>
      <w:r>
        <w:rPr>
          <w:sz w:val="22"/>
        </w:rPr>
        <w:t>obtained</w:t>
      </w:r>
      <w:r>
        <w:rPr>
          <w:spacing w:val="17"/>
          <w:sz w:val="22"/>
        </w:rPr>
        <w:t> </w:t>
      </w:r>
      <w:r>
        <w:rPr>
          <w:sz w:val="22"/>
        </w:rPr>
        <w:t>from</w:t>
      </w:r>
      <w:r>
        <w:rPr>
          <w:spacing w:val="7"/>
          <w:sz w:val="22"/>
        </w:rPr>
        <w:t> </w:t>
      </w:r>
      <w:r>
        <w:rPr>
          <w:sz w:val="22"/>
        </w:rPr>
        <w:t>caryopsis</w:t>
      </w:r>
      <w:r>
        <w:rPr>
          <w:spacing w:val="8"/>
          <w:sz w:val="22"/>
        </w:rPr>
        <w:t> </w:t>
      </w:r>
      <w:r>
        <w:rPr>
          <w:sz w:val="22"/>
        </w:rPr>
        <w:t>of</w:t>
      </w:r>
      <w:r>
        <w:rPr>
          <w:spacing w:val="8"/>
          <w:sz w:val="22"/>
        </w:rPr>
        <w:t> </w:t>
      </w:r>
      <w:r>
        <w:rPr>
          <w:i/>
          <w:sz w:val="22"/>
        </w:rPr>
        <w:t>Oryza</w:t>
      </w:r>
      <w:r>
        <w:rPr>
          <w:i/>
          <w:spacing w:val="17"/>
          <w:sz w:val="22"/>
        </w:rPr>
        <w:t> </w:t>
      </w:r>
      <w:r>
        <w:rPr>
          <w:i/>
          <w:sz w:val="22"/>
        </w:rPr>
        <w:t>sativa</w:t>
      </w:r>
      <w:r>
        <w:rPr>
          <w:i/>
          <w:spacing w:val="12"/>
          <w:sz w:val="22"/>
        </w:rPr>
        <w:t> </w:t>
      </w:r>
      <w:r>
        <w:rPr>
          <w:spacing w:val="-5"/>
          <w:sz w:val="22"/>
        </w:rPr>
        <w:t>L.</w:t>
      </w:r>
    </w:p>
    <w:p>
      <w:pPr>
        <w:pStyle w:val="BodyText"/>
        <w:spacing w:before="12"/>
      </w:pPr>
    </w:p>
    <w:p>
      <w:pPr>
        <w:pStyle w:val="ListParagraph"/>
        <w:numPr>
          <w:ilvl w:val="0"/>
          <w:numId w:val="12"/>
        </w:numPr>
        <w:tabs>
          <w:tab w:pos="1340" w:val="left" w:leader="none"/>
        </w:tabs>
        <w:spacing w:line="240" w:lineRule="auto" w:before="0" w:after="0"/>
        <w:ind w:left="1340" w:right="0" w:hanging="334"/>
        <w:jc w:val="left"/>
        <w:rPr>
          <w:sz w:val="22"/>
        </w:rPr>
      </w:pPr>
      <w:r>
        <w:rPr>
          <w:sz w:val="22"/>
        </w:rPr>
        <w:t>Wheat</w:t>
      </w:r>
      <w:r>
        <w:rPr>
          <w:spacing w:val="18"/>
          <w:sz w:val="22"/>
        </w:rPr>
        <w:t> </w:t>
      </w:r>
      <w:r>
        <w:rPr>
          <w:sz w:val="22"/>
        </w:rPr>
        <w:t>starch</w:t>
      </w:r>
      <w:r>
        <w:rPr>
          <w:spacing w:val="10"/>
          <w:sz w:val="22"/>
        </w:rPr>
        <w:t> </w:t>
      </w:r>
      <w:r>
        <w:rPr>
          <w:sz w:val="22"/>
        </w:rPr>
        <w:t>obtained</w:t>
      </w:r>
      <w:r>
        <w:rPr>
          <w:spacing w:val="21"/>
          <w:sz w:val="22"/>
        </w:rPr>
        <w:t> </w:t>
      </w:r>
      <w:r>
        <w:rPr>
          <w:sz w:val="22"/>
        </w:rPr>
        <w:t>from</w:t>
      </w:r>
      <w:r>
        <w:rPr>
          <w:spacing w:val="10"/>
          <w:sz w:val="22"/>
        </w:rPr>
        <w:t> </w:t>
      </w:r>
      <w:r>
        <w:rPr>
          <w:sz w:val="22"/>
        </w:rPr>
        <w:t>caryopsis</w:t>
      </w:r>
      <w:r>
        <w:rPr>
          <w:spacing w:val="11"/>
          <w:sz w:val="22"/>
        </w:rPr>
        <w:t> </w:t>
      </w:r>
      <w:r>
        <w:rPr>
          <w:sz w:val="22"/>
        </w:rPr>
        <w:t>of</w:t>
      </w:r>
      <w:r>
        <w:rPr>
          <w:spacing w:val="15"/>
          <w:sz w:val="22"/>
        </w:rPr>
        <w:t> </w:t>
      </w:r>
      <w:r>
        <w:rPr>
          <w:i/>
          <w:sz w:val="22"/>
        </w:rPr>
        <w:t>Triticum</w:t>
      </w:r>
      <w:r>
        <w:rPr>
          <w:i/>
          <w:spacing w:val="8"/>
          <w:sz w:val="22"/>
        </w:rPr>
        <w:t> </w:t>
      </w:r>
      <w:r>
        <w:rPr>
          <w:i/>
          <w:sz w:val="22"/>
        </w:rPr>
        <w:t>aestivum,</w:t>
      </w:r>
      <w:r>
        <w:rPr>
          <w:i/>
          <w:spacing w:val="13"/>
          <w:sz w:val="22"/>
        </w:rPr>
        <w:t> </w:t>
      </w:r>
      <w:r>
        <w:rPr>
          <w:i/>
          <w:sz w:val="22"/>
        </w:rPr>
        <w:t>Triticum</w:t>
      </w:r>
      <w:r>
        <w:rPr>
          <w:i/>
          <w:spacing w:val="8"/>
          <w:sz w:val="22"/>
        </w:rPr>
        <w:t> </w:t>
      </w:r>
      <w:r>
        <w:rPr>
          <w:i/>
          <w:sz w:val="22"/>
        </w:rPr>
        <w:t>vulgare</w:t>
      </w:r>
      <w:r>
        <w:rPr>
          <w:i/>
          <w:spacing w:val="8"/>
          <w:sz w:val="22"/>
        </w:rPr>
        <w:t> </w:t>
      </w:r>
      <w:r>
        <w:rPr>
          <w:spacing w:val="-5"/>
          <w:sz w:val="22"/>
        </w:rPr>
        <w:t>L.</w:t>
      </w:r>
    </w:p>
    <w:p>
      <w:pPr>
        <w:pStyle w:val="BodyText"/>
        <w:spacing w:before="13"/>
      </w:pPr>
    </w:p>
    <w:p>
      <w:pPr>
        <w:pStyle w:val="ListParagraph"/>
        <w:numPr>
          <w:ilvl w:val="0"/>
          <w:numId w:val="12"/>
        </w:numPr>
        <w:tabs>
          <w:tab w:pos="1340" w:val="left" w:leader="none"/>
        </w:tabs>
        <w:spacing w:line="240" w:lineRule="auto" w:before="0" w:after="0"/>
        <w:ind w:left="1340" w:right="0" w:hanging="334"/>
        <w:jc w:val="left"/>
        <w:rPr>
          <w:sz w:val="22"/>
        </w:rPr>
      </w:pPr>
      <w:r>
        <w:rPr>
          <w:sz w:val="22"/>
        </w:rPr>
        <w:t>Potato</w:t>
      </w:r>
      <w:r>
        <w:rPr>
          <w:spacing w:val="15"/>
          <w:sz w:val="22"/>
        </w:rPr>
        <w:t> </w:t>
      </w:r>
      <w:r>
        <w:rPr>
          <w:sz w:val="22"/>
        </w:rPr>
        <w:t>starch</w:t>
      </w:r>
      <w:r>
        <w:rPr>
          <w:spacing w:val="10"/>
          <w:sz w:val="22"/>
        </w:rPr>
        <w:t> </w:t>
      </w:r>
      <w:r>
        <w:rPr>
          <w:sz w:val="22"/>
        </w:rPr>
        <w:t>obtained</w:t>
      </w:r>
      <w:r>
        <w:rPr>
          <w:spacing w:val="22"/>
          <w:sz w:val="22"/>
        </w:rPr>
        <w:t> </w:t>
      </w:r>
      <w:r>
        <w:rPr>
          <w:sz w:val="22"/>
        </w:rPr>
        <w:t>from</w:t>
      </w:r>
      <w:r>
        <w:rPr>
          <w:spacing w:val="10"/>
          <w:sz w:val="22"/>
        </w:rPr>
        <w:t> </w:t>
      </w:r>
      <w:r>
        <w:rPr>
          <w:sz w:val="22"/>
        </w:rPr>
        <w:t>tuber</w:t>
      </w:r>
      <w:r>
        <w:rPr>
          <w:spacing w:val="10"/>
          <w:sz w:val="22"/>
        </w:rPr>
        <w:t> </w:t>
      </w:r>
      <w:r>
        <w:rPr>
          <w:sz w:val="22"/>
        </w:rPr>
        <w:t>of</w:t>
      </w:r>
      <w:r>
        <w:rPr>
          <w:spacing w:val="5"/>
          <w:sz w:val="22"/>
        </w:rPr>
        <w:t> </w:t>
      </w:r>
      <w:r>
        <w:rPr>
          <w:i/>
          <w:sz w:val="22"/>
        </w:rPr>
        <w:t>Solanum</w:t>
      </w:r>
      <w:r>
        <w:rPr>
          <w:i/>
          <w:spacing w:val="9"/>
          <w:sz w:val="22"/>
        </w:rPr>
        <w:t> </w:t>
      </w:r>
      <w:r>
        <w:rPr>
          <w:i/>
          <w:sz w:val="22"/>
        </w:rPr>
        <w:t>tuberosum</w:t>
      </w:r>
      <w:r>
        <w:rPr>
          <w:i/>
          <w:spacing w:val="14"/>
          <w:sz w:val="22"/>
        </w:rPr>
        <w:t> </w:t>
      </w:r>
      <w:r>
        <w:rPr>
          <w:spacing w:val="-5"/>
          <w:sz w:val="22"/>
        </w:rPr>
        <w:t>L.</w:t>
      </w:r>
    </w:p>
    <w:p>
      <w:pPr>
        <w:pStyle w:val="BodyText"/>
        <w:spacing w:before="12"/>
      </w:pPr>
    </w:p>
    <w:p>
      <w:pPr>
        <w:pStyle w:val="ListParagraph"/>
        <w:numPr>
          <w:ilvl w:val="0"/>
          <w:numId w:val="12"/>
        </w:numPr>
        <w:tabs>
          <w:tab w:pos="1340" w:val="left" w:leader="none"/>
          <w:tab w:pos="1342" w:val="left" w:leader="none"/>
        </w:tabs>
        <w:spacing w:line="491" w:lineRule="auto" w:before="0" w:after="0"/>
        <w:ind w:left="1342" w:right="1863" w:hanging="336"/>
        <w:jc w:val="left"/>
        <w:rPr>
          <w:sz w:val="22"/>
        </w:rPr>
      </w:pPr>
      <w:r>
        <w:rPr>
          <w:sz w:val="22"/>
        </w:rPr>
        <w:t>Tapioca</w:t>
      </w:r>
      <w:r>
        <w:rPr>
          <w:spacing w:val="40"/>
          <w:sz w:val="22"/>
        </w:rPr>
        <w:t> </w:t>
      </w:r>
      <w:r>
        <w:rPr>
          <w:sz w:val="22"/>
        </w:rPr>
        <w:t>starch</w:t>
      </w:r>
      <w:r>
        <w:rPr>
          <w:spacing w:val="40"/>
          <w:sz w:val="22"/>
        </w:rPr>
        <w:t> </w:t>
      </w:r>
      <w:r>
        <w:rPr>
          <w:sz w:val="22"/>
        </w:rPr>
        <w:t>obtained</w:t>
      </w:r>
      <w:r>
        <w:rPr>
          <w:spacing w:val="40"/>
          <w:sz w:val="22"/>
        </w:rPr>
        <w:t> </w:t>
      </w:r>
      <w:r>
        <w:rPr>
          <w:sz w:val="22"/>
        </w:rPr>
        <w:t>from</w:t>
      </w:r>
      <w:r>
        <w:rPr>
          <w:spacing w:val="40"/>
          <w:sz w:val="22"/>
        </w:rPr>
        <w:t> </w:t>
      </w:r>
      <w:r>
        <w:rPr>
          <w:sz w:val="22"/>
        </w:rPr>
        <w:t>the</w:t>
      </w:r>
      <w:r>
        <w:rPr>
          <w:spacing w:val="40"/>
          <w:sz w:val="22"/>
        </w:rPr>
        <w:t> </w:t>
      </w:r>
      <w:r>
        <w:rPr>
          <w:sz w:val="22"/>
        </w:rPr>
        <w:t>root</w:t>
      </w:r>
      <w:r>
        <w:rPr>
          <w:spacing w:val="40"/>
          <w:sz w:val="22"/>
        </w:rPr>
        <w:t> </w:t>
      </w:r>
      <w:r>
        <w:rPr>
          <w:sz w:val="22"/>
        </w:rPr>
        <w:t>of</w:t>
      </w:r>
      <w:r>
        <w:rPr>
          <w:spacing w:val="40"/>
          <w:sz w:val="22"/>
        </w:rPr>
        <w:t> </w:t>
      </w:r>
      <w:r>
        <w:rPr>
          <w:i/>
          <w:sz w:val="22"/>
        </w:rPr>
        <w:t>Manihot</w:t>
      </w:r>
      <w:r>
        <w:rPr>
          <w:i/>
          <w:spacing w:val="40"/>
          <w:sz w:val="22"/>
        </w:rPr>
        <w:t> </w:t>
      </w:r>
      <w:r>
        <w:rPr>
          <w:i/>
          <w:sz w:val="22"/>
        </w:rPr>
        <w:t>esculenta</w:t>
      </w:r>
      <w:r>
        <w:rPr>
          <w:i/>
          <w:spacing w:val="40"/>
          <w:sz w:val="22"/>
        </w:rPr>
        <w:t> </w:t>
      </w:r>
      <w:r>
        <w:rPr>
          <w:sz w:val="22"/>
        </w:rPr>
        <w:t>(In</w:t>
      </w:r>
      <w:r>
        <w:rPr>
          <w:spacing w:val="40"/>
          <w:sz w:val="22"/>
        </w:rPr>
        <w:t> </w:t>
      </w:r>
      <w:r>
        <w:rPr>
          <w:sz w:val="22"/>
        </w:rPr>
        <w:t>tropical</w:t>
      </w:r>
      <w:r>
        <w:rPr>
          <w:spacing w:val="40"/>
          <w:sz w:val="22"/>
        </w:rPr>
        <w:t> </w:t>
      </w:r>
      <w:r>
        <w:rPr>
          <w:sz w:val="22"/>
        </w:rPr>
        <w:t>and subtropical regions where 1 – 4 above are not obtainable).</w:t>
      </w:r>
    </w:p>
    <w:p>
      <w:pPr>
        <w:spacing w:after="0" w:line="491" w:lineRule="auto"/>
        <w:jc w:val="left"/>
        <w:rPr>
          <w:sz w:val="22"/>
        </w:rPr>
        <w:sectPr>
          <w:pgSz w:w="12240" w:h="15840"/>
          <w:pgMar w:header="0" w:footer="999" w:top="1260" w:bottom="1180" w:left="1720" w:right="0"/>
        </w:sectPr>
      </w:pPr>
    </w:p>
    <w:p>
      <w:pPr>
        <w:pStyle w:val="Heading2"/>
        <w:tabs>
          <w:tab w:pos="2019" w:val="left" w:leader="none"/>
        </w:tabs>
        <w:spacing w:before="80"/>
        <w:ind w:left="665" w:firstLine="0"/>
      </w:pPr>
      <w:r>
        <w:rPr/>
        <w:t>Table</w:t>
      </w:r>
      <w:r>
        <w:rPr>
          <w:spacing w:val="12"/>
        </w:rPr>
        <w:t> </w:t>
      </w:r>
      <w:r>
        <w:rPr>
          <w:spacing w:val="-4"/>
        </w:rPr>
        <w:t>1.1:</w:t>
      </w:r>
      <w:r>
        <w:rPr/>
        <w:tab/>
        <w:t>Characteristics</w:t>
      </w:r>
      <w:r>
        <w:rPr>
          <w:spacing w:val="7"/>
        </w:rPr>
        <w:t> </w:t>
      </w:r>
      <w:r>
        <w:rPr/>
        <w:t>of</w:t>
      </w:r>
      <w:r>
        <w:rPr>
          <w:spacing w:val="17"/>
        </w:rPr>
        <w:t> </w:t>
      </w:r>
      <w:r>
        <w:rPr/>
        <w:t>Starch</w:t>
      </w:r>
      <w:r>
        <w:rPr>
          <w:spacing w:val="9"/>
        </w:rPr>
        <w:t> </w:t>
      </w:r>
      <w:r>
        <w:rPr/>
        <w:t>Grain</w:t>
      </w:r>
      <w:r>
        <w:rPr>
          <w:spacing w:val="20"/>
        </w:rPr>
        <w:t> </w:t>
      </w:r>
      <w:r>
        <w:rPr/>
        <w:t>(Apeji,</w:t>
      </w:r>
      <w:r>
        <w:rPr>
          <w:spacing w:val="11"/>
        </w:rPr>
        <w:t> </w:t>
      </w:r>
      <w:r>
        <w:rPr>
          <w:spacing w:val="-2"/>
        </w:rPr>
        <w:t>2010)</w:t>
      </w:r>
    </w:p>
    <w:p>
      <w:pPr>
        <w:pStyle w:val="BodyText"/>
        <w:spacing w:before="29" w:after="1"/>
        <w:rPr>
          <w:b/>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3"/>
        <w:gridCol w:w="1243"/>
        <w:gridCol w:w="1424"/>
        <w:gridCol w:w="1454"/>
        <w:gridCol w:w="1642"/>
        <w:gridCol w:w="1244"/>
      </w:tblGrid>
      <w:tr>
        <w:trPr>
          <w:trHeight w:val="782" w:hRule="atLeast"/>
        </w:trPr>
        <w:tc>
          <w:tcPr>
            <w:tcW w:w="1203" w:type="dxa"/>
            <w:tcBorders>
              <w:top w:val="single" w:sz="4" w:space="0" w:color="000000"/>
              <w:bottom w:val="single" w:sz="4" w:space="0" w:color="000000"/>
            </w:tcBorders>
          </w:tcPr>
          <w:p>
            <w:pPr>
              <w:pStyle w:val="TableParagraph"/>
              <w:spacing w:before="5"/>
              <w:ind w:left="343"/>
              <w:rPr>
                <w:b/>
                <w:sz w:val="22"/>
              </w:rPr>
            </w:pPr>
            <w:r>
              <w:rPr>
                <w:b/>
                <w:spacing w:val="-2"/>
                <w:sz w:val="22"/>
              </w:rPr>
              <w:t>Starch</w:t>
            </w:r>
          </w:p>
        </w:tc>
        <w:tc>
          <w:tcPr>
            <w:tcW w:w="1243" w:type="dxa"/>
            <w:tcBorders>
              <w:top w:val="single" w:sz="4" w:space="0" w:color="000000"/>
              <w:bottom w:val="single" w:sz="4" w:space="0" w:color="000000"/>
            </w:tcBorders>
          </w:tcPr>
          <w:p>
            <w:pPr>
              <w:pStyle w:val="TableParagraph"/>
              <w:spacing w:before="5"/>
              <w:ind w:left="508"/>
              <w:rPr>
                <w:b/>
                <w:sz w:val="22"/>
              </w:rPr>
            </w:pPr>
            <w:r>
              <w:rPr>
                <w:b/>
                <w:spacing w:val="-4"/>
                <w:sz w:val="22"/>
              </w:rPr>
              <w:t>Type</w:t>
            </w:r>
          </w:p>
        </w:tc>
        <w:tc>
          <w:tcPr>
            <w:tcW w:w="1424" w:type="dxa"/>
            <w:tcBorders>
              <w:top w:val="single" w:sz="4" w:space="0" w:color="000000"/>
              <w:bottom w:val="single" w:sz="4" w:space="0" w:color="000000"/>
            </w:tcBorders>
          </w:tcPr>
          <w:p>
            <w:pPr>
              <w:pStyle w:val="TableParagraph"/>
              <w:spacing w:before="5"/>
              <w:ind w:left="201"/>
              <w:jc w:val="center"/>
              <w:rPr>
                <w:b/>
                <w:sz w:val="22"/>
              </w:rPr>
            </w:pPr>
            <w:r>
              <w:rPr>
                <w:b/>
                <w:spacing w:val="-2"/>
                <w:sz w:val="22"/>
              </w:rPr>
              <w:t>Diameter</w:t>
            </w:r>
          </w:p>
          <w:p>
            <w:pPr>
              <w:pStyle w:val="TableParagraph"/>
              <w:spacing w:before="11"/>
              <w:ind w:left="201" w:right="6"/>
              <w:jc w:val="center"/>
              <w:rPr>
                <w:b/>
                <w:sz w:val="22"/>
              </w:rPr>
            </w:pPr>
            <w:r>
              <w:rPr>
                <w:b/>
                <w:spacing w:val="-4"/>
                <w:sz w:val="22"/>
              </w:rPr>
              <w:t>(µm)</w:t>
            </w:r>
          </w:p>
        </w:tc>
        <w:tc>
          <w:tcPr>
            <w:tcW w:w="1454" w:type="dxa"/>
            <w:tcBorders>
              <w:top w:val="single" w:sz="4" w:space="0" w:color="000000"/>
              <w:bottom w:val="single" w:sz="4" w:space="0" w:color="000000"/>
            </w:tcBorders>
          </w:tcPr>
          <w:p>
            <w:pPr>
              <w:pStyle w:val="TableParagraph"/>
              <w:spacing w:before="5"/>
              <w:ind w:left="154"/>
              <w:rPr>
                <w:b/>
                <w:sz w:val="22"/>
              </w:rPr>
            </w:pPr>
            <w:r>
              <w:rPr>
                <w:b/>
                <w:spacing w:val="-2"/>
                <w:sz w:val="22"/>
              </w:rPr>
              <w:t>Morphology</w:t>
            </w:r>
          </w:p>
        </w:tc>
        <w:tc>
          <w:tcPr>
            <w:tcW w:w="1642" w:type="dxa"/>
            <w:tcBorders>
              <w:top w:val="single" w:sz="4" w:space="0" w:color="000000"/>
              <w:bottom w:val="single" w:sz="4" w:space="0" w:color="000000"/>
            </w:tcBorders>
          </w:tcPr>
          <w:p>
            <w:pPr>
              <w:pStyle w:val="TableParagraph"/>
              <w:spacing w:line="249" w:lineRule="auto" w:before="5"/>
              <w:ind w:left="323" w:hanging="226"/>
              <w:rPr>
                <w:b/>
                <w:sz w:val="22"/>
              </w:rPr>
            </w:pPr>
            <w:r>
              <w:rPr>
                <w:b/>
                <w:spacing w:val="-2"/>
                <w:sz w:val="22"/>
              </w:rPr>
              <w:t>Gelatinization </w:t>
            </w:r>
            <w:r>
              <w:rPr>
                <w:b/>
                <w:w w:val="105"/>
                <w:sz w:val="22"/>
              </w:rPr>
              <w:t>Temp. </w:t>
            </w:r>
            <w:r>
              <w:rPr>
                <w:b/>
                <w:w w:val="105"/>
                <w:sz w:val="22"/>
                <w:vertAlign w:val="superscript"/>
              </w:rPr>
              <w:t>0</w:t>
            </w:r>
            <w:r>
              <w:rPr>
                <w:b/>
                <w:w w:val="105"/>
                <w:sz w:val="22"/>
                <w:vertAlign w:val="baseline"/>
              </w:rPr>
              <w:t>C</w:t>
            </w:r>
          </w:p>
        </w:tc>
        <w:tc>
          <w:tcPr>
            <w:tcW w:w="1244" w:type="dxa"/>
            <w:tcBorders>
              <w:top w:val="single" w:sz="4" w:space="0" w:color="000000"/>
              <w:bottom w:val="single" w:sz="4" w:space="0" w:color="000000"/>
            </w:tcBorders>
          </w:tcPr>
          <w:p>
            <w:pPr>
              <w:pStyle w:val="TableParagraph"/>
              <w:spacing w:before="5"/>
              <w:ind w:left="222" w:hanging="53"/>
              <w:rPr>
                <w:b/>
                <w:sz w:val="22"/>
              </w:rPr>
            </w:pPr>
            <w:r>
              <w:rPr>
                <w:b/>
                <w:spacing w:val="-2"/>
                <w:sz w:val="22"/>
              </w:rPr>
              <w:t>Amylose</w:t>
            </w:r>
          </w:p>
          <w:p>
            <w:pPr>
              <w:pStyle w:val="TableParagraph"/>
              <w:spacing w:line="260" w:lineRule="atLeast"/>
              <w:ind w:left="394" w:right="5" w:hanging="173"/>
              <w:rPr>
                <w:b/>
                <w:sz w:val="22"/>
              </w:rPr>
            </w:pPr>
            <w:r>
              <w:rPr>
                <w:b/>
                <w:spacing w:val="-2"/>
                <w:sz w:val="22"/>
              </w:rPr>
              <w:t>content </w:t>
            </w:r>
            <w:r>
              <w:rPr>
                <w:b/>
                <w:spacing w:val="-4"/>
                <w:sz w:val="22"/>
              </w:rPr>
              <w:t>(%)</w:t>
            </w:r>
          </w:p>
        </w:tc>
      </w:tr>
      <w:tr>
        <w:trPr>
          <w:trHeight w:val="324" w:hRule="atLeast"/>
        </w:trPr>
        <w:tc>
          <w:tcPr>
            <w:tcW w:w="1203" w:type="dxa"/>
            <w:tcBorders>
              <w:top w:val="single" w:sz="4" w:space="0" w:color="000000"/>
            </w:tcBorders>
          </w:tcPr>
          <w:p>
            <w:pPr>
              <w:pStyle w:val="TableParagraph"/>
              <w:spacing w:before="1"/>
              <w:ind w:left="108"/>
              <w:rPr>
                <w:sz w:val="22"/>
              </w:rPr>
            </w:pPr>
            <w:r>
              <w:rPr>
                <w:spacing w:val="-2"/>
                <w:sz w:val="22"/>
              </w:rPr>
              <w:t>Maize(*)</w:t>
            </w:r>
          </w:p>
        </w:tc>
        <w:tc>
          <w:tcPr>
            <w:tcW w:w="1243" w:type="dxa"/>
            <w:tcBorders>
              <w:top w:val="single" w:sz="4" w:space="0" w:color="000000"/>
            </w:tcBorders>
          </w:tcPr>
          <w:p>
            <w:pPr>
              <w:pStyle w:val="TableParagraph"/>
              <w:spacing w:before="1"/>
              <w:ind w:left="220"/>
              <w:rPr>
                <w:sz w:val="22"/>
              </w:rPr>
            </w:pPr>
            <w:r>
              <w:rPr>
                <w:spacing w:val="-2"/>
                <w:sz w:val="22"/>
              </w:rPr>
              <w:t>Cereal</w:t>
            </w:r>
          </w:p>
        </w:tc>
        <w:tc>
          <w:tcPr>
            <w:tcW w:w="1424" w:type="dxa"/>
            <w:tcBorders>
              <w:top w:val="single" w:sz="4" w:space="0" w:color="000000"/>
            </w:tcBorders>
          </w:tcPr>
          <w:p>
            <w:pPr>
              <w:pStyle w:val="TableParagraph"/>
              <w:spacing w:before="1"/>
              <w:ind w:left="249"/>
              <w:rPr>
                <w:sz w:val="22"/>
              </w:rPr>
            </w:pPr>
            <w:r>
              <w:rPr>
                <w:sz w:val="22"/>
              </w:rPr>
              <w:t>5</w:t>
            </w:r>
            <w:r>
              <w:rPr>
                <w:spacing w:val="2"/>
                <w:sz w:val="22"/>
              </w:rPr>
              <w:t> </w:t>
            </w:r>
            <w:r>
              <w:rPr>
                <w:sz w:val="22"/>
              </w:rPr>
              <w:t>–</w:t>
            </w:r>
            <w:r>
              <w:rPr>
                <w:spacing w:val="2"/>
                <w:sz w:val="22"/>
              </w:rPr>
              <w:t> </w:t>
            </w:r>
            <w:r>
              <w:rPr>
                <w:spacing w:val="-5"/>
                <w:sz w:val="22"/>
              </w:rPr>
              <w:t>30</w:t>
            </w:r>
          </w:p>
        </w:tc>
        <w:tc>
          <w:tcPr>
            <w:tcW w:w="1454" w:type="dxa"/>
            <w:tcBorders>
              <w:top w:val="single" w:sz="4" w:space="0" w:color="000000"/>
            </w:tcBorders>
          </w:tcPr>
          <w:p>
            <w:pPr>
              <w:pStyle w:val="TableParagraph"/>
              <w:spacing w:before="1"/>
              <w:ind w:left="154"/>
              <w:rPr>
                <w:sz w:val="22"/>
              </w:rPr>
            </w:pPr>
            <w:r>
              <w:rPr>
                <w:spacing w:val="-2"/>
                <w:sz w:val="22"/>
              </w:rPr>
              <w:t>Irregular</w:t>
            </w:r>
          </w:p>
        </w:tc>
        <w:tc>
          <w:tcPr>
            <w:tcW w:w="1642" w:type="dxa"/>
            <w:tcBorders>
              <w:top w:val="single" w:sz="4" w:space="0" w:color="000000"/>
            </w:tcBorders>
          </w:tcPr>
          <w:p>
            <w:pPr>
              <w:pStyle w:val="TableParagraph"/>
              <w:spacing w:before="1"/>
              <w:ind w:right="84"/>
              <w:jc w:val="center"/>
              <w:rPr>
                <w:sz w:val="22"/>
              </w:rPr>
            </w:pPr>
            <w:r>
              <w:rPr>
                <w:sz w:val="22"/>
              </w:rPr>
              <w:t>62</w:t>
            </w:r>
            <w:r>
              <w:rPr>
                <w:spacing w:val="-2"/>
                <w:sz w:val="22"/>
              </w:rPr>
              <w:t> </w:t>
            </w:r>
            <w:r>
              <w:rPr>
                <w:sz w:val="22"/>
              </w:rPr>
              <w:t>–</w:t>
            </w:r>
            <w:r>
              <w:rPr>
                <w:spacing w:val="10"/>
                <w:sz w:val="22"/>
              </w:rPr>
              <w:t> </w:t>
            </w:r>
            <w:r>
              <w:rPr>
                <w:spacing w:val="-5"/>
                <w:sz w:val="22"/>
              </w:rPr>
              <w:t>72</w:t>
            </w:r>
          </w:p>
        </w:tc>
        <w:tc>
          <w:tcPr>
            <w:tcW w:w="1244" w:type="dxa"/>
            <w:tcBorders>
              <w:top w:val="single" w:sz="4" w:space="0" w:color="000000"/>
            </w:tcBorders>
          </w:tcPr>
          <w:p>
            <w:pPr>
              <w:pStyle w:val="TableParagraph"/>
              <w:spacing w:before="1"/>
              <w:ind w:right="85"/>
              <w:jc w:val="center"/>
              <w:rPr>
                <w:sz w:val="22"/>
              </w:rPr>
            </w:pPr>
            <w:r>
              <w:rPr>
                <w:spacing w:val="-5"/>
                <w:sz w:val="22"/>
              </w:rPr>
              <w:t>25</w:t>
            </w:r>
          </w:p>
        </w:tc>
      </w:tr>
      <w:tr>
        <w:trPr>
          <w:trHeight w:val="391" w:hRule="atLeast"/>
        </w:trPr>
        <w:tc>
          <w:tcPr>
            <w:tcW w:w="1203" w:type="dxa"/>
          </w:tcPr>
          <w:p>
            <w:pPr>
              <w:pStyle w:val="TableParagraph"/>
              <w:spacing w:before="65"/>
              <w:ind w:left="108"/>
              <w:rPr>
                <w:sz w:val="22"/>
              </w:rPr>
            </w:pPr>
            <w:r>
              <w:rPr>
                <w:spacing w:val="-4"/>
                <w:sz w:val="22"/>
              </w:rPr>
              <w:t>Waxy</w:t>
            </w:r>
          </w:p>
        </w:tc>
        <w:tc>
          <w:tcPr>
            <w:tcW w:w="1243" w:type="dxa"/>
          </w:tcPr>
          <w:p>
            <w:pPr>
              <w:pStyle w:val="TableParagraph"/>
              <w:spacing w:before="65"/>
              <w:ind w:left="220"/>
              <w:rPr>
                <w:sz w:val="22"/>
              </w:rPr>
            </w:pPr>
            <w:r>
              <w:rPr>
                <w:spacing w:val="-2"/>
                <w:sz w:val="22"/>
              </w:rPr>
              <w:t>Cereal</w:t>
            </w:r>
          </w:p>
        </w:tc>
        <w:tc>
          <w:tcPr>
            <w:tcW w:w="1424" w:type="dxa"/>
          </w:tcPr>
          <w:p>
            <w:pPr>
              <w:pStyle w:val="TableParagraph"/>
              <w:spacing w:before="65"/>
              <w:ind w:left="249"/>
              <w:rPr>
                <w:sz w:val="22"/>
              </w:rPr>
            </w:pPr>
            <w:r>
              <w:rPr>
                <w:sz w:val="22"/>
              </w:rPr>
              <w:t>5</w:t>
            </w:r>
            <w:r>
              <w:rPr>
                <w:spacing w:val="2"/>
                <w:sz w:val="22"/>
              </w:rPr>
              <w:t> </w:t>
            </w:r>
            <w:r>
              <w:rPr>
                <w:sz w:val="22"/>
              </w:rPr>
              <w:t>–</w:t>
            </w:r>
            <w:r>
              <w:rPr>
                <w:spacing w:val="2"/>
                <w:sz w:val="22"/>
              </w:rPr>
              <w:t> </w:t>
            </w:r>
            <w:r>
              <w:rPr>
                <w:spacing w:val="-5"/>
                <w:sz w:val="22"/>
              </w:rPr>
              <w:t>30</w:t>
            </w:r>
          </w:p>
        </w:tc>
        <w:tc>
          <w:tcPr>
            <w:tcW w:w="1454" w:type="dxa"/>
          </w:tcPr>
          <w:p>
            <w:pPr>
              <w:pStyle w:val="TableParagraph"/>
              <w:spacing w:before="65"/>
              <w:ind w:left="154"/>
              <w:rPr>
                <w:sz w:val="22"/>
              </w:rPr>
            </w:pPr>
            <w:r>
              <w:rPr>
                <w:spacing w:val="-2"/>
                <w:sz w:val="22"/>
              </w:rPr>
              <w:t>Round</w:t>
            </w:r>
          </w:p>
        </w:tc>
        <w:tc>
          <w:tcPr>
            <w:tcW w:w="1642" w:type="dxa"/>
          </w:tcPr>
          <w:p>
            <w:pPr>
              <w:pStyle w:val="TableParagraph"/>
              <w:spacing w:before="65"/>
              <w:ind w:right="84"/>
              <w:jc w:val="center"/>
              <w:rPr>
                <w:sz w:val="22"/>
              </w:rPr>
            </w:pPr>
            <w:r>
              <w:rPr>
                <w:sz w:val="22"/>
              </w:rPr>
              <w:t>63</w:t>
            </w:r>
            <w:r>
              <w:rPr>
                <w:spacing w:val="-2"/>
                <w:sz w:val="22"/>
              </w:rPr>
              <w:t> </w:t>
            </w:r>
            <w:r>
              <w:rPr>
                <w:sz w:val="22"/>
              </w:rPr>
              <w:t>–</w:t>
            </w:r>
            <w:r>
              <w:rPr>
                <w:spacing w:val="10"/>
                <w:sz w:val="22"/>
              </w:rPr>
              <w:t> </w:t>
            </w:r>
            <w:r>
              <w:rPr>
                <w:spacing w:val="-5"/>
                <w:sz w:val="22"/>
              </w:rPr>
              <w:t>72</w:t>
            </w:r>
          </w:p>
        </w:tc>
        <w:tc>
          <w:tcPr>
            <w:tcW w:w="1244" w:type="dxa"/>
          </w:tcPr>
          <w:p>
            <w:pPr>
              <w:pStyle w:val="TableParagraph"/>
              <w:spacing w:before="65"/>
              <w:ind w:right="85"/>
              <w:jc w:val="center"/>
              <w:rPr>
                <w:sz w:val="22"/>
              </w:rPr>
            </w:pPr>
            <w:r>
              <w:rPr>
                <w:sz w:val="22"/>
              </w:rPr>
              <w:t>&lt;</w:t>
            </w:r>
            <w:r>
              <w:rPr>
                <w:spacing w:val="7"/>
                <w:sz w:val="22"/>
              </w:rPr>
              <w:t> </w:t>
            </w:r>
            <w:r>
              <w:rPr>
                <w:spacing w:val="-10"/>
                <w:sz w:val="22"/>
              </w:rPr>
              <w:t>1</w:t>
            </w:r>
          </w:p>
        </w:tc>
      </w:tr>
      <w:tr>
        <w:trPr>
          <w:trHeight w:val="391" w:hRule="atLeast"/>
        </w:trPr>
        <w:tc>
          <w:tcPr>
            <w:tcW w:w="1203" w:type="dxa"/>
          </w:tcPr>
          <w:p>
            <w:pPr>
              <w:pStyle w:val="TableParagraph"/>
              <w:spacing w:before="67"/>
              <w:ind w:left="108"/>
              <w:rPr>
                <w:sz w:val="22"/>
              </w:rPr>
            </w:pPr>
            <w:r>
              <w:rPr>
                <w:spacing w:val="-2"/>
                <w:sz w:val="22"/>
              </w:rPr>
              <w:t>maize</w:t>
            </w: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7"/>
              <w:ind w:left="154"/>
              <w:rPr>
                <w:sz w:val="22"/>
              </w:rPr>
            </w:pPr>
            <w:r>
              <w:rPr>
                <w:spacing w:val="-2"/>
                <w:sz w:val="22"/>
              </w:rPr>
              <w:t>polygonal</w:t>
            </w:r>
          </w:p>
        </w:tc>
        <w:tc>
          <w:tcPr>
            <w:tcW w:w="1642" w:type="dxa"/>
          </w:tcPr>
          <w:p>
            <w:pPr>
              <w:pStyle w:val="TableParagraph"/>
              <w:rPr>
                <w:sz w:val="22"/>
              </w:rPr>
            </w:pPr>
          </w:p>
        </w:tc>
        <w:tc>
          <w:tcPr>
            <w:tcW w:w="1244" w:type="dxa"/>
          </w:tcPr>
          <w:p>
            <w:pPr>
              <w:pStyle w:val="TableParagraph"/>
              <w:rPr>
                <w:sz w:val="22"/>
              </w:rPr>
            </w:pPr>
          </w:p>
        </w:tc>
      </w:tr>
      <w:tr>
        <w:trPr>
          <w:trHeight w:val="386" w:hRule="atLeast"/>
        </w:trPr>
        <w:tc>
          <w:tcPr>
            <w:tcW w:w="1203" w:type="dxa"/>
          </w:tcPr>
          <w:p>
            <w:pPr>
              <w:pStyle w:val="TableParagraph"/>
              <w:spacing w:before="65"/>
              <w:ind w:left="108"/>
              <w:rPr>
                <w:sz w:val="22"/>
              </w:rPr>
            </w:pPr>
            <w:r>
              <w:rPr>
                <w:spacing w:val="-2"/>
                <w:sz w:val="22"/>
              </w:rPr>
              <w:t>Tapioca</w:t>
            </w:r>
          </w:p>
        </w:tc>
        <w:tc>
          <w:tcPr>
            <w:tcW w:w="1243" w:type="dxa"/>
          </w:tcPr>
          <w:p>
            <w:pPr>
              <w:pStyle w:val="TableParagraph"/>
              <w:spacing w:before="65"/>
              <w:ind w:left="220"/>
              <w:rPr>
                <w:sz w:val="22"/>
              </w:rPr>
            </w:pPr>
            <w:r>
              <w:rPr>
                <w:spacing w:val="-4"/>
                <w:sz w:val="22"/>
              </w:rPr>
              <w:t>Root</w:t>
            </w:r>
          </w:p>
        </w:tc>
        <w:tc>
          <w:tcPr>
            <w:tcW w:w="1424" w:type="dxa"/>
          </w:tcPr>
          <w:p>
            <w:pPr>
              <w:pStyle w:val="TableParagraph"/>
              <w:spacing w:before="65"/>
              <w:ind w:left="249"/>
              <w:rPr>
                <w:sz w:val="22"/>
              </w:rPr>
            </w:pPr>
            <w:r>
              <w:rPr>
                <w:sz w:val="22"/>
              </w:rPr>
              <w:t>4</w:t>
            </w:r>
            <w:r>
              <w:rPr>
                <w:spacing w:val="2"/>
                <w:sz w:val="22"/>
              </w:rPr>
              <w:t> </w:t>
            </w:r>
            <w:r>
              <w:rPr>
                <w:sz w:val="22"/>
              </w:rPr>
              <w:t>–</w:t>
            </w:r>
            <w:r>
              <w:rPr>
                <w:spacing w:val="2"/>
                <w:sz w:val="22"/>
              </w:rPr>
              <w:t> </w:t>
            </w:r>
            <w:r>
              <w:rPr>
                <w:spacing w:val="-5"/>
                <w:sz w:val="22"/>
              </w:rPr>
              <w:t>35</w:t>
            </w:r>
          </w:p>
        </w:tc>
        <w:tc>
          <w:tcPr>
            <w:tcW w:w="1454" w:type="dxa"/>
          </w:tcPr>
          <w:p>
            <w:pPr>
              <w:pStyle w:val="TableParagraph"/>
              <w:spacing w:before="65"/>
              <w:ind w:left="154"/>
              <w:rPr>
                <w:sz w:val="22"/>
              </w:rPr>
            </w:pPr>
            <w:r>
              <w:rPr>
                <w:spacing w:val="-2"/>
                <w:sz w:val="22"/>
              </w:rPr>
              <w:t>Spherical</w:t>
            </w:r>
          </w:p>
        </w:tc>
        <w:tc>
          <w:tcPr>
            <w:tcW w:w="1642" w:type="dxa"/>
          </w:tcPr>
          <w:p>
            <w:pPr>
              <w:pStyle w:val="TableParagraph"/>
              <w:spacing w:before="65"/>
              <w:ind w:right="84"/>
              <w:jc w:val="center"/>
              <w:rPr>
                <w:sz w:val="22"/>
              </w:rPr>
            </w:pPr>
            <w:r>
              <w:rPr>
                <w:sz w:val="22"/>
              </w:rPr>
              <w:t>62</w:t>
            </w:r>
            <w:r>
              <w:rPr>
                <w:spacing w:val="-2"/>
                <w:sz w:val="22"/>
              </w:rPr>
              <w:t> </w:t>
            </w:r>
            <w:r>
              <w:rPr>
                <w:sz w:val="22"/>
              </w:rPr>
              <w:t>–</w:t>
            </w:r>
            <w:r>
              <w:rPr>
                <w:spacing w:val="10"/>
                <w:sz w:val="22"/>
              </w:rPr>
              <w:t> </w:t>
            </w:r>
            <w:r>
              <w:rPr>
                <w:spacing w:val="-5"/>
                <w:sz w:val="22"/>
              </w:rPr>
              <w:t>73</w:t>
            </w:r>
          </w:p>
        </w:tc>
        <w:tc>
          <w:tcPr>
            <w:tcW w:w="1244" w:type="dxa"/>
          </w:tcPr>
          <w:p>
            <w:pPr>
              <w:pStyle w:val="TableParagraph"/>
              <w:spacing w:before="65"/>
              <w:ind w:right="85"/>
              <w:jc w:val="center"/>
              <w:rPr>
                <w:sz w:val="22"/>
              </w:rPr>
            </w:pPr>
            <w:r>
              <w:rPr>
                <w:spacing w:val="-5"/>
                <w:sz w:val="22"/>
              </w:rPr>
              <w:t>17</w:t>
            </w:r>
          </w:p>
        </w:tc>
      </w:tr>
      <w:tr>
        <w:trPr>
          <w:trHeight w:val="386" w:hRule="atLeast"/>
        </w:trPr>
        <w:tc>
          <w:tcPr>
            <w:tcW w:w="1203" w:type="dxa"/>
          </w:tcPr>
          <w:p>
            <w:pPr>
              <w:pStyle w:val="TableParagraph"/>
              <w:spacing w:before="62"/>
              <w:ind w:left="108"/>
              <w:rPr>
                <w:sz w:val="22"/>
              </w:rPr>
            </w:pPr>
            <w:r>
              <w:rPr>
                <w:spacing w:val="-2"/>
                <w:sz w:val="22"/>
              </w:rPr>
              <w:t>Potato</w:t>
            </w:r>
          </w:p>
        </w:tc>
        <w:tc>
          <w:tcPr>
            <w:tcW w:w="1243" w:type="dxa"/>
          </w:tcPr>
          <w:p>
            <w:pPr>
              <w:pStyle w:val="TableParagraph"/>
              <w:spacing w:before="62"/>
              <w:ind w:left="220"/>
              <w:rPr>
                <w:sz w:val="22"/>
              </w:rPr>
            </w:pPr>
            <w:r>
              <w:rPr>
                <w:spacing w:val="-2"/>
                <w:sz w:val="22"/>
              </w:rPr>
              <w:t>Tuber</w:t>
            </w:r>
          </w:p>
        </w:tc>
        <w:tc>
          <w:tcPr>
            <w:tcW w:w="1424" w:type="dxa"/>
          </w:tcPr>
          <w:p>
            <w:pPr>
              <w:pStyle w:val="TableParagraph"/>
              <w:spacing w:before="62"/>
              <w:ind w:left="249"/>
              <w:rPr>
                <w:sz w:val="22"/>
              </w:rPr>
            </w:pPr>
            <w:r>
              <w:rPr>
                <w:sz w:val="22"/>
              </w:rPr>
              <w:t>5</w:t>
            </w:r>
            <w:r>
              <w:rPr>
                <w:spacing w:val="2"/>
                <w:sz w:val="22"/>
              </w:rPr>
              <w:t> </w:t>
            </w:r>
            <w:r>
              <w:rPr>
                <w:sz w:val="22"/>
              </w:rPr>
              <w:t>–</w:t>
            </w:r>
            <w:r>
              <w:rPr>
                <w:spacing w:val="2"/>
                <w:sz w:val="22"/>
              </w:rPr>
              <w:t> </w:t>
            </w:r>
            <w:r>
              <w:rPr>
                <w:spacing w:val="-5"/>
                <w:sz w:val="22"/>
              </w:rPr>
              <w:t>100</w:t>
            </w:r>
          </w:p>
        </w:tc>
        <w:tc>
          <w:tcPr>
            <w:tcW w:w="1454" w:type="dxa"/>
          </w:tcPr>
          <w:p>
            <w:pPr>
              <w:pStyle w:val="TableParagraph"/>
              <w:spacing w:before="62"/>
              <w:ind w:left="154"/>
              <w:rPr>
                <w:sz w:val="22"/>
              </w:rPr>
            </w:pPr>
            <w:r>
              <w:rPr>
                <w:spacing w:val="-4"/>
                <w:sz w:val="22"/>
              </w:rPr>
              <w:t>Oval</w:t>
            </w:r>
          </w:p>
        </w:tc>
        <w:tc>
          <w:tcPr>
            <w:tcW w:w="1642" w:type="dxa"/>
          </w:tcPr>
          <w:p>
            <w:pPr>
              <w:pStyle w:val="TableParagraph"/>
              <w:spacing w:before="62"/>
              <w:ind w:right="84"/>
              <w:jc w:val="center"/>
              <w:rPr>
                <w:sz w:val="22"/>
              </w:rPr>
            </w:pPr>
            <w:r>
              <w:rPr>
                <w:sz w:val="22"/>
              </w:rPr>
              <w:t>59</w:t>
            </w:r>
            <w:r>
              <w:rPr>
                <w:spacing w:val="-2"/>
                <w:sz w:val="22"/>
              </w:rPr>
              <w:t> </w:t>
            </w:r>
            <w:r>
              <w:rPr>
                <w:sz w:val="22"/>
              </w:rPr>
              <w:t>–</w:t>
            </w:r>
            <w:r>
              <w:rPr>
                <w:spacing w:val="10"/>
                <w:sz w:val="22"/>
              </w:rPr>
              <w:t> </w:t>
            </w:r>
            <w:r>
              <w:rPr>
                <w:spacing w:val="-5"/>
                <w:sz w:val="22"/>
              </w:rPr>
              <w:t>68</w:t>
            </w:r>
          </w:p>
        </w:tc>
        <w:tc>
          <w:tcPr>
            <w:tcW w:w="1244" w:type="dxa"/>
          </w:tcPr>
          <w:p>
            <w:pPr>
              <w:pStyle w:val="TableParagraph"/>
              <w:spacing w:before="62"/>
              <w:ind w:right="85"/>
              <w:jc w:val="center"/>
              <w:rPr>
                <w:sz w:val="22"/>
              </w:rPr>
            </w:pPr>
            <w:r>
              <w:rPr>
                <w:spacing w:val="-5"/>
                <w:sz w:val="22"/>
              </w:rPr>
              <w:t>20</w:t>
            </w:r>
          </w:p>
        </w:tc>
      </w:tr>
      <w:tr>
        <w:trPr>
          <w:trHeight w:val="391"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5"/>
              <w:ind w:left="154"/>
              <w:rPr>
                <w:sz w:val="22"/>
              </w:rPr>
            </w:pPr>
            <w:r>
              <w:rPr>
                <w:spacing w:val="-2"/>
                <w:sz w:val="22"/>
              </w:rPr>
              <w:t>spherical</w:t>
            </w:r>
          </w:p>
        </w:tc>
        <w:tc>
          <w:tcPr>
            <w:tcW w:w="1642" w:type="dxa"/>
          </w:tcPr>
          <w:p>
            <w:pPr>
              <w:pStyle w:val="TableParagraph"/>
              <w:rPr>
                <w:sz w:val="22"/>
              </w:rPr>
            </w:pPr>
          </w:p>
        </w:tc>
        <w:tc>
          <w:tcPr>
            <w:tcW w:w="1244" w:type="dxa"/>
          </w:tcPr>
          <w:p>
            <w:pPr>
              <w:pStyle w:val="TableParagraph"/>
              <w:rPr>
                <w:sz w:val="22"/>
              </w:rPr>
            </w:pPr>
          </w:p>
        </w:tc>
      </w:tr>
      <w:tr>
        <w:trPr>
          <w:trHeight w:val="391" w:hRule="atLeast"/>
        </w:trPr>
        <w:tc>
          <w:tcPr>
            <w:tcW w:w="1203" w:type="dxa"/>
          </w:tcPr>
          <w:p>
            <w:pPr>
              <w:pStyle w:val="TableParagraph"/>
              <w:spacing w:before="67"/>
              <w:ind w:left="108"/>
              <w:rPr>
                <w:sz w:val="22"/>
              </w:rPr>
            </w:pPr>
            <w:r>
              <w:rPr>
                <w:spacing w:val="-2"/>
                <w:sz w:val="22"/>
              </w:rPr>
              <w:t>Wheat</w:t>
            </w:r>
          </w:p>
        </w:tc>
        <w:tc>
          <w:tcPr>
            <w:tcW w:w="1243" w:type="dxa"/>
          </w:tcPr>
          <w:p>
            <w:pPr>
              <w:pStyle w:val="TableParagraph"/>
              <w:spacing w:before="67"/>
              <w:ind w:left="220"/>
              <w:rPr>
                <w:sz w:val="22"/>
              </w:rPr>
            </w:pPr>
            <w:r>
              <w:rPr>
                <w:spacing w:val="-2"/>
                <w:sz w:val="22"/>
              </w:rPr>
              <w:t>Cereal</w:t>
            </w:r>
          </w:p>
        </w:tc>
        <w:tc>
          <w:tcPr>
            <w:tcW w:w="1424" w:type="dxa"/>
          </w:tcPr>
          <w:p>
            <w:pPr>
              <w:pStyle w:val="TableParagraph"/>
              <w:spacing w:before="67"/>
              <w:ind w:left="249"/>
              <w:rPr>
                <w:sz w:val="22"/>
              </w:rPr>
            </w:pPr>
            <w:r>
              <w:rPr>
                <w:sz w:val="22"/>
              </w:rPr>
              <w:t>1</w:t>
            </w:r>
            <w:r>
              <w:rPr>
                <w:spacing w:val="2"/>
                <w:sz w:val="22"/>
              </w:rPr>
              <w:t> </w:t>
            </w:r>
            <w:r>
              <w:rPr>
                <w:sz w:val="22"/>
              </w:rPr>
              <w:t>–</w:t>
            </w:r>
            <w:r>
              <w:rPr>
                <w:spacing w:val="2"/>
                <w:sz w:val="22"/>
              </w:rPr>
              <w:t> </w:t>
            </w:r>
            <w:r>
              <w:rPr>
                <w:spacing w:val="-5"/>
                <w:sz w:val="22"/>
              </w:rPr>
              <w:t>45</w:t>
            </w:r>
          </w:p>
        </w:tc>
        <w:tc>
          <w:tcPr>
            <w:tcW w:w="1454" w:type="dxa"/>
          </w:tcPr>
          <w:p>
            <w:pPr>
              <w:pStyle w:val="TableParagraph"/>
              <w:spacing w:before="67"/>
              <w:ind w:left="154"/>
              <w:rPr>
                <w:sz w:val="22"/>
              </w:rPr>
            </w:pPr>
            <w:r>
              <w:rPr>
                <w:spacing w:val="-2"/>
                <w:sz w:val="22"/>
              </w:rPr>
              <w:t>Round</w:t>
            </w:r>
          </w:p>
        </w:tc>
        <w:tc>
          <w:tcPr>
            <w:tcW w:w="1642" w:type="dxa"/>
          </w:tcPr>
          <w:p>
            <w:pPr>
              <w:pStyle w:val="TableParagraph"/>
              <w:spacing w:before="67"/>
              <w:ind w:right="84"/>
              <w:jc w:val="center"/>
              <w:rPr>
                <w:sz w:val="22"/>
              </w:rPr>
            </w:pPr>
            <w:r>
              <w:rPr>
                <w:sz w:val="22"/>
              </w:rPr>
              <w:t>58</w:t>
            </w:r>
            <w:r>
              <w:rPr>
                <w:spacing w:val="-2"/>
                <w:sz w:val="22"/>
              </w:rPr>
              <w:t> </w:t>
            </w:r>
            <w:r>
              <w:rPr>
                <w:sz w:val="22"/>
              </w:rPr>
              <w:t>–</w:t>
            </w:r>
            <w:r>
              <w:rPr>
                <w:spacing w:val="10"/>
                <w:sz w:val="22"/>
              </w:rPr>
              <w:t> </w:t>
            </w:r>
            <w:r>
              <w:rPr>
                <w:spacing w:val="-5"/>
                <w:sz w:val="22"/>
              </w:rPr>
              <w:t>64</w:t>
            </w:r>
          </w:p>
        </w:tc>
        <w:tc>
          <w:tcPr>
            <w:tcW w:w="1244" w:type="dxa"/>
          </w:tcPr>
          <w:p>
            <w:pPr>
              <w:pStyle w:val="TableParagraph"/>
              <w:spacing w:before="67"/>
              <w:ind w:right="85"/>
              <w:jc w:val="center"/>
              <w:rPr>
                <w:sz w:val="22"/>
              </w:rPr>
            </w:pPr>
            <w:r>
              <w:rPr>
                <w:spacing w:val="-5"/>
                <w:sz w:val="22"/>
              </w:rPr>
              <w:t>25</w:t>
            </w:r>
          </w:p>
        </w:tc>
      </w:tr>
      <w:tr>
        <w:trPr>
          <w:trHeight w:val="388"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5"/>
              <w:ind w:left="154"/>
              <w:rPr>
                <w:sz w:val="22"/>
              </w:rPr>
            </w:pPr>
            <w:r>
              <w:rPr>
                <w:spacing w:val="-2"/>
                <w:sz w:val="22"/>
              </w:rPr>
              <w:t>lenticular</w:t>
            </w:r>
          </w:p>
        </w:tc>
        <w:tc>
          <w:tcPr>
            <w:tcW w:w="1642" w:type="dxa"/>
          </w:tcPr>
          <w:p>
            <w:pPr>
              <w:pStyle w:val="TableParagraph"/>
              <w:rPr>
                <w:sz w:val="22"/>
              </w:rPr>
            </w:pPr>
          </w:p>
        </w:tc>
        <w:tc>
          <w:tcPr>
            <w:tcW w:w="1244" w:type="dxa"/>
          </w:tcPr>
          <w:p>
            <w:pPr>
              <w:pStyle w:val="TableParagraph"/>
              <w:rPr>
                <w:sz w:val="22"/>
              </w:rPr>
            </w:pPr>
          </w:p>
        </w:tc>
      </w:tr>
      <w:tr>
        <w:trPr>
          <w:trHeight w:val="386" w:hRule="atLeast"/>
        </w:trPr>
        <w:tc>
          <w:tcPr>
            <w:tcW w:w="1203" w:type="dxa"/>
          </w:tcPr>
          <w:p>
            <w:pPr>
              <w:pStyle w:val="TableParagraph"/>
              <w:spacing w:before="65"/>
              <w:ind w:left="108"/>
              <w:rPr>
                <w:sz w:val="22"/>
              </w:rPr>
            </w:pPr>
            <w:r>
              <w:rPr>
                <w:spacing w:val="-4"/>
                <w:sz w:val="22"/>
              </w:rPr>
              <w:t>Rice</w:t>
            </w:r>
          </w:p>
        </w:tc>
        <w:tc>
          <w:tcPr>
            <w:tcW w:w="1243" w:type="dxa"/>
          </w:tcPr>
          <w:p>
            <w:pPr>
              <w:pStyle w:val="TableParagraph"/>
              <w:spacing w:before="65"/>
              <w:ind w:left="220"/>
              <w:rPr>
                <w:sz w:val="22"/>
              </w:rPr>
            </w:pPr>
            <w:r>
              <w:rPr>
                <w:spacing w:val="-2"/>
                <w:sz w:val="22"/>
              </w:rPr>
              <w:t>Cereal</w:t>
            </w:r>
          </w:p>
        </w:tc>
        <w:tc>
          <w:tcPr>
            <w:tcW w:w="1424" w:type="dxa"/>
          </w:tcPr>
          <w:p>
            <w:pPr>
              <w:pStyle w:val="TableParagraph"/>
              <w:spacing w:before="65"/>
              <w:ind w:left="249"/>
              <w:rPr>
                <w:sz w:val="22"/>
              </w:rPr>
            </w:pPr>
            <w:r>
              <w:rPr>
                <w:sz w:val="22"/>
              </w:rPr>
              <w:t>3</w:t>
            </w:r>
            <w:r>
              <w:rPr>
                <w:spacing w:val="2"/>
                <w:sz w:val="22"/>
              </w:rPr>
              <w:t> </w:t>
            </w:r>
            <w:r>
              <w:rPr>
                <w:sz w:val="22"/>
              </w:rPr>
              <w:t>–</w:t>
            </w:r>
            <w:r>
              <w:rPr>
                <w:spacing w:val="2"/>
                <w:sz w:val="22"/>
              </w:rPr>
              <w:t> </w:t>
            </w:r>
            <w:r>
              <w:rPr>
                <w:spacing w:val="-10"/>
                <w:sz w:val="22"/>
              </w:rPr>
              <w:t>8</w:t>
            </w:r>
          </w:p>
        </w:tc>
        <w:tc>
          <w:tcPr>
            <w:tcW w:w="1454" w:type="dxa"/>
          </w:tcPr>
          <w:p>
            <w:pPr>
              <w:pStyle w:val="TableParagraph"/>
              <w:spacing w:before="65"/>
              <w:ind w:left="154"/>
              <w:rPr>
                <w:sz w:val="22"/>
              </w:rPr>
            </w:pPr>
            <w:r>
              <w:rPr>
                <w:spacing w:val="-2"/>
                <w:sz w:val="22"/>
              </w:rPr>
              <w:t>Polygonal</w:t>
            </w:r>
          </w:p>
        </w:tc>
        <w:tc>
          <w:tcPr>
            <w:tcW w:w="1642" w:type="dxa"/>
          </w:tcPr>
          <w:p>
            <w:pPr>
              <w:pStyle w:val="TableParagraph"/>
              <w:spacing w:before="65"/>
              <w:ind w:right="84"/>
              <w:jc w:val="center"/>
              <w:rPr>
                <w:sz w:val="22"/>
              </w:rPr>
            </w:pPr>
            <w:r>
              <w:rPr>
                <w:sz w:val="22"/>
              </w:rPr>
              <w:t>68</w:t>
            </w:r>
            <w:r>
              <w:rPr>
                <w:spacing w:val="-2"/>
                <w:sz w:val="22"/>
              </w:rPr>
              <w:t> </w:t>
            </w:r>
            <w:r>
              <w:rPr>
                <w:sz w:val="22"/>
              </w:rPr>
              <w:t>–</w:t>
            </w:r>
            <w:r>
              <w:rPr>
                <w:spacing w:val="10"/>
                <w:sz w:val="22"/>
              </w:rPr>
              <w:t> </w:t>
            </w:r>
            <w:r>
              <w:rPr>
                <w:spacing w:val="-5"/>
                <w:sz w:val="22"/>
              </w:rPr>
              <w:t>78</w:t>
            </w:r>
          </w:p>
        </w:tc>
        <w:tc>
          <w:tcPr>
            <w:tcW w:w="1244" w:type="dxa"/>
          </w:tcPr>
          <w:p>
            <w:pPr>
              <w:pStyle w:val="TableParagraph"/>
              <w:spacing w:before="65"/>
              <w:ind w:right="85"/>
              <w:jc w:val="center"/>
              <w:rPr>
                <w:sz w:val="22"/>
              </w:rPr>
            </w:pPr>
            <w:r>
              <w:rPr>
                <w:spacing w:val="-5"/>
                <w:sz w:val="22"/>
              </w:rPr>
              <w:t>19</w:t>
            </w:r>
          </w:p>
        </w:tc>
      </w:tr>
      <w:tr>
        <w:trPr>
          <w:trHeight w:val="386"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2"/>
              <w:ind w:left="154"/>
              <w:rPr>
                <w:sz w:val="22"/>
              </w:rPr>
            </w:pPr>
            <w:r>
              <w:rPr>
                <w:spacing w:val="-2"/>
                <w:sz w:val="22"/>
              </w:rPr>
              <w:t>spherical</w:t>
            </w:r>
          </w:p>
        </w:tc>
        <w:tc>
          <w:tcPr>
            <w:tcW w:w="1642" w:type="dxa"/>
          </w:tcPr>
          <w:p>
            <w:pPr>
              <w:pStyle w:val="TableParagraph"/>
              <w:rPr>
                <w:sz w:val="22"/>
              </w:rPr>
            </w:pPr>
          </w:p>
        </w:tc>
        <w:tc>
          <w:tcPr>
            <w:tcW w:w="1244" w:type="dxa"/>
          </w:tcPr>
          <w:p>
            <w:pPr>
              <w:pStyle w:val="TableParagraph"/>
              <w:rPr>
                <w:sz w:val="22"/>
              </w:rPr>
            </w:pPr>
          </w:p>
        </w:tc>
      </w:tr>
      <w:tr>
        <w:trPr>
          <w:trHeight w:val="391"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5"/>
              <w:ind w:left="154"/>
              <w:rPr>
                <w:sz w:val="22"/>
              </w:rPr>
            </w:pPr>
            <w:r>
              <w:rPr>
                <w:spacing w:val="-2"/>
                <w:sz w:val="22"/>
              </w:rPr>
              <w:t>compound</w:t>
            </w:r>
          </w:p>
        </w:tc>
        <w:tc>
          <w:tcPr>
            <w:tcW w:w="1642" w:type="dxa"/>
          </w:tcPr>
          <w:p>
            <w:pPr>
              <w:pStyle w:val="TableParagraph"/>
              <w:rPr>
                <w:sz w:val="22"/>
              </w:rPr>
            </w:pPr>
          </w:p>
        </w:tc>
        <w:tc>
          <w:tcPr>
            <w:tcW w:w="1244" w:type="dxa"/>
          </w:tcPr>
          <w:p>
            <w:pPr>
              <w:pStyle w:val="TableParagraph"/>
              <w:rPr>
                <w:sz w:val="22"/>
              </w:rPr>
            </w:pPr>
          </w:p>
        </w:tc>
      </w:tr>
      <w:tr>
        <w:trPr>
          <w:trHeight w:val="391"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7"/>
              <w:ind w:left="154"/>
              <w:rPr>
                <w:sz w:val="22"/>
              </w:rPr>
            </w:pPr>
            <w:r>
              <w:rPr>
                <w:spacing w:val="-2"/>
                <w:sz w:val="22"/>
              </w:rPr>
              <w:t>granular</w:t>
            </w:r>
          </w:p>
        </w:tc>
        <w:tc>
          <w:tcPr>
            <w:tcW w:w="1642" w:type="dxa"/>
          </w:tcPr>
          <w:p>
            <w:pPr>
              <w:pStyle w:val="TableParagraph"/>
              <w:rPr>
                <w:sz w:val="22"/>
              </w:rPr>
            </w:pPr>
          </w:p>
        </w:tc>
        <w:tc>
          <w:tcPr>
            <w:tcW w:w="1244" w:type="dxa"/>
          </w:tcPr>
          <w:p>
            <w:pPr>
              <w:pStyle w:val="TableParagraph"/>
              <w:rPr>
                <w:sz w:val="22"/>
              </w:rPr>
            </w:pPr>
          </w:p>
        </w:tc>
      </w:tr>
      <w:tr>
        <w:trPr>
          <w:trHeight w:val="388" w:hRule="atLeast"/>
        </w:trPr>
        <w:tc>
          <w:tcPr>
            <w:tcW w:w="1203" w:type="dxa"/>
          </w:tcPr>
          <w:p>
            <w:pPr>
              <w:pStyle w:val="TableParagraph"/>
              <w:spacing w:before="65"/>
              <w:ind w:left="108"/>
              <w:rPr>
                <w:sz w:val="22"/>
              </w:rPr>
            </w:pPr>
            <w:r>
              <w:rPr>
                <w:spacing w:val="-4"/>
                <w:sz w:val="22"/>
              </w:rPr>
              <w:t>Sago</w:t>
            </w:r>
          </w:p>
        </w:tc>
        <w:tc>
          <w:tcPr>
            <w:tcW w:w="1243" w:type="dxa"/>
          </w:tcPr>
          <w:p>
            <w:pPr>
              <w:pStyle w:val="TableParagraph"/>
              <w:spacing w:before="65"/>
              <w:ind w:left="220"/>
              <w:rPr>
                <w:sz w:val="22"/>
              </w:rPr>
            </w:pPr>
            <w:r>
              <w:rPr>
                <w:spacing w:val="-4"/>
                <w:sz w:val="22"/>
              </w:rPr>
              <w:t>Pith</w:t>
            </w:r>
          </w:p>
        </w:tc>
        <w:tc>
          <w:tcPr>
            <w:tcW w:w="1424" w:type="dxa"/>
          </w:tcPr>
          <w:p>
            <w:pPr>
              <w:pStyle w:val="TableParagraph"/>
              <w:spacing w:before="65"/>
              <w:ind w:left="249"/>
              <w:rPr>
                <w:sz w:val="22"/>
              </w:rPr>
            </w:pPr>
            <w:r>
              <w:rPr>
                <w:sz w:val="22"/>
              </w:rPr>
              <w:t>15</w:t>
            </w:r>
            <w:r>
              <w:rPr>
                <w:spacing w:val="1"/>
                <w:sz w:val="22"/>
              </w:rPr>
              <w:t> </w:t>
            </w:r>
            <w:r>
              <w:rPr>
                <w:sz w:val="22"/>
              </w:rPr>
              <w:t>–</w:t>
            </w:r>
            <w:r>
              <w:rPr>
                <w:spacing w:val="7"/>
                <w:sz w:val="22"/>
              </w:rPr>
              <w:t> </w:t>
            </w:r>
            <w:r>
              <w:rPr>
                <w:spacing w:val="-5"/>
                <w:sz w:val="22"/>
              </w:rPr>
              <w:t>65</w:t>
            </w:r>
          </w:p>
        </w:tc>
        <w:tc>
          <w:tcPr>
            <w:tcW w:w="1454" w:type="dxa"/>
          </w:tcPr>
          <w:p>
            <w:pPr>
              <w:pStyle w:val="TableParagraph"/>
              <w:spacing w:before="65"/>
              <w:ind w:left="154"/>
              <w:rPr>
                <w:sz w:val="22"/>
              </w:rPr>
            </w:pPr>
            <w:r>
              <w:rPr>
                <w:spacing w:val="-4"/>
                <w:sz w:val="22"/>
              </w:rPr>
              <w:t>Oval</w:t>
            </w:r>
          </w:p>
        </w:tc>
        <w:tc>
          <w:tcPr>
            <w:tcW w:w="1642" w:type="dxa"/>
          </w:tcPr>
          <w:p>
            <w:pPr>
              <w:pStyle w:val="TableParagraph"/>
              <w:spacing w:before="65"/>
              <w:ind w:right="84"/>
              <w:jc w:val="center"/>
              <w:rPr>
                <w:sz w:val="22"/>
              </w:rPr>
            </w:pPr>
            <w:r>
              <w:rPr>
                <w:sz w:val="22"/>
              </w:rPr>
              <w:t>69</w:t>
            </w:r>
            <w:r>
              <w:rPr>
                <w:spacing w:val="-2"/>
                <w:sz w:val="22"/>
              </w:rPr>
              <w:t> </w:t>
            </w:r>
            <w:r>
              <w:rPr>
                <w:sz w:val="22"/>
              </w:rPr>
              <w:t>–</w:t>
            </w:r>
            <w:r>
              <w:rPr>
                <w:spacing w:val="10"/>
                <w:sz w:val="22"/>
              </w:rPr>
              <w:t> </w:t>
            </w:r>
            <w:r>
              <w:rPr>
                <w:spacing w:val="-5"/>
                <w:sz w:val="22"/>
              </w:rPr>
              <w:t>74</w:t>
            </w:r>
          </w:p>
        </w:tc>
        <w:tc>
          <w:tcPr>
            <w:tcW w:w="1244" w:type="dxa"/>
          </w:tcPr>
          <w:p>
            <w:pPr>
              <w:pStyle w:val="TableParagraph"/>
              <w:spacing w:before="65"/>
              <w:ind w:right="85"/>
              <w:jc w:val="center"/>
              <w:rPr>
                <w:sz w:val="22"/>
              </w:rPr>
            </w:pPr>
            <w:r>
              <w:rPr>
                <w:spacing w:val="-5"/>
                <w:sz w:val="22"/>
              </w:rPr>
              <w:t>26</w:t>
            </w:r>
          </w:p>
        </w:tc>
      </w:tr>
      <w:tr>
        <w:trPr>
          <w:trHeight w:val="388" w:hRule="atLeast"/>
        </w:trPr>
        <w:tc>
          <w:tcPr>
            <w:tcW w:w="1203" w:type="dxa"/>
          </w:tcPr>
          <w:p>
            <w:pPr>
              <w:pStyle w:val="TableParagraph"/>
              <w:rPr>
                <w:sz w:val="22"/>
              </w:rPr>
            </w:pP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5"/>
              <w:ind w:left="154"/>
              <w:rPr>
                <w:sz w:val="22"/>
              </w:rPr>
            </w:pPr>
            <w:r>
              <w:rPr>
                <w:spacing w:val="-2"/>
                <w:sz w:val="22"/>
              </w:rPr>
              <w:t>truncated</w:t>
            </w:r>
          </w:p>
        </w:tc>
        <w:tc>
          <w:tcPr>
            <w:tcW w:w="1642" w:type="dxa"/>
          </w:tcPr>
          <w:p>
            <w:pPr>
              <w:pStyle w:val="TableParagraph"/>
              <w:rPr>
                <w:sz w:val="22"/>
              </w:rPr>
            </w:pPr>
          </w:p>
        </w:tc>
        <w:tc>
          <w:tcPr>
            <w:tcW w:w="1244" w:type="dxa"/>
          </w:tcPr>
          <w:p>
            <w:pPr>
              <w:pStyle w:val="TableParagraph"/>
              <w:rPr>
                <w:sz w:val="22"/>
              </w:rPr>
            </w:pPr>
          </w:p>
        </w:tc>
      </w:tr>
      <w:tr>
        <w:trPr>
          <w:trHeight w:val="388" w:hRule="atLeast"/>
        </w:trPr>
        <w:tc>
          <w:tcPr>
            <w:tcW w:w="1203" w:type="dxa"/>
          </w:tcPr>
          <w:p>
            <w:pPr>
              <w:pStyle w:val="TableParagraph"/>
              <w:spacing w:before="65"/>
              <w:ind w:left="108"/>
              <w:rPr>
                <w:sz w:val="22"/>
              </w:rPr>
            </w:pPr>
            <w:r>
              <w:rPr>
                <w:spacing w:val="-4"/>
                <w:sz w:val="22"/>
              </w:rPr>
              <w:t>High</w:t>
            </w:r>
          </w:p>
        </w:tc>
        <w:tc>
          <w:tcPr>
            <w:tcW w:w="1243" w:type="dxa"/>
          </w:tcPr>
          <w:p>
            <w:pPr>
              <w:pStyle w:val="TableParagraph"/>
              <w:spacing w:before="65"/>
              <w:ind w:left="220"/>
              <w:rPr>
                <w:sz w:val="22"/>
              </w:rPr>
            </w:pPr>
            <w:r>
              <w:rPr>
                <w:spacing w:val="-2"/>
                <w:sz w:val="22"/>
              </w:rPr>
              <w:t>Cereal</w:t>
            </w:r>
          </w:p>
        </w:tc>
        <w:tc>
          <w:tcPr>
            <w:tcW w:w="1424" w:type="dxa"/>
          </w:tcPr>
          <w:p>
            <w:pPr>
              <w:pStyle w:val="TableParagraph"/>
              <w:spacing w:before="65"/>
              <w:ind w:left="249"/>
              <w:rPr>
                <w:sz w:val="22"/>
              </w:rPr>
            </w:pPr>
            <w:r>
              <w:rPr>
                <w:sz w:val="22"/>
              </w:rPr>
              <w:t>5</w:t>
            </w:r>
            <w:r>
              <w:rPr>
                <w:spacing w:val="2"/>
                <w:sz w:val="22"/>
              </w:rPr>
              <w:t> </w:t>
            </w:r>
            <w:r>
              <w:rPr>
                <w:sz w:val="22"/>
              </w:rPr>
              <w:t>–</w:t>
            </w:r>
            <w:r>
              <w:rPr>
                <w:spacing w:val="2"/>
                <w:sz w:val="22"/>
              </w:rPr>
              <w:t> </w:t>
            </w:r>
            <w:r>
              <w:rPr>
                <w:spacing w:val="-5"/>
                <w:sz w:val="22"/>
              </w:rPr>
              <w:t>30</w:t>
            </w:r>
          </w:p>
        </w:tc>
        <w:tc>
          <w:tcPr>
            <w:tcW w:w="1454" w:type="dxa"/>
          </w:tcPr>
          <w:p>
            <w:pPr>
              <w:pStyle w:val="TableParagraph"/>
              <w:spacing w:before="65"/>
              <w:ind w:left="154"/>
              <w:rPr>
                <w:sz w:val="22"/>
              </w:rPr>
            </w:pPr>
            <w:r>
              <w:rPr>
                <w:spacing w:val="-2"/>
                <w:sz w:val="22"/>
              </w:rPr>
              <w:t>Polygonal</w:t>
            </w:r>
          </w:p>
        </w:tc>
        <w:tc>
          <w:tcPr>
            <w:tcW w:w="1642" w:type="dxa"/>
          </w:tcPr>
          <w:p>
            <w:pPr>
              <w:pStyle w:val="TableParagraph"/>
              <w:spacing w:before="65"/>
              <w:ind w:right="84"/>
              <w:jc w:val="center"/>
              <w:rPr>
                <w:sz w:val="22"/>
              </w:rPr>
            </w:pPr>
            <w:r>
              <w:rPr>
                <w:sz w:val="22"/>
              </w:rPr>
              <w:t>63</w:t>
            </w:r>
            <w:r>
              <w:rPr>
                <w:spacing w:val="1"/>
                <w:sz w:val="22"/>
              </w:rPr>
              <w:t> </w:t>
            </w:r>
            <w:r>
              <w:rPr>
                <w:sz w:val="22"/>
              </w:rPr>
              <w:t>–</w:t>
            </w:r>
            <w:r>
              <w:rPr>
                <w:spacing w:val="7"/>
                <w:sz w:val="22"/>
              </w:rPr>
              <w:t> </w:t>
            </w:r>
            <w:r>
              <w:rPr>
                <w:sz w:val="22"/>
              </w:rPr>
              <w:t>92</w:t>
            </w:r>
            <w:r>
              <w:rPr>
                <w:spacing w:val="6"/>
                <w:sz w:val="22"/>
              </w:rPr>
              <w:t> </w:t>
            </w:r>
            <w:r>
              <w:rPr>
                <w:spacing w:val="-5"/>
                <w:sz w:val="22"/>
              </w:rPr>
              <w:t>**</w:t>
            </w:r>
          </w:p>
        </w:tc>
        <w:tc>
          <w:tcPr>
            <w:tcW w:w="1244" w:type="dxa"/>
          </w:tcPr>
          <w:p>
            <w:pPr>
              <w:pStyle w:val="TableParagraph"/>
              <w:spacing w:before="65"/>
              <w:ind w:right="85"/>
              <w:jc w:val="center"/>
              <w:rPr>
                <w:sz w:val="22"/>
              </w:rPr>
            </w:pPr>
            <w:r>
              <w:rPr>
                <w:sz w:val="22"/>
              </w:rPr>
              <w:t>50</w:t>
            </w:r>
            <w:r>
              <w:rPr>
                <w:spacing w:val="1"/>
                <w:sz w:val="22"/>
              </w:rPr>
              <w:t> </w:t>
            </w:r>
            <w:r>
              <w:rPr>
                <w:sz w:val="22"/>
              </w:rPr>
              <w:t>–</w:t>
            </w:r>
            <w:r>
              <w:rPr>
                <w:spacing w:val="7"/>
                <w:sz w:val="22"/>
              </w:rPr>
              <w:t> </w:t>
            </w:r>
            <w:r>
              <w:rPr>
                <w:spacing w:val="-5"/>
                <w:sz w:val="22"/>
              </w:rPr>
              <w:t>90</w:t>
            </w:r>
          </w:p>
        </w:tc>
      </w:tr>
      <w:tr>
        <w:trPr>
          <w:trHeight w:val="388" w:hRule="atLeast"/>
        </w:trPr>
        <w:tc>
          <w:tcPr>
            <w:tcW w:w="1203" w:type="dxa"/>
          </w:tcPr>
          <w:p>
            <w:pPr>
              <w:pStyle w:val="TableParagraph"/>
              <w:spacing w:before="65"/>
              <w:ind w:left="108"/>
              <w:rPr>
                <w:sz w:val="22"/>
              </w:rPr>
            </w:pPr>
            <w:r>
              <w:rPr>
                <w:spacing w:val="-2"/>
                <w:sz w:val="22"/>
              </w:rPr>
              <w:t>amylose</w:t>
            </w:r>
          </w:p>
        </w:tc>
        <w:tc>
          <w:tcPr>
            <w:tcW w:w="1243" w:type="dxa"/>
          </w:tcPr>
          <w:p>
            <w:pPr>
              <w:pStyle w:val="TableParagraph"/>
              <w:rPr>
                <w:sz w:val="22"/>
              </w:rPr>
            </w:pPr>
          </w:p>
        </w:tc>
        <w:tc>
          <w:tcPr>
            <w:tcW w:w="1424" w:type="dxa"/>
          </w:tcPr>
          <w:p>
            <w:pPr>
              <w:pStyle w:val="TableParagraph"/>
              <w:rPr>
                <w:sz w:val="22"/>
              </w:rPr>
            </w:pPr>
          </w:p>
        </w:tc>
        <w:tc>
          <w:tcPr>
            <w:tcW w:w="1454" w:type="dxa"/>
          </w:tcPr>
          <w:p>
            <w:pPr>
              <w:pStyle w:val="TableParagraph"/>
              <w:spacing w:before="65"/>
              <w:ind w:left="154"/>
              <w:rPr>
                <w:sz w:val="22"/>
              </w:rPr>
            </w:pPr>
            <w:r>
              <w:rPr>
                <w:spacing w:val="-2"/>
                <w:sz w:val="22"/>
              </w:rPr>
              <w:t>irregular</w:t>
            </w:r>
          </w:p>
        </w:tc>
        <w:tc>
          <w:tcPr>
            <w:tcW w:w="1642" w:type="dxa"/>
          </w:tcPr>
          <w:p>
            <w:pPr>
              <w:pStyle w:val="TableParagraph"/>
              <w:rPr>
                <w:sz w:val="22"/>
              </w:rPr>
            </w:pPr>
          </w:p>
        </w:tc>
        <w:tc>
          <w:tcPr>
            <w:tcW w:w="1244" w:type="dxa"/>
          </w:tcPr>
          <w:p>
            <w:pPr>
              <w:pStyle w:val="TableParagraph"/>
              <w:rPr>
                <w:sz w:val="22"/>
              </w:rPr>
            </w:pPr>
          </w:p>
        </w:tc>
      </w:tr>
      <w:tr>
        <w:trPr>
          <w:trHeight w:val="452" w:hRule="atLeast"/>
        </w:trPr>
        <w:tc>
          <w:tcPr>
            <w:tcW w:w="1203" w:type="dxa"/>
            <w:tcBorders>
              <w:bottom w:val="single" w:sz="4" w:space="0" w:color="000000"/>
            </w:tcBorders>
          </w:tcPr>
          <w:p>
            <w:pPr>
              <w:pStyle w:val="TableParagraph"/>
              <w:spacing w:before="65"/>
              <w:ind w:left="108"/>
              <w:rPr>
                <w:sz w:val="22"/>
              </w:rPr>
            </w:pPr>
            <w:r>
              <w:rPr>
                <w:spacing w:val="-2"/>
                <w:sz w:val="22"/>
              </w:rPr>
              <w:t>maize</w:t>
            </w:r>
          </w:p>
        </w:tc>
        <w:tc>
          <w:tcPr>
            <w:tcW w:w="1243" w:type="dxa"/>
            <w:tcBorders>
              <w:bottom w:val="single" w:sz="4" w:space="0" w:color="000000"/>
            </w:tcBorders>
          </w:tcPr>
          <w:p>
            <w:pPr>
              <w:pStyle w:val="TableParagraph"/>
              <w:rPr>
                <w:sz w:val="22"/>
              </w:rPr>
            </w:pPr>
          </w:p>
        </w:tc>
        <w:tc>
          <w:tcPr>
            <w:tcW w:w="1424" w:type="dxa"/>
            <w:tcBorders>
              <w:bottom w:val="single" w:sz="4" w:space="0" w:color="000000"/>
            </w:tcBorders>
          </w:tcPr>
          <w:p>
            <w:pPr>
              <w:pStyle w:val="TableParagraph"/>
              <w:rPr>
                <w:sz w:val="22"/>
              </w:rPr>
            </w:pPr>
          </w:p>
        </w:tc>
        <w:tc>
          <w:tcPr>
            <w:tcW w:w="1454" w:type="dxa"/>
            <w:tcBorders>
              <w:bottom w:val="single" w:sz="4" w:space="0" w:color="000000"/>
            </w:tcBorders>
          </w:tcPr>
          <w:p>
            <w:pPr>
              <w:pStyle w:val="TableParagraph"/>
              <w:spacing w:before="65"/>
              <w:ind w:left="154"/>
              <w:rPr>
                <w:sz w:val="22"/>
              </w:rPr>
            </w:pPr>
            <w:r>
              <w:rPr>
                <w:spacing w:val="-2"/>
                <w:sz w:val="22"/>
              </w:rPr>
              <w:t>elongated</w:t>
            </w:r>
          </w:p>
        </w:tc>
        <w:tc>
          <w:tcPr>
            <w:tcW w:w="1642" w:type="dxa"/>
            <w:tcBorders>
              <w:bottom w:val="single" w:sz="4" w:space="0" w:color="000000"/>
            </w:tcBorders>
          </w:tcPr>
          <w:p>
            <w:pPr>
              <w:pStyle w:val="TableParagraph"/>
              <w:rPr>
                <w:sz w:val="22"/>
              </w:rPr>
            </w:pPr>
          </w:p>
        </w:tc>
        <w:tc>
          <w:tcPr>
            <w:tcW w:w="1244" w:type="dxa"/>
            <w:tcBorders>
              <w:bottom w:val="single" w:sz="4" w:space="0" w:color="000000"/>
            </w:tcBorders>
          </w:tcPr>
          <w:p>
            <w:pPr>
              <w:pStyle w:val="TableParagraph"/>
              <w:rPr>
                <w:sz w:val="22"/>
              </w:rPr>
            </w:pPr>
          </w:p>
        </w:tc>
      </w:tr>
    </w:tbl>
    <w:p>
      <w:pPr>
        <w:pStyle w:val="BodyText"/>
        <w:rPr>
          <w:b/>
        </w:rPr>
      </w:pPr>
    </w:p>
    <w:p>
      <w:pPr>
        <w:pStyle w:val="BodyText"/>
        <w:spacing w:before="16"/>
        <w:rPr>
          <w:b/>
        </w:rPr>
      </w:pPr>
    </w:p>
    <w:p>
      <w:pPr>
        <w:pStyle w:val="BodyText"/>
        <w:ind w:left="1174"/>
      </w:pPr>
      <w:r>
        <w:rPr/>
        <w:t>*</w:t>
      </w:r>
      <w:r>
        <w:rPr>
          <w:spacing w:val="4"/>
        </w:rPr>
        <w:t> </w:t>
      </w:r>
      <w:r>
        <w:rPr/>
        <w:t>Maize</w:t>
      </w:r>
      <w:r>
        <w:rPr>
          <w:spacing w:val="9"/>
        </w:rPr>
        <w:t> </w:t>
      </w:r>
      <w:r>
        <w:rPr/>
        <w:t>is</w:t>
      </w:r>
      <w:r>
        <w:rPr>
          <w:spacing w:val="6"/>
        </w:rPr>
        <w:t> </w:t>
      </w:r>
      <w:r>
        <w:rPr/>
        <w:t>also</w:t>
      </w:r>
      <w:r>
        <w:rPr>
          <w:spacing w:val="14"/>
        </w:rPr>
        <w:t> </w:t>
      </w:r>
      <w:r>
        <w:rPr/>
        <w:t>referred</w:t>
      </w:r>
      <w:r>
        <w:rPr>
          <w:spacing w:val="10"/>
        </w:rPr>
        <w:t> </w:t>
      </w:r>
      <w:r>
        <w:rPr/>
        <w:t>to</w:t>
      </w:r>
      <w:r>
        <w:rPr>
          <w:spacing w:val="5"/>
        </w:rPr>
        <w:t> </w:t>
      </w:r>
      <w:r>
        <w:rPr/>
        <w:t>as</w:t>
      </w:r>
      <w:r>
        <w:rPr>
          <w:spacing w:val="6"/>
        </w:rPr>
        <w:t> </w:t>
      </w:r>
      <w:r>
        <w:rPr/>
        <w:t>“corn”,</w:t>
      </w:r>
      <w:r>
        <w:rPr>
          <w:spacing w:val="13"/>
        </w:rPr>
        <w:t> </w:t>
      </w:r>
      <w:r>
        <w:rPr/>
        <w:t>“dent</w:t>
      </w:r>
      <w:r>
        <w:rPr>
          <w:spacing w:val="7"/>
        </w:rPr>
        <w:t> </w:t>
      </w:r>
      <w:r>
        <w:rPr/>
        <w:t>corn,”</w:t>
      </w:r>
      <w:r>
        <w:rPr>
          <w:spacing w:val="3"/>
        </w:rPr>
        <w:t> </w:t>
      </w:r>
      <w:r>
        <w:rPr/>
        <w:t>or</w:t>
      </w:r>
      <w:r>
        <w:rPr>
          <w:spacing w:val="12"/>
        </w:rPr>
        <w:t> </w:t>
      </w:r>
      <w:r>
        <w:rPr/>
        <w:t>“regular</w:t>
      </w:r>
      <w:r>
        <w:rPr>
          <w:spacing w:val="9"/>
        </w:rPr>
        <w:t> </w:t>
      </w:r>
      <w:r>
        <w:rPr>
          <w:spacing w:val="-2"/>
        </w:rPr>
        <w:t>maize.”</w:t>
      </w:r>
    </w:p>
    <w:p>
      <w:pPr>
        <w:pStyle w:val="BodyText"/>
        <w:spacing w:before="12"/>
      </w:pPr>
    </w:p>
    <w:p>
      <w:pPr>
        <w:pStyle w:val="BodyText"/>
        <w:ind w:left="1140"/>
      </w:pPr>
      <w:r>
        <w:rPr/>
        <w:t>**</w:t>
      </w:r>
      <w:r>
        <w:rPr>
          <w:spacing w:val="42"/>
        </w:rPr>
        <w:t>  </w:t>
      </w:r>
      <w:r>
        <w:rPr/>
        <w:t>High</w:t>
      </w:r>
      <w:r>
        <w:rPr>
          <w:spacing w:val="7"/>
        </w:rPr>
        <w:t> </w:t>
      </w:r>
      <w:r>
        <w:rPr/>
        <w:t>amylose</w:t>
      </w:r>
      <w:r>
        <w:rPr>
          <w:spacing w:val="9"/>
        </w:rPr>
        <w:t> </w:t>
      </w:r>
      <w:r>
        <w:rPr/>
        <w:t>maize</w:t>
      </w:r>
      <w:r>
        <w:rPr>
          <w:spacing w:val="10"/>
        </w:rPr>
        <w:t> </w:t>
      </w:r>
      <w:r>
        <w:rPr/>
        <w:t>starch</w:t>
      </w:r>
      <w:r>
        <w:rPr>
          <w:spacing w:val="6"/>
        </w:rPr>
        <w:t> </w:t>
      </w:r>
      <w:r>
        <w:rPr/>
        <w:t>is</w:t>
      </w:r>
      <w:r>
        <w:rPr>
          <w:spacing w:val="13"/>
        </w:rPr>
        <w:t> </w:t>
      </w:r>
      <w:r>
        <w:rPr/>
        <w:t>not</w:t>
      </w:r>
      <w:r>
        <w:rPr>
          <w:spacing w:val="9"/>
        </w:rPr>
        <w:t> </w:t>
      </w:r>
      <w:r>
        <w:rPr/>
        <w:t>completely</w:t>
      </w:r>
      <w:r>
        <w:rPr>
          <w:spacing w:val="6"/>
        </w:rPr>
        <w:t> </w:t>
      </w:r>
      <w:r>
        <w:rPr/>
        <w:t>gelatinized</w:t>
      </w:r>
      <w:r>
        <w:rPr>
          <w:spacing w:val="16"/>
        </w:rPr>
        <w:t> </w:t>
      </w:r>
      <w:r>
        <w:rPr/>
        <w:t>in</w:t>
      </w:r>
      <w:r>
        <w:rPr>
          <w:spacing w:val="6"/>
        </w:rPr>
        <w:t> </w:t>
      </w:r>
      <w:r>
        <w:rPr/>
        <w:t>boiling</w:t>
      </w:r>
      <w:r>
        <w:rPr>
          <w:spacing w:val="7"/>
        </w:rPr>
        <w:t> </w:t>
      </w:r>
      <w:r>
        <w:rPr>
          <w:spacing w:val="-2"/>
        </w:rPr>
        <w:t>water.</w:t>
      </w:r>
    </w:p>
    <w:p>
      <w:pPr>
        <w:pStyle w:val="BodyText"/>
        <w:spacing w:before="243"/>
      </w:pPr>
    </w:p>
    <w:p>
      <w:pPr>
        <w:pStyle w:val="Heading2"/>
        <w:numPr>
          <w:ilvl w:val="1"/>
          <w:numId w:val="11"/>
        </w:numPr>
        <w:tabs>
          <w:tab w:pos="1342" w:val="left" w:leader="none"/>
        </w:tabs>
        <w:spacing w:line="240" w:lineRule="auto" w:before="0" w:after="0"/>
        <w:ind w:left="1342" w:right="0" w:hanging="677"/>
        <w:jc w:val="left"/>
      </w:pPr>
      <w:bookmarkStart w:name="_TOC_250143" w:id="18"/>
      <w:r>
        <w:rPr/>
        <w:t>Starch</w:t>
      </w:r>
      <w:r>
        <w:rPr>
          <w:spacing w:val="17"/>
        </w:rPr>
        <w:t> </w:t>
      </w:r>
      <w:bookmarkEnd w:id="18"/>
      <w:r>
        <w:rPr>
          <w:spacing w:val="-2"/>
        </w:rPr>
        <w:t>Extraction</w:t>
      </w:r>
    </w:p>
    <w:p>
      <w:pPr>
        <w:pStyle w:val="BodyText"/>
        <w:spacing w:line="491" w:lineRule="auto" w:before="216"/>
        <w:ind w:left="665" w:right="1859" w:firstLine="676"/>
        <w:jc w:val="both"/>
      </w:pPr>
      <w:r>
        <w:rPr/>
        <w:t>At the end of the 19</w:t>
      </w:r>
      <w:r>
        <w:rPr>
          <w:vertAlign w:val="superscript"/>
        </w:rPr>
        <w:t>th</w:t>
      </w:r>
      <w:r>
        <w:rPr>
          <w:vertAlign w:val="baseline"/>
        </w:rPr>
        <w:t> century, the United State of America (USA) employed the wet</w:t>
      </w:r>
      <w:r>
        <w:rPr>
          <w:spacing w:val="40"/>
          <w:vertAlign w:val="baseline"/>
        </w:rPr>
        <w:t> </w:t>
      </w:r>
      <w:r>
        <w:rPr>
          <w:vertAlign w:val="baseline"/>
        </w:rPr>
        <w:t>technique</w:t>
      </w:r>
      <w:r>
        <w:rPr>
          <w:spacing w:val="40"/>
          <w:vertAlign w:val="baseline"/>
        </w:rPr>
        <w:t> </w:t>
      </w:r>
      <w:r>
        <w:rPr>
          <w:vertAlign w:val="baseline"/>
        </w:rPr>
        <w:t>in</w:t>
      </w:r>
      <w:r>
        <w:rPr>
          <w:spacing w:val="40"/>
          <w:vertAlign w:val="baseline"/>
        </w:rPr>
        <w:t> </w:t>
      </w:r>
      <w:r>
        <w:rPr>
          <w:vertAlign w:val="baseline"/>
        </w:rPr>
        <w:t>extraction</w:t>
      </w:r>
      <w:r>
        <w:rPr>
          <w:spacing w:val="40"/>
          <w:vertAlign w:val="baseline"/>
        </w:rPr>
        <w:t> </w:t>
      </w:r>
      <w:r>
        <w:rPr>
          <w:vertAlign w:val="baseline"/>
        </w:rPr>
        <w:t>of</w:t>
      </w:r>
      <w:r>
        <w:rPr>
          <w:spacing w:val="40"/>
          <w:vertAlign w:val="baseline"/>
        </w:rPr>
        <w:t> </w:t>
      </w:r>
      <w:r>
        <w:rPr>
          <w:vertAlign w:val="baseline"/>
        </w:rPr>
        <w:t>maize</w:t>
      </w:r>
      <w:r>
        <w:rPr>
          <w:spacing w:val="40"/>
          <w:vertAlign w:val="baseline"/>
        </w:rPr>
        <w:t> </w:t>
      </w:r>
      <w:r>
        <w:rPr>
          <w:vertAlign w:val="baseline"/>
        </w:rPr>
        <w:t>starch</w:t>
      </w:r>
      <w:r>
        <w:rPr>
          <w:spacing w:val="40"/>
          <w:vertAlign w:val="baseline"/>
        </w:rPr>
        <w:t> </w:t>
      </w:r>
      <w:r>
        <w:rPr>
          <w:vertAlign w:val="baseline"/>
        </w:rPr>
        <w:t>while</w:t>
      </w:r>
      <w:r>
        <w:rPr>
          <w:spacing w:val="40"/>
          <w:vertAlign w:val="baseline"/>
        </w:rPr>
        <w:t> </w:t>
      </w:r>
      <w:r>
        <w:rPr>
          <w:vertAlign w:val="baseline"/>
        </w:rPr>
        <w:t>potato</w:t>
      </w:r>
      <w:r>
        <w:rPr>
          <w:spacing w:val="40"/>
          <w:vertAlign w:val="baseline"/>
        </w:rPr>
        <w:t> </w:t>
      </w:r>
      <w:r>
        <w:rPr>
          <w:vertAlign w:val="baseline"/>
        </w:rPr>
        <w:t>starch</w:t>
      </w:r>
      <w:r>
        <w:rPr>
          <w:spacing w:val="40"/>
          <w:vertAlign w:val="baseline"/>
        </w:rPr>
        <w:t> </w:t>
      </w:r>
      <w:r>
        <w:rPr>
          <w:vertAlign w:val="baseline"/>
        </w:rPr>
        <w:t>extraction</w:t>
      </w:r>
      <w:r>
        <w:rPr>
          <w:spacing w:val="40"/>
          <w:vertAlign w:val="baseline"/>
        </w:rPr>
        <w:t> </w:t>
      </w:r>
      <w:r>
        <w:rPr>
          <w:vertAlign w:val="baseline"/>
        </w:rPr>
        <w:t>was developed in Europe. The wet method of extraction involves cleaning and or washing,</w:t>
      </w:r>
      <w:r>
        <w:rPr>
          <w:spacing w:val="40"/>
          <w:vertAlign w:val="baseline"/>
        </w:rPr>
        <w:t> </w:t>
      </w:r>
      <w:r>
        <w:rPr>
          <w:vertAlign w:val="baseline"/>
        </w:rPr>
        <w:t>then</w:t>
      </w:r>
      <w:r>
        <w:rPr>
          <w:spacing w:val="39"/>
          <w:vertAlign w:val="baseline"/>
        </w:rPr>
        <w:t> </w:t>
      </w:r>
      <w:r>
        <w:rPr>
          <w:vertAlign w:val="baseline"/>
        </w:rPr>
        <w:t>steeping</w:t>
      </w:r>
      <w:r>
        <w:rPr>
          <w:spacing w:val="40"/>
          <w:vertAlign w:val="baseline"/>
        </w:rPr>
        <w:t> </w:t>
      </w:r>
      <w:r>
        <w:rPr>
          <w:vertAlign w:val="baseline"/>
        </w:rPr>
        <w:t>for</w:t>
      </w:r>
      <w:r>
        <w:rPr>
          <w:spacing w:val="40"/>
          <w:vertAlign w:val="baseline"/>
        </w:rPr>
        <w:t> </w:t>
      </w:r>
      <w:r>
        <w:rPr>
          <w:vertAlign w:val="baseline"/>
        </w:rPr>
        <w:t>a</w:t>
      </w:r>
      <w:r>
        <w:rPr>
          <w:spacing w:val="40"/>
          <w:vertAlign w:val="baseline"/>
        </w:rPr>
        <w:t> </w:t>
      </w:r>
      <w:r>
        <w:rPr>
          <w:vertAlign w:val="baseline"/>
        </w:rPr>
        <w:t>specified</w:t>
      </w:r>
      <w:r>
        <w:rPr>
          <w:spacing w:val="40"/>
          <w:vertAlign w:val="baseline"/>
        </w:rPr>
        <w:t> </w:t>
      </w:r>
      <w:r>
        <w:rPr>
          <w:vertAlign w:val="baseline"/>
        </w:rPr>
        <w:t>period.</w:t>
      </w:r>
      <w:r>
        <w:rPr>
          <w:spacing w:val="40"/>
          <w:vertAlign w:val="baseline"/>
        </w:rPr>
        <w:t> </w:t>
      </w:r>
      <w:r>
        <w:rPr>
          <w:vertAlign w:val="baseline"/>
        </w:rPr>
        <w:t>The</w:t>
      </w:r>
      <w:r>
        <w:rPr>
          <w:spacing w:val="37"/>
          <w:vertAlign w:val="baseline"/>
        </w:rPr>
        <w:t> </w:t>
      </w:r>
      <w:r>
        <w:rPr>
          <w:vertAlign w:val="baseline"/>
        </w:rPr>
        <w:t>steeped</w:t>
      </w:r>
      <w:r>
        <w:rPr>
          <w:spacing w:val="39"/>
          <w:vertAlign w:val="baseline"/>
        </w:rPr>
        <w:t> </w:t>
      </w:r>
      <w:r>
        <w:rPr>
          <w:vertAlign w:val="baseline"/>
        </w:rPr>
        <w:t>material</w:t>
      </w:r>
      <w:r>
        <w:rPr>
          <w:spacing w:val="40"/>
          <w:vertAlign w:val="baseline"/>
        </w:rPr>
        <w:t> </w:t>
      </w:r>
      <w:r>
        <w:rPr>
          <w:vertAlign w:val="baseline"/>
        </w:rPr>
        <w:t>is</w:t>
      </w:r>
      <w:r>
        <w:rPr>
          <w:spacing w:val="40"/>
          <w:vertAlign w:val="baseline"/>
        </w:rPr>
        <w:t> </w:t>
      </w:r>
      <w:r>
        <w:rPr>
          <w:vertAlign w:val="baseline"/>
        </w:rPr>
        <w:t>then</w:t>
      </w:r>
      <w:r>
        <w:rPr>
          <w:spacing w:val="39"/>
          <w:vertAlign w:val="baseline"/>
        </w:rPr>
        <w:t> </w:t>
      </w:r>
      <w:r>
        <w:rPr>
          <w:vertAlign w:val="baseline"/>
        </w:rPr>
        <w:t>milled,</w:t>
      </w:r>
      <w:r>
        <w:rPr>
          <w:spacing w:val="40"/>
          <w:vertAlign w:val="baseline"/>
        </w:rPr>
        <w:t> </w:t>
      </w:r>
      <w:r>
        <w:rPr>
          <w:vertAlign w:val="baseline"/>
        </w:rPr>
        <w:t>filtered</w:t>
      </w:r>
      <w:r>
        <w:rPr>
          <w:spacing w:val="40"/>
          <w:vertAlign w:val="baseline"/>
        </w:rPr>
        <w:t> </w:t>
      </w:r>
      <w:r>
        <w:rPr>
          <w:vertAlign w:val="baseline"/>
        </w:rPr>
        <w:t>and then</w:t>
      </w:r>
      <w:r>
        <w:rPr>
          <w:spacing w:val="27"/>
          <w:vertAlign w:val="baseline"/>
        </w:rPr>
        <w:t> </w:t>
      </w:r>
      <w:r>
        <w:rPr>
          <w:vertAlign w:val="baseline"/>
        </w:rPr>
        <w:t>sodium</w:t>
      </w:r>
      <w:r>
        <w:rPr>
          <w:spacing w:val="33"/>
          <w:vertAlign w:val="baseline"/>
        </w:rPr>
        <w:t> </w:t>
      </w:r>
      <w:r>
        <w:rPr>
          <w:vertAlign w:val="baseline"/>
        </w:rPr>
        <w:t>hydroxide</w:t>
      </w:r>
      <w:r>
        <w:rPr>
          <w:spacing w:val="31"/>
          <w:vertAlign w:val="baseline"/>
        </w:rPr>
        <w:t> </w:t>
      </w:r>
      <w:r>
        <w:rPr>
          <w:vertAlign w:val="baseline"/>
        </w:rPr>
        <w:t>solution</w:t>
      </w:r>
      <w:r>
        <w:rPr>
          <w:spacing w:val="27"/>
          <w:vertAlign w:val="baseline"/>
        </w:rPr>
        <w:t> </w:t>
      </w:r>
      <w:r>
        <w:rPr>
          <w:vertAlign w:val="baseline"/>
        </w:rPr>
        <w:t>added</w:t>
      </w:r>
      <w:r>
        <w:rPr>
          <w:spacing w:val="33"/>
          <w:vertAlign w:val="baseline"/>
        </w:rPr>
        <w:t> </w:t>
      </w:r>
      <w:r>
        <w:rPr>
          <w:vertAlign w:val="baseline"/>
        </w:rPr>
        <w:t>to</w:t>
      </w:r>
      <w:r>
        <w:rPr>
          <w:spacing w:val="39"/>
          <w:vertAlign w:val="baseline"/>
        </w:rPr>
        <w:t> </w:t>
      </w:r>
      <w:r>
        <w:rPr>
          <w:vertAlign w:val="baseline"/>
        </w:rPr>
        <w:t>separate</w:t>
      </w:r>
      <w:r>
        <w:rPr>
          <w:spacing w:val="26"/>
          <w:vertAlign w:val="baseline"/>
        </w:rPr>
        <w:t> </w:t>
      </w:r>
      <w:r>
        <w:rPr>
          <w:vertAlign w:val="baseline"/>
        </w:rPr>
        <w:t>starch</w:t>
      </w:r>
      <w:r>
        <w:rPr>
          <w:spacing w:val="27"/>
          <w:vertAlign w:val="baseline"/>
        </w:rPr>
        <w:t> </w:t>
      </w:r>
      <w:r>
        <w:rPr>
          <w:vertAlign w:val="baseline"/>
        </w:rPr>
        <w:t>from</w:t>
      </w:r>
      <w:r>
        <w:rPr>
          <w:spacing w:val="21"/>
          <w:vertAlign w:val="baseline"/>
        </w:rPr>
        <w:t> </w:t>
      </w:r>
      <w:r>
        <w:rPr>
          <w:vertAlign w:val="baseline"/>
        </w:rPr>
        <w:t>protein.</w:t>
      </w:r>
      <w:r>
        <w:rPr>
          <w:spacing w:val="31"/>
          <w:vertAlign w:val="baseline"/>
        </w:rPr>
        <w:t> </w:t>
      </w:r>
      <w:r>
        <w:rPr>
          <w:vertAlign w:val="baseline"/>
        </w:rPr>
        <w:t>The</w:t>
      </w:r>
      <w:r>
        <w:rPr>
          <w:spacing w:val="26"/>
          <w:vertAlign w:val="baseline"/>
        </w:rPr>
        <w:t> </w:t>
      </w:r>
      <w:r>
        <w:rPr>
          <w:vertAlign w:val="baseline"/>
        </w:rPr>
        <w:t>pure</w:t>
      </w:r>
      <w:r>
        <w:rPr>
          <w:spacing w:val="31"/>
          <w:vertAlign w:val="baseline"/>
        </w:rPr>
        <w:t> </w:t>
      </w:r>
      <w:r>
        <w:rPr>
          <w:vertAlign w:val="baseline"/>
        </w:rPr>
        <w:t>starch is obtained by sedimentation and dried.</w:t>
      </w:r>
    </w:p>
    <w:p>
      <w:pPr>
        <w:spacing w:after="0" w:line="491" w:lineRule="auto"/>
        <w:jc w:val="both"/>
        <w:sectPr>
          <w:pgSz w:w="12240" w:h="15840"/>
          <w:pgMar w:header="0" w:footer="999" w:top="1260" w:bottom="1180" w:left="1720" w:right="0"/>
        </w:sectPr>
      </w:pPr>
    </w:p>
    <w:p>
      <w:pPr>
        <w:pStyle w:val="BodyText"/>
        <w:spacing w:line="491" w:lineRule="auto" w:before="75"/>
        <w:ind w:left="665" w:right="1862" w:firstLine="676"/>
        <w:jc w:val="both"/>
      </w:pPr>
      <w:r>
        <w:rPr/>
        <w:t>Recently, starch extraction is a subject of extensive research. Several new</w:t>
      </w:r>
      <w:r>
        <w:rPr>
          <w:spacing w:val="80"/>
        </w:rPr>
        <w:t> </w:t>
      </w:r>
      <w:r>
        <w:rPr/>
        <w:t>methods are employed; e.g. (1) microbial softening technique; (2) use of microfluidiser; and (3) enzymatic starch extraction.</w:t>
      </w:r>
    </w:p>
    <w:p>
      <w:pPr>
        <w:pStyle w:val="Heading2"/>
        <w:numPr>
          <w:ilvl w:val="2"/>
          <w:numId w:val="11"/>
        </w:numPr>
        <w:tabs>
          <w:tab w:pos="1342" w:val="left" w:leader="none"/>
        </w:tabs>
        <w:spacing w:line="240" w:lineRule="auto" w:before="230" w:after="0"/>
        <w:ind w:left="1342" w:right="0" w:hanging="677"/>
        <w:jc w:val="left"/>
      </w:pPr>
      <w:bookmarkStart w:name="_TOC_250142" w:id="19"/>
      <w:r>
        <w:rPr/>
        <w:t>Microbial</w:t>
      </w:r>
      <w:r>
        <w:rPr>
          <w:spacing w:val="21"/>
        </w:rPr>
        <w:t> </w:t>
      </w:r>
      <w:r>
        <w:rPr/>
        <w:t>softening</w:t>
      </w:r>
      <w:r>
        <w:rPr>
          <w:spacing w:val="13"/>
        </w:rPr>
        <w:t> </w:t>
      </w:r>
      <w:bookmarkEnd w:id="19"/>
      <w:r>
        <w:rPr>
          <w:spacing w:val="-2"/>
        </w:rPr>
        <w:t>technique</w:t>
      </w:r>
    </w:p>
    <w:p>
      <w:pPr>
        <w:pStyle w:val="BodyText"/>
        <w:spacing w:line="491" w:lineRule="auto" w:before="246"/>
        <w:ind w:left="665" w:right="1856" w:firstLine="676"/>
        <w:jc w:val="both"/>
      </w:pPr>
      <w:r>
        <w:rPr/>
        <w:t>According to</w:t>
      </w:r>
      <w:r>
        <w:rPr>
          <w:spacing w:val="20"/>
        </w:rPr>
        <w:t> </w:t>
      </w:r>
      <w:r>
        <w:rPr/>
        <w:t>Eyini </w:t>
      </w:r>
      <w:r>
        <w:rPr>
          <w:i/>
        </w:rPr>
        <w:t>et al </w:t>
      </w:r>
      <w:r>
        <w:rPr/>
        <w:t>(2005) 64 – 91 percent starch was extracted</w:t>
      </w:r>
      <w:r>
        <w:rPr>
          <w:spacing w:val="20"/>
        </w:rPr>
        <w:t> </w:t>
      </w:r>
      <w:r>
        <w:rPr/>
        <w:t>from tubers of</w:t>
      </w:r>
      <w:r>
        <w:rPr>
          <w:spacing w:val="39"/>
        </w:rPr>
        <w:t> </w:t>
      </w:r>
      <w:r>
        <w:rPr>
          <w:i/>
        </w:rPr>
        <w:t>Dioscorea</w:t>
      </w:r>
      <w:r>
        <w:rPr>
          <w:i/>
          <w:spacing w:val="40"/>
        </w:rPr>
        <w:t> </w:t>
      </w:r>
      <w:r>
        <w:rPr>
          <w:i/>
        </w:rPr>
        <w:t>alata</w:t>
      </w:r>
      <w:r>
        <w:rPr>
          <w:i/>
          <w:spacing w:val="40"/>
        </w:rPr>
        <w:t> </w:t>
      </w:r>
      <w:r>
        <w:rPr/>
        <w:t>through</w:t>
      </w:r>
      <w:r>
        <w:rPr>
          <w:spacing w:val="40"/>
        </w:rPr>
        <w:t> </w:t>
      </w:r>
      <w:r>
        <w:rPr/>
        <w:t>microbial</w:t>
      </w:r>
      <w:r>
        <w:rPr>
          <w:spacing w:val="40"/>
        </w:rPr>
        <w:t> </w:t>
      </w:r>
      <w:r>
        <w:rPr/>
        <w:t>softening</w:t>
      </w:r>
      <w:r>
        <w:rPr>
          <w:spacing w:val="34"/>
        </w:rPr>
        <w:t> </w:t>
      </w:r>
      <w:r>
        <w:rPr/>
        <w:t>technique.</w:t>
      </w:r>
      <w:r>
        <w:rPr>
          <w:spacing w:val="40"/>
        </w:rPr>
        <w:t> </w:t>
      </w:r>
      <w:r>
        <w:rPr/>
        <w:t>Microorganisms</w:t>
      </w:r>
      <w:r>
        <w:rPr>
          <w:spacing w:val="40"/>
        </w:rPr>
        <w:t> </w:t>
      </w:r>
      <w:r>
        <w:rPr/>
        <w:t>that</w:t>
      </w:r>
      <w:r>
        <w:rPr>
          <w:spacing w:val="40"/>
        </w:rPr>
        <w:t> </w:t>
      </w:r>
      <w:r>
        <w:rPr/>
        <w:t>could be used include bacteria and yeasts.</w:t>
      </w:r>
    </w:p>
    <w:p>
      <w:pPr>
        <w:pStyle w:val="Heading2"/>
        <w:numPr>
          <w:ilvl w:val="2"/>
          <w:numId w:val="11"/>
        </w:numPr>
        <w:tabs>
          <w:tab w:pos="1342" w:val="left" w:leader="none"/>
        </w:tabs>
        <w:spacing w:line="240" w:lineRule="auto" w:before="230" w:after="0"/>
        <w:ind w:left="1342" w:right="0" w:hanging="677"/>
        <w:jc w:val="left"/>
      </w:pPr>
      <w:bookmarkStart w:name="_TOC_250141" w:id="20"/>
      <w:r>
        <w:rPr/>
        <w:t>Use</w:t>
      </w:r>
      <w:r>
        <w:rPr>
          <w:spacing w:val="8"/>
        </w:rPr>
        <w:t> </w:t>
      </w:r>
      <w:r>
        <w:rPr/>
        <w:t>of</w:t>
      </w:r>
      <w:r>
        <w:rPr>
          <w:spacing w:val="9"/>
        </w:rPr>
        <w:t> </w:t>
      </w:r>
      <w:bookmarkEnd w:id="20"/>
      <w:r>
        <w:rPr>
          <w:spacing w:val="-2"/>
        </w:rPr>
        <w:t>Microfluidiser</w:t>
      </w:r>
    </w:p>
    <w:p>
      <w:pPr>
        <w:pStyle w:val="BodyText"/>
        <w:spacing w:line="491" w:lineRule="auto" w:before="246"/>
        <w:ind w:left="665" w:right="1857" w:firstLine="676"/>
        <w:jc w:val="both"/>
      </w:pPr>
      <w:r>
        <w:rPr/>
        <w:t>This involves the use of a machine to physically split apart the starch-protein content. The process of extraction is carried out without steeping which involves use of hydroxide solution which is corrosive. As the starch passes through the microfluidiser, yields of many small individual particles of starch and protein uniformly disperse in a watery</w:t>
      </w:r>
      <w:r>
        <w:rPr>
          <w:spacing w:val="40"/>
        </w:rPr>
        <w:t> </w:t>
      </w:r>
      <w:r>
        <w:rPr/>
        <w:t>matrix.</w:t>
      </w:r>
      <w:r>
        <w:rPr>
          <w:spacing w:val="40"/>
        </w:rPr>
        <w:t> </w:t>
      </w:r>
      <w:r>
        <w:rPr/>
        <w:t>The</w:t>
      </w:r>
      <w:r>
        <w:rPr>
          <w:spacing w:val="40"/>
        </w:rPr>
        <w:t> </w:t>
      </w:r>
      <w:r>
        <w:rPr/>
        <w:t>starch</w:t>
      </w:r>
      <w:r>
        <w:rPr>
          <w:spacing w:val="40"/>
        </w:rPr>
        <w:t> </w:t>
      </w:r>
      <w:r>
        <w:rPr/>
        <w:t>and</w:t>
      </w:r>
      <w:r>
        <w:rPr>
          <w:spacing w:val="40"/>
        </w:rPr>
        <w:t> </w:t>
      </w:r>
      <w:r>
        <w:rPr/>
        <w:t>protein</w:t>
      </w:r>
      <w:r>
        <w:rPr>
          <w:spacing w:val="40"/>
        </w:rPr>
        <w:t> </w:t>
      </w:r>
      <w:r>
        <w:rPr/>
        <w:t>constituents</w:t>
      </w:r>
      <w:r>
        <w:rPr>
          <w:spacing w:val="40"/>
        </w:rPr>
        <w:t> </w:t>
      </w:r>
      <w:r>
        <w:rPr/>
        <w:t>can</w:t>
      </w:r>
      <w:r>
        <w:rPr>
          <w:spacing w:val="40"/>
        </w:rPr>
        <w:t> </w:t>
      </w:r>
      <w:r>
        <w:rPr/>
        <w:t>be</w:t>
      </w:r>
      <w:r>
        <w:rPr>
          <w:spacing w:val="40"/>
        </w:rPr>
        <w:t> </w:t>
      </w:r>
      <w:r>
        <w:rPr/>
        <w:t>separated</w:t>
      </w:r>
      <w:r>
        <w:rPr>
          <w:spacing w:val="40"/>
        </w:rPr>
        <w:t> </w:t>
      </w:r>
      <w:r>
        <w:rPr/>
        <w:t>by traditional density-based separation technique.</w:t>
      </w:r>
    </w:p>
    <w:p>
      <w:pPr>
        <w:pStyle w:val="Heading2"/>
        <w:numPr>
          <w:ilvl w:val="2"/>
          <w:numId w:val="11"/>
        </w:numPr>
        <w:tabs>
          <w:tab w:pos="1399" w:val="left" w:leader="none"/>
        </w:tabs>
        <w:spacing w:line="240" w:lineRule="auto" w:before="229" w:after="0"/>
        <w:ind w:left="1399" w:right="0" w:hanging="734"/>
        <w:jc w:val="left"/>
      </w:pPr>
      <w:bookmarkStart w:name="_TOC_250140" w:id="21"/>
      <w:r>
        <w:rPr/>
        <w:t>Enzymatic</w:t>
      </w:r>
      <w:r>
        <w:rPr>
          <w:spacing w:val="18"/>
        </w:rPr>
        <w:t> </w:t>
      </w:r>
      <w:r>
        <w:rPr/>
        <w:t>starch</w:t>
      </w:r>
      <w:r>
        <w:rPr>
          <w:spacing w:val="11"/>
        </w:rPr>
        <w:t> </w:t>
      </w:r>
      <w:bookmarkEnd w:id="21"/>
      <w:r>
        <w:rPr>
          <w:spacing w:val="-2"/>
        </w:rPr>
        <w:t>extraction</w:t>
      </w:r>
    </w:p>
    <w:p>
      <w:pPr>
        <w:pStyle w:val="BodyText"/>
        <w:spacing w:line="491" w:lineRule="auto" w:before="247"/>
        <w:ind w:left="665" w:right="1854" w:firstLine="676"/>
        <w:jc w:val="both"/>
      </w:pPr>
      <w:r>
        <w:rPr/>
        <w:t>The</w:t>
      </w:r>
      <w:r>
        <w:rPr>
          <w:spacing w:val="24"/>
        </w:rPr>
        <w:t> </w:t>
      </w:r>
      <w:r>
        <w:rPr/>
        <w:t>wet</w:t>
      </w:r>
      <w:r>
        <w:rPr>
          <w:spacing w:val="24"/>
        </w:rPr>
        <w:t> </w:t>
      </w:r>
      <w:r>
        <w:rPr/>
        <w:t>method</w:t>
      </w:r>
      <w:r>
        <w:rPr>
          <w:spacing w:val="27"/>
        </w:rPr>
        <w:t> </w:t>
      </w:r>
      <w:r>
        <w:rPr/>
        <w:t>of extraction (milling,</w:t>
      </w:r>
      <w:r>
        <w:rPr>
          <w:spacing w:val="25"/>
        </w:rPr>
        <w:t> </w:t>
      </w:r>
      <w:r>
        <w:rPr/>
        <w:t>sieving,</w:t>
      </w:r>
      <w:r>
        <w:rPr>
          <w:spacing w:val="31"/>
        </w:rPr>
        <w:t> </w:t>
      </w:r>
      <w:r>
        <w:rPr/>
        <w:t>sedimentation and</w:t>
      </w:r>
      <w:r>
        <w:rPr>
          <w:spacing w:val="28"/>
        </w:rPr>
        <w:t> </w:t>
      </w:r>
      <w:r>
        <w:rPr/>
        <w:t>drying)</w:t>
      </w:r>
      <w:r>
        <w:rPr>
          <w:spacing w:val="25"/>
        </w:rPr>
        <w:t> </w:t>
      </w:r>
      <w:r>
        <w:rPr/>
        <w:t>leads to</w:t>
      </w:r>
      <w:r>
        <w:rPr>
          <w:spacing w:val="23"/>
        </w:rPr>
        <w:t> </w:t>
      </w:r>
      <w:r>
        <w:rPr/>
        <w:t>up</w:t>
      </w:r>
      <w:r>
        <w:rPr>
          <w:spacing w:val="29"/>
        </w:rPr>
        <w:t> </w:t>
      </w:r>
      <w:r>
        <w:rPr/>
        <w:t>to</w:t>
      </w:r>
      <w:r>
        <w:rPr>
          <w:spacing w:val="29"/>
        </w:rPr>
        <w:t> </w:t>
      </w:r>
      <w:r>
        <w:rPr/>
        <w:t>20</w:t>
      </w:r>
      <w:r>
        <w:rPr>
          <w:spacing w:val="29"/>
        </w:rPr>
        <w:t> </w:t>
      </w:r>
      <w:r>
        <w:rPr/>
        <w:t>%</w:t>
      </w:r>
      <w:r>
        <w:rPr>
          <w:spacing w:val="15"/>
        </w:rPr>
        <w:t> </w:t>
      </w:r>
      <w:r>
        <w:rPr/>
        <w:t>of</w:t>
      </w:r>
      <w:r>
        <w:rPr>
          <w:spacing w:val="17"/>
        </w:rPr>
        <w:t> </w:t>
      </w:r>
      <w:r>
        <w:rPr/>
        <w:t>starch</w:t>
      </w:r>
      <w:r>
        <w:rPr>
          <w:spacing w:val="23"/>
        </w:rPr>
        <w:t> </w:t>
      </w:r>
      <w:r>
        <w:rPr/>
        <w:t>loss</w:t>
      </w:r>
      <w:r>
        <w:rPr>
          <w:spacing w:val="18"/>
        </w:rPr>
        <w:t> </w:t>
      </w:r>
      <w:r>
        <w:rPr/>
        <w:t>and</w:t>
      </w:r>
      <w:r>
        <w:rPr>
          <w:spacing w:val="23"/>
        </w:rPr>
        <w:t> </w:t>
      </w:r>
      <w:r>
        <w:rPr/>
        <w:t>also</w:t>
      </w:r>
      <w:r>
        <w:rPr>
          <w:spacing w:val="23"/>
        </w:rPr>
        <w:t> </w:t>
      </w:r>
      <w:r>
        <w:rPr/>
        <w:t>involves</w:t>
      </w:r>
      <w:r>
        <w:rPr>
          <w:spacing w:val="24"/>
        </w:rPr>
        <w:t> </w:t>
      </w:r>
      <w:r>
        <w:rPr/>
        <w:t>high</w:t>
      </w:r>
      <w:r>
        <w:rPr>
          <w:spacing w:val="18"/>
        </w:rPr>
        <w:t> </w:t>
      </w:r>
      <w:r>
        <w:rPr/>
        <w:t>energy</w:t>
      </w:r>
      <w:r>
        <w:rPr>
          <w:spacing w:val="17"/>
        </w:rPr>
        <w:t> </w:t>
      </w:r>
      <w:r>
        <w:rPr/>
        <w:t>inputs,</w:t>
      </w:r>
      <w:r>
        <w:rPr>
          <w:spacing w:val="22"/>
        </w:rPr>
        <w:t> </w:t>
      </w:r>
      <w:r>
        <w:rPr/>
        <w:t>use</w:t>
      </w:r>
      <w:r>
        <w:rPr>
          <w:spacing w:val="16"/>
        </w:rPr>
        <w:t> </w:t>
      </w:r>
      <w:r>
        <w:rPr/>
        <w:t>of</w:t>
      </w:r>
      <w:r>
        <w:rPr>
          <w:spacing w:val="17"/>
        </w:rPr>
        <w:t> </w:t>
      </w:r>
      <w:r>
        <w:rPr/>
        <w:t>large</w:t>
      </w:r>
      <w:r>
        <w:rPr>
          <w:spacing w:val="21"/>
        </w:rPr>
        <w:t> </w:t>
      </w:r>
      <w:r>
        <w:rPr/>
        <w:t>quantity of water and expensive machinery. Thus, the use of commercial cell wall degrading enzymes to release starch from cassava roots to enhance recovery has been investigated (Kallabinski and Balagopalan, 2005). The combination of enzymes (Pectinases and Cellulases) for starch recovery from milled cassava samples led to an increase in starch yield (21.49 %) compared to the wet method of extraction.</w:t>
      </w:r>
    </w:p>
    <w:p>
      <w:pPr>
        <w:spacing w:after="0" w:line="491" w:lineRule="auto"/>
        <w:jc w:val="both"/>
        <w:sectPr>
          <w:pgSz w:w="12240" w:h="15840"/>
          <w:pgMar w:header="0" w:footer="999" w:top="1260" w:bottom="1180" w:left="1720" w:right="0"/>
        </w:sectPr>
      </w:pPr>
    </w:p>
    <w:p>
      <w:pPr>
        <w:pStyle w:val="Heading2"/>
        <w:numPr>
          <w:ilvl w:val="1"/>
          <w:numId w:val="11"/>
        </w:numPr>
        <w:tabs>
          <w:tab w:pos="1342" w:val="left" w:leader="none"/>
        </w:tabs>
        <w:spacing w:line="240" w:lineRule="auto" w:before="80" w:after="0"/>
        <w:ind w:left="1342" w:right="0" w:hanging="677"/>
        <w:jc w:val="left"/>
      </w:pPr>
      <w:bookmarkStart w:name="_TOC_250139" w:id="22"/>
      <w:r>
        <w:rPr/>
        <w:t>Modification</w:t>
      </w:r>
      <w:r>
        <w:rPr>
          <w:spacing w:val="11"/>
        </w:rPr>
        <w:t> </w:t>
      </w:r>
      <w:r>
        <w:rPr/>
        <w:t>of</w:t>
      </w:r>
      <w:r>
        <w:rPr>
          <w:spacing w:val="20"/>
        </w:rPr>
        <w:t> </w:t>
      </w:r>
      <w:bookmarkEnd w:id="22"/>
      <w:r>
        <w:rPr>
          <w:spacing w:val="-2"/>
        </w:rPr>
        <w:t>Starch</w:t>
      </w:r>
    </w:p>
    <w:p>
      <w:pPr>
        <w:pStyle w:val="BodyText"/>
        <w:spacing w:line="491" w:lineRule="auto" w:before="246"/>
        <w:ind w:left="665" w:right="1859" w:firstLine="676"/>
        <w:jc w:val="both"/>
      </w:pPr>
      <w:r>
        <w:rPr/>
        <w:t>Modification of starch involves altering the structure and affecting the hydrogen bonding in a controllable manner to enhance and extend their application.</w:t>
      </w:r>
    </w:p>
    <w:p>
      <w:pPr>
        <w:pStyle w:val="BodyText"/>
        <w:spacing w:line="491" w:lineRule="auto"/>
        <w:ind w:left="665" w:right="1857" w:firstLine="676"/>
        <w:jc w:val="both"/>
      </w:pPr>
      <w:r>
        <w:rPr/>
        <w:t>The chemical and biochemical modification occur through: (1) cross-linking; (2) stabilization; (3) Conversions (acid hydrolysis, oxidation, dextrinization, enzyme hydrolysis);</w:t>
      </w:r>
      <w:r>
        <w:rPr>
          <w:spacing w:val="80"/>
        </w:rPr>
        <w:t> </w:t>
      </w:r>
      <w:r>
        <w:rPr/>
        <w:t>(4)</w:t>
      </w:r>
      <w:r>
        <w:rPr>
          <w:spacing w:val="80"/>
        </w:rPr>
        <w:t> </w:t>
      </w:r>
      <w:r>
        <w:rPr/>
        <w:t>lipophilic</w:t>
      </w:r>
      <w:r>
        <w:rPr>
          <w:spacing w:val="80"/>
        </w:rPr>
        <w:t> </w:t>
      </w:r>
      <w:r>
        <w:rPr/>
        <w:t>substitution;</w:t>
      </w:r>
      <w:r>
        <w:rPr>
          <w:spacing w:val="80"/>
        </w:rPr>
        <w:t> </w:t>
      </w:r>
      <w:r>
        <w:rPr/>
        <w:t>(5)</w:t>
      </w:r>
      <w:r>
        <w:rPr>
          <w:spacing w:val="80"/>
        </w:rPr>
        <w:t> </w:t>
      </w:r>
      <w:r>
        <w:rPr/>
        <w:t>pregelatinization;</w:t>
      </w:r>
      <w:r>
        <w:rPr>
          <w:spacing w:val="80"/>
        </w:rPr>
        <w:t> </w:t>
      </w:r>
      <w:r>
        <w:rPr/>
        <w:t>(6)</w:t>
      </w:r>
      <w:r>
        <w:rPr>
          <w:spacing w:val="80"/>
        </w:rPr>
        <w:t> </w:t>
      </w:r>
      <w:r>
        <w:rPr/>
        <w:t>annealing.</w:t>
      </w:r>
      <w:r>
        <w:rPr>
          <w:spacing w:val="80"/>
        </w:rPr>
        <w:t> </w:t>
      </w:r>
      <w:r>
        <w:rPr/>
        <w:t>(Apeji,</w:t>
      </w:r>
    </w:p>
    <w:p>
      <w:pPr>
        <w:pStyle w:val="BodyText"/>
        <w:spacing w:line="252" w:lineRule="exact"/>
        <w:ind w:left="665"/>
      </w:pPr>
      <w:r>
        <w:rPr>
          <w:spacing w:val="-2"/>
        </w:rPr>
        <w:t>2010).</w:t>
      </w:r>
    </w:p>
    <w:p>
      <w:pPr>
        <w:pStyle w:val="BodyText"/>
        <w:spacing w:before="242"/>
      </w:pPr>
    </w:p>
    <w:p>
      <w:pPr>
        <w:pStyle w:val="Heading2"/>
        <w:numPr>
          <w:ilvl w:val="2"/>
          <w:numId w:val="11"/>
        </w:numPr>
        <w:tabs>
          <w:tab w:pos="1342" w:val="left" w:leader="none"/>
        </w:tabs>
        <w:spacing w:line="240" w:lineRule="auto" w:before="1" w:after="0"/>
        <w:ind w:left="1342" w:right="0" w:hanging="677"/>
        <w:jc w:val="left"/>
      </w:pPr>
      <w:bookmarkStart w:name="_TOC_250138" w:id="23"/>
      <w:r>
        <w:rPr/>
        <w:t>Cross-</w:t>
      </w:r>
      <w:bookmarkEnd w:id="23"/>
      <w:r>
        <w:rPr>
          <w:spacing w:val="-2"/>
        </w:rPr>
        <w:t>linking</w:t>
      </w:r>
    </w:p>
    <w:p>
      <w:pPr>
        <w:pStyle w:val="BodyText"/>
        <w:spacing w:line="491" w:lineRule="auto" w:before="246"/>
        <w:ind w:left="665" w:right="1851" w:firstLine="676"/>
        <w:jc w:val="both"/>
      </w:pPr>
      <w:r>
        <w:rPr/>
        <w:t>It involves replacement of the hydrogen bonding between starch chains by stronger, more permanent, covalent bonds. Commercial cross-linking is often performed by</w:t>
      </w:r>
      <w:r>
        <w:rPr>
          <w:spacing w:val="-5"/>
        </w:rPr>
        <w:t> </w:t>
      </w:r>
      <w:r>
        <w:rPr/>
        <w:t>the reaction of a bi – or polyfunctional reagents e.g. phosphorus oxychloride, sodium trimetaphosphate, epichlorohydrine, and mixtures of adiphic anhydride and acetic acid.</w:t>
      </w:r>
      <w:r>
        <w:rPr>
          <w:spacing w:val="40"/>
        </w:rPr>
        <w:t> </w:t>
      </w:r>
      <w:r>
        <w:rPr/>
        <w:t>(Le Bail </w:t>
      </w:r>
      <w:r>
        <w:rPr>
          <w:i/>
        </w:rPr>
        <w:t>et al, </w:t>
      </w:r>
      <w:r>
        <w:rPr/>
        <w:t>1999; Humdi and Ponchel, 1999). Cross-linking is often performed in combination with esterification and etherification, to provide appropriate gelatinization, viscosity and</w:t>
      </w:r>
      <w:r>
        <w:rPr>
          <w:spacing w:val="40"/>
        </w:rPr>
        <w:t> </w:t>
      </w:r>
      <w:r>
        <w:rPr/>
        <w:t>texture</w:t>
      </w:r>
      <w:r>
        <w:rPr>
          <w:spacing w:val="40"/>
        </w:rPr>
        <w:t> </w:t>
      </w:r>
      <w:r>
        <w:rPr/>
        <w:t>properties</w:t>
      </w:r>
      <w:r>
        <w:rPr>
          <w:spacing w:val="40"/>
        </w:rPr>
        <w:t> </w:t>
      </w:r>
      <w:r>
        <w:rPr/>
        <w:t>(Huijberchts,</w:t>
      </w:r>
      <w:r>
        <w:rPr>
          <w:spacing w:val="40"/>
        </w:rPr>
        <w:t> </w:t>
      </w:r>
      <w:r>
        <w:rPr/>
        <w:t>2008).</w:t>
      </w:r>
      <w:r>
        <w:rPr>
          <w:spacing w:val="40"/>
        </w:rPr>
        <w:t> </w:t>
      </w:r>
      <w:r>
        <w:rPr/>
        <w:t>Cross-linked</w:t>
      </w:r>
      <w:r>
        <w:rPr>
          <w:spacing w:val="40"/>
        </w:rPr>
        <w:t> </w:t>
      </w:r>
      <w:r>
        <w:rPr/>
        <w:t>starches</w:t>
      </w:r>
      <w:r>
        <w:rPr>
          <w:spacing w:val="40"/>
        </w:rPr>
        <w:t> </w:t>
      </w:r>
      <w:r>
        <w:rPr/>
        <w:t>offer</w:t>
      </w:r>
      <w:r>
        <w:rPr>
          <w:spacing w:val="40"/>
        </w:rPr>
        <w:t> </w:t>
      </w:r>
      <w:r>
        <w:rPr/>
        <w:t>acid, heat and shear stability over their parent native starches (Apeji, 2010).</w:t>
      </w:r>
    </w:p>
    <w:p>
      <w:pPr>
        <w:pStyle w:val="Heading2"/>
        <w:numPr>
          <w:ilvl w:val="2"/>
          <w:numId w:val="11"/>
        </w:numPr>
        <w:tabs>
          <w:tab w:pos="1342" w:val="left" w:leader="none"/>
        </w:tabs>
        <w:spacing w:line="240" w:lineRule="auto" w:before="233" w:after="0"/>
        <w:ind w:left="1342" w:right="0" w:hanging="677"/>
        <w:jc w:val="left"/>
      </w:pPr>
      <w:bookmarkStart w:name="_TOC_250137" w:id="24"/>
      <w:bookmarkEnd w:id="24"/>
      <w:r>
        <w:rPr>
          <w:spacing w:val="-2"/>
        </w:rPr>
        <w:t>Stabilization</w:t>
      </w:r>
    </w:p>
    <w:p>
      <w:pPr>
        <w:pStyle w:val="BodyText"/>
        <w:spacing w:line="491" w:lineRule="auto" w:before="242"/>
        <w:ind w:left="665" w:right="1858" w:firstLine="676"/>
        <w:jc w:val="both"/>
      </w:pPr>
      <w:r>
        <w:rPr/>
        <w:t>Stabilization method of modification is usually used in conjunction with cross- linking. Stabilization prevents retrogradation thus enhancing the shelf-life of the starch through tolerance, to temperature fluctuations such as freeze-thaw cycles. Stabilization involves</w:t>
      </w:r>
      <w:r>
        <w:rPr>
          <w:spacing w:val="40"/>
        </w:rPr>
        <w:t> </w:t>
      </w:r>
      <w:r>
        <w:rPr/>
        <w:t>substitution</w:t>
      </w:r>
      <w:r>
        <w:rPr>
          <w:spacing w:val="38"/>
        </w:rPr>
        <w:t> </w:t>
      </w:r>
      <w:r>
        <w:rPr/>
        <w:t>of</w:t>
      </w:r>
      <w:r>
        <w:rPr>
          <w:spacing w:val="36"/>
        </w:rPr>
        <w:t> </w:t>
      </w:r>
      <w:r>
        <w:rPr/>
        <w:t>bulky groups</w:t>
      </w:r>
      <w:r>
        <w:rPr>
          <w:spacing w:val="33"/>
        </w:rPr>
        <w:t> </w:t>
      </w:r>
      <w:r>
        <w:rPr/>
        <w:t>unto</w:t>
      </w:r>
      <w:r>
        <w:rPr>
          <w:spacing w:val="40"/>
        </w:rPr>
        <w:t> </w:t>
      </w:r>
      <w:r>
        <w:rPr/>
        <w:t>the</w:t>
      </w:r>
      <w:r>
        <w:rPr>
          <w:spacing w:val="40"/>
        </w:rPr>
        <w:t> </w:t>
      </w:r>
      <w:r>
        <w:rPr/>
        <w:t>starch</w:t>
      </w:r>
      <w:r>
        <w:rPr>
          <w:spacing w:val="38"/>
        </w:rPr>
        <w:t> </w:t>
      </w:r>
      <w:r>
        <w:rPr/>
        <w:t>thereby causing</w:t>
      </w:r>
      <w:r>
        <w:rPr>
          <w:spacing w:val="38"/>
        </w:rPr>
        <w:t> </w:t>
      </w:r>
      <w:r>
        <w:rPr/>
        <w:t>steric</w:t>
      </w:r>
      <w:r>
        <w:rPr>
          <w:spacing w:val="40"/>
        </w:rPr>
        <w:t> </w:t>
      </w:r>
      <w:r>
        <w:rPr/>
        <w:t>hindrance and tendency for dispersed (cooked), linear fragments to realign and retrograde.</w:t>
      </w:r>
    </w:p>
    <w:p>
      <w:pPr>
        <w:spacing w:after="0" w:line="491" w:lineRule="auto"/>
        <w:jc w:val="both"/>
        <w:sectPr>
          <w:pgSz w:w="12240" w:h="15840"/>
          <w:pgMar w:header="0" w:footer="999" w:top="1260" w:bottom="1180" w:left="1720" w:right="0"/>
        </w:sectPr>
      </w:pPr>
    </w:p>
    <w:p>
      <w:pPr>
        <w:pStyle w:val="Heading2"/>
        <w:numPr>
          <w:ilvl w:val="2"/>
          <w:numId w:val="11"/>
        </w:numPr>
        <w:tabs>
          <w:tab w:pos="1339" w:val="left" w:leader="none"/>
        </w:tabs>
        <w:spacing w:line="240" w:lineRule="auto" w:before="80" w:after="0"/>
        <w:ind w:left="1339" w:right="0" w:hanging="674"/>
        <w:jc w:val="both"/>
      </w:pPr>
      <w:bookmarkStart w:name="_TOC_250136" w:id="25"/>
      <w:bookmarkEnd w:id="25"/>
      <w:r>
        <w:rPr>
          <w:spacing w:val="-2"/>
        </w:rPr>
        <w:t>Conversions</w:t>
      </w:r>
    </w:p>
    <w:p>
      <w:pPr>
        <w:pStyle w:val="BodyText"/>
        <w:spacing w:before="246"/>
        <w:ind w:left="1342"/>
      </w:pPr>
      <w:r>
        <w:rPr/>
        <w:t>Conversion</w:t>
      </w:r>
      <w:r>
        <w:rPr>
          <w:spacing w:val="7"/>
        </w:rPr>
        <w:t> </w:t>
      </w:r>
      <w:r>
        <w:rPr/>
        <w:t>is</w:t>
      </w:r>
      <w:r>
        <w:rPr>
          <w:spacing w:val="9"/>
        </w:rPr>
        <w:t> </w:t>
      </w:r>
      <w:r>
        <w:rPr/>
        <w:t>a</w:t>
      </w:r>
      <w:r>
        <w:rPr>
          <w:spacing w:val="12"/>
        </w:rPr>
        <w:t> </w:t>
      </w:r>
      <w:r>
        <w:rPr/>
        <w:t>collective</w:t>
      </w:r>
      <w:r>
        <w:rPr>
          <w:spacing w:val="5"/>
        </w:rPr>
        <w:t> </w:t>
      </w:r>
      <w:r>
        <w:rPr/>
        <w:t>term</w:t>
      </w:r>
      <w:r>
        <w:rPr>
          <w:spacing w:val="13"/>
        </w:rPr>
        <w:t> </w:t>
      </w:r>
      <w:r>
        <w:rPr/>
        <w:t>for</w:t>
      </w:r>
      <w:r>
        <w:rPr>
          <w:spacing w:val="6"/>
        </w:rPr>
        <w:t> </w:t>
      </w:r>
      <w:r>
        <w:rPr/>
        <w:t>a</w:t>
      </w:r>
      <w:r>
        <w:rPr>
          <w:spacing w:val="12"/>
        </w:rPr>
        <w:t> </w:t>
      </w:r>
      <w:r>
        <w:rPr/>
        <w:t>range</w:t>
      </w:r>
      <w:r>
        <w:rPr>
          <w:spacing w:val="11"/>
        </w:rPr>
        <w:t> </w:t>
      </w:r>
      <w:r>
        <w:rPr/>
        <w:t>of</w:t>
      </w:r>
      <w:r>
        <w:rPr>
          <w:spacing w:val="7"/>
        </w:rPr>
        <w:t> </w:t>
      </w:r>
      <w:r>
        <w:rPr/>
        <w:t>chain</w:t>
      </w:r>
      <w:r>
        <w:rPr>
          <w:spacing w:val="9"/>
        </w:rPr>
        <w:t> </w:t>
      </w:r>
      <w:r>
        <w:rPr/>
        <w:t>reactions</w:t>
      </w:r>
      <w:r>
        <w:rPr>
          <w:spacing w:val="9"/>
        </w:rPr>
        <w:t> </w:t>
      </w:r>
      <w:r>
        <w:rPr/>
        <w:t>of</w:t>
      </w:r>
      <w:r>
        <w:rPr>
          <w:spacing w:val="6"/>
        </w:rPr>
        <w:t> </w:t>
      </w:r>
      <w:r>
        <w:rPr>
          <w:spacing w:val="-2"/>
        </w:rPr>
        <w:t>starch.</w:t>
      </w:r>
    </w:p>
    <w:p>
      <w:pPr>
        <w:pStyle w:val="BodyText"/>
        <w:spacing w:before="12"/>
      </w:pPr>
    </w:p>
    <w:p>
      <w:pPr>
        <w:pStyle w:val="ListParagraph"/>
        <w:numPr>
          <w:ilvl w:val="0"/>
          <w:numId w:val="13"/>
        </w:numPr>
        <w:tabs>
          <w:tab w:pos="985" w:val="left" w:leader="none"/>
        </w:tabs>
        <w:spacing w:line="491" w:lineRule="auto" w:before="1" w:after="0"/>
        <w:ind w:left="665" w:right="1848" w:firstLine="0"/>
        <w:jc w:val="both"/>
        <w:rPr>
          <w:sz w:val="22"/>
        </w:rPr>
      </w:pPr>
      <w:r>
        <w:rPr>
          <w:b/>
          <w:sz w:val="22"/>
        </w:rPr>
        <w:t>Acid hydrolysis: </w:t>
      </w:r>
      <w:r>
        <w:rPr>
          <w:sz w:val="22"/>
        </w:rPr>
        <w:t>This involves the suspension of starch in acid for a specified temperature</w:t>
      </w:r>
      <w:r>
        <w:rPr>
          <w:spacing w:val="30"/>
          <w:sz w:val="22"/>
        </w:rPr>
        <w:t> </w:t>
      </w:r>
      <w:r>
        <w:rPr>
          <w:sz w:val="22"/>
        </w:rPr>
        <w:t>with</w:t>
      </w:r>
      <w:r>
        <w:rPr>
          <w:spacing w:val="33"/>
          <w:sz w:val="22"/>
        </w:rPr>
        <w:t> </w:t>
      </w:r>
      <w:r>
        <w:rPr>
          <w:sz w:val="22"/>
        </w:rPr>
        <w:t>constant</w:t>
      </w:r>
      <w:r>
        <w:rPr>
          <w:spacing w:val="40"/>
          <w:sz w:val="22"/>
        </w:rPr>
        <w:t> </w:t>
      </w:r>
      <w:r>
        <w:rPr>
          <w:sz w:val="22"/>
        </w:rPr>
        <w:t>stirring</w:t>
      </w:r>
      <w:r>
        <w:rPr>
          <w:spacing w:val="33"/>
          <w:sz w:val="22"/>
        </w:rPr>
        <w:t> </w:t>
      </w:r>
      <w:r>
        <w:rPr>
          <w:sz w:val="22"/>
        </w:rPr>
        <w:t>at</w:t>
      </w:r>
      <w:r>
        <w:rPr>
          <w:spacing w:val="35"/>
          <w:sz w:val="22"/>
        </w:rPr>
        <w:t> </w:t>
      </w:r>
      <w:r>
        <w:rPr>
          <w:sz w:val="22"/>
        </w:rPr>
        <w:t>a</w:t>
      </w:r>
      <w:r>
        <w:rPr>
          <w:spacing w:val="30"/>
          <w:sz w:val="22"/>
        </w:rPr>
        <w:t> </w:t>
      </w:r>
      <w:r>
        <w:rPr>
          <w:sz w:val="22"/>
        </w:rPr>
        <w:t>predetermined</w:t>
      </w:r>
      <w:r>
        <w:rPr>
          <w:spacing w:val="39"/>
          <w:sz w:val="22"/>
        </w:rPr>
        <w:t> </w:t>
      </w:r>
      <w:r>
        <w:rPr>
          <w:sz w:val="22"/>
        </w:rPr>
        <w:t>period.</w:t>
      </w:r>
      <w:r>
        <w:rPr>
          <w:spacing w:val="36"/>
          <w:sz w:val="22"/>
        </w:rPr>
        <w:t> </w:t>
      </w:r>
      <w:r>
        <w:rPr>
          <w:sz w:val="22"/>
        </w:rPr>
        <w:t>The</w:t>
      </w:r>
      <w:r>
        <w:rPr>
          <w:spacing w:val="36"/>
          <w:sz w:val="22"/>
        </w:rPr>
        <w:t> </w:t>
      </w:r>
      <w:r>
        <w:rPr>
          <w:sz w:val="22"/>
        </w:rPr>
        <w:t>suspension</w:t>
      </w:r>
      <w:r>
        <w:rPr>
          <w:spacing w:val="33"/>
          <w:sz w:val="22"/>
        </w:rPr>
        <w:t> </w:t>
      </w:r>
      <w:r>
        <w:rPr>
          <w:sz w:val="22"/>
        </w:rPr>
        <w:t>will</w:t>
      </w:r>
      <w:r>
        <w:rPr>
          <w:spacing w:val="29"/>
          <w:sz w:val="22"/>
        </w:rPr>
        <w:t> </w:t>
      </w:r>
      <w:r>
        <w:rPr>
          <w:sz w:val="22"/>
        </w:rPr>
        <w:t>then be neutralized using an alkali and then the microcrystalline starches recovered by centrifugation are freeze-dried (Karntarat </w:t>
      </w:r>
      <w:r>
        <w:rPr>
          <w:i/>
          <w:sz w:val="22"/>
        </w:rPr>
        <w:t>et al, </w:t>
      </w:r>
      <w:r>
        <w:rPr>
          <w:sz w:val="22"/>
        </w:rPr>
        <w:t>2008). Acid-thinned, thin-boiling and fluidity starches are all terms which refer to starches which have been subjected to acid hydrolysis (Apeji, 2010).</w:t>
      </w:r>
    </w:p>
    <w:p>
      <w:pPr>
        <w:pStyle w:val="ListParagraph"/>
        <w:numPr>
          <w:ilvl w:val="0"/>
          <w:numId w:val="13"/>
        </w:numPr>
        <w:tabs>
          <w:tab w:pos="1009" w:val="left" w:leader="none"/>
        </w:tabs>
        <w:spacing w:line="491" w:lineRule="auto" w:before="3" w:after="0"/>
        <w:ind w:left="665" w:right="1849" w:firstLine="0"/>
        <w:jc w:val="both"/>
        <w:rPr>
          <w:sz w:val="22"/>
        </w:rPr>
      </w:pPr>
      <w:r>
        <w:rPr>
          <w:b/>
          <w:sz w:val="22"/>
        </w:rPr>
        <w:t>Oxidation:</w:t>
      </w:r>
      <w:r>
        <w:rPr>
          <w:b/>
          <w:spacing w:val="28"/>
          <w:sz w:val="22"/>
        </w:rPr>
        <w:t> </w:t>
      </w:r>
      <w:r>
        <w:rPr>
          <w:sz w:val="22"/>
        </w:rPr>
        <w:t>In</w:t>
      </w:r>
      <w:r>
        <w:rPr>
          <w:spacing w:val="22"/>
          <w:sz w:val="22"/>
        </w:rPr>
        <w:t> </w:t>
      </w:r>
      <w:r>
        <w:rPr>
          <w:sz w:val="22"/>
        </w:rPr>
        <w:t>the</w:t>
      </w:r>
      <w:r>
        <w:rPr>
          <w:spacing w:val="26"/>
          <w:sz w:val="22"/>
        </w:rPr>
        <w:t> </w:t>
      </w:r>
      <w:r>
        <w:rPr>
          <w:sz w:val="22"/>
        </w:rPr>
        <w:t>production of</w:t>
      </w:r>
      <w:r>
        <w:rPr>
          <w:spacing w:val="21"/>
          <w:sz w:val="22"/>
        </w:rPr>
        <w:t> </w:t>
      </w:r>
      <w:r>
        <w:rPr>
          <w:sz w:val="22"/>
        </w:rPr>
        <w:t>modified</w:t>
      </w:r>
      <w:r>
        <w:rPr>
          <w:spacing w:val="28"/>
          <w:sz w:val="22"/>
        </w:rPr>
        <w:t> </w:t>
      </w:r>
      <w:r>
        <w:rPr>
          <w:sz w:val="22"/>
        </w:rPr>
        <w:t>starch by oxidation,</w:t>
      </w:r>
      <w:r>
        <w:rPr>
          <w:spacing w:val="26"/>
          <w:sz w:val="22"/>
        </w:rPr>
        <w:t> </w:t>
      </w:r>
      <w:r>
        <w:rPr>
          <w:sz w:val="22"/>
        </w:rPr>
        <w:t>alkaline</w:t>
      </w:r>
      <w:r>
        <w:rPr>
          <w:spacing w:val="38"/>
          <w:sz w:val="22"/>
        </w:rPr>
        <w:t> </w:t>
      </w:r>
      <w:r>
        <w:rPr>
          <w:sz w:val="22"/>
        </w:rPr>
        <w:t>hypochlorite is used as a reagent. The two important modification that occur include (a) the</w:t>
      </w:r>
      <w:r>
        <w:rPr>
          <w:spacing w:val="40"/>
          <w:sz w:val="22"/>
        </w:rPr>
        <w:t> </w:t>
      </w:r>
      <w:r>
        <w:rPr>
          <w:sz w:val="22"/>
        </w:rPr>
        <w:t>introduction of bulky carboxyl (- COOH) and Carbonyl (- CO) groups with partial depolymerization of the starch chains and (b) Breakdown of starch beyond its gelatinization temperature. Unlike acid-thinned starch, the steric hinderance of the bulky groups disrupts any tendency towards re-association of the shorter chains thereby significantly reducing the gel strength. This is an advantage oxidized starch have over acid-thinned starches.</w:t>
      </w:r>
    </w:p>
    <w:p>
      <w:pPr>
        <w:pStyle w:val="ListParagraph"/>
        <w:numPr>
          <w:ilvl w:val="0"/>
          <w:numId w:val="13"/>
        </w:numPr>
        <w:tabs>
          <w:tab w:pos="1080" w:val="left" w:leader="none"/>
        </w:tabs>
        <w:spacing w:line="491" w:lineRule="auto" w:before="0" w:after="0"/>
        <w:ind w:left="665" w:right="1855" w:firstLine="0"/>
        <w:jc w:val="both"/>
        <w:rPr>
          <w:sz w:val="22"/>
        </w:rPr>
      </w:pPr>
      <w:r>
        <w:rPr>
          <w:b/>
          <w:sz w:val="22"/>
        </w:rPr>
        <w:t>Dextrinization: </w:t>
      </w:r>
      <w:r>
        <w:rPr>
          <w:sz w:val="22"/>
        </w:rPr>
        <w:t>This</w:t>
      </w:r>
      <w:r>
        <w:rPr>
          <w:spacing w:val="32"/>
          <w:sz w:val="22"/>
        </w:rPr>
        <w:t> </w:t>
      </w:r>
      <w:r>
        <w:rPr>
          <w:sz w:val="22"/>
        </w:rPr>
        <w:t>is</w:t>
      </w:r>
      <w:r>
        <w:rPr>
          <w:spacing w:val="32"/>
          <w:sz w:val="22"/>
        </w:rPr>
        <w:t> </w:t>
      </w:r>
      <w:r>
        <w:rPr>
          <w:sz w:val="22"/>
        </w:rPr>
        <w:t>also known as pyroconversion, referring to two</w:t>
      </w:r>
      <w:r>
        <w:rPr>
          <w:spacing w:val="37"/>
          <w:sz w:val="22"/>
        </w:rPr>
        <w:t> </w:t>
      </w:r>
      <w:r>
        <w:rPr>
          <w:sz w:val="22"/>
        </w:rPr>
        <w:t>aspects of the</w:t>
      </w:r>
      <w:r>
        <w:rPr>
          <w:spacing w:val="40"/>
          <w:sz w:val="22"/>
        </w:rPr>
        <w:t> </w:t>
      </w:r>
      <w:r>
        <w:rPr>
          <w:sz w:val="22"/>
        </w:rPr>
        <w:t>structural</w:t>
      </w:r>
      <w:r>
        <w:rPr>
          <w:spacing w:val="40"/>
          <w:sz w:val="22"/>
        </w:rPr>
        <w:t> </w:t>
      </w:r>
      <w:r>
        <w:rPr>
          <w:sz w:val="22"/>
        </w:rPr>
        <w:t>modification</w:t>
      </w:r>
      <w:r>
        <w:rPr>
          <w:spacing w:val="40"/>
          <w:sz w:val="22"/>
        </w:rPr>
        <w:t> </w:t>
      </w:r>
      <w:r>
        <w:rPr>
          <w:sz w:val="22"/>
        </w:rPr>
        <w:t>of</w:t>
      </w:r>
      <w:r>
        <w:rPr>
          <w:spacing w:val="40"/>
          <w:sz w:val="22"/>
        </w:rPr>
        <w:t> </w:t>
      </w:r>
      <w:r>
        <w:rPr>
          <w:sz w:val="22"/>
        </w:rPr>
        <w:t>starch.</w:t>
      </w:r>
      <w:r>
        <w:rPr>
          <w:spacing w:val="40"/>
          <w:sz w:val="22"/>
        </w:rPr>
        <w:t> </w:t>
      </w:r>
      <w:r>
        <w:rPr>
          <w:sz w:val="22"/>
        </w:rPr>
        <w:t>Achieved</w:t>
      </w:r>
      <w:r>
        <w:rPr>
          <w:spacing w:val="40"/>
          <w:sz w:val="22"/>
        </w:rPr>
        <w:t> </w:t>
      </w:r>
      <w:r>
        <w:rPr>
          <w:sz w:val="22"/>
        </w:rPr>
        <w:t>first,</w:t>
      </w:r>
      <w:r>
        <w:rPr>
          <w:spacing w:val="40"/>
          <w:sz w:val="22"/>
        </w:rPr>
        <w:t> </w:t>
      </w:r>
      <w:r>
        <w:rPr>
          <w:sz w:val="22"/>
        </w:rPr>
        <w:t>by</w:t>
      </w:r>
      <w:r>
        <w:rPr>
          <w:spacing w:val="40"/>
          <w:sz w:val="22"/>
        </w:rPr>
        <w:t> </w:t>
      </w:r>
      <w:r>
        <w:rPr>
          <w:sz w:val="22"/>
        </w:rPr>
        <w:t>partial</w:t>
      </w:r>
      <w:r>
        <w:rPr>
          <w:spacing w:val="40"/>
          <w:sz w:val="22"/>
        </w:rPr>
        <w:t> </w:t>
      </w:r>
      <w:r>
        <w:rPr>
          <w:sz w:val="22"/>
        </w:rPr>
        <w:t>depolymerization through hydrolysis and secondly by repolymerization. The</w:t>
      </w:r>
      <w:r>
        <w:rPr>
          <w:spacing w:val="40"/>
          <w:sz w:val="22"/>
        </w:rPr>
        <w:t> </w:t>
      </w:r>
      <w:r>
        <w:rPr>
          <w:sz w:val="22"/>
        </w:rPr>
        <w:t>modified</w:t>
      </w:r>
      <w:r>
        <w:rPr>
          <w:spacing w:val="40"/>
          <w:sz w:val="22"/>
        </w:rPr>
        <w:t> </w:t>
      </w:r>
      <w:r>
        <w:rPr>
          <w:sz w:val="22"/>
        </w:rPr>
        <w:t>starches produced are called dextrins or pyrodextrins.</w:t>
      </w:r>
    </w:p>
    <w:p>
      <w:pPr>
        <w:pStyle w:val="ListParagraph"/>
        <w:numPr>
          <w:ilvl w:val="0"/>
          <w:numId w:val="13"/>
        </w:numPr>
        <w:tabs>
          <w:tab w:pos="1119" w:val="left" w:leader="none"/>
        </w:tabs>
        <w:spacing w:line="491" w:lineRule="auto" w:before="0" w:after="0"/>
        <w:ind w:left="665" w:right="1859" w:firstLine="0"/>
        <w:jc w:val="both"/>
        <w:rPr>
          <w:sz w:val="22"/>
        </w:rPr>
      </w:pPr>
      <w:r>
        <w:rPr>
          <w:b/>
          <w:sz w:val="22"/>
        </w:rPr>
        <w:t>Enzyme hydrolysis: </w:t>
      </w:r>
      <w:r>
        <w:rPr>
          <w:sz w:val="22"/>
        </w:rPr>
        <w:t>This is a biochemical transformation of starch through hydrolysis using a selective enzyme. Depending on the extent of enzyme hydrolysis, a range</w:t>
      </w:r>
      <w:r>
        <w:rPr>
          <w:spacing w:val="40"/>
          <w:sz w:val="22"/>
        </w:rPr>
        <w:t> </w:t>
      </w:r>
      <w:r>
        <w:rPr>
          <w:sz w:val="22"/>
        </w:rPr>
        <w:t>of</w:t>
      </w:r>
      <w:r>
        <w:rPr>
          <w:spacing w:val="40"/>
          <w:sz w:val="22"/>
        </w:rPr>
        <w:t> </w:t>
      </w:r>
      <w:r>
        <w:rPr>
          <w:sz w:val="22"/>
        </w:rPr>
        <w:t>chain</w:t>
      </w:r>
      <w:r>
        <w:rPr>
          <w:spacing w:val="40"/>
          <w:sz w:val="22"/>
        </w:rPr>
        <w:t> </w:t>
      </w:r>
      <w:r>
        <w:rPr>
          <w:sz w:val="22"/>
        </w:rPr>
        <w:t>lengths</w:t>
      </w:r>
      <w:r>
        <w:rPr>
          <w:spacing w:val="40"/>
          <w:sz w:val="22"/>
        </w:rPr>
        <w:t> </w:t>
      </w:r>
      <w:r>
        <w:rPr>
          <w:sz w:val="22"/>
        </w:rPr>
        <w:t>corresponding</w:t>
      </w:r>
      <w:r>
        <w:rPr>
          <w:spacing w:val="40"/>
          <w:sz w:val="22"/>
        </w:rPr>
        <w:t> </w:t>
      </w:r>
      <w:r>
        <w:rPr>
          <w:sz w:val="22"/>
        </w:rPr>
        <w:t>to</w:t>
      </w:r>
      <w:r>
        <w:rPr>
          <w:spacing w:val="40"/>
          <w:sz w:val="22"/>
        </w:rPr>
        <w:t> </w:t>
      </w:r>
      <w:r>
        <w:rPr>
          <w:sz w:val="22"/>
        </w:rPr>
        <w:t>glucose</w:t>
      </w:r>
      <w:r>
        <w:rPr>
          <w:spacing w:val="40"/>
          <w:sz w:val="22"/>
        </w:rPr>
        <w:t> </w:t>
      </w:r>
      <w:r>
        <w:rPr>
          <w:sz w:val="22"/>
        </w:rPr>
        <w:t>(dextrose),</w:t>
      </w:r>
      <w:r>
        <w:rPr>
          <w:spacing w:val="40"/>
          <w:sz w:val="22"/>
        </w:rPr>
        <w:t> </w:t>
      </w:r>
      <w:r>
        <w:rPr>
          <w:sz w:val="22"/>
        </w:rPr>
        <w:t>maltose,</w:t>
      </w:r>
      <w:r>
        <w:rPr>
          <w:spacing w:val="40"/>
          <w:sz w:val="22"/>
        </w:rPr>
        <w:t> </w:t>
      </w:r>
      <w:r>
        <w:rPr>
          <w:sz w:val="22"/>
        </w:rPr>
        <w:t>oligosaccharides and</w:t>
      </w:r>
      <w:r>
        <w:rPr>
          <w:spacing w:val="40"/>
          <w:sz w:val="22"/>
        </w:rPr>
        <w:t> </w:t>
      </w:r>
      <w:r>
        <w:rPr>
          <w:sz w:val="22"/>
        </w:rPr>
        <w:t>polysaccharides</w:t>
      </w:r>
      <w:r>
        <w:rPr>
          <w:spacing w:val="40"/>
          <w:sz w:val="22"/>
        </w:rPr>
        <w:t> </w:t>
      </w:r>
      <w:r>
        <w:rPr>
          <w:sz w:val="22"/>
        </w:rPr>
        <w:t>can</w:t>
      </w:r>
      <w:r>
        <w:rPr>
          <w:spacing w:val="33"/>
          <w:sz w:val="22"/>
        </w:rPr>
        <w:t> </w:t>
      </w:r>
      <w:r>
        <w:rPr>
          <w:sz w:val="22"/>
        </w:rPr>
        <w:t>be</w:t>
      </w:r>
      <w:r>
        <w:rPr>
          <w:spacing w:val="36"/>
          <w:sz w:val="22"/>
        </w:rPr>
        <w:t> </w:t>
      </w:r>
      <w:r>
        <w:rPr>
          <w:sz w:val="22"/>
        </w:rPr>
        <w:t>produced.</w:t>
      </w:r>
      <w:r>
        <w:rPr>
          <w:spacing w:val="40"/>
          <w:sz w:val="22"/>
        </w:rPr>
        <w:t> </w:t>
      </w:r>
      <w:r>
        <w:rPr>
          <w:sz w:val="22"/>
        </w:rPr>
        <w:t>The</w:t>
      </w:r>
      <w:r>
        <w:rPr>
          <w:spacing w:val="40"/>
          <w:sz w:val="22"/>
        </w:rPr>
        <w:t> </w:t>
      </w:r>
      <w:r>
        <w:rPr>
          <w:sz w:val="22"/>
        </w:rPr>
        <w:t>commonly</w:t>
      </w:r>
      <w:r>
        <w:rPr>
          <w:spacing w:val="33"/>
          <w:sz w:val="22"/>
        </w:rPr>
        <w:t> </w:t>
      </w:r>
      <w:r>
        <w:rPr>
          <w:sz w:val="22"/>
        </w:rPr>
        <w:t>used</w:t>
      </w:r>
      <w:r>
        <w:rPr>
          <w:spacing w:val="40"/>
          <w:sz w:val="22"/>
        </w:rPr>
        <w:t> </w:t>
      </w:r>
      <w:r>
        <w:rPr>
          <w:sz w:val="22"/>
        </w:rPr>
        <w:t>enzyme</w:t>
      </w:r>
      <w:r>
        <w:rPr>
          <w:spacing w:val="40"/>
          <w:sz w:val="22"/>
        </w:rPr>
        <w:t> </w:t>
      </w:r>
      <w:r>
        <w:rPr>
          <w:sz w:val="22"/>
        </w:rPr>
        <w:t>induced</w:t>
      </w:r>
      <w:r>
        <w:rPr>
          <w:spacing w:val="40"/>
          <w:sz w:val="22"/>
        </w:rPr>
        <w:t> </w:t>
      </w:r>
      <w:r>
        <w:rPr>
          <w:sz w:val="22"/>
        </w:rPr>
        <w:t>amylases for</w:t>
      </w:r>
      <w:r>
        <w:rPr>
          <w:spacing w:val="27"/>
          <w:sz w:val="22"/>
        </w:rPr>
        <w:t> </w:t>
      </w:r>
      <w:r>
        <w:rPr>
          <w:sz w:val="22"/>
        </w:rPr>
        <w:t>breaking</w:t>
      </w:r>
      <w:r>
        <w:rPr>
          <w:spacing w:val="22"/>
          <w:sz w:val="22"/>
        </w:rPr>
        <w:t> </w:t>
      </w:r>
      <w:r>
        <w:rPr>
          <w:sz w:val="22"/>
        </w:rPr>
        <w:t>up</w:t>
      </w:r>
      <w:r>
        <w:rPr>
          <w:spacing w:val="28"/>
          <w:sz w:val="22"/>
        </w:rPr>
        <w:t> </w:t>
      </w:r>
      <w:r>
        <w:rPr>
          <w:sz w:val="22"/>
        </w:rPr>
        <w:t>the</w:t>
      </w:r>
      <w:r>
        <w:rPr>
          <w:spacing w:val="31"/>
          <w:sz w:val="22"/>
        </w:rPr>
        <w:t> </w:t>
      </w:r>
      <w:r>
        <w:rPr>
          <w:sz w:val="22"/>
        </w:rPr>
        <w:t>straight</w:t>
      </w:r>
      <w:r>
        <w:rPr>
          <w:spacing w:val="36"/>
          <w:sz w:val="22"/>
        </w:rPr>
        <w:t> </w:t>
      </w:r>
      <w:r>
        <w:rPr>
          <w:sz w:val="22"/>
        </w:rPr>
        <w:t>chains</w:t>
      </w:r>
      <w:r>
        <w:rPr>
          <w:spacing w:val="29"/>
          <w:sz w:val="22"/>
        </w:rPr>
        <w:t> </w:t>
      </w:r>
      <w:r>
        <w:rPr>
          <w:sz w:val="22"/>
        </w:rPr>
        <w:t>as</w:t>
      </w:r>
      <w:r>
        <w:rPr>
          <w:spacing w:val="23"/>
          <w:sz w:val="22"/>
        </w:rPr>
        <w:t> </w:t>
      </w:r>
      <w:r>
        <w:rPr>
          <w:sz w:val="22"/>
        </w:rPr>
        <w:t>well</w:t>
      </w:r>
      <w:r>
        <w:rPr>
          <w:spacing w:val="24"/>
          <w:sz w:val="22"/>
        </w:rPr>
        <w:t> </w:t>
      </w:r>
      <w:r>
        <w:rPr>
          <w:sz w:val="22"/>
        </w:rPr>
        <w:t>as</w:t>
      </w:r>
      <w:r>
        <w:rPr>
          <w:spacing w:val="29"/>
          <w:sz w:val="22"/>
        </w:rPr>
        <w:t> </w:t>
      </w:r>
      <w:r>
        <w:rPr>
          <w:sz w:val="22"/>
        </w:rPr>
        <w:t>other</w:t>
      </w:r>
      <w:r>
        <w:rPr>
          <w:spacing w:val="32"/>
          <w:sz w:val="22"/>
        </w:rPr>
        <w:t> </w:t>
      </w:r>
      <w:r>
        <w:rPr>
          <w:sz w:val="22"/>
        </w:rPr>
        <w:t>enzymes</w:t>
      </w:r>
      <w:r>
        <w:rPr>
          <w:spacing w:val="29"/>
          <w:sz w:val="22"/>
        </w:rPr>
        <w:t> </w:t>
      </w:r>
      <w:r>
        <w:rPr>
          <w:sz w:val="22"/>
        </w:rPr>
        <w:t>to</w:t>
      </w:r>
      <w:r>
        <w:rPr>
          <w:spacing w:val="38"/>
          <w:sz w:val="22"/>
        </w:rPr>
        <w:t> </w:t>
      </w:r>
      <w:r>
        <w:rPr>
          <w:sz w:val="22"/>
        </w:rPr>
        <w:t>break</w:t>
      </w:r>
      <w:r>
        <w:rPr>
          <w:spacing w:val="22"/>
          <w:sz w:val="22"/>
        </w:rPr>
        <w:t> </w:t>
      </w:r>
      <w:r>
        <w:rPr>
          <w:sz w:val="22"/>
        </w:rPr>
        <w:t>off</w:t>
      </w:r>
      <w:r>
        <w:rPr>
          <w:spacing w:val="27"/>
          <w:sz w:val="22"/>
        </w:rPr>
        <w:t> </w:t>
      </w:r>
      <w:r>
        <w:rPr>
          <w:sz w:val="22"/>
        </w:rPr>
        <w:t>the</w:t>
      </w:r>
      <w:r>
        <w:rPr>
          <w:spacing w:val="31"/>
          <w:sz w:val="22"/>
        </w:rPr>
        <w:t> </w:t>
      </w:r>
      <w:r>
        <w:rPr>
          <w:sz w:val="22"/>
        </w:rPr>
        <w:t>branched</w:t>
      </w:r>
    </w:p>
    <w:p>
      <w:pPr>
        <w:spacing w:after="0" w:line="491" w:lineRule="auto"/>
        <w:jc w:val="both"/>
        <w:rPr>
          <w:sz w:val="22"/>
        </w:rPr>
        <w:sectPr>
          <w:pgSz w:w="12240" w:h="15840"/>
          <w:pgMar w:header="0" w:footer="999" w:top="1260" w:bottom="1180" w:left="1720" w:right="0"/>
        </w:sectPr>
      </w:pPr>
    </w:p>
    <w:p>
      <w:pPr>
        <w:pStyle w:val="BodyText"/>
        <w:spacing w:line="491" w:lineRule="auto" w:before="75"/>
        <w:ind w:left="665" w:right="1858"/>
      </w:pPr>
      <w:r>
        <w:rPr/>
        <w:t>segments</w:t>
      </w:r>
      <w:r>
        <w:rPr>
          <w:spacing w:val="40"/>
        </w:rPr>
        <w:t> </w:t>
      </w:r>
      <w:r>
        <w:rPr/>
        <w:t>of</w:t>
      </w:r>
      <w:r>
        <w:rPr>
          <w:spacing w:val="40"/>
        </w:rPr>
        <w:t> </w:t>
      </w:r>
      <w:r>
        <w:rPr/>
        <w:t>starch.</w:t>
      </w:r>
      <w:r>
        <w:rPr>
          <w:spacing w:val="40"/>
        </w:rPr>
        <w:t> </w:t>
      </w:r>
      <w:r>
        <w:rPr/>
        <w:t>Examples</w:t>
      </w:r>
      <w:r>
        <w:rPr>
          <w:spacing w:val="40"/>
        </w:rPr>
        <w:t> </w:t>
      </w:r>
      <w:r>
        <w:rPr/>
        <w:t>of</w:t>
      </w:r>
      <w:r>
        <w:rPr>
          <w:spacing w:val="40"/>
        </w:rPr>
        <w:t> </w:t>
      </w:r>
      <w:r>
        <w:rPr/>
        <w:t>enzymes</w:t>
      </w:r>
      <w:r>
        <w:rPr>
          <w:spacing w:val="40"/>
        </w:rPr>
        <w:t> </w:t>
      </w:r>
      <w:r>
        <w:rPr/>
        <w:t>include</w:t>
      </w:r>
      <w:r>
        <w:rPr>
          <w:spacing w:val="40"/>
        </w:rPr>
        <w:t> </w:t>
      </w:r>
      <w:r>
        <w:rPr/>
        <w:t>α</w:t>
      </w:r>
      <w:r>
        <w:rPr>
          <w:spacing w:val="40"/>
        </w:rPr>
        <w:t> </w:t>
      </w:r>
      <w:r>
        <w:rPr/>
        <w:t>–</w:t>
      </w:r>
      <w:r>
        <w:rPr>
          <w:spacing w:val="71"/>
        </w:rPr>
        <w:t> </w:t>
      </w:r>
      <w:r>
        <w:rPr/>
        <w:t>amylase,</w:t>
      </w:r>
      <w:r>
        <w:rPr>
          <w:spacing w:val="68"/>
        </w:rPr>
        <w:t> </w:t>
      </w:r>
      <w:r>
        <w:rPr/>
        <w:t>nbiso-amylase</w:t>
      </w:r>
      <w:r>
        <w:rPr>
          <w:spacing w:val="40"/>
        </w:rPr>
        <w:t> </w:t>
      </w:r>
      <w:r>
        <w:rPr/>
        <w:t>and </w:t>
      </w:r>
      <w:r>
        <w:rPr>
          <w:spacing w:val="-2"/>
        </w:rPr>
        <w:t>pullulanase.</w:t>
      </w:r>
    </w:p>
    <w:p>
      <w:pPr>
        <w:pStyle w:val="Heading2"/>
        <w:numPr>
          <w:ilvl w:val="2"/>
          <w:numId w:val="11"/>
        </w:numPr>
        <w:tabs>
          <w:tab w:pos="1342" w:val="left" w:leader="none"/>
        </w:tabs>
        <w:spacing w:line="240" w:lineRule="auto" w:before="230" w:after="0"/>
        <w:ind w:left="1342" w:right="0" w:hanging="677"/>
        <w:jc w:val="left"/>
      </w:pPr>
      <w:bookmarkStart w:name="_TOC_250135" w:id="26"/>
      <w:r>
        <w:rPr/>
        <w:t>Lipophilic</w:t>
      </w:r>
      <w:r>
        <w:rPr>
          <w:spacing w:val="23"/>
        </w:rPr>
        <w:t> </w:t>
      </w:r>
      <w:bookmarkEnd w:id="26"/>
      <w:r>
        <w:rPr>
          <w:spacing w:val="-2"/>
        </w:rPr>
        <w:t>Substitution</w:t>
      </w:r>
    </w:p>
    <w:p>
      <w:pPr>
        <w:pStyle w:val="BodyText"/>
        <w:spacing w:line="491" w:lineRule="auto" w:before="246"/>
        <w:ind w:left="665" w:right="1849" w:firstLine="676"/>
        <w:jc w:val="both"/>
      </w:pPr>
      <w:r>
        <w:rPr/>
        <w:t>Native</w:t>
      </w:r>
      <w:r>
        <w:rPr>
          <w:spacing w:val="35"/>
        </w:rPr>
        <w:t> </w:t>
      </w:r>
      <w:r>
        <w:rPr/>
        <w:t>starch</w:t>
      </w:r>
      <w:r>
        <w:rPr>
          <w:spacing w:val="26"/>
        </w:rPr>
        <w:t> </w:t>
      </w:r>
      <w:r>
        <w:rPr/>
        <w:t>which</w:t>
      </w:r>
      <w:r>
        <w:rPr>
          <w:spacing w:val="37"/>
        </w:rPr>
        <w:t> </w:t>
      </w:r>
      <w:r>
        <w:rPr/>
        <w:t>is</w:t>
      </w:r>
      <w:r>
        <w:rPr>
          <w:spacing w:val="38"/>
        </w:rPr>
        <w:t> </w:t>
      </w:r>
      <w:r>
        <w:rPr/>
        <w:t>hydrophilic</w:t>
      </w:r>
      <w:r>
        <w:rPr>
          <w:spacing w:val="40"/>
        </w:rPr>
        <w:t> </w:t>
      </w:r>
      <w:r>
        <w:rPr/>
        <w:t>can</w:t>
      </w:r>
      <w:r>
        <w:rPr>
          <w:spacing w:val="37"/>
        </w:rPr>
        <w:t> </w:t>
      </w:r>
      <w:r>
        <w:rPr/>
        <w:t>have</w:t>
      </w:r>
      <w:r>
        <w:rPr>
          <w:spacing w:val="40"/>
        </w:rPr>
        <w:t> </w:t>
      </w:r>
      <w:r>
        <w:rPr/>
        <w:t>hydrophilic</w:t>
      </w:r>
      <w:r>
        <w:rPr>
          <w:spacing w:val="35"/>
        </w:rPr>
        <w:t> </w:t>
      </w:r>
      <w:r>
        <w:rPr/>
        <w:t>–</w:t>
      </w:r>
      <w:r>
        <w:rPr>
          <w:spacing w:val="37"/>
        </w:rPr>
        <w:t> </w:t>
      </w:r>
      <w:r>
        <w:rPr/>
        <w:t>hydrophobic</w:t>
      </w:r>
      <w:r>
        <w:rPr>
          <w:spacing w:val="29"/>
        </w:rPr>
        <w:t> </w:t>
      </w:r>
      <w:r>
        <w:rPr/>
        <w:t>duality by transformation.</w:t>
      </w:r>
      <w:r>
        <w:rPr>
          <w:spacing w:val="40"/>
        </w:rPr>
        <w:t> </w:t>
      </w:r>
      <w:r>
        <w:rPr/>
        <w:t>This</w:t>
      </w:r>
      <w:r>
        <w:rPr>
          <w:spacing w:val="37"/>
        </w:rPr>
        <w:t> </w:t>
      </w:r>
      <w:r>
        <w:rPr/>
        <w:t>is</w:t>
      </w:r>
      <w:r>
        <w:rPr>
          <w:spacing w:val="31"/>
        </w:rPr>
        <w:t> </w:t>
      </w:r>
      <w:r>
        <w:rPr/>
        <w:t>useful</w:t>
      </w:r>
      <w:r>
        <w:rPr>
          <w:spacing w:val="39"/>
        </w:rPr>
        <w:t> </w:t>
      </w:r>
      <w:r>
        <w:rPr/>
        <w:t>for</w:t>
      </w:r>
      <w:r>
        <w:rPr>
          <w:spacing w:val="35"/>
        </w:rPr>
        <w:t> </w:t>
      </w:r>
      <w:r>
        <w:rPr/>
        <w:t>stabilizing</w:t>
      </w:r>
      <w:r>
        <w:rPr>
          <w:spacing w:val="36"/>
        </w:rPr>
        <w:t> </w:t>
      </w:r>
      <w:r>
        <w:rPr/>
        <w:t>interactions</w:t>
      </w:r>
      <w:r>
        <w:rPr>
          <w:spacing w:val="37"/>
        </w:rPr>
        <w:t> </w:t>
      </w:r>
      <w:r>
        <w:rPr/>
        <w:t>between</w:t>
      </w:r>
      <w:r>
        <w:rPr>
          <w:spacing w:val="36"/>
        </w:rPr>
        <w:t> </w:t>
      </w:r>
      <w:r>
        <w:rPr/>
        <w:t>materials</w:t>
      </w:r>
      <w:r>
        <w:rPr>
          <w:spacing w:val="40"/>
        </w:rPr>
        <w:t> </w:t>
      </w:r>
      <w:r>
        <w:rPr/>
        <w:t>such</w:t>
      </w:r>
      <w:r>
        <w:rPr>
          <w:spacing w:val="30"/>
        </w:rPr>
        <w:t> </w:t>
      </w:r>
      <w:r>
        <w:rPr/>
        <w:t>as oil and water. This is achieved by giving the hydrophilic starch a long hydrophobic, i.e. lipophilic,</w:t>
      </w:r>
      <w:r>
        <w:rPr>
          <w:spacing w:val="40"/>
        </w:rPr>
        <w:t> </w:t>
      </w:r>
      <w:r>
        <w:rPr/>
        <w:t>hydrocarbon</w:t>
      </w:r>
      <w:r>
        <w:rPr>
          <w:spacing w:val="40"/>
        </w:rPr>
        <w:t> </w:t>
      </w:r>
      <w:r>
        <w:rPr/>
        <w:t>chain.</w:t>
      </w:r>
      <w:r>
        <w:rPr>
          <w:spacing w:val="40"/>
        </w:rPr>
        <w:t> </w:t>
      </w:r>
      <w:r>
        <w:rPr/>
        <w:t>(Octenylsuccinate</w:t>
      </w:r>
      <w:r>
        <w:rPr>
          <w:spacing w:val="40"/>
        </w:rPr>
        <w:t> </w:t>
      </w:r>
      <w:r>
        <w:rPr/>
        <w:t>groups</w:t>
      </w:r>
      <w:r>
        <w:rPr>
          <w:spacing w:val="40"/>
        </w:rPr>
        <w:t> </w:t>
      </w:r>
      <w:r>
        <w:rPr/>
        <w:t>containing</w:t>
      </w:r>
      <w:r>
        <w:rPr>
          <w:spacing w:val="40"/>
        </w:rPr>
        <w:t> </w:t>
      </w:r>
      <w:r>
        <w:rPr/>
        <w:t>an</w:t>
      </w:r>
      <w:r>
        <w:rPr>
          <w:spacing w:val="40"/>
        </w:rPr>
        <w:t> </w:t>
      </w:r>
      <w:r>
        <w:rPr/>
        <w:t>eight-carbon chain provide the lipid-mimicking characteristic). The glucose part of starch binds the water while the lipophilic, octenyl part binds the oil. Thus complete separation of the oil and water phases is prevented.</w:t>
      </w:r>
    </w:p>
    <w:p>
      <w:pPr>
        <w:pStyle w:val="Heading2"/>
        <w:numPr>
          <w:ilvl w:val="2"/>
          <w:numId w:val="11"/>
        </w:numPr>
        <w:tabs>
          <w:tab w:pos="1342" w:val="left" w:leader="none"/>
        </w:tabs>
        <w:spacing w:line="240" w:lineRule="auto" w:before="234" w:after="0"/>
        <w:ind w:left="1342" w:right="0" w:hanging="677"/>
        <w:jc w:val="left"/>
      </w:pPr>
      <w:bookmarkStart w:name="_TOC_250134" w:id="27"/>
      <w:bookmarkEnd w:id="27"/>
      <w:r>
        <w:rPr>
          <w:spacing w:val="-2"/>
        </w:rPr>
        <w:t>Pregelatinization</w:t>
      </w:r>
    </w:p>
    <w:p>
      <w:pPr>
        <w:pStyle w:val="BodyText"/>
        <w:spacing w:line="491" w:lineRule="auto" w:before="241"/>
        <w:ind w:left="665" w:right="1856" w:firstLine="676"/>
        <w:jc w:val="both"/>
      </w:pPr>
      <w:r>
        <w:rPr/>
        <w:t>Pregelatinization is a physical modification process. Certain starches require cooking to develop their function (“cook-up” starches). Pregelatinization removes the necessity for cooking. Pregelatinization may be applied to native or modified cook-up starches</w:t>
      </w:r>
      <w:r>
        <w:rPr>
          <w:spacing w:val="31"/>
        </w:rPr>
        <w:t> </w:t>
      </w:r>
      <w:r>
        <w:rPr/>
        <w:t>to</w:t>
      </w:r>
      <w:r>
        <w:rPr>
          <w:spacing w:val="36"/>
        </w:rPr>
        <w:t> </w:t>
      </w:r>
      <w:r>
        <w:rPr/>
        <w:t>achieve</w:t>
      </w:r>
      <w:r>
        <w:rPr>
          <w:spacing w:val="34"/>
        </w:rPr>
        <w:t> </w:t>
      </w:r>
      <w:r>
        <w:rPr/>
        <w:t>a</w:t>
      </w:r>
      <w:r>
        <w:rPr>
          <w:spacing w:val="34"/>
        </w:rPr>
        <w:t> </w:t>
      </w:r>
      <w:r>
        <w:rPr/>
        <w:t>wide</w:t>
      </w:r>
      <w:r>
        <w:rPr>
          <w:spacing w:val="34"/>
        </w:rPr>
        <w:t> </w:t>
      </w:r>
      <w:r>
        <w:rPr/>
        <w:t>range</w:t>
      </w:r>
      <w:r>
        <w:rPr>
          <w:spacing w:val="28"/>
        </w:rPr>
        <w:t> </w:t>
      </w:r>
      <w:r>
        <w:rPr/>
        <w:t>of</w:t>
      </w:r>
      <w:r>
        <w:rPr>
          <w:spacing w:val="29"/>
        </w:rPr>
        <w:t> </w:t>
      </w:r>
      <w:r>
        <w:rPr/>
        <w:t>cold</w:t>
      </w:r>
      <w:r>
        <w:rPr>
          <w:spacing w:val="36"/>
        </w:rPr>
        <w:t> </w:t>
      </w:r>
      <w:r>
        <w:rPr/>
        <w:t>thickening</w:t>
      </w:r>
      <w:r>
        <w:rPr>
          <w:spacing w:val="30"/>
        </w:rPr>
        <w:t> </w:t>
      </w:r>
      <w:r>
        <w:rPr/>
        <w:t>starches.</w:t>
      </w:r>
      <w:r>
        <w:rPr>
          <w:spacing w:val="34"/>
        </w:rPr>
        <w:t> </w:t>
      </w:r>
      <w:r>
        <w:rPr/>
        <w:t>The</w:t>
      </w:r>
      <w:r>
        <w:rPr>
          <w:spacing w:val="39"/>
        </w:rPr>
        <w:t> </w:t>
      </w:r>
      <w:r>
        <w:rPr/>
        <w:t>starch</w:t>
      </w:r>
      <w:r>
        <w:rPr>
          <w:spacing w:val="24"/>
        </w:rPr>
        <w:t> </w:t>
      </w:r>
      <w:r>
        <w:rPr/>
        <w:t>is</w:t>
      </w:r>
      <w:r>
        <w:rPr>
          <w:spacing w:val="26"/>
        </w:rPr>
        <w:t> </w:t>
      </w:r>
      <w:r>
        <w:rPr/>
        <w:t>pre-cooked by simultaneously cooking and</w:t>
      </w:r>
      <w:r>
        <w:rPr>
          <w:spacing w:val="40"/>
        </w:rPr>
        <w:t> </w:t>
      </w:r>
      <w:r>
        <w:rPr/>
        <w:t>drying using one of the following processes:</w:t>
      </w:r>
    </w:p>
    <w:p>
      <w:pPr>
        <w:pStyle w:val="ListParagraph"/>
        <w:numPr>
          <w:ilvl w:val="3"/>
          <w:numId w:val="11"/>
        </w:numPr>
        <w:tabs>
          <w:tab w:pos="1341" w:val="left" w:leader="none"/>
        </w:tabs>
        <w:spacing w:line="240" w:lineRule="auto" w:before="3" w:after="0"/>
        <w:ind w:left="1341" w:right="0" w:hanging="335"/>
        <w:jc w:val="both"/>
        <w:rPr>
          <w:sz w:val="22"/>
        </w:rPr>
      </w:pPr>
      <w:r>
        <w:rPr>
          <w:sz w:val="22"/>
        </w:rPr>
        <w:t>Drum</w:t>
      </w:r>
      <w:r>
        <w:rPr>
          <w:spacing w:val="3"/>
          <w:sz w:val="22"/>
        </w:rPr>
        <w:t> </w:t>
      </w:r>
      <w:r>
        <w:rPr>
          <w:sz w:val="22"/>
        </w:rPr>
        <w:t>–</w:t>
      </w:r>
      <w:r>
        <w:rPr>
          <w:spacing w:val="16"/>
          <w:sz w:val="22"/>
        </w:rPr>
        <w:t> </w:t>
      </w:r>
      <w:r>
        <w:rPr>
          <w:sz w:val="22"/>
        </w:rPr>
        <w:t>drying</w:t>
      </w:r>
      <w:r>
        <w:rPr>
          <w:spacing w:val="10"/>
          <w:sz w:val="22"/>
        </w:rPr>
        <w:t> </w:t>
      </w:r>
      <w:r>
        <w:rPr>
          <w:sz w:val="22"/>
        </w:rPr>
        <w:t>(starch</w:t>
      </w:r>
      <w:r>
        <w:rPr>
          <w:spacing w:val="10"/>
          <w:sz w:val="22"/>
        </w:rPr>
        <w:t> </w:t>
      </w:r>
      <w:r>
        <w:rPr>
          <w:sz w:val="22"/>
        </w:rPr>
        <w:t>suspensions)</w:t>
      </w:r>
      <w:r>
        <w:rPr>
          <w:spacing w:val="20"/>
          <w:sz w:val="22"/>
        </w:rPr>
        <w:t> </w:t>
      </w:r>
      <w:r>
        <w:rPr>
          <w:sz w:val="22"/>
        </w:rPr>
        <w:t>–</w:t>
      </w:r>
      <w:r>
        <w:rPr>
          <w:spacing w:val="16"/>
          <w:sz w:val="22"/>
        </w:rPr>
        <w:t> </w:t>
      </w:r>
      <w:r>
        <w:rPr>
          <w:sz w:val="22"/>
        </w:rPr>
        <w:t>commonly</w:t>
      </w:r>
      <w:r>
        <w:rPr>
          <w:spacing w:val="-2"/>
          <w:sz w:val="22"/>
        </w:rPr>
        <w:t> </w:t>
      </w:r>
      <w:r>
        <w:rPr>
          <w:spacing w:val="-4"/>
          <w:sz w:val="22"/>
        </w:rPr>
        <w:t>used</w:t>
      </w:r>
    </w:p>
    <w:p>
      <w:pPr>
        <w:pStyle w:val="BodyText"/>
        <w:spacing w:before="10"/>
      </w:pPr>
    </w:p>
    <w:p>
      <w:pPr>
        <w:pStyle w:val="ListParagraph"/>
        <w:numPr>
          <w:ilvl w:val="3"/>
          <w:numId w:val="11"/>
        </w:numPr>
        <w:tabs>
          <w:tab w:pos="1341" w:val="left" w:leader="none"/>
        </w:tabs>
        <w:spacing w:line="240" w:lineRule="auto" w:before="0" w:after="0"/>
        <w:ind w:left="1341" w:right="0" w:hanging="335"/>
        <w:jc w:val="both"/>
        <w:rPr>
          <w:sz w:val="22"/>
        </w:rPr>
      </w:pPr>
      <w:r>
        <w:rPr>
          <w:sz w:val="22"/>
        </w:rPr>
        <w:t>Extrusion</w:t>
      </w:r>
      <w:r>
        <w:rPr>
          <w:spacing w:val="13"/>
          <w:sz w:val="22"/>
        </w:rPr>
        <w:t> </w:t>
      </w:r>
      <w:r>
        <w:rPr>
          <w:sz w:val="22"/>
        </w:rPr>
        <w:t>(semi-dry</w:t>
      </w:r>
      <w:r>
        <w:rPr>
          <w:spacing w:val="-6"/>
          <w:sz w:val="22"/>
        </w:rPr>
        <w:t> </w:t>
      </w:r>
      <w:r>
        <w:rPr>
          <w:sz w:val="22"/>
        </w:rPr>
        <w:t>starch)</w:t>
      </w:r>
      <w:r>
        <w:rPr>
          <w:spacing w:val="19"/>
          <w:sz w:val="22"/>
        </w:rPr>
        <w:t> </w:t>
      </w:r>
      <w:r>
        <w:rPr>
          <w:sz w:val="22"/>
        </w:rPr>
        <w:t>–</w:t>
      </w:r>
      <w:r>
        <w:rPr>
          <w:spacing w:val="19"/>
          <w:sz w:val="22"/>
        </w:rPr>
        <w:t> </w:t>
      </w:r>
      <w:r>
        <w:rPr>
          <w:sz w:val="22"/>
        </w:rPr>
        <w:t>rarely</w:t>
      </w:r>
      <w:r>
        <w:rPr>
          <w:spacing w:val="7"/>
          <w:sz w:val="22"/>
        </w:rPr>
        <w:t> </w:t>
      </w:r>
      <w:r>
        <w:rPr>
          <w:spacing w:val="-4"/>
          <w:sz w:val="22"/>
        </w:rPr>
        <w:t>used</w:t>
      </w:r>
    </w:p>
    <w:p>
      <w:pPr>
        <w:pStyle w:val="BodyText"/>
        <w:spacing w:before="15"/>
      </w:pPr>
    </w:p>
    <w:p>
      <w:pPr>
        <w:pStyle w:val="ListParagraph"/>
        <w:numPr>
          <w:ilvl w:val="3"/>
          <w:numId w:val="11"/>
        </w:numPr>
        <w:tabs>
          <w:tab w:pos="1341" w:val="left" w:leader="none"/>
        </w:tabs>
        <w:spacing w:line="240" w:lineRule="auto" w:before="0" w:after="0"/>
        <w:ind w:left="1341" w:right="0" w:hanging="335"/>
        <w:jc w:val="both"/>
        <w:rPr>
          <w:sz w:val="22"/>
        </w:rPr>
      </w:pPr>
      <w:r>
        <w:rPr>
          <w:sz w:val="22"/>
        </w:rPr>
        <w:t>Spray-drying</w:t>
      </w:r>
      <w:r>
        <w:rPr>
          <w:spacing w:val="11"/>
          <w:sz w:val="22"/>
        </w:rPr>
        <w:t> </w:t>
      </w:r>
      <w:r>
        <w:rPr>
          <w:sz w:val="22"/>
        </w:rPr>
        <w:t>(starch</w:t>
      </w:r>
      <w:r>
        <w:rPr>
          <w:spacing w:val="11"/>
          <w:sz w:val="22"/>
        </w:rPr>
        <w:t> </w:t>
      </w:r>
      <w:r>
        <w:rPr>
          <w:sz w:val="22"/>
        </w:rPr>
        <w:t>suspensions)</w:t>
      </w:r>
      <w:r>
        <w:rPr>
          <w:spacing w:val="22"/>
          <w:sz w:val="22"/>
        </w:rPr>
        <w:t> </w:t>
      </w:r>
      <w:r>
        <w:rPr>
          <w:sz w:val="22"/>
        </w:rPr>
        <w:t>–</w:t>
      </w:r>
      <w:r>
        <w:rPr>
          <w:spacing w:val="11"/>
          <w:sz w:val="22"/>
        </w:rPr>
        <w:t> </w:t>
      </w:r>
      <w:r>
        <w:rPr>
          <w:sz w:val="22"/>
        </w:rPr>
        <w:t>increasing</w:t>
      </w:r>
      <w:r>
        <w:rPr>
          <w:spacing w:val="6"/>
          <w:sz w:val="22"/>
        </w:rPr>
        <w:t> </w:t>
      </w:r>
      <w:r>
        <w:rPr>
          <w:sz w:val="22"/>
        </w:rPr>
        <w:t>in</w:t>
      </w:r>
      <w:r>
        <w:rPr>
          <w:spacing w:val="17"/>
          <w:sz w:val="22"/>
        </w:rPr>
        <w:t> </w:t>
      </w:r>
      <w:r>
        <w:rPr>
          <w:spacing w:val="-4"/>
          <w:sz w:val="22"/>
        </w:rPr>
        <w:t>use.</w:t>
      </w:r>
    </w:p>
    <w:p>
      <w:pPr>
        <w:pStyle w:val="BodyText"/>
        <w:spacing w:before="242"/>
      </w:pPr>
    </w:p>
    <w:p>
      <w:pPr>
        <w:pStyle w:val="Heading2"/>
        <w:numPr>
          <w:ilvl w:val="2"/>
          <w:numId w:val="11"/>
        </w:numPr>
        <w:tabs>
          <w:tab w:pos="1342" w:val="left" w:leader="none"/>
        </w:tabs>
        <w:spacing w:line="240" w:lineRule="auto" w:before="0" w:after="0"/>
        <w:ind w:left="1342" w:right="0" w:hanging="677"/>
        <w:jc w:val="left"/>
      </w:pPr>
      <w:bookmarkStart w:name="_TOC_250133" w:id="28"/>
      <w:bookmarkEnd w:id="28"/>
      <w:r>
        <w:rPr>
          <w:spacing w:val="-2"/>
        </w:rPr>
        <w:t>Annealing</w:t>
      </w:r>
    </w:p>
    <w:p>
      <w:pPr>
        <w:pStyle w:val="BodyText"/>
        <w:spacing w:line="491" w:lineRule="auto" w:before="247"/>
        <w:ind w:left="665" w:right="1857" w:firstLine="676"/>
        <w:jc w:val="both"/>
      </w:pPr>
      <w:r>
        <w:rPr/>
        <w:t>Annealing</w:t>
      </w:r>
      <w:r>
        <w:rPr>
          <w:spacing w:val="33"/>
        </w:rPr>
        <w:t> </w:t>
      </w:r>
      <w:r>
        <w:rPr/>
        <w:t>is</w:t>
      </w:r>
      <w:r>
        <w:rPr>
          <w:spacing w:val="27"/>
        </w:rPr>
        <w:t> </w:t>
      </w:r>
      <w:r>
        <w:rPr/>
        <w:t>a</w:t>
      </w:r>
      <w:r>
        <w:rPr>
          <w:spacing w:val="29"/>
        </w:rPr>
        <w:t> </w:t>
      </w:r>
      <w:r>
        <w:rPr/>
        <w:t>peculiar</w:t>
      </w:r>
      <w:r>
        <w:rPr>
          <w:spacing w:val="30"/>
        </w:rPr>
        <w:t> </w:t>
      </w:r>
      <w:r>
        <w:rPr/>
        <w:t>physical</w:t>
      </w:r>
      <w:r>
        <w:rPr>
          <w:spacing w:val="22"/>
        </w:rPr>
        <w:t> </w:t>
      </w:r>
      <w:r>
        <w:rPr/>
        <w:t>modification</w:t>
      </w:r>
      <w:r>
        <w:rPr>
          <w:spacing w:val="26"/>
        </w:rPr>
        <w:t> </w:t>
      </w:r>
      <w:r>
        <w:rPr/>
        <w:t>process</w:t>
      </w:r>
      <w:r>
        <w:rPr>
          <w:spacing w:val="27"/>
        </w:rPr>
        <w:t> </w:t>
      </w:r>
      <w:r>
        <w:rPr/>
        <w:t>where</w:t>
      </w:r>
      <w:r>
        <w:rPr>
          <w:spacing w:val="29"/>
        </w:rPr>
        <w:t> </w:t>
      </w:r>
      <w:r>
        <w:rPr/>
        <w:t>starch</w:t>
      </w:r>
      <w:r>
        <w:rPr>
          <w:spacing w:val="26"/>
        </w:rPr>
        <w:t> </w:t>
      </w:r>
      <w:r>
        <w:rPr/>
        <w:t>is</w:t>
      </w:r>
      <w:r>
        <w:rPr>
          <w:spacing w:val="27"/>
        </w:rPr>
        <w:t> </w:t>
      </w:r>
      <w:r>
        <w:rPr/>
        <w:t>incubated in excess water (&gt; 60 % w/w) or intermediate water content (40 to 55 % w/w) at a temperature between the</w:t>
      </w:r>
      <w:r>
        <w:rPr>
          <w:spacing w:val="40"/>
        </w:rPr>
        <w:t> </w:t>
      </w:r>
      <w:r>
        <w:rPr/>
        <w:t>glass temperature</w:t>
      </w:r>
      <w:r>
        <w:rPr>
          <w:spacing w:val="40"/>
        </w:rPr>
        <w:t> </w:t>
      </w:r>
      <w:r>
        <w:rPr/>
        <w:t>and</w:t>
      </w:r>
      <w:r>
        <w:rPr>
          <w:spacing w:val="40"/>
        </w:rPr>
        <w:t> </w:t>
      </w:r>
      <w:r>
        <w:rPr/>
        <w:t>the</w:t>
      </w:r>
      <w:r>
        <w:rPr>
          <w:spacing w:val="40"/>
        </w:rPr>
        <w:t> </w:t>
      </w:r>
      <w:r>
        <w:rPr/>
        <w:t>gelatinization</w:t>
      </w:r>
      <w:r>
        <w:rPr>
          <w:spacing w:val="40"/>
        </w:rPr>
        <w:t> </w:t>
      </w:r>
      <w:r>
        <w:rPr/>
        <w:t>temperature</w:t>
      </w:r>
      <w:r>
        <w:rPr>
          <w:spacing w:val="40"/>
        </w:rPr>
        <w:t> </w:t>
      </w:r>
      <w:r>
        <w:rPr/>
        <w:t>for</w:t>
      </w:r>
      <w:r>
        <w:rPr>
          <w:spacing w:val="40"/>
        </w:rPr>
        <w:t> </w:t>
      </w:r>
      <w:r>
        <w:rPr/>
        <w:t>a certain</w:t>
      </w:r>
      <w:r>
        <w:rPr>
          <w:spacing w:val="54"/>
          <w:w w:val="150"/>
        </w:rPr>
        <w:t> </w:t>
      </w:r>
      <w:r>
        <w:rPr/>
        <w:t>period</w:t>
      </w:r>
      <w:r>
        <w:rPr>
          <w:spacing w:val="64"/>
          <w:w w:val="150"/>
        </w:rPr>
        <w:t> </w:t>
      </w:r>
      <w:r>
        <w:rPr/>
        <w:t>of</w:t>
      </w:r>
      <w:r>
        <w:rPr>
          <w:spacing w:val="60"/>
          <w:w w:val="150"/>
        </w:rPr>
        <w:t> </w:t>
      </w:r>
      <w:r>
        <w:rPr/>
        <w:t>time</w:t>
      </w:r>
      <w:r>
        <w:rPr>
          <w:spacing w:val="62"/>
          <w:w w:val="150"/>
        </w:rPr>
        <w:t> </w:t>
      </w:r>
      <w:r>
        <w:rPr/>
        <w:t>(Tukomane,</w:t>
      </w:r>
      <w:r>
        <w:rPr>
          <w:spacing w:val="69"/>
          <w:w w:val="150"/>
        </w:rPr>
        <w:t> </w:t>
      </w:r>
      <w:r>
        <w:rPr/>
        <w:t>2008).</w:t>
      </w:r>
      <w:r>
        <w:rPr>
          <w:spacing w:val="63"/>
          <w:w w:val="150"/>
        </w:rPr>
        <w:t> </w:t>
      </w:r>
      <w:r>
        <w:rPr/>
        <w:t>Annealing</w:t>
      </w:r>
      <w:r>
        <w:rPr>
          <w:spacing w:val="60"/>
          <w:w w:val="150"/>
        </w:rPr>
        <w:t> </w:t>
      </w:r>
      <w:r>
        <w:rPr/>
        <w:t>of</w:t>
      </w:r>
      <w:r>
        <w:rPr>
          <w:spacing w:val="64"/>
          <w:w w:val="150"/>
        </w:rPr>
        <w:t> </w:t>
      </w:r>
      <w:r>
        <w:rPr/>
        <w:t>starch</w:t>
      </w:r>
      <w:r>
        <w:rPr>
          <w:spacing w:val="65"/>
          <w:w w:val="150"/>
        </w:rPr>
        <w:t> </w:t>
      </w:r>
      <w:r>
        <w:rPr/>
        <w:t>is</w:t>
      </w:r>
      <w:r>
        <w:rPr>
          <w:spacing w:val="66"/>
          <w:w w:val="150"/>
        </w:rPr>
        <w:t> </w:t>
      </w:r>
      <w:r>
        <w:rPr/>
        <w:t>applied</w:t>
      </w:r>
      <w:r>
        <w:rPr>
          <w:spacing w:val="64"/>
          <w:w w:val="150"/>
        </w:rPr>
        <w:t> </w:t>
      </w:r>
      <w:r>
        <w:rPr>
          <w:spacing w:val="-2"/>
        </w:rPr>
        <w:t>where</w:t>
      </w:r>
    </w:p>
    <w:p>
      <w:pPr>
        <w:spacing w:after="0" w:line="491" w:lineRule="auto"/>
        <w:jc w:val="both"/>
        <w:sectPr>
          <w:pgSz w:w="12240" w:h="15840"/>
          <w:pgMar w:header="0" w:footer="999" w:top="1260" w:bottom="1180" w:left="1720" w:right="0"/>
        </w:sectPr>
      </w:pPr>
    </w:p>
    <w:p>
      <w:pPr>
        <w:pStyle w:val="BodyText"/>
        <w:spacing w:line="491" w:lineRule="auto" w:before="75"/>
        <w:ind w:left="665" w:right="1856"/>
        <w:jc w:val="both"/>
      </w:pPr>
      <w:r>
        <w:rPr/>
        <w:t>gelatinization does not occur. Annealing is sometimes associated with partial gelatinization. Annealing increases starch gelatinization temperature and sharpens the gelatinization range.</w:t>
      </w:r>
    </w:p>
    <w:p>
      <w:pPr>
        <w:pStyle w:val="BodyText"/>
        <w:spacing w:line="491" w:lineRule="auto"/>
        <w:ind w:left="665" w:right="1852" w:firstLine="676"/>
        <w:jc w:val="both"/>
      </w:pPr>
      <w:r>
        <w:rPr/>
        <w:t>Annealing modifies the physicochemical properties of starch without destroying the</w:t>
      </w:r>
      <w:r>
        <w:rPr>
          <w:spacing w:val="40"/>
        </w:rPr>
        <w:t> </w:t>
      </w:r>
      <w:r>
        <w:rPr/>
        <w:t>granule structure.</w:t>
      </w:r>
      <w:r>
        <w:rPr>
          <w:spacing w:val="40"/>
        </w:rPr>
        <w:t> </w:t>
      </w:r>
      <w:r>
        <w:rPr/>
        <w:t>Amorphous starch molecules</w:t>
      </w:r>
      <w:r>
        <w:rPr>
          <w:spacing w:val="40"/>
        </w:rPr>
        <w:t> </w:t>
      </w:r>
      <w:r>
        <w:rPr/>
        <w:t>become mobile</w:t>
      </w:r>
      <w:r>
        <w:rPr>
          <w:spacing w:val="40"/>
        </w:rPr>
        <w:t> </w:t>
      </w:r>
      <w:r>
        <w:rPr/>
        <w:t>and</w:t>
      </w:r>
      <w:r>
        <w:rPr>
          <w:spacing w:val="40"/>
        </w:rPr>
        <w:t> </w:t>
      </w:r>
      <w:r>
        <w:rPr/>
        <w:t>reorganize to form</w:t>
      </w:r>
      <w:r>
        <w:rPr>
          <w:spacing w:val="22"/>
        </w:rPr>
        <w:t> </w:t>
      </w:r>
      <w:r>
        <w:rPr/>
        <w:t>an</w:t>
      </w:r>
      <w:r>
        <w:rPr>
          <w:spacing w:val="24"/>
        </w:rPr>
        <w:t> </w:t>
      </w:r>
      <w:r>
        <w:rPr/>
        <w:t>enhanced</w:t>
      </w:r>
      <w:r>
        <w:rPr>
          <w:spacing w:val="35"/>
        </w:rPr>
        <w:t> </w:t>
      </w:r>
      <w:r>
        <w:rPr/>
        <w:t>crystalline</w:t>
      </w:r>
      <w:r>
        <w:rPr>
          <w:spacing w:val="26"/>
        </w:rPr>
        <w:t> </w:t>
      </w:r>
      <w:r>
        <w:rPr/>
        <w:t>structure</w:t>
      </w:r>
      <w:r>
        <w:rPr>
          <w:spacing w:val="26"/>
        </w:rPr>
        <w:t> </w:t>
      </w:r>
      <w:r>
        <w:rPr/>
        <w:t>under</w:t>
      </w:r>
      <w:r>
        <w:rPr>
          <w:spacing w:val="27"/>
        </w:rPr>
        <w:t> </w:t>
      </w:r>
      <w:r>
        <w:rPr/>
        <w:t>annealing</w:t>
      </w:r>
      <w:r>
        <w:rPr>
          <w:spacing w:val="22"/>
        </w:rPr>
        <w:t> </w:t>
      </w:r>
      <w:r>
        <w:rPr/>
        <w:t>conditions,</w:t>
      </w:r>
      <w:r>
        <w:rPr>
          <w:spacing w:val="27"/>
        </w:rPr>
        <w:t> </w:t>
      </w:r>
      <w:r>
        <w:rPr/>
        <w:t>resulting</w:t>
      </w:r>
      <w:r>
        <w:rPr>
          <w:spacing w:val="28"/>
        </w:rPr>
        <w:t> </w:t>
      </w:r>
      <w:r>
        <w:rPr/>
        <w:t>in</w:t>
      </w:r>
      <w:r>
        <w:rPr>
          <w:spacing w:val="28"/>
        </w:rPr>
        <w:t> </w:t>
      </w:r>
      <w:r>
        <w:rPr/>
        <w:t>increase in starch overall crystallinity (Eliasson and Gudmundsson, 1996; Tester and Debon,</w:t>
      </w:r>
      <w:r>
        <w:rPr>
          <w:spacing w:val="40"/>
        </w:rPr>
        <w:t> </w:t>
      </w:r>
      <w:r>
        <w:rPr/>
        <w:t>2000).</w:t>
      </w:r>
      <w:r>
        <w:rPr>
          <w:spacing w:val="40"/>
        </w:rPr>
        <w:t> </w:t>
      </w:r>
      <w:r>
        <w:rPr/>
        <w:t>Annealing</w:t>
      </w:r>
      <w:r>
        <w:rPr>
          <w:spacing w:val="40"/>
        </w:rPr>
        <w:t> </w:t>
      </w:r>
      <w:r>
        <w:rPr/>
        <w:t>reduces</w:t>
      </w:r>
      <w:r>
        <w:rPr>
          <w:spacing w:val="40"/>
        </w:rPr>
        <w:t> </w:t>
      </w:r>
      <w:r>
        <w:rPr/>
        <w:t>the</w:t>
      </w:r>
      <w:r>
        <w:rPr>
          <w:spacing w:val="40"/>
        </w:rPr>
        <w:t> </w:t>
      </w:r>
      <w:r>
        <w:rPr/>
        <w:t>swelling</w:t>
      </w:r>
      <w:r>
        <w:rPr>
          <w:spacing w:val="40"/>
        </w:rPr>
        <w:t> </w:t>
      </w:r>
      <w:r>
        <w:rPr/>
        <w:t>power</w:t>
      </w:r>
      <w:r>
        <w:rPr>
          <w:spacing w:val="40"/>
        </w:rPr>
        <w:t> </w:t>
      </w:r>
      <w:r>
        <w:rPr/>
        <w:t>of</w:t>
      </w:r>
      <w:r>
        <w:rPr>
          <w:spacing w:val="40"/>
        </w:rPr>
        <w:t> </w:t>
      </w:r>
      <w:r>
        <w:rPr/>
        <w:t>starch</w:t>
      </w:r>
      <w:r>
        <w:rPr>
          <w:spacing w:val="40"/>
        </w:rPr>
        <w:t> </w:t>
      </w:r>
      <w:r>
        <w:rPr/>
        <w:t>granules,</w:t>
      </w:r>
      <w:r>
        <w:rPr>
          <w:spacing w:val="40"/>
        </w:rPr>
        <w:t> </w:t>
      </w:r>
      <w:r>
        <w:rPr/>
        <w:t>it</w:t>
      </w:r>
      <w:r>
        <w:rPr>
          <w:spacing w:val="40"/>
        </w:rPr>
        <w:t> </w:t>
      </w:r>
      <w:r>
        <w:rPr/>
        <w:t>also</w:t>
      </w:r>
      <w:r>
        <w:rPr>
          <w:spacing w:val="40"/>
        </w:rPr>
        <w:t> </w:t>
      </w:r>
      <w:r>
        <w:rPr/>
        <w:t>affects</w:t>
      </w:r>
      <w:r>
        <w:rPr>
          <w:spacing w:val="40"/>
        </w:rPr>
        <w:t> </w:t>
      </w:r>
      <w:r>
        <w:rPr/>
        <w:t>the degree of susceptibility of starch to acid and enzymatic hydrolysis and the susceptibility varies with different starch sources e.g. annealing was found to increase enzymatic susceptibility of barley, oat and wheat starches, whereas the inverse was true for potato starch (Tester </w:t>
      </w:r>
      <w:r>
        <w:rPr>
          <w:i/>
        </w:rPr>
        <w:t>et al, </w:t>
      </w:r>
      <w:r>
        <w:rPr/>
        <w:t>1998).</w:t>
      </w:r>
    </w:p>
    <w:p>
      <w:pPr>
        <w:pStyle w:val="Heading2"/>
        <w:numPr>
          <w:ilvl w:val="1"/>
          <w:numId w:val="11"/>
        </w:numPr>
        <w:tabs>
          <w:tab w:pos="1342" w:val="left" w:leader="none"/>
        </w:tabs>
        <w:spacing w:line="240" w:lineRule="auto" w:before="233" w:after="0"/>
        <w:ind w:left="1342" w:right="0" w:hanging="677"/>
        <w:jc w:val="left"/>
      </w:pPr>
      <w:bookmarkStart w:name="_TOC_250132" w:id="29"/>
      <w:r>
        <w:rPr/>
        <w:t>Survey</w:t>
      </w:r>
      <w:r>
        <w:rPr>
          <w:spacing w:val="7"/>
        </w:rPr>
        <w:t> </w:t>
      </w:r>
      <w:r>
        <w:rPr/>
        <w:t>of</w:t>
      </w:r>
      <w:r>
        <w:rPr>
          <w:spacing w:val="18"/>
        </w:rPr>
        <w:t> </w:t>
      </w:r>
      <w:r>
        <w:rPr/>
        <w:t>research</w:t>
      </w:r>
      <w:r>
        <w:rPr>
          <w:spacing w:val="3"/>
        </w:rPr>
        <w:t> </w:t>
      </w:r>
      <w:r>
        <w:rPr/>
        <w:t>Work</w:t>
      </w:r>
      <w:r>
        <w:rPr>
          <w:spacing w:val="16"/>
        </w:rPr>
        <w:t> </w:t>
      </w:r>
      <w:r>
        <w:rPr/>
        <w:t>on</w:t>
      </w:r>
      <w:r>
        <w:rPr>
          <w:spacing w:val="9"/>
        </w:rPr>
        <w:t> </w:t>
      </w:r>
      <w:r>
        <w:rPr/>
        <w:t>Local</w:t>
      </w:r>
      <w:r>
        <w:rPr>
          <w:spacing w:val="10"/>
        </w:rPr>
        <w:t> </w:t>
      </w:r>
      <w:bookmarkEnd w:id="29"/>
      <w:r>
        <w:rPr>
          <w:spacing w:val="-2"/>
        </w:rPr>
        <w:t>Starches</w:t>
      </w:r>
    </w:p>
    <w:p>
      <w:pPr>
        <w:pStyle w:val="BodyText"/>
        <w:spacing w:line="491" w:lineRule="auto" w:before="246"/>
        <w:ind w:left="665" w:right="1854" w:firstLine="393"/>
        <w:jc w:val="both"/>
      </w:pPr>
      <w:r>
        <w:rPr/>
        <w:t>A survey of the literature reveals the usefulness of starches from various botanical sources as pharmaceutical excipients has formed a subject of interest for more than four decades (Olayemi, 2008).</w:t>
      </w:r>
    </w:p>
    <w:p>
      <w:pPr>
        <w:pStyle w:val="BodyText"/>
        <w:spacing w:line="491" w:lineRule="auto"/>
        <w:ind w:left="665" w:right="1857" w:firstLine="388"/>
        <w:jc w:val="both"/>
      </w:pPr>
      <w:r>
        <w:rPr/>
        <w:t>Starches are widely available and</w:t>
      </w:r>
      <w:r>
        <w:rPr>
          <w:spacing w:val="24"/>
        </w:rPr>
        <w:t> </w:t>
      </w:r>
      <w:r>
        <w:rPr/>
        <w:t>have been very useful in production of tablets due</w:t>
      </w:r>
      <w:r>
        <w:rPr>
          <w:spacing w:val="40"/>
        </w:rPr>
        <w:t> </w:t>
      </w:r>
      <w:r>
        <w:rPr/>
        <w:t>to their inertness, cheapness, and utilization as filler/diluents, binders, disintegrants and glidants and recently, a lot of effort has been expended on the development of new starches from local sources as pharmaceutical excipients (Nasipuri, 1979; Esezobo and Ambujain, 1982; Weirik </w:t>
      </w:r>
      <w:r>
        <w:rPr>
          <w:i/>
        </w:rPr>
        <w:t>et al, </w:t>
      </w:r>
      <w:r>
        <w:rPr/>
        <w:t>1996; Alebiowu and Itiola, 2001).</w:t>
      </w:r>
    </w:p>
    <w:p>
      <w:pPr>
        <w:pStyle w:val="BodyText"/>
        <w:spacing w:line="491" w:lineRule="auto"/>
        <w:ind w:left="665" w:right="1856" w:firstLine="336"/>
        <w:jc w:val="both"/>
      </w:pPr>
      <w:r>
        <w:rPr/>
        <w:t>One</w:t>
      </w:r>
      <w:r>
        <w:rPr>
          <w:spacing w:val="40"/>
        </w:rPr>
        <w:t> </w:t>
      </w:r>
      <w:r>
        <w:rPr/>
        <w:t>of</w:t>
      </w:r>
      <w:r>
        <w:rPr>
          <w:spacing w:val="40"/>
        </w:rPr>
        <w:t> </w:t>
      </w:r>
      <w:r>
        <w:rPr/>
        <w:t>the</w:t>
      </w:r>
      <w:r>
        <w:rPr>
          <w:spacing w:val="40"/>
        </w:rPr>
        <w:t> </w:t>
      </w:r>
      <w:r>
        <w:rPr/>
        <w:t>earliest</w:t>
      </w:r>
      <w:r>
        <w:rPr>
          <w:spacing w:val="40"/>
        </w:rPr>
        <w:t> </w:t>
      </w:r>
      <w:r>
        <w:rPr/>
        <w:t>reported</w:t>
      </w:r>
      <w:r>
        <w:rPr>
          <w:spacing w:val="40"/>
        </w:rPr>
        <w:t> </w:t>
      </w:r>
      <w:r>
        <w:rPr/>
        <w:t>works</w:t>
      </w:r>
      <w:r>
        <w:rPr>
          <w:spacing w:val="40"/>
        </w:rPr>
        <w:t> </w:t>
      </w:r>
      <w:r>
        <w:rPr/>
        <w:t>on</w:t>
      </w:r>
      <w:r>
        <w:rPr>
          <w:spacing w:val="40"/>
        </w:rPr>
        <w:t> </w:t>
      </w:r>
      <w:r>
        <w:rPr/>
        <w:t>starch</w:t>
      </w:r>
      <w:r>
        <w:rPr>
          <w:spacing w:val="40"/>
        </w:rPr>
        <w:t> </w:t>
      </w:r>
      <w:r>
        <w:rPr/>
        <w:t>as</w:t>
      </w:r>
      <w:r>
        <w:rPr>
          <w:spacing w:val="40"/>
        </w:rPr>
        <w:t> </w:t>
      </w:r>
      <w:r>
        <w:rPr/>
        <w:t>pharmaceutical</w:t>
      </w:r>
      <w:r>
        <w:rPr>
          <w:spacing w:val="40"/>
        </w:rPr>
        <w:t> </w:t>
      </w:r>
      <w:r>
        <w:rPr/>
        <w:t>excipient</w:t>
      </w:r>
      <w:r>
        <w:rPr>
          <w:spacing w:val="40"/>
        </w:rPr>
        <w:t> </w:t>
      </w:r>
      <w:r>
        <w:rPr/>
        <w:t>was</w:t>
      </w:r>
      <w:r>
        <w:rPr>
          <w:spacing w:val="40"/>
        </w:rPr>
        <w:t> </w:t>
      </w:r>
      <w:r>
        <w:rPr/>
        <w:t>by Mital and Ocran (1968) who reported that yam and cassava starches could be used as a tablet</w:t>
      </w:r>
      <w:r>
        <w:rPr>
          <w:spacing w:val="40"/>
        </w:rPr>
        <w:t> </w:t>
      </w:r>
      <w:r>
        <w:rPr/>
        <w:t>disintegrant.</w:t>
      </w:r>
      <w:r>
        <w:rPr>
          <w:spacing w:val="40"/>
        </w:rPr>
        <w:t> </w:t>
      </w:r>
      <w:r>
        <w:rPr/>
        <w:t>Pilpel</w:t>
      </w:r>
      <w:r>
        <w:rPr>
          <w:spacing w:val="40"/>
        </w:rPr>
        <w:t> </w:t>
      </w:r>
      <w:r>
        <w:rPr>
          <w:i/>
        </w:rPr>
        <w:t>et</w:t>
      </w:r>
      <w:r>
        <w:rPr>
          <w:i/>
          <w:spacing w:val="40"/>
        </w:rPr>
        <w:t> </w:t>
      </w:r>
      <w:r>
        <w:rPr>
          <w:i/>
        </w:rPr>
        <w:t>al,</w:t>
      </w:r>
      <w:r>
        <w:rPr>
          <w:i/>
          <w:spacing w:val="40"/>
        </w:rPr>
        <w:t> </w:t>
      </w:r>
      <w:r>
        <w:rPr/>
        <w:t>(1978)</w:t>
      </w:r>
      <w:r>
        <w:rPr>
          <w:spacing w:val="40"/>
        </w:rPr>
        <w:t> </w:t>
      </w:r>
      <w:r>
        <w:rPr/>
        <w:t>investigated</w:t>
      </w:r>
      <w:r>
        <w:rPr>
          <w:spacing w:val="40"/>
        </w:rPr>
        <w:t> </w:t>
      </w:r>
      <w:r>
        <w:rPr/>
        <w:t>the</w:t>
      </w:r>
      <w:r>
        <w:rPr>
          <w:spacing w:val="40"/>
        </w:rPr>
        <w:t> </w:t>
      </w:r>
      <w:r>
        <w:rPr/>
        <w:t>factors</w:t>
      </w:r>
      <w:r>
        <w:rPr>
          <w:spacing w:val="40"/>
        </w:rPr>
        <w:t> </w:t>
      </w:r>
      <w:r>
        <w:rPr/>
        <w:t>affecting</w:t>
      </w:r>
      <w:r>
        <w:rPr>
          <w:spacing w:val="40"/>
        </w:rPr>
        <w:t> </w:t>
      </w:r>
      <w:r>
        <w:rPr/>
        <w:t>the disintegration and</w:t>
      </w:r>
      <w:r>
        <w:rPr>
          <w:spacing w:val="26"/>
        </w:rPr>
        <w:t> </w:t>
      </w:r>
      <w:r>
        <w:rPr/>
        <w:t>dissolution of chloroquine tablets formulated</w:t>
      </w:r>
      <w:r>
        <w:rPr>
          <w:spacing w:val="26"/>
        </w:rPr>
        <w:t> </w:t>
      </w:r>
      <w:r>
        <w:rPr/>
        <w:t>with starch as excipient.</w:t>
      </w:r>
    </w:p>
    <w:p>
      <w:pPr>
        <w:spacing w:after="0" w:line="491" w:lineRule="auto"/>
        <w:jc w:val="both"/>
        <w:sectPr>
          <w:pgSz w:w="12240" w:h="15840"/>
          <w:pgMar w:header="0" w:footer="999" w:top="1260" w:bottom="1180" w:left="1720" w:right="0"/>
        </w:sectPr>
      </w:pPr>
    </w:p>
    <w:p>
      <w:pPr>
        <w:pStyle w:val="BodyText"/>
        <w:spacing w:line="491" w:lineRule="auto" w:before="75"/>
        <w:ind w:left="665" w:right="1849"/>
        <w:jc w:val="both"/>
      </w:pPr>
      <w:r>
        <w:rPr/>
        <w:t>According to Billi (1975), cassava starch could be used effectively as binder and disintegrant</w:t>
      </w:r>
      <w:r>
        <w:rPr>
          <w:spacing w:val="40"/>
        </w:rPr>
        <w:t> </w:t>
      </w:r>
      <w:r>
        <w:rPr/>
        <w:t>in</w:t>
      </w:r>
      <w:r>
        <w:rPr>
          <w:spacing w:val="32"/>
        </w:rPr>
        <w:t> </w:t>
      </w:r>
      <w:r>
        <w:rPr/>
        <w:t>the</w:t>
      </w:r>
      <w:r>
        <w:rPr>
          <w:spacing w:val="36"/>
        </w:rPr>
        <w:t> </w:t>
      </w:r>
      <w:r>
        <w:rPr/>
        <w:t>formulation</w:t>
      </w:r>
      <w:r>
        <w:rPr>
          <w:spacing w:val="32"/>
        </w:rPr>
        <w:t> </w:t>
      </w:r>
      <w:r>
        <w:rPr/>
        <w:t>of chloroquine</w:t>
      </w:r>
      <w:r>
        <w:rPr>
          <w:spacing w:val="36"/>
        </w:rPr>
        <w:t> </w:t>
      </w:r>
      <w:r>
        <w:rPr/>
        <w:t>tablet.</w:t>
      </w:r>
      <w:r>
        <w:rPr>
          <w:spacing w:val="40"/>
        </w:rPr>
        <w:t> </w:t>
      </w:r>
      <w:r>
        <w:rPr/>
        <w:t>Nasipuri (1975)</w:t>
      </w:r>
      <w:r>
        <w:rPr>
          <w:spacing w:val="37"/>
        </w:rPr>
        <w:t> </w:t>
      </w:r>
      <w:r>
        <w:rPr/>
        <w:t>also</w:t>
      </w:r>
      <w:r>
        <w:rPr>
          <w:spacing w:val="38"/>
        </w:rPr>
        <w:t> </w:t>
      </w:r>
      <w:r>
        <w:rPr/>
        <w:t>investigated the use of cassava starch as binder and disintegrant in tablet formulation. In 1978,</w:t>
      </w:r>
      <w:r>
        <w:rPr>
          <w:spacing w:val="40"/>
        </w:rPr>
        <w:t> </w:t>
      </w:r>
      <w:r>
        <w:rPr/>
        <w:t>Jaiyeoba and</w:t>
      </w:r>
      <w:r>
        <w:rPr>
          <w:spacing w:val="40"/>
        </w:rPr>
        <w:t> </w:t>
      </w:r>
      <w:r>
        <w:rPr/>
        <w:t>Opakunle discovered</w:t>
      </w:r>
      <w:r>
        <w:rPr>
          <w:spacing w:val="40"/>
        </w:rPr>
        <w:t> </w:t>
      </w:r>
      <w:r>
        <w:rPr/>
        <w:t>that</w:t>
      </w:r>
      <w:r>
        <w:rPr>
          <w:spacing w:val="40"/>
        </w:rPr>
        <w:t> </w:t>
      </w:r>
      <w:r>
        <w:rPr/>
        <w:t>yam and</w:t>
      </w:r>
      <w:r>
        <w:rPr>
          <w:spacing w:val="40"/>
        </w:rPr>
        <w:t> </w:t>
      </w:r>
      <w:r>
        <w:rPr/>
        <w:t>cassava</w:t>
      </w:r>
      <w:r>
        <w:rPr>
          <w:spacing w:val="40"/>
        </w:rPr>
        <w:t> </w:t>
      </w:r>
      <w:r>
        <w:rPr/>
        <w:t>starches were suitable as diluents and glidants. Nasipuri (1979) investigated the use of cocoyam starch as tablet binder and dissintegrant in the formulation of sulphadimidine and chloropheniramine maleate tablets. Also, Nasipuri (1979) evaluated the use of yam starch obtained from </w:t>
      </w:r>
      <w:r>
        <w:rPr>
          <w:i/>
        </w:rPr>
        <w:t>Dioscorea rotundata </w:t>
      </w:r>
      <w:r>
        <w:rPr/>
        <w:t>as binder and disintegrant in soluble and insoluble drugs. Ezezobo and Ambujan (1982) found out that plantain starch could be used as binder and disintegrant in tablet formulation. Iwuagwu </w:t>
      </w:r>
      <w:r>
        <w:rPr>
          <w:i/>
        </w:rPr>
        <w:t>et al </w:t>
      </w:r>
      <w:r>
        <w:rPr/>
        <w:t>(1986) evaluated the binding and disintegrant properties of selected </w:t>
      </w:r>
      <w:r>
        <w:rPr>
          <w:i/>
        </w:rPr>
        <w:t>Dioscoreacea </w:t>
      </w:r>
      <w:r>
        <w:rPr/>
        <w:t>plants.</w:t>
      </w:r>
      <w:r>
        <w:rPr>
          <w:spacing w:val="80"/>
        </w:rPr>
        <w:t>  </w:t>
      </w:r>
      <w:r>
        <w:rPr/>
        <w:t>According</w:t>
      </w:r>
      <w:r>
        <w:rPr>
          <w:spacing w:val="80"/>
        </w:rPr>
        <w:t>  </w:t>
      </w:r>
      <w:r>
        <w:rPr/>
        <w:t>to</w:t>
      </w:r>
      <w:r>
        <w:rPr>
          <w:spacing w:val="80"/>
        </w:rPr>
        <w:t>  </w:t>
      </w:r>
      <w:r>
        <w:rPr/>
        <w:t>Akande (1988)</w:t>
      </w:r>
      <w:r>
        <w:rPr>
          <w:spacing w:val="40"/>
        </w:rPr>
        <w:t> </w:t>
      </w:r>
      <w:r>
        <w:rPr/>
        <w:t>Millet</w:t>
      </w:r>
      <w:r>
        <w:rPr>
          <w:spacing w:val="40"/>
        </w:rPr>
        <w:t> </w:t>
      </w:r>
      <w:r>
        <w:rPr/>
        <w:t>starch</w:t>
      </w:r>
      <w:r>
        <w:rPr>
          <w:spacing w:val="40"/>
        </w:rPr>
        <w:t> </w:t>
      </w:r>
      <w:r>
        <w:rPr/>
        <w:t>could</w:t>
      </w:r>
      <w:r>
        <w:rPr>
          <w:spacing w:val="40"/>
        </w:rPr>
        <w:t> </w:t>
      </w:r>
      <w:r>
        <w:rPr/>
        <w:t>be</w:t>
      </w:r>
      <w:r>
        <w:rPr>
          <w:spacing w:val="40"/>
        </w:rPr>
        <w:t> </w:t>
      </w:r>
      <w:r>
        <w:rPr/>
        <w:t>used</w:t>
      </w:r>
      <w:r>
        <w:rPr>
          <w:spacing w:val="40"/>
        </w:rPr>
        <w:t> </w:t>
      </w:r>
      <w:r>
        <w:rPr/>
        <w:t>as</w:t>
      </w:r>
      <w:r>
        <w:rPr>
          <w:spacing w:val="40"/>
        </w:rPr>
        <w:t> </w:t>
      </w:r>
      <w:r>
        <w:rPr/>
        <w:t>tablet</w:t>
      </w:r>
      <w:r>
        <w:rPr>
          <w:spacing w:val="40"/>
        </w:rPr>
        <w:t> </w:t>
      </w:r>
      <w:r>
        <w:rPr/>
        <w:t>binder</w:t>
      </w:r>
      <w:r>
        <w:rPr>
          <w:spacing w:val="40"/>
        </w:rPr>
        <w:t> </w:t>
      </w:r>
      <w:r>
        <w:rPr/>
        <w:t>and</w:t>
      </w:r>
      <w:r>
        <w:rPr>
          <w:spacing w:val="40"/>
        </w:rPr>
        <w:t> </w:t>
      </w:r>
      <w:r>
        <w:rPr/>
        <w:t>disintegrant.</w:t>
      </w:r>
      <w:r>
        <w:rPr>
          <w:spacing w:val="40"/>
        </w:rPr>
        <w:t> </w:t>
      </w:r>
      <w:r>
        <w:rPr/>
        <w:t>After</w:t>
      </w:r>
      <w:r>
        <w:rPr>
          <w:spacing w:val="40"/>
        </w:rPr>
        <w:t> </w:t>
      </w:r>
      <w:r>
        <w:rPr/>
        <w:t>a</w:t>
      </w:r>
      <w:r>
        <w:rPr>
          <w:spacing w:val="40"/>
        </w:rPr>
        <w:t> </w:t>
      </w:r>
      <w:r>
        <w:rPr/>
        <w:t>careful study done by Okafor </w:t>
      </w:r>
      <w:r>
        <w:rPr>
          <w:i/>
        </w:rPr>
        <w:t>et al </w:t>
      </w:r>
      <w:r>
        <w:rPr/>
        <w:t>(2000) on modified starches used in direct compression, they reported a significant effect of the modified starches on the drug release profile (disintegration and</w:t>
      </w:r>
      <w:r>
        <w:rPr>
          <w:spacing w:val="40"/>
        </w:rPr>
        <w:t> </w:t>
      </w:r>
      <w:r>
        <w:rPr/>
        <w:t>dissolution)</w:t>
      </w:r>
      <w:r>
        <w:rPr>
          <w:spacing w:val="40"/>
        </w:rPr>
        <w:t> </w:t>
      </w:r>
      <w:r>
        <w:rPr/>
        <w:t>of the</w:t>
      </w:r>
      <w:r>
        <w:rPr>
          <w:spacing w:val="40"/>
        </w:rPr>
        <w:t> </w:t>
      </w:r>
      <w:r>
        <w:rPr/>
        <w:t>tablet</w:t>
      </w:r>
      <w:r>
        <w:rPr>
          <w:spacing w:val="40"/>
        </w:rPr>
        <w:t> </w:t>
      </w:r>
      <w:r>
        <w:rPr/>
        <w:t>formulated.</w:t>
      </w:r>
      <w:r>
        <w:rPr>
          <w:spacing w:val="40"/>
        </w:rPr>
        <w:t> </w:t>
      </w:r>
      <w:r>
        <w:rPr/>
        <w:t>Acid treatment</w:t>
      </w:r>
      <w:r>
        <w:rPr>
          <w:spacing w:val="40"/>
        </w:rPr>
        <w:t> </w:t>
      </w:r>
      <w:r>
        <w:rPr/>
        <w:t>of tapioca powder imparted plasticity in tapioca powder that became compressible was a study reported by</w:t>
      </w:r>
      <w:r>
        <w:rPr>
          <w:spacing w:val="-1"/>
        </w:rPr>
        <w:t> </w:t>
      </w:r>
      <w:r>
        <w:rPr/>
        <w:t>Eichie and Okor (2002). Alebiowu and Itiola (2003) evaluated the effects of pregelatinization</w:t>
      </w:r>
      <w:r>
        <w:rPr>
          <w:spacing w:val="25"/>
        </w:rPr>
        <w:t> </w:t>
      </w:r>
      <w:r>
        <w:rPr/>
        <w:t>of</w:t>
      </w:r>
      <w:r>
        <w:rPr>
          <w:spacing w:val="36"/>
        </w:rPr>
        <w:t> </w:t>
      </w:r>
      <w:r>
        <w:rPr/>
        <w:t>native</w:t>
      </w:r>
      <w:r>
        <w:rPr>
          <w:spacing w:val="35"/>
        </w:rPr>
        <w:t> </w:t>
      </w:r>
      <w:r>
        <w:rPr/>
        <w:t>sorghum</w:t>
      </w:r>
      <w:r>
        <w:rPr>
          <w:spacing w:val="37"/>
        </w:rPr>
        <w:t> </w:t>
      </w:r>
      <w:r>
        <w:rPr/>
        <w:t>and</w:t>
      </w:r>
      <w:r>
        <w:rPr>
          <w:spacing w:val="40"/>
        </w:rPr>
        <w:t> </w:t>
      </w:r>
      <w:r>
        <w:rPr/>
        <w:t>plantain</w:t>
      </w:r>
      <w:r>
        <w:rPr>
          <w:spacing w:val="37"/>
        </w:rPr>
        <w:t> </w:t>
      </w:r>
      <w:r>
        <w:rPr/>
        <w:t>starches</w:t>
      </w:r>
      <w:r>
        <w:rPr>
          <w:spacing w:val="32"/>
        </w:rPr>
        <w:t> </w:t>
      </w:r>
      <w:r>
        <w:rPr/>
        <w:t>on</w:t>
      </w:r>
      <w:r>
        <w:rPr>
          <w:spacing w:val="31"/>
        </w:rPr>
        <w:t> </w:t>
      </w:r>
      <w:r>
        <w:rPr/>
        <w:t>the</w:t>
      </w:r>
      <w:r>
        <w:rPr>
          <w:spacing w:val="35"/>
        </w:rPr>
        <w:t> </w:t>
      </w:r>
      <w:r>
        <w:rPr/>
        <w:t>mechanical</w:t>
      </w:r>
      <w:r>
        <w:rPr>
          <w:spacing w:val="27"/>
        </w:rPr>
        <w:t> </w:t>
      </w:r>
      <w:r>
        <w:rPr/>
        <w:t>properties of a paracetamol tablet formulation in comparison with corn starch BP. The tensile strength (TS) and brittle fracture index (BFI) were affected by pregelatinization of the starches. Alebiowu and Itiola (2003) also reported a decrease in disintegration time of tablets</w:t>
      </w:r>
      <w:r>
        <w:rPr>
          <w:spacing w:val="22"/>
        </w:rPr>
        <w:t> </w:t>
      </w:r>
      <w:r>
        <w:rPr/>
        <w:t>when changing from</w:t>
      </w:r>
      <w:r>
        <w:rPr>
          <w:spacing w:val="27"/>
        </w:rPr>
        <w:t> </w:t>
      </w:r>
      <w:r>
        <w:rPr/>
        <w:t>a native</w:t>
      </w:r>
      <w:r>
        <w:rPr>
          <w:spacing w:val="25"/>
        </w:rPr>
        <w:t> </w:t>
      </w:r>
      <w:r>
        <w:rPr/>
        <w:t>to</w:t>
      </w:r>
      <w:r>
        <w:rPr>
          <w:spacing w:val="33"/>
        </w:rPr>
        <w:t> </w:t>
      </w:r>
      <w:r>
        <w:rPr/>
        <w:t>a pregelatinized</w:t>
      </w:r>
      <w:r>
        <w:rPr>
          <w:spacing w:val="33"/>
        </w:rPr>
        <w:t> </w:t>
      </w:r>
      <w:r>
        <w:rPr/>
        <w:t>starch</w:t>
      </w:r>
      <w:r>
        <w:rPr>
          <w:spacing w:val="22"/>
        </w:rPr>
        <w:t> </w:t>
      </w:r>
      <w:r>
        <w:rPr/>
        <w:t>disintegrants.</w:t>
      </w:r>
      <w:r>
        <w:rPr>
          <w:spacing w:val="27"/>
        </w:rPr>
        <w:t> </w:t>
      </w:r>
      <w:r>
        <w:rPr/>
        <w:t>Evaluation of a new co-processed compound based on lactose and maize starch has been carried out by</w:t>
      </w:r>
      <w:r>
        <w:rPr>
          <w:spacing w:val="-2"/>
        </w:rPr>
        <w:t> </w:t>
      </w:r>
      <w:r>
        <w:rPr/>
        <w:t>Picker-Freyer and Hauschild (2004). Ofoefule </w:t>
      </w:r>
      <w:r>
        <w:rPr>
          <w:i/>
        </w:rPr>
        <w:t>et al </w:t>
      </w:r>
      <w:r>
        <w:rPr/>
        <w:t>(2004) investigated the effects of physical</w:t>
      </w:r>
      <w:r>
        <w:rPr>
          <w:spacing w:val="80"/>
        </w:rPr>
        <w:t> </w:t>
      </w:r>
      <w:r>
        <w:rPr/>
        <w:t>(pregelatinization)</w:t>
      </w:r>
      <w:r>
        <w:rPr>
          <w:spacing w:val="80"/>
          <w:w w:val="150"/>
        </w:rPr>
        <w:t> </w:t>
      </w:r>
      <w:r>
        <w:rPr/>
        <w:t>and</w:t>
      </w:r>
      <w:r>
        <w:rPr>
          <w:spacing w:val="80"/>
          <w:w w:val="150"/>
        </w:rPr>
        <w:t> </w:t>
      </w:r>
      <w:r>
        <w:rPr/>
        <w:t>chemical</w:t>
      </w:r>
      <w:r>
        <w:rPr>
          <w:spacing w:val="78"/>
          <w:w w:val="150"/>
        </w:rPr>
        <w:t> </w:t>
      </w:r>
      <w:r>
        <w:rPr/>
        <w:t>(Acid</w:t>
      </w:r>
      <w:r>
        <w:rPr>
          <w:spacing w:val="80"/>
          <w:w w:val="150"/>
        </w:rPr>
        <w:t> </w:t>
      </w:r>
      <w:r>
        <w:rPr/>
        <w:t>hydrolysis)</w:t>
      </w:r>
      <w:r>
        <w:rPr>
          <w:spacing w:val="80"/>
          <w:w w:val="150"/>
        </w:rPr>
        <w:t> </w:t>
      </w:r>
      <w:r>
        <w:rPr/>
        <w:t>modifications</w:t>
      </w:r>
      <w:r>
        <w:rPr>
          <w:spacing w:val="80"/>
          <w:w w:val="150"/>
        </w:rPr>
        <w:t> </w:t>
      </w:r>
      <w:r>
        <w:rPr/>
        <w:t>on</w:t>
      </w:r>
      <w:r>
        <w:rPr>
          <w:spacing w:val="80"/>
        </w:rPr>
        <w:t> </w:t>
      </w:r>
      <w:r>
        <w:rPr/>
        <w:t>the</w:t>
      </w:r>
    </w:p>
    <w:p>
      <w:pPr>
        <w:spacing w:after="0" w:line="491" w:lineRule="auto"/>
        <w:jc w:val="both"/>
        <w:sectPr>
          <w:pgSz w:w="12240" w:h="15840"/>
          <w:pgMar w:header="0" w:footer="999" w:top="1260" w:bottom="1180" w:left="1720" w:right="0"/>
        </w:sectPr>
      </w:pPr>
    </w:p>
    <w:p>
      <w:pPr>
        <w:pStyle w:val="BodyText"/>
        <w:spacing w:line="491" w:lineRule="auto" w:before="75"/>
        <w:ind w:left="665" w:right="1850"/>
        <w:jc w:val="both"/>
      </w:pPr>
      <w:r>
        <w:rPr/>
        <w:t>disintegrants and dissolution properties of </w:t>
      </w:r>
      <w:r>
        <w:rPr>
          <w:i/>
        </w:rPr>
        <w:t>Tacca involucrata </w:t>
      </w:r>
      <w:r>
        <w:rPr/>
        <w:t>starch. Starches obtained from</w:t>
      </w:r>
      <w:r>
        <w:rPr>
          <w:spacing w:val="40"/>
        </w:rPr>
        <w:t> </w:t>
      </w:r>
      <w:r>
        <w:rPr/>
        <w:t>potato,</w:t>
      </w:r>
      <w:r>
        <w:rPr>
          <w:spacing w:val="40"/>
        </w:rPr>
        <w:t> </w:t>
      </w:r>
      <w:r>
        <w:rPr/>
        <w:t>cassava</w:t>
      </w:r>
      <w:r>
        <w:rPr>
          <w:spacing w:val="40"/>
        </w:rPr>
        <w:t> </w:t>
      </w:r>
      <w:r>
        <w:rPr/>
        <w:t>and</w:t>
      </w:r>
      <w:r>
        <w:rPr>
          <w:spacing w:val="40"/>
        </w:rPr>
        <w:t> </w:t>
      </w:r>
      <w:r>
        <w:rPr/>
        <w:t>maize</w:t>
      </w:r>
      <w:r>
        <w:rPr>
          <w:spacing w:val="40"/>
        </w:rPr>
        <w:t> </w:t>
      </w:r>
      <w:r>
        <w:rPr/>
        <w:t>have</w:t>
      </w:r>
      <w:r>
        <w:rPr>
          <w:spacing w:val="40"/>
        </w:rPr>
        <w:t> </w:t>
      </w:r>
      <w:r>
        <w:rPr/>
        <w:t>been</w:t>
      </w:r>
      <w:r>
        <w:rPr>
          <w:spacing w:val="40"/>
        </w:rPr>
        <w:t> </w:t>
      </w:r>
      <w:r>
        <w:rPr/>
        <w:t>investigated</w:t>
      </w:r>
      <w:r>
        <w:rPr>
          <w:spacing w:val="40"/>
        </w:rPr>
        <w:t> </w:t>
      </w:r>
      <w:r>
        <w:rPr/>
        <w:t>as</w:t>
      </w:r>
      <w:r>
        <w:rPr>
          <w:spacing w:val="40"/>
        </w:rPr>
        <w:t> </w:t>
      </w:r>
      <w:r>
        <w:rPr/>
        <w:t>possible</w:t>
      </w:r>
      <w:r>
        <w:rPr>
          <w:spacing w:val="40"/>
        </w:rPr>
        <w:t> </w:t>
      </w:r>
      <w:r>
        <w:rPr/>
        <w:t>stablizers</w:t>
      </w:r>
      <w:r>
        <w:rPr>
          <w:spacing w:val="40"/>
        </w:rPr>
        <w:t> </w:t>
      </w:r>
      <w:r>
        <w:rPr/>
        <w:t>in emulsion;</w:t>
      </w:r>
      <w:r>
        <w:rPr>
          <w:spacing w:val="40"/>
        </w:rPr>
        <w:t> </w:t>
      </w:r>
      <w:r>
        <w:rPr/>
        <w:t>a</w:t>
      </w:r>
      <w:r>
        <w:rPr>
          <w:spacing w:val="40"/>
        </w:rPr>
        <w:t> </w:t>
      </w:r>
      <w:r>
        <w:rPr/>
        <w:t>study done</w:t>
      </w:r>
      <w:r>
        <w:rPr>
          <w:spacing w:val="40"/>
        </w:rPr>
        <w:t> </w:t>
      </w:r>
      <w:r>
        <w:rPr/>
        <w:t>by</w:t>
      </w:r>
      <w:r>
        <w:rPr>
          <w:spacing w:val="40"/>
        </w:rPr>
        <w:t> </w:t>
      </w:r>
      <w:r>
        <w:rPr/>
        <w:t>Uhumwangho</w:t>
      </w:r>
      <w:r>
        <w:rPr>
          <w:spacing w:val="40"/>
        </w:rPr>
        <w:t> </w:t>
      </w:r>
      <w:r>
        <w:rPr>
          <w:i/>
        </w:rPr>
        <w:t>et</w:t>
      </w:r>
      <w:r>
        <w:rPr>
          <w:i/>
          <w:spacing w:val="40"/>
        </w:rPr>
        <w:t> </w:t>
      </w:r>
      <w:r>
        <w:rPr>
          <w:i/>
        </w:rPr>
        <w:t>al,</w:t>
      </w:r>
      <w:r>
        <w:rPr>
          <w:i/>
          <w:spacing w:val="40"/>
        </w:rPr>
        <w:t> </w:t>
      </w:r>
      <w:r>
        <w:rPr/>
        <w:t>(2005).</w:t>
      </w:r>
      <w:r>
        <w:rPr>
          <w:spacing w:val="40"/>
        </w:rPr>
        <w:t> </w:t>
      </w:r>
      <w:r>
        <w:rPr/>
        <w:t>Itiola</w:t>
      </w:r>
      <w:r>
        <w:rPr>
          <w:spacing w:val="40"/>
        </w:rPr>
        <w:t> </w:t>
      </w:r>
      <w:r>
        <w:rPr/>
        <w:t>and</w:t>
      </w:r>
      <w:r>
        <w:rPr>
          <w:spacing w:val="40"/>
        </w:rPr>
        <w:t> </w:t>
      </w:r>
      <w:r>
        <w:rPr/>
        <w:t>Odeku</w:t>
      </w:r>
      <w:r>
        <w:rPr>
          <w:spacing w:val="40"/>
        </w:rPr>
        <w:t> </w:t>
      </w:r>
      <w:r>
        <w:rPr/>
        <w:t>(2005) evaluated the packing and cohesive properties of cassava, potato and yam starches. Evaluation of the compression, mechanical and release properties of chloroquine phosphate</w:t>
      </w:r>
      <w:r>
        <w:rPr>
          <w:spacing w:val="40"/>
        </w:rPr>
        <w:t> </w:t>
      </w:r>
      <w:r>
        <w:rPr/>
        <w:t>tablets</w:t>
      </w:r>
      <w:r>
        <w:rPr>
          <w:spacing w:val="40"/>
        </w:rPr>
        <w:t> </w:t>
      </w:r>
      <w:r>
        <w:rPr/>
        <w:t>containing</w:t>
      </w:r>
      <w:r>
        <w:rPr>
          <w:spacing w:val="40"/>
        </w:rPr>
        <w:t> </w:t>
      </w:r>
      <w:r>
        <w:rPr/>
        <w:t>corn</w:t>
      </w:r>
      <w:r>
        <w:rPr>
          <w:spacing w:val="40"/>
        </w:rPr>
        <w:t> </w:t>
      </w:r>
      <w:r>
        <w:rPr/>
        <w:t>and</w:t>
      </w:r>
      <w:r>
        <w:rPr>
          <w:spacing w:val="40"/>
        </w:rPr>
        <w:t> </w:t>
      </w:r>
      <w:r>
        <w:rPr/>
        <w:t>trifoliate</w:t>
      </w:r>
      <w:r>
        <w:rPr>
          <w:spacing w:val="40"/>
        </w:rPr>
        <w:t> </w:t>
      </w:r>
      <w:r>
        <w:rPr/>
        <w:t>yam</w:t>
      </w:r>
      <w:r>
        <w:rPr>
          <w:spacing w:val="40"/>
        </w:rPr>
        <w:t> </w:t>
      </w:r>
      <w:r>
        <w:rPr/>
        <w:t>starches</w:t>
      </w:r>
      <w:r>
        <w:rPr>
          <w:spacing w:val="40"/>
        </w:rPr>
        <w:t> </w:t>
      </w:r>
      <w:r>
        <w:rPr/>
        <w:t>as</w:t>
      </w:r>
      <w:r>
        <w:rPr>
          <w:spacing w:val="40"/>
        </w:rPr>
        <w:t> </w:t>
      </w:r>
      <w:r>
        <w:rPr/>
        <w:t>binder</w:t>
      </w:r>
      <w:r>
        <w:rPr>
          <w:spacing w:val="40"/>
        </w:rPr>
        <w:t> </w:t>
      </w:r>
      <w:r>
        <w:rPr/>
        <w:t>was</w:t>
      </w:r>
      <w:r>
        <w:rPr>
          <w:spacing w:val="40"/>
        </w:rPr>
        <w:t> </w:t>
      </w:r>
      <w:r>
        <w:rPr/>
        <w:t>done</w:t>
      </w:r>
      <w:r>
        <w:rPr>
          <w:spacing w:val="40"/>
        </w:rPr>
        <w:t> </w:t>
      </w:r>
      <w:r>
        <w:rPr/>
        <w:t>by Itiola </w:t>
      </w:r>
      <w:r>
        <w:rPr>
          <w:i/>
        </w:rPr>
        <w:t>et al </w:t>
      </w:r>
      <w:r>
        <w:rPr/>
        <w:t>(2006). Influence of cassava, cocoyam starch</w:t>
      </w:r>
      <w:r>
        <w:rPr>
          <w:spacing w:val="40"/>
        </w:rPr>
        <w:t> </w:t>
      </w:r>
      <w:r>
        <w:rPr/>
        <w:t>and maize starch</w:t>
      </w:r>
      <w:r>
        <w:rPr>
          <w:spacing w:val="40"/>
        </w:rPr>
        <w:t> </w:t>
      </w:r>
      <w:r>
        <w:rPr/>
        <w:t>BP on the brittle fracture of paracetamol tablets has been carried</w:t>
      </w:r>
      <w:r>
        <w:rPr>
          <w:spacing w:val="23"/>
        </w:rPr>
        <w:t> </w:t>
      </w:r>
      <w:r>
        <w:rPr/>
        <w:t>out by</w:t>
      </w:r>
      <w:r>
        <w:rPr>
          <w:spacing w:val="-1"/>
        </w:rPr>
        <w:t> </w:t>
      </w:r>
      <w:r>
        <w:rPr/>
        <w:t>Uhumwangho</w:t>
      </w:r>
      <w:r>
        <w:rPr>
          <w:spacing w:val="25"/>
        </w:rPr>
        <w:t> </w:t>
      </w:r>
      <w:r>
        <w:rPr>
          <w:i/>
        </w:rPr>
        <w:t>et al </w:t>
      </w:r>
      <w:r>
        <w:rPr/>
        <w:t>(2006). A</w:t>
      </w:r>
      <w:r>
        <w:rPr>
          <w:spacing w:val="40"/>
        </w:rPr>
        <w:t> </w:t>
      </w:r>
      <w:r>
        <w:rPr/>
        <w:t>careful</w:t>
      </w:r>
      <w:r>
        <w:rPr>
          <w:spacing w:val="40"/>
        </w:rPr>
        <w:t> </w:t>
      </w:r>
      <w:r>
        <w:rPr/>
        <w:t>study on</w:t>
      </w:r>
      <w:r>
        <w:rPr>
          <w:spacing w:val="40"/>
        </w:rPr>
        <w:t> </w:t>
      </w:r>
      <w:r>
        <w:rPr/>
        <w:t>the</w:t>
      </w:r>
      <w:r>
        <w:rPr>
          <w:spacing w:val="40"/>
        </w:rPr>
        <w:t> </w:t>
      </w:r>
      <w:r>
        <w:rPr/>
        <w:t>influence</w:t>
      </w:r>
      <w:r>
        <w:rPr>
          <w:spacing w:val="40"/>
        </w:rPr>
        <w:t> </w:t>
      </w:r>
      <w:r>
        <w:rPr/>
        <w:t>of</w:t>
      </w:r>
      <w:r>
        <w:rPr>
          <w:spacing w:val="40"/>
        </w:rPr>
        <w:t> </w:t>
      </w:r>
      <w:r>
        <w:rPr/>
        <w:t>process</w:t>
      </w:r>
      <w:r>
        <w:rPr>
          <w:spacing w:val="40"/>
        </w:rPr>
        <w:t> </w:t>
      </w:r>
      <w:r>
        <w:rPr/>
        <w:t>variables</w:t>
      </w:r>
      <w:r>
        <w:rPr>
          <w:spacing w:val="40"/>
        </w:rPr>
        <w:t> </w:t>
      </w:r>
      <w:r>
        <w:rPr/>
        <w:t>on</w:t>
      </w:r>
      <w:r>
        <w:rPr>
          <w:spacing w:val="40"/>
        </w:rPr>
        <w:t> </w:t>
      </w:r>
      <w:r>
        <w:rPr/>
        <w:t>release</w:t>
      </w:r>
      <w:r>
        <w:rPr>
          <w:spacing w:val="40"/>
        </w:rPr>
        <w:t> </w:t>
      </w:r>
      <w:r>
        <w:rPr/>
        <w:t>properties</w:t>
      </w:r>
      <w:r>
        <w:rPr>
          <w:spacing w:val="40"/>
        </w:rPr>
        <w:t> </w:t>
      </w:r>
      <w:r>
        <w:rPr/>
        <w:t>of paracetamol tablet was done by Alebiowu and Itiola in 2007. Ibezim </w:t>
      </w:r>
      <w:r>
        <w:rPr>
          <w:i/>
        </w:rPr>
        <w:t>et al </w:t>
      </w:r>
      <w:r>
        <w:rPr/>
        <w:t>(2008) investigated the role of ginger starch as binder in acetaminophen tablets. Odeku </w:t>
      </w:r>
      <w:r>
        <w:rPr>
          <w:i/>
        </w:rPr>
        <w:t>et al </w:t>
      </w:r>
      <w:r>
        <w:rPr/>
        <w:t>(2008) investigated the material and tablet formation properties of pregelatinized (thermally modified) forms of four </w:t>
      </w:r>
      <w:r>
        <w:rPr>
          <w:i/>
        </w:rPr>
        <w:t>Dioscorea </w:t>
      </w:r>
      <w:r>
        <w:rPr/>
        <w:t>starches which indicated that pregelatinization improved the compressibility and flowability of the starches. A comparative evaluation of maize, rice and wheat</w:t>
      </w:r>
      <w:r>
        <w:rPr>
          <w:spacing w:val="40"/>
        </w:rPr>
        <w:t> </w:t>
      </w:r>
      <w:r>
        <w:rPr/>
        <w:t>starches as tabletting excipients was</w:t>
      </w:r>
      <w:r>
        <w:rPr>
          <w:spacing w:val="40"/>
        </w:rPr>
        <w:t> </w:t>
      </w:r>
      <w:r>
        <w:rPr/>
        <w:t>done by Olayemi (2008). Gambo</w:t>
      </w:r>
      <w:r>
        <w:rPr>
          <w:spacing w:val="40"/>
        </w:rPr>
        <w:t> </w:t>
      </w:r>
      <w:r>
        <w:rPr/>
        <w:t>(2009) evaluated</w:t>
      </w:r>
      <w:r>
        <w:rPr>
          <w:spacing w:val="40"/>
        </w:rPr>
        <w:t> </w:t>
      </w:r>
      <w:r>
        <w:rPr/>
        <w:t>fonio </w:t>
      </w:r>
      <w:r>
        <w:rPr>
          <w:i/>
        </w:rPr>
        <w:t>(Digitaria iburua) </w:t>
      </w:r>
      <w:r>
        <w:rPr/>
        <w:t>starch as tablet excipient. Alebiowu and Adeyemi (2009) investigated the influence of starch steeping period on the disintegration values of paracetamol tablet formulation.</w:t>
      </w:r>
    </w:p>
    <w:p>
      <w:pPr>
        <w:pStyle w:val="Heading2"/>
        <w:numPr>
          <w:ilvl w:val="1"/>
          <w:numId w:val="11"/>
        </w:numPr>
        <w:tabs>
          <w:tab w:pos="1342" w:val="left" w:leader="none"/>
        </w:tabs>
        <w:spacing w:line="240" w:lineRule="auto" w:before="232" w:after="0"/>
        <w:ind w:left="1342" w:right="0" w:hanging="677"/>
        <w:jc w:val="left"/>
      </w:pPr>
      <w:bookmarkStart w:name="_TOC_250131" w:id="30"/>
      <w:bookmarkEnd w:id="30"/>
      <w:r>
        <w:rPr>
          <w:spacing w:val="-2"/>
        </w:rPr>
        <w:t>Fonio</w:t>
      </w:r>
    </w:p>
    <w:p>
      <w:pPr>
        <w:spacing w:before="251"/>
        <w:ind w:left="665" w:right="0" w:firstLine="0"/>
        <w:jc w:val="both"/>
        <w:rPr>
          <w:b/>
          <w:sz w:val="22"/>
        </w:rPr>
      </w:pPr>
      <w:r>
        <w:rPr>
          <w:b/>
          <w:sz w:val="22"/>
        </w:rPr>
        <w:t>Scientific</w:t>
      </w:r>
      <w:r>
        <w:rPr>
          <w:b/>
          <w:spacing w:val="25"/>
          <w:sz w:val="22"/>
        </w:rPr>
        <w:t> </w:t>
      </w:r>
      <w:r>
        <w:rPr>
          <w:b/>
          <w:spacing w:val="-2"/>
          <w:sz w:val="22"/>
        </w:rPr>
        <w:t>Classification</w:t>
      </w:r>
    </w:p>
    <w:p>
      <w:pPr>
        <w:pStyle w:val="BodyText"/>
        <w:spacing w:before="7"/>
        <w:rPr>
          <w:b/>
        </w:rPr>
      </w:pPr>
    </w:p>
    <w:p>
      <w:pPr>
        <w:pStyle w:val="BodyText"/>
        <w:tabs>
          <w:tab w:pos="2542" w:val="left" w:leader="none"/>
        </w:tabs>
        <w:ind w:left="665"/>
        <w:jc w:val="both"/>
      </w:pPr>
      <w:r>
        <w:rPr>
          <w:spacing w:val="-2"/>
        </w:rPr>
        <w:t>Kingdom:</w:t>
      </w:r>
      <w:r>
        <w:rPr/>
        <w:tab/>
        <w:t>Plantae</w:t>
      </w:r>
      <w:r>
        <w:rPr>
          <w:spacing w:val="6"/>
        </w:rPr>
        <w:t> </w:t>
      </w:r>
      <w:r>
        <w:rPr/>
        <w:t>–</w:t>
      </w:r>
      <w:r>
        <w:rPr>
          <w:spacing w:val="4"/>
        </w:rPr>
        <w:t> </w:t>
      </w:r>
      <w:r>
        <w:rPr>
          <w:spacing w:val="-2"/>
        </w:rPr>
        <w:t>plants</w:t>
      </w:r>
    </w:p>
    <w:p>
      <w:pPr>
        <w:pStyle w:val="BodyText"/>
        <w:spacing w:before="13"/>
      </w:pPr>
    </w:p>
    <w:p>
      <w:pPr>
        <w:pStyle w:val="BodyText"/>
        <w:tabs>
          <w:tab w:pos="2503" w:val="left" w:leader="none"/>
          <w:tab w:pos="2547" w:val="left" w:leader="none"/>
          <w:tab w:pos="2580" w:val="left" w:leader="none"/>
        </w:tabs>
        <w:spacing w:line="491" w:lineRule="auto"/>
        <w:ind w:left="665" w:right="4821"/>
      </w:pPr>
      <w:r>
        <w:rPr>
          <w:spacing w:val="-2"/>
        </w:rPr>
        <w:t>Subkingdom:</w:t>
      </w:r>
      <w:r>
        <w:rPr/>
        <w:tab/>
        <w:t>Tracheobionta – vascular plants </w:t>
      </w:r>
      <w:r>
        <w:rPr>
          <w:spacing w:val="-2"/>
        </w:rPr>
        <w:t>Superdivision:</w:t>
      </w:r>
      <w:r>
        <w:rPr/>
        <w:tab/>
        <w:tab/>
        <w:t>Spermatophyta – seed plants </w:t>
      </w:r>
      <w:r>
        <w:rPr>
          <w:spacing w:val="-2"/>
        </w:rPr>
        <w:t>Division:</w:t>
      </w:r>
      <w:r>
        <w:rPr/>
        <w:tab/>
        <w:tab/>
        <w:tab/>
        <w:t>Magnoliophyta – Flowering plants</w:t>
      </w:r>
    </w:p>
    <w:p>
      <w:pPr>
        <w:pStyle w:val="BodyText"/>
        <w:tabs>
          <w:tab w:pos="2523" w:val="left" w:leader="none"/>
        </w:tabs>
        <w:spacing w:line="252" w:lineRule="exact"/>
        <w:ind w:left="665"/>
      </w:pPr>
      <w:r>
        <w:rPr>
          <w:spacing w:val="-2"/>
        </w:rPr>
        <w:t>Class:</w:t>
      </w:r>
      <w:r>
        <w:rPr/>
        <w:tab/>
        <w:t>Liliopsida</w:t>
      </w:r>
      <w:r>
        <w:rPr>
          <w:spacing w:val="5"/>
        </w:rPr>
        <w:t> </w:t>
      </w:r>
      <w:r>
        <w:rPr/>
        <w:t>–</w:t>
      </w:r>
      <w:r>
        <w:rPr>
          <w:spacing w:val="8"/>
        </w:rPr>
        <w:t> </w:t>
      </w:r>
      <w:r>
        <w:rPr>
          <w:spacing w:val="-2"/>
        </w:rPr>
        <w:t>Monocotyledons</w:t>
      </w:r>
    </w:p>
    <w:p>
      <w:pPr>
        <w:spacing w:after="0" w:line="252" w:lineRule="exact"/>
        <w:sectPr>
          <w:pgSz w:w="12240" w:h="15840"/>
          <w:pgMar w:header="0" w:footer="999" w:top="1260" w:bottom="1180" w:left="1720" w:right="0"/>
        </w:sectPr>
      </w:pPr>
    </w:p>
    <w:p>
      <w:pPr>
        <w:pStyle w:val="BodyText"/>
        <w:tabs>
          <w:tab w:pos="2479" w:val="left" w:leader="none"/>
        </w:tabs>
        <w:spacing w:before="75"/>
        <w:ind w:left="665"/>
      </w:pPr>
      <w:r>
        <w:rPr>
          <w:spacing w:val="-2"/>
        </w:rPr>
        <w:t>Subclass:</w:t>
      </w:r>
      <w:r>
        <w:rPr/>
        <w:tab/>
      </w:r>
      <w:r>
        <w:rPr>
          <w:spacing w:val="-2"/>
        </w:rPr>
        <w:t>Commelindae</w:t>
      </w:r>
    </w:p>
    <w:p>
      <w:pPr>
        <w:pStyle w:val="BodyText"/>
        <w:spacing w:before="12"/>
      </w:pPr>
    </w:p>
    <w:p>
      <w:pPr>
        <w:pStyle w:val="BodyText"/>
        <w:tabs>
          <w:tab w:pos="2499" w:val="left" w:leader="none"/>
        </w:tabs>
        <w:spacing w:before="1"/>
        <w:ind w:left="665"/>
      </w:pPr>
      <w:r>
        <w:rPr>
          <w:spacing w:val="-2"/>
        </w:rPr>
        <w:t>Order:</w:t>
      </w:r>
      <w:r>
        <w:rPr/>
        <w:tab/>
      </w:r>
      <w:r>
        <w:rPr>
          <w:spacing w:val="-2"/>
        </w:rPr>
        <w:t>Cyperales</w:t>
      </w:r>
    </w:p>
    <w:p>
      <w:pPr>
        <w:pStyle w:val="BodyText"/>
        <w:spacing w:before="12"/>
      </w:pPr>
    </w:p>
    <w:p>
      <w:pPr>
        <w:pStyle w:val="BodyText"/>
        <w:tabs>
          <w:tab w:pos="2499" w:val="left" w:leader="none"/>
        </w:tabs>
        <w:ind w:left="665"/>
      </w:pPr>
      <w:r>
        <w:rPr>
          <w:spacing w:val="-2"/>
        </w:rPr>
        <w:t>Family:</w:t>
      </w:r>
      <w:r>
        <w:rPr/>
        <w:tab/>
        <w:t>Poaceae</w:t>
      </w:r>
      <w:r>
        <w:rPr>
          <w:spacing w:val="7"/>
        </w:rPr>
        <w:t> </w:t>
      </w:r>
      <w:r>
        <w:rPr/>
        <w:t>–</w:t>
      </w:r>
      <w:r>
        <w:rPr>
          <w:spacing w:val="10"/>
        </w:rPr>
        <w:t> </w:t>
      </w:r>
      <w:r>
        <w:rPr/>
        <w:t>Grass</w:t>
      </w:r>
      <w:r>
        <w:rPr>
          <w:spacing w:val="6"/>
        </w:rPr>
        <w:t> </w:t>
      </w:r>
      <w:r>
        <w:rPr>
          <w:spacing w:val="-2"/>
        </w:rPr>
        <w:t>family</w:t>
      </w:r>
    </w:p>
    <w:p>
      <w:pPr>
        <w:pStyle w:val="BodyText"/>
        <w:spacing w:before="12"/>
      </w:pPr>
    </w:p>
    <w:p>
      <w:pPr>
        <w:pStyle w:val="BodyText"/>
        <w:tabs>
          <w:tab w:pos="2494" w:val="left" w:leader="none"/>
        </w:tabs>
        <w:ind w:left="665"/>
      </w:pPr>
      <w:r>
        <w:rPr>
          <w:spacing w:val="-2"/>
        </w:rPr>
        <w:t>Genus:</w:t>
      </w:r>
      <w:r>
        <w:rPr/>
        <w:tab/>
      </w:r>
      <w:r>
        <w:rPr>
          <w:spacing w:val="-2"/>
        </w:rPr>
        <w:t>Digitaria</w:t>
      </w:r>
    </w:p>
    <w:p>
      <w:pPr>
        <w:pStyle w:val="BodyText"/>
        <w:spacing w:before="13"/>
      </w:pPr>
    </w:p>
    <w:p>
      <w:pPr>
        <w:tabs>
          <w:tab w:pos="2719" w:val="left" w:leader="none"/>
        </w:tabs>
        <w:spacing w:line="491" w:lineRule="auto" w:before="0"/>
        <w:ind w:left="2475" w:right="1896" w:hanging="1810"/>
        <w:jc w:val="both"/>
        <w:rPr>
          <w:sz w:val="22"/>
        </w:rPr>
      </w:pPr>
      <w:r>
        <w:rPr>
          <w:spacing w:val="-2"/>
          <w:sz w:val="22"/>
        </w:rPr>
        <w:t>Species:</w:t>
      </w:r>
      <w:r>
        <w:rPr>
          <w:sz w:val="22"/>
        </w:rPr>
        <w:tab/>
        <w:tab/>
      </w:r>
      <w:r>
        <w:rPr>
          <w:i/>
          <w:sz w:val="22"/>
        </w:rPr>
        <w:t>Digitaria exilis </w:t>
      </w:r>
      <w:r>
        <w:rPr>
          <w:sz w:val="22"/>
        </w:rPr>
        <w:t>Stapf (white fonio), </w:t>
      </w:r>
      <w:r>
        <w:rPr>
          <w:i/>
          <w:sz w:val="22"/>
        </w:rPr>
        <w:t>Digitaria iburua </w:t>
      </w:r>
      <w:r>
        <w:rPr>
          <w:sz w:val="22"/>
        </w:rPr>
        <w:t>Stapf (black </w:t>
      </w:r>
      <w:r>
        <w:rPr>
          <w:spacing w:val="-2"/>
          <w:sz w:val="22"/>
        </w:rPr>
        <w:t>fonio)</w:t>
      </w:r>
    </w:p>
    <w:p>
      <w:pPr>
        <w:pStyle w:val="BodyText"/>
        <w:spacing w:line="491" w:lineRule="auto"/>
        <w:ind w:left="665" w:right="1860"/>
        <w:jc w:val="both"/>
      </w:pPr>
      <w:r>
        <w:rPr/>
        <w:t>(Integrated Taxonomic Information System (ITIS) for ITIS Taxonomic serial number </w:t>
      </w:r>
      <w:r>
        <w:rPr>
          <w:spacing w:val="-2"/>
        </w:rPr>
        <w:t>40635).</w:t>
      </w:r>
    </w:p>
    <w:p>
      <w:pPr>
        <w:pStyle w:val="BodyText"/>
        <w:spacing w:line="491" w:lineRule="auto"/>
        <w:ind w:left="665" w:right="1852"/>
        <w:jc w:val="both"/>
      </w:pPr>
      <w:r>
        <w:rPr>
          <w:i/>
        </w:rPr>
        <w:t>Digitaria exilis </w:t>
      </w:r>
      <w:r>
        <w:rPr/>
        <w:t>is the most important of a diverse group of wild and domesticated </w:t>
      </w:r>
      <w:r>
        <w:rPr>
          <w:i/>
        </w:rPr>
        <w:t>Digitaria </w:t>
      </w:r>
      <w:r>
        <w:rPr/>
        <w:t>species that are harvested in the savannas of West Africa, a similar specie is </w:t>
      </w:r>
      <w:r>
        <w:rPr>
          <w:i/>
        </w:rPr>
        <w:t>Digitaria iburua</w:t>
      </w:r>
      <w:r>
        <w:rPr/>
        <w:t>. Fonio is the smallest species of all millet. It has potential to improve nutrition. Boost food security, foster rural development and support sustainable use of land. Fonio has continued to be important locally</w:t>
      </w:r>
      <w:r>
        <w:rPr>
          <w:spacing w:val="-2"/>
        </w:rPr>
        <w:t> </w:t>
      </w:r>
      <w:r>
        <w:rPr/>
        <w:t>because it is both nutritious and one of the</w:t>
      </w:r>
      <w:r>
        <w:rPr>
          <w:spacing w:val="21"/>
        </w:rPr>
        <w:t> </w:t>
      </w:r>
      <w:r>
        <w:rPr/>
        <w:t>worlds</w:t>
      </w:r>
      <w:r>
        <w:rPr>
          <w:spacing w:val="19"/>
        </w:rPr>
        <w:t> </w:t>
      </w:r>
      <w:r>
        <w:rPr/>
        <w:t>fastest</w:t>
      </w:r>
      <w:r>
        <w:rPr>
          <w:spacing w:val="26"/>
        </w:rPr>
        <w:t> </w:t>
      </w:r>
      <w:r>
        <w:rPr/>
        <w:t>growing</w:t>
      </w:r>
      <w:r>
        <w:rPr>
          <w:spacing w:val="13"/>
        </w:rPr>
        <w:t> </w:t>
      </w:r>
      <w:r>
        <w:rPr/>
        <w:t>cereals</w:t>
      </w:r>
      <w:r>
        <w:rPr>
          <w:spacing w:val="19"/>
        </w:rPr>
        <w:t> </w:t>
      </w:r>
      <w:r>
        <w:rPr/>
        <w:t>reaching</w:t>
      </w:r>
      <w:r>
        <w:rPr>
          <w:spacing w:val="19"/>
        </w:rPr>
        <w:t> </w:t>
      </w:r>
      <w:r>
        <w:rPr/>
        <w:t>maturity</w:t>
      </w:r>
      <w:r>
        <w:rPr>
          <w:spacing w:val="13"/>
        </w:rPr>
        <w:t> </w:t>
      </w:r>
      <w:r>
        <w:rPr/>
        <w:t>in</w:t>
      </w:r>
      <w:r>
        <w:rPr>
          <w:spacing w:val="18"/>
        </w:rPr>
        <w:t> </w:t>
      </w:r>
      <w:r>
        <w:rPr/>
        <w:t>as</w:t>
      </w:r>
      <w:r>
        <w:rPr>
          <w:spacing w:val="19"/>
        </w:rPr>
        <w:t> </w:t>
      </w:r>
      <w:r>
        <w:rPr/>
        <w:t>little</w:t>
      </w:r>
      <w:r>
        <w:rPr>
          <w:spacing w:val="21"/>
        </w:rPr>
        <w:t> </w:t>
      </w:r>
      <w:r>
        <w:rPr/>
        <w:t>as</w:t>
      </w:r>
      <w:r>
        <w:rPr>
          <w:spacing w:val="19"/>
        </w:rPr>
        <w:t> </w:t>
      </w:r>
      <w:r>
        <w:rPr/>
        <w:t>six</w:t>
      </w:r>
      <w:r>
        <w:rPr>
          <w:spacing w:val="19"/>
        </w:rPr>
        <w:t> </w:t>
      </w:r>
      <w:r>
        <w:rPr/>
        <w:t>to</w:t>
      </w:r>
      <w:r>
        <w:rPr>
          <w:spacing w:val="29"/>
        </w:rPr>
        <w:t> </w:t>
      </w:r>
      <w:r>
        <w:rPr/>
        <w:t>eight</w:t>
      </w:r>
      <w:r>
        <w:rPr>
          <w:spacing w:val="21"/>
        </w:rPr>
        <w:t> </w:t>
      </w:r>
      <w:r>
        <w:rPr/>
        <w:t>weeks.</w:t>
      </w:r>
      <w:r>
        <w:rPr>
          <w:spacing w:val="28"/>
        </w:rPr>
        <w:t> </w:t>
      </w:r>
      <w:r>
        <w:rPr/>
        <w:t>It is</w:t>
      </w:r>
      <w:r>
        <w:rPr>
          <w:spacing w:val="27"/>
        </w:rPr>
        <w:t> </w:t>
      </w:r>
      <w:r>
        <w:rPr/>
        <w:t>a</w:t>
      </w:r>
      <w:r>
        <w:rPr>
          <w:spacing w:val="29"/>
        </w:rPr>
        <w:t> </w:t>
      </w:r>
      <w:r>
        <w:rPr/>
        <w:t>crop</w:t>
      </w:r>
      <w:r>
        <w:rPr>
          <w:spacing w:val="31"/>
        </w:rPr>
        <w:t> </w:t>
      </w:r>
      <w:r>
        <w:rPr/>
        <w:t>that</w:t>
      </w:r>
      <w:r>
        <w:rPr>
          <w:spacing w:val="28"/>
        </w:rPr>
        <w:t> </w:t>
      </w:r>
      <w:r>
        <w:rPr/>
        <w:t>can</w:t>
      </w:r>
      <w:r>
        <w:rPr>
          <w:spacing w:val="26"/>
        </w:rPr>
        <w:t> </w:t>
      </w:r>
      <w:r>
        <w:rPr/>
        <w:t>be</w:t>
      </w:r>
      <w:r>
        <w:rPr>
          <w:spacing w:val="29"/>
        </w:rPr>
        <w:t> </w:t>
      </w:r>
      <w:r>
        <w:rPr/>
        <w:t>relied</w:t>
      </w:r>
      <w:r>
        <w:rPr>
          <w:spacing w:val="31"/>
        </w:rPr>
        <w:t> </w:t>
      </w:r>
      <w:r>
        <w:rPr/>
        <w:t>on in</w:t>
      </w:r>
      <w:r>
        <w:rPr>
          <w:spacing w:val="26"/>
        </w:rPr>
        <w:t> </w:t>
      </w:r>
      <w:r>
        <w:rPr/>
        <w:t>semi-arid</w:t>
      </w:r>
      <w:r>
        <w:rPr>
          <w:spacing w:val="36"/>
        </w:rPr>
        <w:t> </w:t>
      </w:r>
      <w:r>
        <w:rPr/>
        <w:t>areas with poor</w:t>
      </w:r>
      <w:r>
        <w:rPr>
          <w:spacing w:val="30"/>
        </w:rPr>
        <w:t> </w:t>
      </w:r>
      <w:r>
        <w:rPr/>
        <w:t>soils,</w:t>
      </w:r>
      <w:r>
        <w:rPr>
          <w:spacing w:val="29"/>
        </w:rPr>
        <w:t> </w:t>
      </w:r>
      <w:r>
        <w:rPr/>
        <w:t>where</w:t>
      </w:r>
      <w:r>
        <w:rPr>
          <w:spacing w:val="29"/>
        </w:rPr>
        <w:t> </w:t>
      </w:r>
      <w:r>
        <w:rPr/>
        <w:t>rains</w:t>
      </w:r>
      <w:r>
        <w:rPr>
          <w:spacing w:val="27"/>
        </w:rPr>
        <w:t> </w:t>
      </w:r>
      <w:r>
        <w:rPr/>
        <w:t>are</w:t>
      </w:r>
      <w:r>
        <w:rPr>
          <w:spacing w:val="29"/>
        </w:rPr>
        <w:t> </w:t>
      </w:r>
      <w:r>
        <w:rPr/>
        <w:t>brief and unreliable. The grains are used in porridge and couscous, for bread and for beer (National Research Council, 1996).</w:t>
      </w:r>
    </w:p>
    <w:p>
      <w:pPr>
        <w:pStyle w:val="BodyText"/>
        <w:spacing w:line="491" w:lineRule="auto" w:before="2"/>
        <w:ind w:left="665" w:right="2479"/>
        <w:jc w:val="both"/>
      </w:pPr>
      <w:r>
        <w:rPr/>
        <w:t>According to USDA, ARS 2000; the common names of </w:t>
      </w:r>
      <w:r>
        <w:rPr>
          <w:i/>
        </w:rPr>
        <w:t>Digitaria iburua </w:t>
      </w:r>
      <w:r>
        <w:rPr/>
        <w:t>include: Black fonio</w:t>
      </w:r>
      <w:r>
        <w:rPr>
          <w:spacing w:val="80"/>
        </w:rPr>
        <w:t>  </w:t>
      </w:r>
      <w:r>
        <w:rPr/>
        <w:t>– English</w:t>
      </w:r>
    </w:p>
    <w:p>
      <w:pPr>
        <w:pStyle w:val="BodyText"/>
        <w:tabs>
          <w:tab w:pos="2019" w:val="left" w:leader="none"/>
        </w:tabs>
        <w:spacing w:line="494" w:lineRule="auto"/>
        <w:ind w:left="665" w:right="7599"/>
        <w:jc w:val="both"/>
      </w:pPr>
      <w:r>
        <w:rPr/>
        <w:t>Black</w:t>
      </w:r>
      <w:r>
        <w:rPr>
          <w:spacing w:val="-1"/>
        </w:rPr>
        <w:t> </w:t>
      </w:r>
      <w:r>
        <w:rPr/>
        <w:t>acha</w:t>
      </w:r>
      <w:r>
        <w:rPr>
          <w:spacing w:val="40"/>
        </w:rPr>
        <w:t> </w:t>
      </w:r>
      <w:r>
        <w:rPr/>
        <w:t>– English Fonio noir</w:t>
      </w:r>
      <w:r>
        <w:rPr>
          <w:spacing w:val="80"/>
        </w:rPr>
        <w:t> </w:t>
      </w:r>
      <w:r>
        <w:rPr/>
        <w:t>– French Manne noir</w:t>
      </w:r>
      <w:r>
        <w:rPr>
          <w:spacing w:val="40"/>
        </w:rPr>
        <w:t> </w:t>
      </w:r>
      <w:r>
        <w:rPr/>
        <w:t>– French </w:t>
      </w:r>
      <w:r>
        <w:rPr>
          <w:spacing w:val="-2"/>
        </w:rPr>
        <w:t>Iburu</w:t>
      </w:r>
      <w:r>
        <w:rPr/>
        <w:tab/>
        <w:t>–</w:t>
      </w:r>
      <w:r>
        <w:rPr>
          <w:spacing w:val="7"/>
        </w:rPr>
        <w:t> </w:t>
      </w:r>
      <w:r>
        <w:rPr>
          <w:spacing w:val="-2"/>
        </w:rPr>
        <w:t>German</w:t>
      </w:r>
    </w:p>
    <w:p>
      <w:pPr>
        <w:pStyle w:val="BodyText"/>
        <w:tabs>
          <w:tab w:pos="2019" w:val="left" w:leader="none"/>
        </w:tabs>
        <w:spacing w:line="247" w:lineRule="exact"/>
        <w:ind w:left="665"/>
        <w:jc w:val="both"/>
      </w:pPr>
      <w:r>
        <w:rPr>
          <w:spacing w:val="-2"/>
        </w:rPr>
        <w:t>Iburu</w:t>
      </w:r>
      <w:r>
        <w:rPr/>
        <w:tab/>
        <w:t>–</w:t>
      </w:r>
      <w:r>
        <w:rPr>
          <w:spacing w:val="6"/>
        </w:rPr>
        <w:t> </w:t>
      </w:r>
      <w:r>
        <w:rPr/>
        <w:t>Nigeria</w:t>
      </w:r>
      <w:r>
        <w:rPr>
          <w:spacing w:val="5"/>
        </w:rPr>
        <w:t> </w:t>
      </w:r>
      <w:r>
        <w:rPr>
          <w:spacing w:val="-2"/>
        </w:rPr>
        <w:t>(Hausa).</w:t>
      </w:r>
    </w:p>
    <w:p>
      <w:pPr>
        <w:spacing w:after="0" w:line="247" w:lineRule="exact"/>
        <w:jc w:val="both"/>
        <w:sectPr>
          <w:pgSz w:w="12240" w:h="15840"/>
          <w:pgMar w:header="0" w:footer="999" w:top="1260" w:bottom="1180" w:left="1720" w:right="0"/>
        </w:sectPr>
      </w:pPr>
    </w:p>
    <w:p>
      <w:pPr>
        <w:pStyle w:val="Heading2"/>
        <w:numPr>
          <w:ilvl w:val="2"/>
          <w:numId w:val="11"/>
        </w:numPr>
        <w:tabs>
          <w:tab w:pos="1342" w:val="left" w:leader="none"/>
        </w:tabs>
        <w:spacing w:line="240" w:lineRule="auto" w:before="80" w:after="0"/>
        <w:ind w:left="1342" w:right="0" w:hanging="677"/>
        <w:jc w:val="left"/>
      </w:pPr>
      <w:bookmarkStart w:name="_TOC_250130" w:id="31"/>
      <w:r>
        <w:rPr/>
        <w:t>Distributional</w:t>
      </w:r>
      <w:r>
        <w:rPr>
          <w:spacing w:val="22"/>
        </w:rPr>
        <w:t> </w:t>
      </w:r>
      <w:bookmarkEnd w:id="31"/>
      <w:r>
        <w:rPr>
          <w:spacing w:val="-4"/>
        </w:rPr>
        <w:t>range</w:t>
      </w:r>
    </w:p>
    <w:p>
      <w:pPr>
        <w:pStyle w:val="BodyText"/>
        <w:spacing w:line="491" w:lineRule="auto" w:before="246"/>
        <w:ind w:left="665" w:right="1861" w:firstLine="168"/>
        <w:jc w:val="both"/>
      </w:pPr>
      <w:r>
        <w:rPr>
          <w:i/>
        </w:rPr>
        <w:t>Digitaria</w:t>
      </w:r>
      <w:r>
        <w:rPr>
          <w:i/>
          <w:spacing w:val="40"/>
        </w:rPr>
        <w:t> </w:t>
      </w:r>
      <w:r>
        <w:rPr>
          <w:i/>
        </w:rPr>
        <w:t>iburua</w:t>
      </w:r>
      <w:r>
        <w:rPr>
          <w:i/>
          <w:spacing w:val="40"/>
        </w:rPr>
        <w:t> </w:t>
      </w:r>
      <w:r>
        <w:rPr/>
        <w:t>is</w:t>
      </w:r>
      <w:r>
        <w:rPr>
          <w:spacing w:val="40"/>
        </w:rPr>
        <w:t> </w:t>
      </w:r>
      <w:r>
        <w:rPr/>
        <w:t>mostly</w:t>
      </w:r>
      <w:r>
        <w:rPr>
          <w:spacing w:val="40"/>
        </w:rPr>
        <w:t> </w:t>
      </w:r>
      <w:r>
        <w:rPr/>
        <w:t>cultivated</w:t>
      </w:r>
      <w:r>
        <w:rPr>
          <w:spacing w:val="40"/>
        </w:rPr>
        <w:t> </w:t>
      </w:r>
      <w:r>
        <w:rPr/>
        <w:t>in</w:t>
      </w:r>
      <w:r>
        <w:rPr>
          <w:spacing w:val="40"/>
        </w:rPr>
        <w:t> </w:t>
      </w:r>
      <w:r>
        <w:rPr/>
        <w:t>Africa</w:t>
      </w:r>
      <w:r>
        <w:rPr>
          <w:spacing w:val="40"/>
        </w:rPr>
        <w:t> </w:t>
      </w:r>
      <w:r>
        <w:rPr/>
        <w:t>–</w:t>
      </w:r>
      <w:r>
        <w:rPr>
          <w:spacing w:val="40"/>
        </w:rPr>
        <w:t> </w:t>
      </w:r>
      <w:r>
        <w:rPr/>
        <w:t>West</w:t>
      </w:r>
      <w:r>
        <w:rPr>
          <w:spacing w:val="40"/>
        </w:rPr>
        <w:t> </w:t>
      </w:r>
      <w:r>
        <w:rPr/>
        <w:t>tropical</w:t>
      </w:r>
      <w:r>
        <w:rPr>
          <w:spacing w:val="40"/>
        </w:rPr>
        <w:t> </w:t>
      </w:r>
      <w:r>
        <w:rPr/>
        <w:t>Africa</w:t>
      </w:r>
      <w:r>
        <w:rPr>
          <w:spacing w:val="40"/>
        </w:rPr>
        <w:t> </w:t>
      </w:r>
      <w:r>
        <w:rPr/>
        <w:t>–</w:t>
      </w:r>
      <w:r>
        <w:rPr>
          <w:spacing w:val="40"/>
        </w:rPr>
        <w:t> </w:t>
      </w:r>
      <w:r>
        <w:rPr/>
        <w:t>(Benin, Nigeria</w:t>
      </w:r>
      <w:r>
        <w:rPr>
          <w:spacing w:val="40"/>
        </w:rPr>
        <w:t> </w:t>
      </w:r>
      <w:r>
        <w:rPr/>
        <w:t>and</w:t>
      </w:r>
      <w:r>
        <w:rPr>
          <w:spacing w:val="40"/>
        </w:rPr>
        <w:t> </w:t>
      </w:r>
      <w:r>
        <w:rPr/>
        <w:t>Togo).</w:t>
      </w:r>
      <w:r>
        <w:rPr>
          <w:spacing w:val="40"/>
        </w:rPr>
        <w:t> </w:t>
      </w:r>
      <w:r>
        <w:rPr/>
        <w:t>In</w:t>
      </w:r>
      <w:r>
        <w:rPr>
          <w:spacing w:val="40"/>
        </w:rPr>
        <w:t> </w:t>
      </w:r>
      <w:r>
        <w:rPr/>
        <w:t>northern</w:t>
      </w:r>
      <w:r>
        <w:rPr>
          <w:spacing w:val="40"/>
        </w:rPr>
        <w:t> </w:t>
      </w:r>
      <w:r>
        <w:rPr/>
        <w:t>Nigeria</w:t>
      </w:r>
      <w:r>
        <w:rPr>
          <w:spacing w:val="40"/>
        </w:rPr>
        <w:t> </w:t>
      </w:r>
      <w:r>
        <w:rPr/>
        <w:t>it</w:t>
      </w:r>
      <w:r>
        <w:rPr>
          <w:spacing w:val="40"/>
        </w:rPr>
        <w:t> </w:t>
      </w:r>
      <w:r>
        <w:rPr/>
        <w:t>is</w:t>
      </w:r>
      <w:r>
        <w:rPr>
          <w:spacing w:val="40"/>
        </w:rPr>
        <w:t> </w:t>
      </w:r>
      <w:r>
        <w:rPr/>
        <w:t>grown</w:t>
      </w:r>
      <w:r>
        <w:rPr>
          <w:spacing w:val="40"/>
        </w:rPr>
        <w:t> </w:t>
      </w:r>
      <w:r>
        <w:rPr/>
        <w:t>in</w:t>
      </w:r>
      <w:r>
        <w:rPr>
          <w:spacing w:val="40"/>
        </w:rPr>
        <w:t> </w:t>
      </w:r>
      <w:r>
        <w:rPr/>
        <w:t>Zaria,</w:t>
      </w:r>
      <w:r>
        <w:rPr>
          <w:spacing w:val="40"/>
        </w:rPr>
        <w:t> </w:t>
      </w:r>
      <w:r>
        <w:rPr/>
        <w:t>Jos,</w:t>
      </w:r>
      <w:r>
        <w:rPr>
          <w:spacing w:val="40"/>
        </w:rPr>
        <w:t> </w:t>
      </w:r>
      <w:r>
        <w:rPr/>
        <w:t>Bauchi,</w:t>
      </w:r>
      <w:r>
        <w:rPr>
          <w:spacing w:val="40"/>
        </w:rPr>
        <w:t> </w:t>
      </w:r>
      <w:r>
        <w:rPr/>
        <w:t>Plateau regions, as well as the northern regions of Togo and Benin (Harlan, 1993 and Jideani, </w:t>
      </w:r>
      <w:r>
        <w:rPr>
          <w:spacing w:val="-2"/>
        </w:rPr>
        <w:t>1999).</w:t>
      </w:r>
    </w:p>
    <w:p>
      <w:pPr>
        <w:pStyle w:val="BodyText"/>
        <w:spacing w:line="494" w:lineRule="auto"/>
        <w:ind w:left="665" w:right="1861" w:firstLine="336"/>
        <w:jc w:val="both"/>
      </w:pPr>
      <w:r>
        <w:rPr/>
        <w:t>Fonio thrives in the sandy, rocky soils of the Sahel both in drought and flood and grows so fast that its crops can be harvested two or three times each year. The seeds are small, each kilogram of the plant contains about two million seeds and each seed weighs about 0.0005 g (Karen, 2004).</w:t>
      </w:r>
    </w:p>
    <w:p>
      <w:pPr>
        <w:pStyle w:val="BodyText"/>
        <w:spacing w:line="491" w:lineRule="auto"/>
        <w:ind w:left="665" w:right="1858" w:firstLine="278"/>
        <w:jc w:val="both"/>
      </w:pPr>
      <w:r>
        <w:rPr>
          <w:i/>
        </w:rPr>
        <w:t>Digitaria</w:t>
      </w:r>
      <w:r>
        <w:rPr>
          <w:i/>
          <w:spacing w:val="40"/>
        </w:rPr>
        <w:t> </w:t>
      </w:r>
      <w:r>
        <w:rPr>
          <w:i/>
        </w:rPr>
        <w:t>iburua</w:t>
      </w:r>
      <w:r>
        <w:rPr>
          <w:i/>
          <w:spacing w:val="40"/>
        </w:rPr>
        <w:t> </w:t>
      </w:r>
      <w:r>
        <w:rPr/>
        <w:t>is</w:t>
      </w:r>
      <w:r>
        <w:rPr>
          <w:spacing w:val="40"/>
        </w:rPr>
        <w:t> </w:t>
      </w:r>
      <w:r>
        <w:rPr/>
        <w:t>cultivated</w:t>
      </w:r>
      <w:r>
        <w:rPr>
          <w:spacing w:val="40"/>
        </w:rPr>
        <w:t> </w:t>
      </w:r>
      <w:r>
        <w:rPr/>
        <w:t>along</w:t>
      </w:r>
      <w:r>
        <w:rPr>
          <w:spacing w:val="40"/>
        </w:rPr>
        <w:t> </w:t>
      </w:r>
      <w:r>
        <w:rPr/>
        <w:t>with</w:t>
      </w:r>
      <w:r>
        <w:rPr>
          <w:spacing w:val="40"/>
        </w:rPr>
        <w:t> </w:t>
      </w:r>
      <w:r>
        <w:rPr/>
        <w:t>millet</w:t>
      </w:r>
      <w:r>
        <w:rPr>
          <w:spacing w:val="40"/>
        </w:rPr>
        <w:t> </w:t>
      </w:r>
      <w:r>
        <w:rPr/>
        <w:t>(Hutchinson</w:t>
      </w:r>
      <w:r>
        <w:rPr>
          <w:spacing w:val="40"/>
        </w:rPr>
        <w:t> </w:t>
      </w:r>
      <w:r>
        <w:rPr/>
        <w:t>and</w:t>
      </w:r>
      <w:r>
        <w:rPr>
          <w:spacing w:val="40"/>
        </w:rPr>
        <w:t> </w:t>
      </w:r>
      <w:r>
        <w:rPr/>
        <w:t>Dalziel,</w:t>
      </w:r>
      <w:r>
        <w:rPr>
          <w:spacing w:val="40"/>
        </w:rPr>
        <w:t> </w:t>
      </w:r>
      <w:r>
        <w:rPr/>
        <w:t>1937). Black</w:t>
      </w:r>
      <w:r>
        <w:rPr>
          <w:spacing w:val="17"/>
        </w:rPr>
        <w:t> </w:t>
      </w:r>
      <w:r>
        <w:rPr/>
        <w:t>fonio</w:t>
      </w:r>
      <w:r>
        <w:rPr>
          <w:spacing w:val="34"/>
        </w:rPr>
        <w:t> </w:t>
      </w:r>
      <w:r>
        <w:rPr/>
        <w:t>has</w:t>
      </w:r>
      <w:r>
        <w:rPr>
          <w:spacing w:val="23"/>
        </w:rPr>
        <w:t> </w:t>
      </w:r>
      <w:r>
        <w:rPr/>
        <w:t>similar</w:t>
      </w:r>
      <w:r>
        <w:rPr>
          <w:spacing w:val="28"/>
        </w:rPr>
        <w:t> </w:t>
      </w:r>
      <w:r>
        <w:rPr/>
        <w:t>features</w:t>
      </w:r>
      <w:r>
        <w:rPr>
          <w:spacing w:val="23"/>
        </w:rPr>
        <w:t> </w:t>
      </w:r>
      <w:r>
        <w:rPr/>
        <w:t>with</w:t>
      </w:r>
      <w:r>
        <w:rPr>
          <w:spacing w:val="28"/>
        </w:rPr>
        <w:t> </w:t>
      </w:r>
      <w:r>
        <w:rPr/>
        <w:t>white</w:t>
      </w:r>
      <w:r>
        <w:rPr>
          <w:spacing w:val="26"/>
        </w:rPr>
        <w:t> </w:t>
      </w:r>
      <w:r>
        <w:rPr/>
        <w:t>fonio</w:t>
      </w:r>
      <w:r>
        <w:rPr>
          <w:spacing w:val="27"/>
        </w:rPr>
        <w:t> </w:t>
      </w:r>
      <w:r>
        <w:rPr/>
        <w:t>–</w:t>
      </w:r>
      <w:r>
        <w:rPr>
          <w:spacing w:val="34"/>
        </w:rPr>
        <w:t> </w:t>
      </w:r>
      <w:r>
        <w:rPr>
          <w:i/>
        </w:rPr>
        <w:t>Digitaria</w:t>
      </w:r>
      <w:r>
        <w:rPr>
          <w:i/>
          <w:spacing w:val="28"/>
        </w:rPr>
        <w:t> </w:t>
      </w:r>
      <w:r>
        <w:rPr>
          <w:i/>
        </w:rPr>
        <w:t>exilis</w:t>
      </w:r>
      <w:r>
        <w:rPr/>
        <w:t>.</w:t>
      </w:r>
      <w:r>
        <w:rPr>
          <w:spacing w:val="26"/>
        </w:rPr>
        <w:t> </w:t>
      </w:r>
      <w:r>
        <w:rPr/>
        <w:t>It</w:t>
      </w:r>
      <w:r>
        <w:rPr>
          <w:spacing w:val="30"/>
        </w:rPr>
        <w:t> </w:t>
      </w:r>
      <w:r>
        <w:rPr/>
        <w:t>is</w:t>
      </w:r>
      <w:r>
        <w:rPr>
          <w:spacing w:val="23"/>
        </w:rPr>
        <w:t> </w:t>
      </w:r>
      <w:r>
        <w:rPr/>
        <w:t>more</w:t>
      </w:r>
      <w:r>
        <w:rPr>
          <w:spacing w:val="21"/>
        </w:rPr>
        <w:t> </w:t>
      </w:r>
      <w:r>
        <w:rPr/>
        <w:t>difficult to</w:t>
      </w:r>
      <w:r>
        <w:rPr>
          <w:spacing w:val="40"/>
        </w:rPr>
        <w:t> </w:t>
      </w:r>
      <w:r>
        <w:rPr/>
        <w:t>dehusk</w:t>
      </w:r>
      <w:r>
        <w:rPr>
          <w:spacing w:val="38"/>
        </w:rPr>
        <w:t> </w:t>
      </w:r>
      <w:r>
        <w:rPr/>
        <w:t>black</w:t>
      </w:r>
      <w:r>
        <w:rPr>
          <w:spacing w:val="40"/>
        </w:rPr>
        <w:t> </w:t>
      </w:r>
      <w:r>
        <w:rPr/>
        <w:t>fonio</w:t>
      </w:r>
      <w:r>
        <w:rPr>
          <w:spacing w:val="40"/>
        </w:rPr>
        <w:t> </w:t>
      </w:r>
      <w:r>
        <w:rPr/>
        <w:t>with</w:t>
      </w:r>
      <w:r>
        <w:rPr>
          <w:spacing w:val="40"/>
        </w:rPr>
        <w:t> </w:t>
      </w:r>
      <w:r>
        <w:rPr/>
        <w:t>the</w:t>
      </w:r>
      <w:r>
        <w:rPr>
          <w:spacing w:val="40"/>
        </w:rPr>
        <w:t> </w:t>
      </w:r>
      <w:r>
        <w:rPr/>
        <w:t>traditional</w:t>
      </w:r>
      <w:r>
        <w:rPr>
          <w:spacing w:val="40"/>
        </w:rPr>
        <w:t> </w:t>
      </w:r>
      <w:r>
        <w:rPr/>
        <w:t>pestle</w:t>
      </w:r>
      <w:r>
        <w:rPr>
          <w:spacing w:val="40"/>
        </w:rPr>
        <w:t> </w:t>
      </w:r>
      <w:r>
        <w:rPr/>
        <w:t>and</w:t>
      </w:r>
      <w:r>
        <w:rPr>
          <w:spacing w:val="40"/>
        </w:rPr>
        <w:t> </w:t>
      </w:r>
      <w:r>
        <w:rPr/>
        <w:t>mortar</w:t>
      </w:r>
      <w:r>
        <w:rPr>
          <w:spacing w:val="40"/>
        </w:rPr>
        <w:t> </w:t>
      </w:r>
      <w:r>
        <w:rPr/>
        <w:t>as</w:t>
      </w:r>
      <w:r>
        <w:rPr>
          <w:spacing w:val="40"/>
        </w:rPr>
        <w:t> </w:t>
      </w:r>
      <w:r>
        <w:rPr/>
        <w:t>compared</w:t>
      </w:r>
      <w:r>
        <w:rPr>
          <w:spacing w:val="40"/>
        </w:rPr>
        <w:t> </w:t>
      </w:r>
      <w:r>
        <w:rPr/>
        <w:t>with</w:t>
      </w:r>
      <w:r>
        <w:rPr>
          <w:spacing w:val="40"/>
        </w:rPr>
        <w:t> </w:t>
      </w:r>
      <w:r>
        <w:rPr/>
        <w:t>white fonio (Gambo, 2009).</w:t>
      </w:r>
    </w:p>
    <w:p>
      <w:pPr>
        <w:pStyle w:val="ListParagraph"/>
        <w:numPr>
          <w:ilvl w:val="2"/>
          <w:numId w:val="11"/>
        </w:numPr>
        <w:tabs>
          <w:tab w:pos="1342" w:val="left" w:leader="none"/>
        </w:tabs>
        <w:spacing w:line="240" w:lineRule="auto" w:before="223" w:after="0"/>
        <w:ind w:left="1342" w:right="0" w:hanging="677"/>
        <w:jc w:val="left"/>
        <w:rPr>
          <w:b/>
          <w:sz w:val="22"/>
        </w:rPr>
      </w:pPr>
      <w:r>
        <w:rPr>
          <w:b/>
          <w:sz w:val="22"/>
        </w:rPr>
        <w:t>Description</w:t>
      </w:r>
      <w:r>
        <w:rPr>
          <w:b/>
          <w:spacing w:val="13"/>
          <w:sz w:val="22"/>
        </w:rPr>
        <w:t> </w:t>
      </w:r>
      <w:r>
        <w:rPr>
          <w:b/>
          <w:sz w:val="22"/>
        </w:rPr>
        <w:t>of</w:t>
      </w:r>
      <w:r>
        <w:rPr>
          <w:b/>
          <w:spacing w:val="16"/>
          <w:sz w:val="22"/>
        </w:rPr>
        <w:t> </w:t>
      </w:r>
      <w:r>
        <w:rPr>
          <w:b/>
          <w:i/>
          <w:sz w:val="22"/>
        </w:rPr>
        <w:t>Digitaria</w:t>
      </w:r>
      <w:r>
        <w:rPr>
          <w:b/>
          <w:i/>
          <w:spacing w:val="11"/>
          <w:sz w:val="22"/>
        </w:rPr>
        <w:t> </w:t>
      </w:r>
      <w:r>
        <w:rPr>
          <w:b/>
          <w:i/>
          <w:sz w:val="22"/>
        </w:rPr>
        <w:t>iburua</w:t>
      </w:r>
      <w:r>
        <w:rPr>
          <w:b/>
          <w:i/>
          <w:spacing w:val="12"/>
          <w:sz w:val="22"/>
        </w:rPr>
        <w:t> </w:t>
      </w:r>
      <w:r>
        <w:rPr>
          <w:b/>
          <w:spacing w:val="-2"/>
          <w:sz w:val="22"/>
        </w:rPr>
        <w:t>(Stapf)</w:t>
      </w:r>
    </w:p>
    <w:p>
      <w:pPr>
        <w:pStyle w:val="BodyText"/>
        <w:spacing w:line="494" w:lineRule="auto" w:before="241"/>
        <w:ind w:left="665" w:right="1860" w:firstLine="278"/>
        <w:jc w:val="both"/>
      </w:pPr>
      <w:r>
        <w:rPr/>
        <w:t>Black fonio is taller than white fonio and may reach 1.4 m. It has 2 – 11 subdigitate racemes up to 13 cm long. Spikelets glabrous, elliptic – lanceolate, acute, 2 mm long, barren valve 7 – nerved; fertile floret darkening late.</w:t>
      </w:r>
    </w:p>
    <w:p>
      <w:pPr>
        <w:pStyle w:val="BodyText"/>
        <w:tabs>
          <w:tab w:pos="2019" w:val="left" w:leader="none"/>
        </w:tabs>
        <w:spacing w:line="491" w:lineRule="auto"/>
        <w:ind w:left="665" w:right="2079"/>
        <w:jc w:val="both"/>
      </w:pPr>
      <w:r>
        <w:rPr/>
        <w:t>Racemes:</w:t>
      </w:r>
      <w:r>
        <w:rPr>
          <w:spacing w:val="80"/>
          <w:w w:val="150"/>
        </w:rPr>
        <w:t>  </w:t>
      </w:r>
      <w:r>
        <w:rPr/>
        <w:t>4 – 10, digitates, the lowest usually</w:t>
      </w:r>
      <w:r>
        <w:rPr>
          <w:spacing w:val="-1"/>
        </w:rPr>
        <w:t> </w:t>
      </w:r>
      <w:r>
        <w:rPr/>
        <w:t>below the others nearly</w:t>
      </w:r>
      <w:r>
        <w:rPr>
          <w:spacing w:val="-7"/>
        </w:rPr>
        <w:t> </w:t>
      </w:r>
      <w:r>
        <w:rPr/>
        <w:t>15 cm long </w:t>
      </w:r>
      <w:r>
        <w:rPr>
          <w:spacing w:val="-2"/>
        </w:rPr>
        <w:t>Leaf:</w:t>
      </w:r>
      <w:r>
        <w:rPr/>
        <w:tab/>
        <w:t>Pale</w:t>
      </w:r>
      <w:r>
        <w:rPr>
          <w:spacing w:val="15"/>
        </w:rPr>
        <w:t> </w:t>
      </w:r>
      <w:r>
        <w:rPr/>
        <w:t>green</w:t>
      </w:r>
      <w:r>
        <w:rPr>
          <w:spacing w:val="6"/>
        </w:rPr>
        <w:t> </w:t>
      </w:r>
      <w:r>
        <w:rPr/>
        <w:t>leaf,</w:t>
      </w:r>
      <w:r>
        <w:rPr>
          <w:spacing w:val="16"/>
        </w:rPr>
        <w:t> </w:t>
      </w:r>
      <w:r>
        <w:rPr/>
        <w:t>blades</w:t>
      </w:r>
      <w:r>
        <w:rPr>
          <w:spacing w:val="2"/>
        </w:rPr>
        <w:t> </w:t>
      </w:r>
      <w:r>
        <w:rPr/>
        <w:t>broadly</w:t>
      </w:r>
      <w:r>
        <w:rPr>
          <w:spacing w:val="1"/>
        </w:rPr>
        <w:t> </w:t>
      </w:r>
      <w:r>
        <w:rPr/>
        <w:t>linear</w:t>
      </w:r>
      <w:r>
        <w:rPr>
          <w:spacing w:val="11"/>
        </w:rPr>
        <w:t> </w:t>
      </w:r>
      <w:r>
        <w:rPr/>
        <w:t>tappered</w:t>
      </w:r>
      <w:r>
        <w:rPr>
          <w:spacing w:val="11"/>
        </w:rPr>
        <w:t> </w:t>
      </w:r>
      <w:r>
        <w:rPr/>
        <w:t>from</w:t>
      </w:r>
      <w:r>
        <w:rPr>
          <w:spacing w:val="10"/>
        </w:rPr>
        <w:t> </w:t>
      </w:r>
      <w:r>
        <w:rPr/>
        <w:t>near</w:t>
      </w:r>
      <w:r>
        <w:rPr>
          <w:spacing w:val="11"/>
        </w:rPr>
        <w:t> </w:t>
      </w:r>
      <w:r>
        <w:rPr/>
        <w:t>the</w:t>
      </w:r>
      <w:r>
        <w:rPr>
          <w:spacing w:val="11"/>
        </w:rPr>
        <w:t> </w:t>
      </w:r>
      <w:r>
        <w:rPr/>
        <w:t>base</w:t>
      </w:r>
      <w:r>
        <w:rPr>
          <w:spacing w:val="10"/>
        </w:rPr>
        <w:t> </w:t>
      </w:r>
      <w:r>
        <w:rPr/>
        <w:t>up</w:t>
      </w:r>
      <w:r>
        <w:rPr>
          <w:spacing w:val="11"/>
        </w:rPr>
        <w:t> </w:t>
      </w:r>
      <w:r>
        <w:rPr>
          <w:spacing w:val="-5"/>
        </w:rPr>
        <w:t>to</w:t>
      </w:r>
    </w:p>
    <w:p>
      <w:pPr>
        <w:pStyle w:val="BodyText"/>
        <w:spacing w:line="253" w:lineRule="exact"/>
        <w:ind w:left="665" w:firstLine="1406"/>
      </w:pPr>
      <w:r>
        <w:rPr/>
        <w:t>30</w:t>
      </w:r>
      <w:r>
        <w:rPr>
          <w:spacing w:val="13"/>
        </w:rPr>
        <w:t> </w:t>
      </w:r>
      <w:r>
        <w:rPr/>
        <w:t>cm</w:t>
      </w:r>
      <w:r>
        <w:rPr>
          <w:spacing w:val="8"/>
        </w:rPr>
        <w:t> </w:t>
      </w:r>
      <w:r>
        <w:rPr/>
        <w:t>long</w:t>
      </w:r>
      <w:r>
        <w:rPr>
          <w:spacing w:val="3"/>
        </w:rPr>
        <w:t> </w:t>
      </w:r>
      <w:r>
        <w:rPr/>
        <w:t>and</w:t>
      </w:r>
      <w:r>
        <w:rPr>
          <w:spacing w:val="13"/>
        </w:rPr>
        <w:t> </w:t>
      </w:r>
      <w:r>
        <w:rPr/>
        <w:t>1</w:t>
      </w:r>
      <w:r>
        <w:rPr>
          <w:spacing w:val="10"/>
        </w:rPr>
        <w:t> </w:t>
      </w:r>
      <w:r>
        <w:rPr/>
        <w:t>cm</w:t>
      </w:r>
      <w:r>
        <w:rPr>
          <w:spacing w:val="4"/>
        </w:rPr>
        <w:t> </w:t>
      </w:r>
      <w:r>
        <w:rPr/>
        <w:t>broad,</w:t>
      </w:r>
      <w:r>
        <w:rPr>
          <w:spacing w:val="2"/>
        </w:rPr>
        <w:t> </w:t>
      </w:r>
      <w:r>
        <w:rPr/>
        <w:t>with</w:t>
      </w:r>
      <w:r>
        <w:rPr>
          <w:spacing w:val="8"/>
        </w:rPr>
        <w:t> </w:t>
      </w:r>
      <w:r>
        <w:rPr/>
        <w:t>long</w:t>
      </w:r>
      <w:r>
        <w:rPr>
          <w:spacing w:val="4"/>
        </w:rPr>
        <w:t> </w:t>
      </w:r>
      <w:r>
        <w:rPr/>
        <w:t>hairs</w:t>
      </w:r>
      <w:r>
        <w:rPr>
          <w:spacing w:val="4"/>
        </w:rPr>
        <w:t> </w:t>
      </w:r>
      <w:r>
        <w:rPr/>
        <w:t>at</w:t>
      </w:r>
      <w:r>
        <w:rPr>
          <w:spacing w:val="6"/>
        </w:rPr>
        <w:t> </w:t>
      </w:r>
      <w:r>
        <w:rPr/>
        <w:t>the</w:t>
      </w:r>
      <w:r>
        <w:rPr>
          <w:spacing w:val="50"/>
        </w:rPr>
        <w:t>  </w:t>
      </w:r>
      <w:r>
        <w:rPr>
          <w:spacing w:val="-2"/>
        </w:rPr>
        <w:t>base.</w:t>
      </w:r>
    </w:p>
    <w:p>
      <w:pPr>
        <w:pStyle w:val="BodyText"/>
        <w:spacing w:before="9"/>
      </w:pPr>
    </w:p>
    <w:p>
      <w:pPr>
        <w:pStyle w:val="BodyText"/>
        <w:tabs>
          <w:tab w:pos="2019" w:val="left" w:leader="none"/>
        </w:tabs>
        <w:spacing w:line="491" w:lineRule="auto"/>
        <w:ind w:left="2019" w:right="3294" w:hanging="1354"/>
      </w:pPr>
      <w:r>
        <w:rPr>
          <w:spacing w:val="-2"/>
        </w:rPr>
        <w:t>Grain:</w:t>
      </w:r>
      <w:r>
        <w:rPr/>
        <w:tab/>
        <w:t>Ellipsioid slightly compressed from the back, very tightly enclosed by the delicate pale to dark dull brown husks</w:t>
      </w:r>
    </w:p>
    <w:p>
      <w:pPr>
        <w:pStyle w:val="BodyText"/>
        <w:spacing w:line="253" w:lineRule="exact"/>
        <w:ind w:left="665"/>
        <w:jc w:val="both"/>
      </w:pPr>
      <w:r>
        <w:rPr/>
        <w:t>Scutellum:</w:t>
      </w:r>
      <w:r>
        <w:rPr>
          <w:spacing w:val="53"/>
          <w:w w:val="150"/>
        </w:rPr>
        <w:t>   </w:t>
      </w:r>
      <w:r>
        <w:rPr/>
        <w:t>Elliptic,</w:t>
      </w:r>
      <w:r>
        <w:rPr>
          <w:spacing w:val="16"/>
        </w:rPr>
        <w:t> </w:t>
      </w:r>
      <w:r>
        <w:rPr/>
        <w:t>not</w:t>
      </w:r>
      <w:r>
        <w:rPr>
          <w:spacing w:val="7"/>
        </w:rPr>
        <w:t> </w:t>
      </w:r>
      <w:r>
        <w:rPr/>
        <w:t>quite</w:t>
      </w:r>
      <w:r>
        <w:rPr>
          <w:spacing w:val="3"/>
        </w:rPr>
        <w:t> </w:t>
      </w:r>
      <w:r>
        <w:rPr/>
        <w:t>reaching to</w:t>
      </w:r>
      <w:r>
        <w:rPr>
          <w:spacing w:val="9"/>
        </w:rPr>
        <w:t> </w:t>
      </w:r>
      <w:r>
        <w:rPr/>
        <w:t>the</w:t>
      </w:r>
      <w:r>
        <w:rPr>
          <w:spacing w:val="8"/>
        </w:rPr>
        <w:t> </w:t>
      </w:r>
      <w:r>
        <w:rPr>
          <w:spacing w:val="-2"/>
        </w:rPr>
        <w:t>middle</w:t>
      </w:r>
    </w:p>
    <w:p>
      <w:pPr>
        <w:spacing w:after="0" w:line="253" w:lineRule="exact"/>
        <w:jc w:val="both"/>
        <w:sectPr>
          <w:pgSz w:w="12240" w:h="15840"/>
          <w:pgMar w:header="0" w:footer="999" w:top="1260" w:bottom="1180" w:left="1720" w:right="0"/>
        </w:sectPr>
      </w:pPr>
    </w:p>
    <w:p>
      <w:pPr>
        <w:pStyle w:val="BodyText"/>
        <w:ind w:left="689"/>
        <w:rPr>
          <w:sz w:val="20"/>
        </w:rPr>
      </w:pPr>
      <w:r>
        <w:rPr>
          <w:sz w:val="20"/>
        </w:rPr>
        <w:drawing>
          <wp:inline distT="0" distB="0" distL="0" distR="0">
            <wp:extent cx="5072990" cy="337185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5072990" cy="3371850"/>
                    </a:xfrm>
                    <a:prstGeom prst="rect">
                      <a:avLst/>
                    </a:prstGeom>
                  </pic:spPr>
                </pic:pic>
              </a:graphicData>
            </a:graphic>
          </wp:inline>
        </w:drawing>
      </w:r>
      <w:r>
        <w:rPr>
          <w:sz w:val="20"/>
        </w:rPr>
      </w:r>
    </w:p>
    <w:p>
      <w:pPr>
        <w:pStyle w:val="BodyText"/>
      </w:pPr>
    </w:p>
    <w:p>
      <w:pPr>
        <w:pStyle w:val="BodyText"/>
      </w:pPr>
    </w:p>
    <w:p>
      <w:pPr>
        <w:pStyle w:val="BodyText"/>
        <w:spacing w:before="37"/>
      </w:pPr>
    </w:p>
    <w:p>
      <w:pPr>
        <w:spacing w:line="244" w:lineRule="auto" w:before="0"/>
        <w:ind w:left="1515" w:right="2566" w:hanging="850"/>
        <w:jc w:val="left"/>
        <w:rPr>
          <w:b/>
          <w:sz w:val="22"/>
        </w:rPr>
      </w:pPr>
      <w:r>
        <w:rPr>
          <w:b/>
          <w:sz w:val="22"/>
        </w:rPr>
        <w:t>Plate 1.1: Photograph of </w:t>
      </w:r>
      <w:r>
        <w:rPr>
          <w:b/>
          <w:i/>
          <w:sz w:val="22"/>
        </w:rPr>
        <w:t>Digitaria iburua </w:t>
      </w:r>
      <w:r>
        <w:rPr>
          <w:b/>
          <w:sz w:val="22"/>
        </w:rPr>
        <w:t>grain (</w:t>
      </w:r>
      <w:r>
        <w:rPr>
          <w:b/>
          <w:i/>
          <w:sz w:val="22"/>
        </w:rPr>
        <w:t>American Association of Cereal Chemist</w:t>
      </w:r>
      <w:r>
        <w:rPr>
          <w:b/>
          <w:sz w:val="22"/>
        </w:rPr>
        <w:t>).</w:t>
      </w:r>
    </w:p>
    <w:p>
      <w:pPr>
        <w:pStyle w:val="BodyText"/>
        <w:rPr>
          <w:b/>
        </w:rPr>
      </w:pPr>
    </w:p>
    <w:p>
      <w:pPr>
        <w:pStyle w:val="BodyText"/>
        <w:spacing w:before="10"/>
        <w:rPr>
          <w:b/>
        </w:rPr>
      </w:pPr>
    </w:p>
    <w:p>
      <w:pPr>
        <w:pStyle w:val="BodyText"/>
        <w:spacing w:line="491" w:lineRule="auto"/>
        <w:ind w:left="665" w:right="1854" w:firstLine="57"/>
        <w:jc w:val="both"/>
      </w:pPr>
      <w:r>
        <w:rPr/>
        <w:t>Fonio is one of the world’s best tasting and most nutritious cereal grains. Its seed has a high protein content of about 8.7 % with some black fonio samples having up to 11.8 %. Fonio is rich in methionine, cystine and other amino acids vital for human health but</w:t>
      </w:r>
      <w:r>
        <w:rPr>
          <w:spacing w:val="40"/>
        </w:rPr>
        <w:t> </w:t>
      </w:r>
      <w:r>
        <w:rPr/>
        <w:t>which</w:t>
      </w:r>
      <w:r>
        <w:rPr>
          <w:spacing w:val="33"/>
        </w:rPr>
        <w:t> </w:t>
      </w:r>
      <w:r>
        <w:rPr/>
        <w:t>are</w:t>
      </w:r>
      <w:r>
        <w:rPr>
          <w:spacing w:val="31"/>
        </w:rPr>
        <w:t> </w:t>
      </w:r>
      <w:r>
        <w:rPr/>
        <w:t>deficient</w:t>
      </w:r>
      <w:r>
        <w:rPr>
          <w:spacing w:val="40"/>
        </w:rPr>
        <w:t> </w:t>
      </w:r>
      <w:r>
        <w:rPr/>
        <w:t>in</w:t>
      </w:r>
      <w:r>
        <w:rPr>
          <w:spacing w:val="27"/>
        </w:rPr>
        <w:t> </w:t>
      </w:r>
      <w:r>
        <w:rPr/>
        <w:t>the</w:t>
      </w:r>
      <w:r>
        <w:rPr>
          <w:spacing w:val="36"/>
        </w:rPr>
        <w:t> </w:t>
      </w:r>
      <w:r>
        <w:rPr/>
        <w:t>major</w:t>
      </w:r>
      <w:r>
        <w:rPr>
          <w:spacing w:val="37"/>
        </w:rPr>
        <w:t> </w:t>
      </w:r>
      <w:r>
        <w:rPr/>
        <w:t>cereals</w:t>
      </w:r>
      <w:r>
        <w:rPr>
          <w:spacing w:val="34"/>
        </w:rPr>
        <w:t> </w:t>
      </w:r>
      <w:r>
        <w:rPr/>
        <w:t>of</w:t>
      </w:r>
      <w:r>
        <w:rPr>
          <w:spacing w:val="32"/>
        </w:rPr>
        <w:t> </w:t>
      </w:r>
      <w:r>
        <w:rPr/>
        <w:t>today:</w:t>
      </w:r>
      <w:r>
        <w:rPr>
          <w:spacing w:val="35"/>
        </w:rPr>
        <w:t> </w:t>
      </w:r>
      <w:r>
        <w:rPr/>
        <w:t>wheat,</w:t>
      </w:r>
      <w:r>
        <w:rPr>
          <w:spacing w:val="36"/>
        </w:rPr>
        <w:t> </w:t>
      </w:r>
      <w:r>
        <w:rPr/>
        <w:t>rice,</w:t>
      </w:r>
      <w:r>
        <w:rPr>
          <w:spacing w:val="36"/>
        </w:rPr>
        <w:t> </w:t>
      </w:r>
      <w:r>
        <w:rPr/>
        <w:t>maize,</w:t>
      </w:r>
      <w:r>
        <w:rPr>
          <w:spacing w:val="36"/>
        </w:rPr>
        <w:t> </w:t>
      </w:r>
      <w:r>
        <w:rPr/>
        <w:t>sorghum,</w:t>
      </w:r>
      <w:r>
        <w:rPr>
          <w:spacing w:val="31"/>
        </w:rPr>
        <w:t> </w:t>
      </w:r>
      <w:r>
        <w:rPr/>
        <w:t>barley and rye (National Research Council, 1996). Fonio has an attractive flavour and expands well when cooked.</w:t>
      </w:r>
    </w:p>
    <w:p>
      <w:pPr>
        <w:pStyle w:val="Heading2"/>
        <w:numPr>
          <w:ilvl w:val="2"/>
          <w:numId w:val="11"/>
        </w:numPr>
        <w:tabs>
          <w:tab w:pos="1342" w:val="left" w:leader="none"/>
        </w:tabs>
        <w:spacing w:line="240" w:lineRule="auto" w:before="230" w:after="0"/>
        <w:ind w:left="1342" w:right="0" w:hanging="677"/>
        <w:jc w:val="left"/>
      </w:pPr>
      <w:bookmarkStart w:name="_TOC_250129" w:id="32"/>
      <w:r>
        <w:rPr/>
        <w:t>Economic</w:t>
      </w:r>
      <w:r>
        <w:rPr>
          <w:spacing w:val="12"/>
        </w:rPr>
        <w:t> </w:t>
      </w:r>
      <w:r>
        <w:rPr/>
        <w:t>use</w:t>
      </w:r>
      <w:r>
        <w:rPr>
          <w:spacing w:val="6"/>
        </w:rPr>
        <w:t> </w:t>
      </w:r>
      <w:r>
        <w:rPr/>
        <w:t>of</w:t>
      </w:r>
      <w:r>
        <w:rPr>
          <w:spacing w:val="14"/>
        </w:rPr>
        <w:t> </w:t>
      </w:r>
      <w:bookmarkEnd w:id="32"/>
      <w:r>
        <w:rPr>
          <w:spacing w:val="-4"/>
        </w:rPr>
        <w:t>fonio</w:t>
      </w:r>
    </w:p>
    <w:p>
      <w:pPr>
        <w:pStyle w:val="BodyText"/>
        <w:spacing w:before="246"/>
        <w:ind w:left="665"/>
        <w:jc w:val="both"/>
      </w:pPr>
      <w:r>
        <w:rPr/>
        <w:t>It</w:t>
      </w:r>
      <w:r>
        <w:rPr>
          <w:spacing w:val="11"/>
        </w:rPr>
        <w:t> </w:t>
      </w:r>
      <w:r>
        <w:rPr/>
        <w:t>is</w:t>
      </w:r>
      <w:r>
        <w:rPr>
          <w:spacing w:val="4"/>
        </w:rPr>
        <w:t> </w:t>
      </w:r>
      <w:r>
        <w:rPr/>
        <w:t>used</w:t>
      </w:r>
      <w:r>
        <w:rPr>
          <w:spacing w:val="13"/>
        </w:rPr>
        <w:t> </w:t>
      </w:r>
      <w:r>
        <w:rPr/>
        <w:t>as</w:t>
      </w:r>
      <w:r>
        <w:rPr>
          <w:spacing w:val="5"/>
        </w:rPr>
        <w:t> </w:t>
      </w:r>
      <w:r>
        <w:rPr/>
        <w:t>a</w:t>
      </w:r>
      <w:r>
        <w:rPr>
          <w:spacing w:val="7"/>
        </w:rPr>
        <w:t> </w:t>
      </w:r>
      <w:r>
        <w:rPr/>
        <w:t>source</w:t>
      </w:r>
      <w:r>
        <w:rPr>
          <w:spacing w:val="1"/>
        </w:rPr>
        <w:t> </w:t>
      </w:r>
      <w:r>
        <w:rPr/>
        <w:t>of</w:t>
      </w:r>
      <w:r>
        <w:rPr>
          <w:spacing w:val="3"/>
        </w:rPr>
        <w:t> </w:t>
      </w:r>
      <w:r>
        <w:rPr/>
        <w:t>meals,</w:t>
      </w:r>
      <w:r>
        <w:rPr>
          <w:spacing w:val="12"/>
        </w:rPr>
        <w:t> </w:t>
      </w:r>
      <w:r>
        <w:rPr/>
        <w:t>malting</w:t>
      </w:r>
      <w:r>
        <w:rPr>
          <w:spacing w:val="3"/>
        </w:rPr>
        <w:t> </w:t>
      </w:r>
      <w:r>
        <w:rPr/>
        <w:t>and</w:t>
      </w:r>
      <w:r>
        <w:rPr>
          <w:spacing w:val="9"/>
        </w:rPr>
        <w:t> </w:t>
      </w:r>
      <w:r>
        <w:rPr>
          <w:spacing w:val="-2"/>
        </w:rPr>
        <w:t>brewing.</w:t>
      </w:r>
    </w:p>
    <w:p>
      <w:pPr>
        <w:pStyle w:val="BodyText"/>
        <w:spacing w:before="242"/>
      </w:pPr>
    </w:p>
    <w:p>
      <w:pPr>
        <w:pStyle w:val="Heading2"/>
        <w:numPr>
          <w:ilvl w:val="1"/>
          <w:numId w:val="11"/>
        </w:numPr>
        <w:tabs>
          <w:tab w:pos="1342" w:val="left" w:leader="none"/>
        </w:tabs>
        <w:spacing w:line="240" w:lineRule="auto" w:before="1" w:after="0"/>
        <w:ind w:left="1342" w:right="0" w:hanging="677"/>
        <w:jc w:val="left"/>
      </w:pPr>
      <w:bookmarkStart w:name="_TOC_250128" w:id="33"/>
      <w:r>
        <w:rPr/>
        <w:t>Statement</w:t>
      </w:r>
      <w:r>
        <w:rPr>
          <w:spacing w:val="12"/>
        </w:rPr>
        <w:t> </w:t>
      </w:r>
      <w:r>
        <w:rPr/>
        <w:t>of</w:t>
      </w:r>
      <w:r>
        <w:rPr>
          <w:spacing w:val="12"/>
        </w:rPr>
        <w:t> </w:t>
      </w:r>
      <w:r>
        <w:rPr/>
        <w:t>Research</w:t>
      </w:r>
      <w:r>
        <w:rPr>
          <w:spacing w:val="23"/>
        </w:rPr>
        <w:t> </w:t>
      </w:r>
      <w:bookmarkEnd w:id="33"/>
      <w:r>
        <w:rPr>
          <w:spacing w:val="-2"/>
        </w:rPr>
        <w:t>Problem</w:t>
      </w:r>
    </w:p>
    <w:p>
      <w:pPr>
        <w:pStyle w:val="BodyText"/>
        <w:spacing w:line="491" w:lineRule="auto" w:before="246"/>
        <w:ind w:left="665" w:right="1860"/>
        <w:jc w:val="both"/>
      </w:pPr>
      <w:r>
        <w:rPr/>
        <w:t>The rising cost of pharmaceutical dosage form (tablets) may be due to high cost of excipients</w:t>
      </w:r>
      <w:r>
        <w:rPr>
          <w:spacing w:val="18"/>
        </w:rPr>
        <w:t> </w:t>
      </w:r>
      <w:r>
        <w:rPr/>
        <w:t>that</w:t>
      </w:r>
      <w:r>
        <w:rPr>
          <w:spacing w:val="21"/>
        </w:rPr>
        <w:t> </w:t>
      </w:r>
      <w:r>
        <w:rPr/>
        <w:t>forms</w:t>
      </w:r>
      <w:r>
        <w:rPr>
          <w:spacing w:val="19"/>
        </w:rPr>
        <w:t> </w:t>
      </w:r>
      <w:r>
        <w:rPr/>
        <w:t>70</w:t>
      </w:r>
      <w:r>
        <w:rPr>
          <w:spacing w:val="24"/>
        </w:rPr>
        <w:t> </w:t>
      </w:r>
      <w:r>
        <w:rPr/>
        <w:t>–</w:t>
      </w:r>
      <w:r>
        <w:rPr>
          <w:spacing w:val="23"/>
        </w:rPr>
        <w:t> </w:t>
      </w:r>
      <w:r>
        <w:rPr/>
        <w:t>80</w:t>
      </w:r>
      <w:r>
        <w:rPr>
          <w:spacing w:val="29"/>
        </w:rPr>
        <w:t> </w:t>
      </w:r>
      <w:r>
        <w:rPr/>
        <w:t>%</w:t>
      </w:r>
      <w:r>
        <w:rPr>
          <w:spacing w:val="9"/>
        </w:rPr>
        <w:t> </w:t>
      </w:r>
      <w:r>
        <w:rPr/>
        <w:t>of</w:t>
      </w:r>
      <w:r>
        <w:rPr>
          <w:spacing w:val="18"/>
        </w:rPr>
        <w:t> </w:t>
      </w:r>
      <w:r>
        <w:rPr/>
        <w:t>medicines</w:t>
      </w:r>
      <w:r>
        <w:rPr>
          <w:spacing w:val="20"/>
        </w:rPr>
        <w:t> </w:t>
      </w:r>
      <w:r>
        <w:rPr/>
        <w:t>(York,</w:t>
      </w:r>
      <w:r>
        <w:rPr>
          <w:spacing w:val="22"/>
        </w:rPr>
        <w:t> </w:t>
      </w:r>
      <w:r>
        <w:rPr/>
        <w:t>1992).</w:t>
      </w:r>
      <w:r>
        <w:rPr>
          <w:spacing w:val="23"/>
        </w:rPr>
        <w:t> </w:t>
      </w:r>
      <w:r>
        <w:rPr/>
        <w:t>Thus,</w:t>
      </w:r>
      <w:r>
        <w:rPr>
          <w:spacing w:val="22"/>
        </w:rPr>
        <w:t> </w:t>
      </w:r>
      <w:r>
        <w:rPr/>
        <w:t>in</w:t>
      </w:r>
      <w:r>
        <w:rPr>
          <w:spacing w:val="17"/>
        </w:rPr>
        <w:t> </w:t>
      </w:r>
      <w:r>
        <w:rPr/>
        <w:t>January</w:t>
      </w:r>
      <w:r>
        <w:rPr>
          <w:spacing w:val="8"/>
        </w:rPr>
        <w:t> </w:t>
      </w:r>
      <w:r>
        <w:rPr/>
        <w:t>2005;</w:t>
      </w:r>
      <w:r>
        <w:rPr>
          <w:spacing w:val="20"/>
        </w:rPr>
        <w:t> </w:t>
      </w:r>
      <w:r>
        <w:rPr>
          <w:spacing w:val="-5"/>
        </w:rPr>
        <w:t>the</w:t>
      </w:r>
    </w:p>
    <w:p>
      <w:pPr>
        <w:spacing w:after="0" w:line="491" w:lineRule="auto"/>
        <w:jc w:val="both"/>
        <w:sectPr>
          <w:pgSz w:w="12240" w:h="15840"/>
          <w:pgMar w:header="0" w:footer="999" w:top="1320" w:bottom="1180" w:left="1720" w:right="0"/>
        </w:sectPr>
      </w:pPr>
    </w:p>
    <w:p>
      <w:pPr>
        <w:pStyle w:val="BodyText"/>
        <w:spacing w:line="491" w:lineRule="auto" w:before="75"/>
        <w:ind w:left="665" w:right="1856"/>
        <w:jc w:val="both"/>
      </w:pPr>
      <w:r>
        <w:rPr/>
        <w:t>Africa</w:t>
      </w:r>
      <w:r>
        <w:rPr>
          <w:spacing w:val="40"/>
        </w:rPr>
        <w:t> </w:t>
      </w:r>
      <w:r>
        <w:rPr/>
        <w:t>Union</w:t>
      </w:r>
      <w:r>
        <w:rPr>
          <w:spacing w:val="40"/>
        </w:rPr>
        <w:t> </w:t>
      </w:r>
      <w:r>
        <w:rPr/>
        <w:t>(AU)</w:t>
      </w:r>
      <w:r>
        <w:rPr>
          <w:spacing w:val="40"/>
        </w:rPr>
        <w:t> </w:t>
      </w:r>
      <w:r>
        <w:rPr/>
        <w:t>commission</w:t>
      </w:r>
      <w:r>
        <w:rPr>
          <w:spacing w:val="40"/>
        </w:rPr>
        <w:t> </w:t>
      </w:r>
      <w:r>
        <w:rPr/>
        <w:t>at</w:t>
      </w:r>
      <w:r>
        <w:rPr>
          <w:spacing w:val="40"/>
        </w:rPr>
        <w:t> </w:t>
      </w:r>
      <w:r>
        <w:rPr/>
        <w:t>the</w:t>
      </w:r>
      <w:r>
        <w:rPr>
          <w:spacing w:val="40"/>
        </w:rPr>
        <w:t> </w:t>
      </w:r>
      <w:r>
        <w:rPr/>
        <w:t>Abuja</w:t>
      </w:r>
      <w:r>
        <w:rPr>
          <w:spacing w:val="40"/>
        </w:rPr>
        <w:t> </w:t>
      </w:r>
      <w:r>
        <w:rPr/>
        <w:t>summit</w:t>
      </w:r>
      <w:r>
        <w:rPr>
          <w:spacing w:val="40"/>
        </w:rPr>
        <w:t> </w:t>
      </w:r>
      <w:r>
        <w:rPr/>
        <w:t>mandated</w:t>
      </w:r>
      <w:r>
        <w:rPr>
          <w:spacing w:val="40"/>
        </w:rPr>
        <w:t> </w:t>
      </w:r>
      <w:r>
        <w:rPr/>
        <w:t>scientists</w:t>
      </w:r>
      <w:r>
        <w:rPr>
          <w:spacing w:val="40"/>
        </w:rPr>
        <w:t> </w:t>
      </w:r>
      <w:r>
        <w:rPr/>
        <w:t>to</w:t>
      </w:r>
      <w:r>
        <w:rPr>
          <w:spacing w:val="40"/>
        </w:rPr>
        <w:t> </w:t>
      </w:r>
      <w:r>
        <w:rPr/>
        <w:t>explore local production of generic medicines</w:t>
      </w:r>
      <w:r>
        <w:rPr>
          <w:spacing w:val="40"/>
        </w:rPr>
        <w:t> </w:t>
      </w:r>
      <w:r>
        <w:rPr/>
        <w:t>in Africa.</w:t>
      </w:r>
      <w:r>
        <w:rPr>
          <w:spacing w:val="40"/>
        </w:rPr>
        <w:t> </w:t>
      </w:r>
      <w:r>
        <w:rPr/>
        <w:t>Local production will make raw materials readily available, save foreign exchange, create jobs, facilitate technology transfer and stimulate exportation.</w:t>
      </w:r>
    </w:p>
    <w:p>
      <w:pPr>
        <w:pStyle w:val="BodyText"/>
        <w:spacing w:line="491" w:lineRule="auto"/>
        <w:ind w:left="665" w:right="1857"/>
        <w:jc w:val="both"/>
      </w:pPr>
      <w:r>
        <w:rPr/>
        <w:t>Starch</w:t>
      </w:r>
      <w:r>
        <w:rPr>
          <w:spacing w:val="40"/>
        </w:rPr>
        <w:t> </w:t>
      </w:r>
      <w:r>
        <w:rPr/>
        <w:t>is</w:t>
      </w:r>
      <w:r>
        <w:rPr>
          <w:spacing w:val="40"/>
        </w:rPr>
        <w:t> </w:t>
      </w:r>
      <w:r>
        <w:rPr/>
        <w:t>widely used</w:t>
      </w:r>
      <w:r>
        <w:rPr>
          <w:spacing w:val="40"/>
        </w:rPr>
        <w:t> </w:t>
      </w:r>
      <w:r>
        <w:rPr/>
        <w:t>as</w:t>
      </w:r>
      <w:r>
        <w:rPr>
          <w:spacing w:val="40"/>
        </w:rPr>
        <w:t> </w:t>
      </w:r>
      <w:r>
        <w:rPr/>
        <w:t>a</w:t>
      </w:r>
      <w:r>
        <w:rPr>
          <w:spacing w:val="40"/>
        </w:rPr>
        <w:t> </w:t>
      </w:r>
      <w:r>
        <w:rPr/>
        <w:t>pharmaceutical</w:t>
      </w:r>
      <w:r>
        <w:rPr>
          <w:spacing w:val="40"/>
        </w:rPr>
        <w:t> </w:t>
      </w:r>
      <w:r>
        <w:rPr/>
        <w:t>excipient.</w:t>
      </w:r>
      <w:r>
        <w:rPr>
          <w:spacing w:val="40"/>
        </w:rPr>
        <w:t> </w:t>
      </w:r>
      <w:r>
        <w:rPr/>
        <w:t>Thus,</w:t>
      </w:r>
      <w:r>
        <w:rPr>
          <w:spacing w:val="40"/>
        </w:rPr>
        <w:t> </w:t>
      </w:r>
      <w:r>
        <w:rPr/>
        <w:t>it</w:t>
      </w:r>
      <w:r>
        <w:rPr>
          <w:spacing w:val="40"/>
        </w:rPr>
        <w:t> </w:t>
      </w:r>
      <w:r>
        <w:rPr/>
        <w:t>becomes</w:t>
      </w:r>
      <w:r>
        <w:rPr>
          <w:spacing w:val="40"/>
        </w:rPr>
        <w:t> </w:t>
      </w:r>
      <w:r>
        <w:rPr/>
        <w:t>expedient</w:t>
      </w:r>
      <w:r>
        <w:rPr>
          <w:spacing w:val="40"/>
        </w:rPr>
        <w:t> </w:t>
      </w:r>
      <w:r>
        <w:rPr/>
        <w:t>to source</w:t>
      </w:r>
      <w:r>
        <w:rPr>
          <w:spacing w:val="40"/>
        </w:rPr>
        <w:t> </w:t>
      </w:r>
      <w:r>
        <w:rPr/>
        <w:t>locally</w:t>
      </w:r>
      <w:r>
        <w:rPr>
          <w:spacing w:val="40"/>
        </w:rPr>
        <w:t> </w:t>
      </w:r>
      <w:r>
        <w:rPr/>
        <w:t>for</w:t>
      </w:r>
      <w:r>
        <w:rPr>
          <w:spacing w:val="40"/>
        </w:rPr>
        <w:t> </w:t>
      </w:r>
      <w:r>
        <w:rPr/>
        <w:t>affordable</w:t>
      </w:r>
      <w:r>
        <w:rPr>
          <w:spacing w:val="40"/>
        </w:rPr>
        <w:t> </w:t>
      </w:r>
      <w:r>
        <w:rPr/>
        <w:t>starch and</w:t>
      </w:r>
      <w:r>
        <w:rPr>
          <w:spacing w:val="40"/>
        </w:rPr>
        <w:t> </w:t>
      </w:r>
      <w:r>
        <w:rPr/>
        <w:t>ensure</w:t>
      </w:r>
      <w:r>
        <w:rPr>
          <w:spacing w:val="40"/>
        </w:rPr>
        <w:t> </w:t>
      </w:r>
      <w:r>
        <w:rPr/>
        <w:t>that</w:t>
      </w:r>
      <w:r>
        <w:rPr>
          <w:spacing w:val="40"/>
        </w:rPr>
        <w:t> </w:t>
      </w:r>
      <w:r>
        <w:rPr/>
        <w:t>it</w:t>
      </w:r>
      <w:r>
        <w:rPr>
          <w:spacing w:val="40"/>
        </w:rPr>
        <w:t> </w:t>
      </w:r>
      <w:r>
        <w:rPr/>
        <w:t>is</w:t>
      </w:r>
      <w:r>
        <w:rPr>
          <w:spacing w:val="40"/>
        </w:rPr>
        <w:t> </w:t>
      </w:r>
      <w:r>
        <w:rPr/>
        <w:t>of excellent</w:t>
      </w:r>
      <w:r>
        <w:rPr>
          <w:spacing w:val="40"/>
        </w:rPr>
        <w:t> </w:t>
      </w:r>
      <w:r>
        <w:rPr/>
        <w:t>pharmaceutical </w:t>
      </w:r>
      <w:r>
        <w:rPr>
          <w:spacing w:val="-2"/>
        </w:rPr>
        <w:t>grade.</w:t>
      </w:r>
    </w:p>
    <w:p>
      <w:pPr>
        <w:pStyle w:val="Heading2"/>
        <w:numPr>
          <w:ilvl w:val="1"/>
          <w:numId w:val="11"/>
        </w:numPr>
        <w:tabs>
          <w:tab w:pos="1342" w:val="left" w:leader="none"/>
        </w:tabs>
        <w:spacing w:line="240" w:lineRule="auto" w:before="229" w:after="0"/>
        <w:ind w:left="1342" w:right="0" w:hanging="677"/>
        <w:jc w:val="left"/>
      </w:pPr>
      <w:bookmarkStart w:name="_TOC_250127" w:id="34"/>
      <w:r>
        <w:rPr/>
        <w:t>Research</w:t>
      </w:r>
      <w:r>
        <w:rPr>
          <w:spacing w:val="21"/>
        </w:rPr>
        <w:t> </w:t>
      </w:r>
      <w:bookmarkEnd w:id="34"/>
      <w:r>
        <w:rPr>
          <w:spacing w:val="-2"/>
        </w:rPr>
        <w:t>Hypotheses</w:t>
      </w:r>
    </w:p>
    <w:p>
      <w:pPr>
        <w:pStyle w:val="BodyText"/>
        <w:spacing w:line="491" w:lineRule="auto" w:before="251"/>
        <w:ind w:left="665" w:right="1850"/>
        <w:jc w:val="both"/>
      </w:pPr>
      <w:r>
        <w:rPr/>
        <w:t>There is no significant difference between starches extracted from </w:t>
      </w:r>
      <w:r>
        <w:rPr>
          <w:i/>
        </w:rPr>
        <w:t>Digitaria iburua </w:t>
      </w:r>
      <w:r>
        <w:rPr/>
        <w:t>and</w:t>
      </w:r>
      <w:r>
        <w:rPr>
          <w:spacing w:val="40"/>
        </w:rPr>
        <w:t> </w:t>
      </w:r>
      <w:r>
        <w:rPr/>
        <w:t>the conventional maize starch. Microcrystalline starch from </w:t>
      </w:r>
      <w:r>
        <w:rPr>
          <w:i/>
        </w:rPr>
        <w:t>Digitaria iburua </w:t>
      </w:r>
      <w:r>
        <w:rPr/>
        <w:t>is not</w:t>
      </w:r>
      <w:r>
        <w:rPr>
          <w:spacing w:val="40"/>
        </w:rPr>
        <w:t> </w:t>
      </w:r>
      <w:r>
        <w:rPr/>
        <w:t>directly compressible. The binder and disintegrant properties of </w:t>
      </w:r>
      <w:r>
        <w:rPr>
          <w:i/>
        </w:rPr>
        <w:t>Digitaria iburua </w:t>
      </w:r>
      <w:r>
        <w:rPr/>
        <w:t>are not different from maize starch B.P.</w:t>
      </w:r>
    </w:p>
    <w:p>
      <w:pPr>
        <w:pStyle w:val="Heading2"/>
        <w:numPr>
          <w:ilvl w:val="1"/>
          <w:numId w:val="11"/>
        </w:numPr>
        <w:tabs>
          <w:tab w:pos="1342" w:val="left" w:leader="none"/>
        </w:tabs>
        <w:spacing w:line="240" w:lineRule="auto" w:before="230" w:after="0"/>
        <w:ind w:left="1342" w:right="0" w:hanging="677"/>
        <w:jc w:val="left"/>
      </w:pPr>
      <w:bookmarkStart w:name="_TOC_250126" w:id="35"/>
      <w:r>
        <w:rPr/>
        <w:t>Aim</w:t>
      </w:r>
      <w:r>
        <w:rPr>
          <w:spacing w:val="11"/>
        </w:rPr>
        <w:t> </w:t>
      </w:r>
      <w:r>
        <w:rPr/>
        <w:t>and</w:t>
      </w:r>
      <w:r>
        <w:rPr>
          <w:spacing w:val="7"/>
        </w:rPr>
        <w:t> </w:t>
      </w:r>
      <w:r>
        <w:rPr/>
        <w:t>Objective</w:t>
      </w:r>
      <w:r>
        <w:rPr>
          <w:spacing w:val="13"/>
        </w:rPr>
        <w:t> </w:t>
      </w:r>
      <w:r>
        <w:rPr/>
        <w:t>of</w:t>
      </w:r>
      <w:r>
        <w:rPr>
          <w:spacing w:val="8"/>
        </w:rPr>
        <w:t> </w:t>
      </w:r>
      <w:r>
        <w:rPr/>
        <w:t>the</w:t>
      </w:r>
      <w:r>
        <w:rPr>
          <w:spacing w:val="7"/>
        </w:rPr>
        <w:t> </w:t>
      </w:r>
      <w:bookmarkEnd w:id="35"/>
      <w:r>
        <w:rPr>
          <w:spacing w:val="-4"/>
        </w:rPr>
        <w:t>Study</w:t>
      </w:r>
    </w:p>
    <w:p>
      <w:pPr>
        <w:pStyle w:val="BodyText"/>
        <w:spacing w:line="491" w:lineRule="auto" w:before="241"/>
        <w:ind w:left="665" w:right="1858"/>
        <w:jc w:val="both"/>
      </w:pPr>
      <w:r>
        <w:rPr/>
        <w:t>The aim of this research work was to investigate the binding, disintegrant and compressional properties of native and</w:t>
      </w:r>
      <w:r>
        <w:rPr>
          <w:spacing w:val="27"/>
        </w:rPr>
        <w:t> </w:t>
      </w:r>
      <w:r>
        <w:rPr/>
        <w:t>modified</w:t>
      </w:r>
      <w:r>
        <w:rPr>
          <w:spacing w:val="27"/>
        </w:rPr>
        <w:t> </w:t>
      </w:r>
      <w:r>
        <w:rPr/>
        <w:t>starches derived</w:t>
      </w:r>
      <w:r>
        <w:rPr>
          <w:spacing w:val="28"/>
        </w:rPr>
        <w:t> </w:t>
      </w:r>
      <w:r>
        <w:rPr/>
        <w:t>from </w:t>
      </w:r>
      <w:r>
        <w:rPr>
          <w:i/>
        </w:rPr>
        <w:t>Digitaria</w:t>
      </w:r>
      <w:r>
        <w:rPr>
          <w:i/>
          <w:spacing w:val="27"/>
        </w:rPr>
        <w:t> </w:t>
      </w:r>
      <w:r>
        <w:rPr>
          <w:i/>
        </w:rPr>
        <w:t>iburua </w:t>
      </w:r>
      <w:r>
        <w:rPr/>
        <w:t>in tableting.</w:t>
      </w:r>
    </w:p>
    <w:p>
      <w:pPr>
        <w:pStyle w:val="Heading2"/>
        <w:numPr>
          <w:ilvl w:val="1"/>
          <w:numId w:val="11"/>
        </w:numPr>
        <w:tabs>
          <w:tab w:pos="1342" w:val="left" w:leader="none"/>
        </w:tabs>
        <w:spacing w:line="240" w:lineRule="auto" w:before="9" w:after="0"/>
        <w:ind w:left="1342" w:right="0" w:hanging="677"/>
        <w:jc w:val="left"/>
      </w:pPr>
      <w:r>
        <w:rPr/>
        <w:t>Scope</w:t>
      </w:r>
      <w:r>
        <w:rPr>
          <w:spacing w:val="2"/>
        </w:rPr>
        <w:t> </w:t>
      </w:r>
      <w:r>
        <w:rPr/>
        <w:t>of</w:t>
      </w:r>
      <w:r>
        <w:rPr>
          <w:spacing w:val="14"/>
        </w:rPr>
        <w:t> </w:t>
      </w:r>
      <w:r>
        <w:rPr/>
        <w:t>the</w:t>
      </w:r>
      <w:r>
        <w:rPr>
          <w:spacing w:val="13"/>
        </w:rPr>
        <w:t> </w:t>
      </w:r>
      <w:r>
        <w:rPr>
          <w:spacing w:val="-4"/>
        </w:rPr>
        <w:t>Study</w:t>
      </w:r>
    </w:p>
    <w:p>
      <w:pPr>
        <w:pStyle w:val="BodyText"/>
        <w:spacing w:before="8"/>
        <w:rPr>
          <w:b/>
        </w:rPr>
      </w:pPr>
    </w:p>
    <w:p>
      <w:pPr>
        <w:pStyle w:val="ListParagraph"/>
        <w:numPr>
          <w:ilvl w:val="0"/>
          <w:numId w:val="14"/>
        </w:numPr>
        <w:tabs>
          <w:tab w:pos="1172" w:val="left" w:leader="none"/>
        </w:tabs>
        <w:spacing w:line="240" w:lineRule="auto" w:before="0" w:after="0"/>
        <w:ind w:left="1172" w:right="0" w:hanging="334"/>
        <w:jc w:val="left"/>
        <w:rPr>
          <w:sz w:val="22"/>
        </w:rPr>
      </w:pPr>
      <w:r>
        <w:rPr>
          <w:sz w:val="22"/>
        </w:rPr>
        <w:t>Collection</w:t>
      </w:r>
      <w:r>
        <w:rPr>
          <w:spacing w:val="12"/>
          <w:sz w:val="22"/>
        </w:rPr>
        <w:t> </w:t>
      </w:r>
      <w:r>
        <w:rPr>
          <w:sz w:val="22"/>
        </w:rPr>
        <w:t>and</w:t>
      </w:r>
      <w:r>
        <w:rPr>
          <w:spacing w:val="22"/>
          <w:sz w:val="22"/>
        </w:rPr>
        <w:t> </w:t>
      </w:r>
      <w:r>
        <w:rPr>
          <w:sz w:val="22"/>
        </w:rPr>
        <w:t>identification</w:t>
      </w:r>
      <w:r>
        <w:rPr>
          <w:spacing w:val="6"/>
          <w:sz w:val="22"/>
        </w:rPr>
        <w:t> </w:t>
      </w:r>
      <w:r>
        <w:rPr>
          <w:sz w:val="22"/>
        </w:rPr>
        <w:t>of</w:t>
      </w:r>
      <w:r>
        <w:rPr>
          <w:spacing w:val="14"/>
          <w:sz w:val="22"/>
        </w:rPr>
        <w:t> </w:t>
      </w:r>
      <w:r>
        <w:rPr>
          <w:i/>
          <w:sz w:val="22"/>
        </w:rPr>
        <w:t>Digitaria</w:t>
      </w:r>
      <w:r>
        <w:rPr>
          <w:i/>
          <w:spacing w:val="16"/>
          <w:sz w:val="22"/>
        </w:rPr>
        <w:t> </w:t>
      </w:r>
      <w:r>
        <w:rPr>
          <w:i/>
          <w:sz w:val="22"/>
        </w:rPr>
        <w:t>iburua</w:t>
      </w:r>
      <w:r>
        <w:rPr>
          <w:i/>
          <w:spacing w:val="12"/>
          <w:sz w:val="22"/>
        </w:rPr>
        <w:t> </w:t>
      </w:r>
      <w:r>
        <w:rPr>
          <w:spacing w:val="-2"/>
          <w:sz w:val="22"/>
        </w:rPr>
        <w:t>grains.</w:t>
      </w:r>
    </w:p>
    <w:p>
      <w:pPr>
        <w:pStyle w:val="BodyText"/>
        <w:spacing w:before="12"/>
      </w:pPr>
    </w:p>
    <w:p>
      <w:pPr>
        <w:pStyle w:val="ListParagraph"/>
        <w:numPr>
          <w:ilvl w:val="0"/>
          <w:numId w:val="14"/>
        </w:numPr>
        <w:tabs>
          <w:tab w:pos="1172" w:val="left" w:leader="none"/>
          <w:tab w:pos="1174" w:val="left" w:leader="none"/>
        </w:tabs>
        <w:spacing w:line="491" w:lineRule="auto" w:before="0" w:after="0"/>
        <w:ind w:left="1174" w:right="1858" w:hanging="336"/>
        <w:jc w:val="left"/>
        <w:rPr>
          <w:sz w:val="22"/>
        </w:rPr>
      </w:pPr>
      <w:r>
        <w:rPr>
          <w:sz w:val="22"/>
        </w:rPr>
        <w:t>Extraction</w:t>
      </w:r>
      <w:r>
        <w:rPr>
          <w:spacing w:val="40"/>
          <w:sz w:val="22"/>
        </w:rPr>
        <w:t>  </w:t>
      </w:r>
      <w:r>
        <w:rPr>
          <w:sz w:val="22"/>
        </w:rPr>
        <w:t>of</w:t>
      </w:r>
      <w:r>
        <w:rPr>
          <w:spacing w:val="40"/>
          <w:sz w:val="22"/>
        </w:rPr>
        <w:t>  </w:t>
      </w:r>
      <w:r>
        <w:rPr>
          <w:sz w:val="22"/>
        </w:rPr>
        <w:t>starch</w:t>
      </w:r>
      <w:r>
        <w:rPr>
          <w:spacing w:val="40"/>
          <w:sz w:val="22"/>
        </w:rPr>
        <w:t>  </w:t>
      </w:r>
      <w:r>
        <w:rPr>
          <w:sz w:val="22"/>
        </w:rPr>
        <w:t>from</w:t>
      </w:r>
      <w:r>
        <w:rPr>
          <w:spacing w:val="40"/>
          <w:sz w:val="22"/>
        </w:rPr>
        <w:t>  </w:t>
      </w:r>
      <w:r>
        <w:rPr>
          <w:i/>
          <w:sz w:val="22"/>
        </w:rPr>
        <w:t>Digitaria</w:t>
      </w:r>
      <w:r>
        <w:rPr>
          <w:i/>
          <w:spacing w:val="40"/>
          <w:sz w:val="22"/>
        </w:rPr>
        <w:t>  </w:t>
      </w:r>
      <w:r>
        <w:rPr>
          <w:i/>
          <w:sz w:val="22"/>
        </w:rPr>
        <w:t>iburua</w:t>
      </w:r>
      <w:r>
        <w:rPr>
          <w:i/>
          <w:spacing w:val="40"/>
          <w:sz w:val="22"/>
        </w:rPr>
        <w:t>  </w:t>
      </w:r>
      <w:r>
        <w:rPr>
          <w:sz w:val="22"/>
        </w:rPr>
        <w:t>using</w:t>
      </w:r>
      <w:r>
        <w:rPr>
          <w:spacing w:val="40"/>
          <w:sz w:val="22"/>
        </w:rPr>
        <w:t>  </w:t>
      </w:r>
      <w:r>
        <w:rPr>
          <w:sz w:val="22"/>
        </w:rPr>
        <w:t>the</w:t>
      </w:r>
      <w:r>
        <w:rPr>
          <w:spacing w:val="80"/>
          <w:w w:val="150"/>
          <w:sz w:val="22"/>
        </w:rPr>
        <w:t> </w:t>
      </w:r>
      <w:r>
        <w:rPr>
          <w:sz w:val="22"/>
        </w:rPr>
        <w:t>wet</w:t>
      </w:r>
      <w:r>
        <w:rPr>
          <w:spacing w:val="40"/>
          <w:sz w:val="22"/>
        </w:rPr>
        <w:t>  </w:t>
      </w:r>
      <w:r>
        <w:rPr>
          <w:sz w:val="22"/>
        </w:rPr>
        <w:t>method</w:t>
      </w:r>
      <w:r>
        <w:rPr>
          <w:spacing w:val="40"/>
          <w:sz w:val="22"/>
        </w:rPr>
        <w:t>  </w:t>
      </w:r>
      <w:r>
        <w:rPr>
          <w:sz w:val="22"/>
        </w:rPr>
        <w:t>and determination of percentage yield.</w:t>
      </w:r>
    </w:p>
    <w:p>
      <w:pPr>
        <w:pStyle w:val="ListParagraph"/>
        <w:numPr>
          <w:ilvl w:val="0"/>
          <w:numId w:val="14"/>
        </w:numPr>
        <w:tabs>
          <w:tab w:pos="1174" w:val="left" w:leader="none"/>
          <w:tab w:pos="1229" w:val="left" w:leader="none"/>
        </w:tabs>
        <w:spacing w:line="491" w:lineRule="auto" w:before="0" w:after="0"/>
        <w:ind w:left="1174" w:right="1854" w:hanging="336"/>
        <w:jc w:val="left"/>
        <w:rPr>
          <w:sz w:val="22"/>
        </w:rPr>
      </w:pPr>
      <w:r>
        <w:rPr>
          <w:sz w:val="22"/>
        </w:rPr>
        <w:tab/>
        <w:t>Production</w:t>
      </w:r>
      <w:r>
        <w:rPr>
          <w:spacing w:val="40"/>
          <w:sz w:val="22"/>
        </w:rPr>
        <w:t> </w:t>
      </w:r>
      <w:r>
        <w:rPr>
          <w:sz w:val="22"/>
        </w:rPr>
        <w:t>of</w:t>
      </w:r>
      <w:r>
        <w:rPr>
          <w:spacing w:val="40"/>
          <w:sz w:val="22"/>
        </w:rPr>
        <w:t> </w:t>
      </w:r>
      <w:r>
        <w:rPr>
          <w:sz w:val="22"/>
        </w:rPr>
        <w:t>microcrystalline</w:t>
      </w:r>
      <w:r>
        <w:rPr>
          <w:spacing w:val="76"/>
          <w:sz w:val="22"/>
        </w:rPr>
        <w:t> </w:t>
      </w:r>
      <w:r>
        <w:rPr>
          <w:sz w:val="22"/>
        </w:rPr>
        <w:t>starch</w:t>
      </w:r>
      <w:r>
        <w:rPr>
          <w:spacing w:val="40"/>
          <w:sz w:val="22"/>
        </w:rPr>
        <w:t> </w:t>
      </w:r>
      <w:r>
        <w:rPr>
          <w:sz w:val="22"/>
        </w:rPr>
        <w:t>by</w:t>
      </w:r>
      <w:r>
        <w:rPr>
          <w:spacing w:val="40"/>
          <w:sz w:val="22"/>
        </w:rPr>
        <w:t> </w:t>
      </w:r>
      <w:r>
        <w:rPr>
          <w:sz w:val="22"/>
        </w:rPr>
        <w:t>acid</w:t>
      </w:r>
      <w:r>
        <w:rPr>
          <w:spacing w:val="80"/>
          <w:sz w:val="22"/>
        </w:rPr>
        <w:t> </w:t>
      </w:r>
      <w:r>
        <w:rPr>
          <w:sz w:val="22"/>
        </w:rPr>
        <w:t>hydrolysis</w:t>
      </w:r>
      <w:r>
        <w:rPr>
          <w:spacing w:val="40"/>
          <w:sz w:val="22"/>
        </w:rPr>
        <w:t> </w:t>
      </w:r>
      <w:r>
        <w:rPr>
          <w:sz w:val="22"/>
        </w:rPr>
        <w:t>and</w:t>
      </w:r>
      <w:r>
        <w:rPr>
          <w:spacing w:val="78"/>
          <w:sz w:val="22"/>
        </w:rPr>
        <w:t> </w:t>
      </w:r>
      <w:r>
        <w:rPr>
          <w:sz w:val="22"/>
        </w:rPr>
        <w:t>investigation</w:t>
      </w:r>
      <w:r>
        <w:rPr>
          <w:spacing w:val="40"/>
          <w:sz w:val="22"/>
        </w:rPr>
        <w:t> </w:t>
      </w:r>
      <w:r>
        <w:rPr>
          <w:sz w:val="22"/>
        </w:rPr>
        <w:t>of physicochemical properties of the modified starch.</w:t>
      </w:r>
    </w:p>
    <w:p>
      <w:pPr>
        <w:pStyle w:val="ListParagraph"/>
        <w:numPr>
          <w:ilvl w:val="0"/>
          <w:numId w:val="14"/>
        </w:numPr>
        <w:tabs>
          <w:tab w:pos="1234" w:val="left" w:leader="none"/>
        </w:tabs>
        <w:spacing w:line="253" w:lineRule="exact" w:before="0" w:after="0"/>
        <w:ind w:left="1234" w:right="0" w:hanging="396"/>
        <w:jc w:val="left"/>
        <w:rPr>
          <w:sz w:val="22"/>
        </w:rPr>
      </w:pPr>
      <w:r>
        <w:rPr>
          <w:sz w:val="22"/>
        </w:rPr>
        <w:t>Physicochemical</w:t>
      </w:r>
      <w:r>
        <w:rPr>
          <w:spacing w:val="15"/>
          <w:sz w:val="22"/>
        </w:rPr>
        <w:t> </w:t>
      </w:r>
      <w:r>
        <w:rPr>
          <w:sz w:val="22"/>
        </w:rPr>
        <w:t>characterization</w:t>
      </w:r>
      <w:r>
        <w:rPr>
          <w:spacing w:val="13"/>
          <w:sz w:val="22"/>
        </w:rPr>
        <w:t> </w:t>
      </w:r>
      <w:r>
        <w:rPr>
          <w:sz w:val="22"/>
        </w:rPr>
        <w:t>of</w:t>
      </w:r>
      <w:r>
        <w:rPr>
          <w:spacing w:val="11"/>
          <w:sz w:val="22"/>
        </w:rPr>
        <w:t> </w:t>
      </w:r>
      <w:r>
        <w:rPr>
          <w:sz w:val="22"/>
        </w:rPr>
        <w:t>native</w:t>
      </w:r>
      <w:r>
        <w:rPr>
          <w:spacing w:val="17"/>
          <w:sz w:val="22"/>
        </w:rPr>
        <w:t> </w:t>
      </w:r>
      <w:r>
        <w:rPr>
          <w:sz w:val="22"/>
        </w:rPr>
        <w:t>and</w:t>
      </w:r>
      <w:r>
        <w:rPr>
          <w:spacing w:val="17"/>
          <w:sz w:val="22"/>
        </w:rPr>
        <w:t> </w:t>
      </w:r>
      <w:r>
        <w:rPr>
          <w:sz w:val="22"/>
        </w:rPr>
        <w:t>microcrystalline</w:t>
      </w:r>
      <w:r>
        <w:rPr>
          <w:spacing w:val="17"/>
          <w:sz w:val="22"/>
        </w:rPr>
        <w:t> </w:t>
      </w:r>
      <w:r>
        <w:rPr>
          <w:spacing w:val="-2"/>
          <w:sz w:val="22"/>
        </w:rPr>
        <w:t>starches.</w:t>
      </w:r>
    </w:p>
    <w:p>
      <w:pPr>
        <w:pStyle w:val="ListParagraph"/>
        <w:numPr>
          <w:ilvl w:val="0"/>
          <w:numId w:val="14"/>
        </w:numPr>
        <w:tabs>
          <w:tab w:pos="1172" w:val="left" w:leader="none"/>
          <w:tab w:pos="1174" w:val="left" w:leader="none"/>
        </w:tabs>
        <w:spacing w:line="520" w:lineRule="atLeast" w:before="0" w:after="0"/>
        <w:ind w:left="1174" w:right="1859" w:hanging="336"/>
        <w:jc w:val="left"/>
        <w:rPr>
          <w:sz w:val="22"/>
        </w:rPr>
      </w:pPr>
      <w:r>
        <w:rPr>
          <w:sz w:val="22"/>
        </w:rPr>
        <w:t>Formulation</w:t>
      </w:r>
      <w:r>
        <w:rPr>
          <w:spacing w:val="30"/>
          <w:sz w:val="22"/>
        </w:rPr>
        <w:t> </w:t>
      </w:r>
      <w:r>
        <w:rPr>
          <w:sz w:val="22"/>
        </w:rPr>
        <w:t>of</w:t>
      </w:r>
      <w:r>
        <w:rPr>
          <w:spacing w:val="29"/>
          <w:sz w:val="22"/>
        </w:rPr>
        <w:t> </w:t>
      </w:r>
      <w:r>
        <w:rPr>
          <w:sz w:val="22"/>
        </w:rPr>
        <w:t>batches</w:t>
      </w:r>
      <w:r>
        <w:rPr>
          <w:spacing w:val="31"/>
          <w:sz w:val="22"/>
        </w:rPr>
        <w:t> </w:t>
      </w:r>
      <w:r>
        <w:rPr>
          <w:sz w:val="22"/>
        </w:rPr>
        <w:t>of</w:t>
      </w:r>
      <w:r>
        <w:rPr>
          <w:spacing w:val="29"/>
          <w:sz w:val="22"/>
        </w:rPr>
        <w:t> </w:t>
      </w:r>
      <w:r>
        <w:rPr>
          <w:sz w:val="22"/>
        </w:rPr>
        <w:t>metronidazole</w:t>
      </w:r>
      <w:r>
        <w:rPr>
          <w:spacing w:val="35"/>
          <w:sz w:val="22"/>
        </w:rPr>
        <w:t> </w:t>
      </w:r>
      <w:r>
        <w:rPr>
          <w:sz w:val="22"/>
        </w:rPr>
        <w:t>granules</w:t>
      </w:r>
      <w:r>
        <w:rPr>
          <w:spacing w:val="33"/>
          <w:sz w:val="22"/>
        </w:rPr>
        <w:t> </w:t>
      </w:r>
      <w:r>
        <w:rPr>
          <w:sz w:val="22"/>
        </w:rPr>
        <w:t>by the</w:t>
      </w:r>
      <w:r>
        <w:rPr>
          <w:spacing w:val="34"/>
          <w:sz w:val="22"/>
        </w:rPr>
        <w:t> </w:t>
      </w:r>
      <w:r>
        <w:rPr>
          <w:sz w:val="22"/>
        </w:rPr>
        <w:t>wet</w:t>
      </w:r>
      <w:r>
        <w:rPr>
          <w:spacing w:val="39"/>
          <w:sz w:val="22"/>
        </w:rPr>
        <w:t> </w:t>
      </w:r>
      <w:r>
        <w:rPr>
          <w:sz w:val="22"/>
        </w:rPr>
        <w:t>granulation</w:t>
      </w:r>
      <w:r>
        <w:rPr>
          <w:spacing w:val="30"/>
          <w:sz w:val="22"/>
        </w:rPr>
        <w:t> </w:t>
      </w:r>
      <w:r>
        <w:rPr>
          <w:sz w:val="22"/>
        </w:rPr>
        <w:t>method of</w:t>
      </w:r>
      <w:r>
        <w:rPr>
          <w:spacing w:val="75"/>
          <w:w w:val="150"/>
          <w:sz w:val="22"/>
        </w:rPr>
        <w:t> </w:t>
      </w:r>
      <w:r>
        <w:rPr>
          <w:sz w:val="22"/>
        </w:rPr>
        <w:t>massing</w:t>
      </w:r>
      <w:r>
        <w:rPr>
          <w:spacing w:val="71"/>
          <w:w w:val="150"/>
          <w:sz w:val="22"/>
        </w:rPr>
        <w:t> </w:t>
      </w:r>
      <w:r>
        <w:rPr>
          <w:sz w:val="22"/>
        </w:rPr>
        <w:t>and</w:t>
      </w:r>
      <w:r>
        <w:rPr>
          <w:spacing w:val="80"/>
          <w:w w:val="150"/>
          <w:sz w:val="22"/>
        </w:rPr>
        <w:t> </w:t>
      </w:r>
      <w:r>
        <w:rPr>
          <w:sz w:val="22"/>
        </w:rPr>
        <w:t>screening</w:t>
      </w:r>
      <w:r>
        <w:rPr>
          <w:spacing w:val="71"/>
          <w:w w:val="150"/>
          <w:sz w:val="22"/>
        </w:rPr>
        <w:t> </w:t>
      </w:r>
      <w:r>
        <w:rPr>
          <w:sz w:val="22"/>
        </w:rPr>
        <w:t>while</w:t>
      </w:r>
      <w:r>
        <w:rPr>
          <w:spacing w:val="79"/>
          <w:w w:val="150"/>
          <w:sz w:val="22"/>
        </w:rPr>
        <w:t> </w:t>
      </w:r>
      <w:r>
        <w:rPr>
          <w:sz w:val="22"/>
        </w:rPr>
        <w:t>using</w:t>
      </w:r>
      <w:r>
        <w:rPr>
          <w:spacing w:val="71"/>
          <w:w w:val="150"/>
          <w:sz w:val="22"/>
        </w:rPr>
        <w:t> </w:t>
      </w:r>
      <w:r>
        <w:rPr>
          <w:sz w:val="22"/>
        </w:rPr>
        <w:t>the</w:t>
      </w:r>
      <w:r>
        <w:rPr>
          <w:spacing w:val="79"/>
          <w:w w:val="150"/>
          <w:sz w:val="22"/>
        </w:rPr>
        <w:t> </w:t>
      </w:r>
      <w:r>
        <w:rPr>
          <w:sz w:val="22"/>
        </w:rPr>
        <w:t>starch</w:t>
      </w:r>
      <w:r>
        <w:rPr>
          <w:spacing w:val="71"/>
          <w:w w:val="150"/>
          <w:sz w:val="22"/>
        </w:rPr>
        <w:t> </w:t>
      </w:r>
      <w:r>
        <w:rPr>
          <w:sz w:val="22"/>
        </w:rPr>
        <w:t>extracted</w:t>
      </w:r>
      <w:r>
        <w:rPr>
          <w:spacing w:val="80"/>
          <w:w w:val="150"/>
          <w:sz w:val="22"/>
        </w:rPr>
        <w:t> </w:t>
      </w:r>
      <w:r>
        <w:rPr>
          <w:sz w:val="22"/>
        </w:rPr>
        <w:t>as</w:t>
      </w:r>
      <w:r>
        <w:rPr>
          <w:spacing w:val="77"/>
          <w:w w:val="150"/>
          <w:sz w:val="22"/>
        </w:rPr>
        <w:t> </w:t>
      </w:r>
      <w:r>
        <w:rPr>
          <w:sz w:val="22"/>
        </w:rPr>
        <w:t>binder</w:t>
      </w:r>
      <w:r>
        <w:rPr>
          <w:spacing w:val="80"/>
          <w:w w:val="150"/>
          <w:sz w:val="22"/>
        </w:rPr>
        <w:t> </w:t>
      </w:r>
      <w:r>
        <w:rPr>
          <w:sz w:val="22"/>
        </w:rPr>
        <w:t>and</w:t>
      </w:r>
    </w:p>
    <w:p>
      <w:pPr>
        <w:spacing w:after="0" w:line="520" w:lineRule="atLeast"/>
        <w:jc w:val="left"/>
        <w:rPr>
          <w:sz w:val="22"/>
        </w:rPr>
        <w:sectPr>
          <w:pgSz w:w="12240" w:h="15840"/>
          <w:pgMar w:header="0" w:footer="999" w:top="1260" w:bottom="1180" w:left="1720" w:right="0"/>
        </w:sectPr>
      </w:pPr>
    </w:p>
    <w:p>
      <w:pPr>
        <w:pStyle w:val="BodyText"/>
        <w:spacing w:line="491" w:lineRule="auto" w:before="75"/>
        <w:ind w:left="1174" w:right="1858"/>
      </w:pPr>
      <w:r>
        <w:rPr/>
        <w:t>disintegrant</w:t>
      </w:r>
      <w:r>
        <w:rPr>
          <w:spacing w:val="40"/>
        </w:rPr>
        <w:t> </w:t>
      </w:r>
      <w:r>
        <w:rPr/>
        <w:t>to</w:t>
      </w:r>
      <w:r>
        <w:rPr>
          <w:spacing w:val="40"/>
        </w:rPr>
        <w:t> </w:t>
      </w:r>
      <w:r>
        <w:rPr/>
        <w:t>compare</w:t>
      </w:r>
      <w:r>
        <w:rPr>
          <w:spacing w:val="40"/>
        </w:rPr>
        <w:t> </w:t>
      </w:r>
      <w:r>
        <w:rPr/>
        <w:t>with</w:t>
      </w:r>
      <w:r>
        <w:rPr>
          <w:spacing w:val="40"/>
        </w:rPr>
        <w:t> </w:t>
      </w:r>
      <w:r>
        <w:rPr/>
        <w:t>gelatin</w:t>
      </w:r>
      <w:r>
        <w:rPr>
          <w:spacing w:val="40"/>
        </w:rPr>
        <w:t> </w:t>
      </w:r>
      <w:r>
        <w:rPr/>
        <w:t>and</w:t>
      </w:r>
      <w:r>
        <w:rPr>
          <w:spacing w:val="40"/>
        </w:rPr>
        <w:t> </w:t>
      </w:r>
      <w:r>
        <w:rPr/>
        <w:t>maize</w:t>
      </w:r>
      <w:r>
        <w:rPr>
          <w:spacing w:val="40"/>
        </w:rPr>
        <w:t> </w:t>
      </w:r>
      <w:r>
        <w:rPr/>
        <w:t>starch</w:t>
      </w:r>
      <w:r>
        <w:rPr>
          <w:spacing w:val="40"/>
        </w:rPr>
        <w:t> </w:t>
      </w:r>
      <w:r>
        <w:rPr/>
        <w:t>as</w:t>
      </w:r>
      <w:r>
        <w:rPr>
          <w:spacing w:val="40"/>
        </w:rPr>
        <w:t> </w:t>
      </w:r>
      <w:r>
        <w:rPr/>
        <w:t>standard</w:t>
      </w:r>
      <w:r>
        <w:rPr>
          <w:spacing w:val="40"/>
        </w:rPr>
        <w:t> </w:t>
      </w:r>
      <w:r>
        <w:rPr/>
        <w:t>binder</w:t>
      </w:r>
      <w:r>
        <w:rPr>
          <w:spacing w:val="40"/>
        </w:rPr>
        <w:t> </w:t>
      </w:r>
      <w:r>
        <w:rPr/>
        <w:t>and</w:t>
      </w:r>
      <w:r>
        <w:rPr>
          <w:spacing w:val="80"/>
        </w:rPr>
        <w:t> </w:t>
      </w:r>
      <w:r>
        <w:rPr/>
        <w:t>disintegrant respectively.</w:t>
      </w:r>
    </w:p>
    <w:p>
      <w:pPr>
        <w:pStyle w:val="ListParagraph"/>
        <w:numPr>
          <w:ilvl w:val="0"/>
          <w:numId w:val="14"/>
        </w:numPr>
        <w:tabs>
          <w:tab w:pos="1292" w:val="left" w:leader="none"/>
        </w:tabs>
        <w:spacing w:line="253" w:lineRule="exact" w:before="0" w:after="0"/>
        <w:ind w:left="1292" w:right="0" w:hanging="454"/>
        <w:jc w:val="left"/>
        <w:rPr>
          <w:sz w:val="22"/>
        </w:rPr>
      </w:pPr>
      <w:r>
        <w:rPr>
          <w:sz w:val="22"/>
        </w:rPr>
        <w:t>Compression</w:t>
      </w:r>
      <w:r>
        <w:rPr>
          <w:spacing w:val="2"/>
          <w:sz w:val="22"/>
        </w:rPr>
        <w:t> </w:t>
      </w:r>
      <w:r>
        <w:rPr>
          <w:sz w:val="22"/>
        </w:rPr>
        <w:t>of</w:t>
      </w:r>
      <w:r>
        <w:rPr>
          <w:spacing w:val="6"/>
          <w:sz w:val="22"/>
        </w:rPr>
        <w:t> </w:t>
      </w:r>
      <w:r>
        <w:rPr>
          <w:sz w:val="22"/>
        </w:rPr>
        <w:t>granules</w:t>
      </w:r>
      <w:r>
        <w:rPr>
          <w:spacing w:val="9"/>
          <w:sz w:val="22"/>
        </w:rPr>
        <w:t> </w:t>
      </w:r>
      <w:r>
        <w:rPr>
          <w:sz w:val="22"/>
        </w:rPr>
        <w:t>to</w:t>
      </w:r>
      <w:r>
        <w:rPr>
          <w:spacing w:val="18"/>
          <w:sz w:val="22"/>
        </w:rPr>
        <w:t> </w:t>
      </w:r>
      <w:r>
        <w:rPr>
          <w:sz w:val="22"/>
        </w:rPr>
        <w:t>tablets</w:t>
      </w:r>
      <w:r>
        <w:rPr>
          <w:spacing w:val="9"/>
          <w:sz w:val="22"/>
        </w:rPr>
        <w:t> </w:t>
      </w:r>
      <w:r>
        <w:rPr>
          <w:sz w:val="22"/>
        </w:rPr>
        <w:t>after</w:t>
      </w:r>
      <w:r>
        <w:rPr>
          <w:spacing w:val="13"/>
          <w:sz w:val="22"/>
        </w:rPr>
        <w:t> </w:t>
      </w:r>
      <w:r>
        <w:rPr>
          <w:sz w:val="22"/>
        </w:rPr>
        <w:t>addition</w:t>
      </w:r>
      <w:r>
        <w:rPr>
          <w:spacing w:val="8"/>
          <w:sz w:val="22"/>
        </w:rPr>
        <w:t> </w:t>
      </w:r>
      <w:r>
        <w:rPr>
          <w:sz w:val="22"/>
        </w:rPr>
        <w:t>of</w:t>
      </w:r>
      <w:r>
        <w:rPr>
          <w:spacing w:val="6"/>
          <w:sz w:val="22"/>
        </w:rPr>
        <w:t> </w:t>
      </w:r>
      <w:r>
        <w:rPr>
          <w:sz w:val="22"/>
        </w:rPr>
        <w:t>extra</w:t>
      </w:r>
      <w:r>
        <w:rPr>
          <w:spacing w:val="11"/>
          <w:sz w:val="22"/>
        </w:rPr>
        <w:t> </w:t>
      </w:r>
      <w:r>
        <w:rPr>
          <w:sz w:val="22"/>
        </w:rPr>
        <w:t>granular</w:t>
      </w:r>
      <w:r>
        <w:rPr>
          <w:spacing w:val="13"/>
          <w:sz w:val="22"/>
        </w:rPr>
        <w:t> </w:t>
      </w:r>
      <w:r>
        <w:rPr>
          <w:spacing w:val="-2"/>
          <w:sz w:val="22"/>
        </w:rPr>
        <w:t>excipients.</w:t>
      </w:r>
    </w:p>
    <w:p>
      <w:pPr>
        <w:pStyle w:val="BodyText"/>
        <w:spacing w:before="12"/>
      </w:pPr>
    </w:p>
    <w:p>
      <w:pPr>
        <w:pStyle w:val="ListParagraph"/>
        <w:numPr>
          <w:ilvl w:val="0"/>
          <w:numId w:val="14"/>
        </w:numPr>
        <w:tabs>
          <w:tab w:pos="1397" w:val="left" w:leader="none"/>
        </w:tabs>
        <w:spacing w:line="240" w:lineRule="auto" w:before="1" w:after="0"/>
        <w:ind w:left="1397" w:right="0" w:hanging="559"/>
        <w:jc w:val="left"/>
        <w:rPr>
          <w:sz w:val="22"/>
        </w:rPr>
      </w:pPr>
      <w:r>
        <w:rPr>
          <w:sz w:val="22"/>
        </w:rPr>
        <w:t>Carry</w:t>
      </w:r>
      <w:r>
        <w:rPr>
          <w:spacing w:val="-2"/>
          <w:sz w:val="22"/>
        </w:rPr>
        <w:t> </w:t>
      </w:r>
      <w:r>
        <w:rPr>
          <w:sz w:val="22"/>
        </w:rPr>
        <w:t>out</w:t>
      </w:r>
      <w:r>
        <w:rPr>
          <w:spacing w:val="3"/>
          <w:sz w:val="22"/>
        </w:rPr>
        <w:t> </w:t>
      </w:r>
      <w:r>
        <w:rPr>
          <w:sz w:val="22"/>
        </w:rPr>
        <w:t>quality</w:t>
      </w:r>
      <w:r>
        <w:rPr>
          <w:spacing w:val="5"/>
          <w:sz w:val="22"/>
        </w:rPr>
        <w:t> </w:t>
      </w:r>
      <w:r>
        <w:rPr>
          <w:sz w:val="22"/>
        </w:rPr>
        <w:t>control</w:t>
      </w:r>
      <w:r>
        <w:rPr>
          <w:spacing w:val="13"/>
          <w:sz w:val="22"/>
        </w:rPr>
        <w:t> </w:t>
      </w:r>
      <w:r>
        <w:rPr>
          <w:sz w:val="22"/>
        </w:rPr>
        <w:t>tests</w:t>
      </w:r>
      <w:r>
        <w:rPr>
          <w:spacing w:val="12"/>
          <w:sz w:val="22"/>
        </w:rPr>
        <w:t> </w:t>
      </w:r>
      <w:r>
        <w:rPr>
          <w:sz w:val="22"/>
        </w:rPr>
        <w:t>on</w:t>
      </w:r>
      <w:r>
        <w:rPr>
          <w:spacing w:val="11"/>
          <w:sz w:val="22"/>
        </w:rPr>
        <w:t> </w:t>
      </w:r>
      <w:r>
        <w:rPr>
          <w:sz w:val="22"/>
        </w:rPr>
        <w:t>the</w:t>
      </w:r>
      <w:r>
        <w:rPr>
          <w:spacing w:val="14"/>
          <w:sz w:val="22"/>
        </w:rPr>
        <w:t> </w:t>
      </w:r>
      <w:r>
        <w:rPr>
          <w:spacing w:val="-2"/>
          <w:sz w:val="22"/>
        </w:rPr>
        <w:t>tablets.</w:t>
      </w:r>
    </w:p>
    <w:p>
      <w:pPr>
        <w:pStyle w:val="BodyText"/>
        <w:spacing w:before="12"/>
      </w:pPr>
    </w:p>
    <w:p>
      <w:pPr>
        <w:pStyle w:val="ListParagraph"/>
        <w:numPr>
          <w:ilvl w:val="0"/>
          <w:numId w:val="14"/>
        </w:numPr>
        <w:tabs>
          <w:tab w:pos="1174" w:val="left" w:leader="none"/>
          <w:tab w:pos="1339" w:val="left" w:leader="none"/>
        </w:tabs>
        <w:spacing w:line="491" w:lineRule="auto" w:before="0" w:after="0"/>
        <w:ind w:left="1174" w:right="1855" w:hanging="336"/>
        <w:jc w:val="left"/>
        <w:rPr>
          <w:sz w:val="22"/>
        </w:rPr>
      </w:pPr>
      <w:r>
        <w:rPr>
          <w:sz w:val="22"/>
        </w:rPr>
        <w:t>Study</w:t>
      </w:r>
      <w:r>
        <w:rPr>
          <w:spacing w:val="80"/>
          <w:sz w:val="22"/>
        </w:rPr>
        <w:t> </w:t>
      </w:r>
      <w:r>
        <w:rPr>
          <w:sz w:val="22"/>
        </w:rPr>
        <w:t>the</w:t>
      </w:r>
      <w:r>
        <w:rPr>
          <w:spacing w:val="80"/>
          <w:sz w:val="22"/>
        </w:rPr>
        <w:t> </w:t>
      </w:r>
      <w:r>
        <w:rPr>
          <w:sz w:val="22"/>
        </w:rPr>
        <w:t>compressional</w:t>
      </w:r>
      <w:r>
        <w:rPr>
          <w:spacing w:val="80"/>
          <w:sz w:val="22"/>
        </w:rPr>
        <w:t> </w:t>
      </w:r>
      <w:r>
        <w:rPr>
          <w:sz w:val="22"/>
        </w:rPr>
        <w:t>properties</w:t>
      </w:r>
      <w:r>
        <w:rPr>
          <w:spacing w:val="80"/>
          <w:sz w:val="22"/>
        </w:rPr>
        <w:t> </w:t>
      </w:r>
      <w:r>
        <w:rPr>
          <w:sz w:val="22"/>
        </w:rPr>
        <w:t>of</w:t>
      </w:r>
      <w:r>
        <w:rPr>
          <w:spacing w:val="80"/>
          <w:sz w:val="22"/>
        </w:rPr>
        <w:t> </w:t>
      </w:r>
      <w:r>
        <w:rPr>
          <w:sz w:val="22"/>
        </w:rPr>
        <w:t>the</w:t>
      </w:r>
      <w:r>
        <w:rPr>
          <w:spacing w:val="80"/>
          <w:sz w:val="22"/>
        </w:rPr>
        <w:t> </w:t>
      </w:r>
      <w:r>
        <w:rPr>
          <w:sz w:val="22"/>
        </w:rPr>
        <w:t>starches</w:t>
      </w:r>
      <w:r>
        <w:rPr>
          <w:spacing w:val="80"/>
          <w:sz w:val="22"/>
        </w:rPr>
        <w:t> </w:t>
      </w:r>
      <w:r>
        <w:rPr>
          <w:sz w:val="22"/>
        </w:rPr>
        <w:t>by</w:t>
      </w:r>
      <w:r>
        <w:rPr>
          <w:spacing w:val="80"/>
          <w:sz w:val="22"/>
        </w:rPr>
        <w:t> </w:t>
      </w:r>
      <w:r>
        <w:rPr>
          <w:sz w:val="22"/>
        </w:rPr>
        <w:t>employing</w:t>
      </w:r>
      <w:r>
        <w:rPr>
          <w:spacing w:val="80"/>
          <w:sz w:val="22"/>
        </w:rPr>
        <w:t> </w:t>
      </w:r>
      <w:r>
        <w:rPr>
          <w:sz w:val="22"/>
        </w:rPr>
        <w:t>Heckel </w:t>
      </w:r>
      <w:r>
        <w:rPr>
          <w:spacing w:val="-2"/>
          <w:sz w:val="22"/>
        </w:rPr>
        <w:t>equation.</w:t>
      </w:r>
    </w:p>
    <w:p>
      <w:pPr>
        <w:pStyle w:val="Heading2"/>
        <w:numPr>
          <w:ilvl w:val="1"/>
          <w:numId w:val="11"/>
        </w:numPr>
        <w:tabs>
          <w:tab w:pos="1342" w:val="left" w:leader="none"/>
        </w:tabs>
        <w:spacing w:line="240" w:lineRule="auto" w:before="230" w:after="0"/>
        <w:ind w:left="1342" w:right="0" w:hanging="677"/>
        <w:jc w:val="left"/>
      </w:pPr>
      <w:bookmarkStart w:name="_TOC_250125" w:id="36"/>
      <w:r>
        <w:rPr/>
        <w:t>Justification</w:t>
      </w:r>
      <w:r>
        <w:rPr>
          <w:spacing w:val="10"/>
        </w:rPr>
        <w:t> </w:t>
      </w:r>
      <w:r>
        <w:rPr/>
        <w:t>of</w:t>
      </w:r>
      <w:r>
        <w:rPr>
          <w:spacing w:val="13"/>
        </w:rPr>
        <w:t> </w:t>
      </w:r>
      <w:r>
        <w:rPr/>
        <w:t>the</w:t>
      </w:r>
      <w:r>
        <w:rPr>
          <w:spacing w:val="11"/>
        </w:rPr>
        <w:t> </w:t>
      </w:r>
      <w:bookmarkEnd w:id="36"/>
      <w:r>
        <w:rPr>
          <w:spacing w:val="-4"/>
        </w:rPr>
        <w:t>Study</w:t>
      </w:r>
    </w:p>
    <w:p>
      <w:pPr>
        <w:pStyle w:val="BodyText"/>
        <w:spacing w:line="491" w:lineRule="auto" w:before="246"/>
        <w:ind w:left="665" w:right="1858"/>
        <w:jc w:val="both"/>
      </w:pPr>
      <w:r>
        <w:rPr/>
        <w:t>There is an increasing demand for starch as a pharmaceutical excipient despite huge amount</w:t>
      </w:r>
      <w:r>
        <w:rPr>
          <w:spacing w:val="36"/>
        </w:rPr>
        <w:t> </w:t>
      </w:r>
      <w:r>
        <w:rPr/>
        <w:t>of</w:t>
      </w:r>
      <w:r>
        <w:rPr>
          <w:spacing w:val="32"/>
        </w:rPr>
        <w:t> </w:t>
      </w:r>
      <w:r>
        <w:rPr/>
        <w:t>work</w:t>
      </w:r>
      <w:r>
        <w:rPr>
          <w:spacing w:val="33"/>
        </w:rPr>
        <w:t> </w:t>
      </w:r>
      <w:r>
        <w:rPr/>
        <w:t>and</w:t>
      </w:r>
      <w:r>
        <w:rPr>
          <w:spacing w:val="33"/>
        </w:rPr>
        <w:t> </w:t>
      </w:r>
      <w:r>
        <w:rPr/>
        <w:t>progress</w:t>
      </w:r>
      <w:r>
        <w:rPr>
          <w:spacing w:val="34"/>
        </w:rPr>
        <w:t> </w:t>
      </w:r>
      <w:r>
        <w:rPr/>
        <w:t>achieved</w:t>
      </w:r>
      <w:r>
        <w:rPr>
          <w:spacing w:val="39"/>
        </w:rPr>
        <w:t> </w:t>
      </w:r>
      <w:r>
        <w:rPr/>
        <w:t>in</w:t>
      </w:r>
      <w:r>
        <w:rPr>
          <w:spacing w:val="27"/>
        </w:rPr>
        <w:t> </w:t>
      </w:r>
      <w:r>
        <w:rPr/>
        <w:t>the</w:t>
      </w:r>
      <w:r>
        <w:rPr>
          <w:spacing w:val="31"/>
        </w:rPr>
        <w:t> </w:t>
      </w:r>
      <w:r>
        <w:rPr/>
        <w:t>pharmaceutical</w:t>
      </w:r>
      <w:r>
        <w:rPr>
          <w:spacing w:val="36"/>
        </w:rPr>
        <w:t> </w:t>
      </w:r>
      <w:r>
        <w:rPr/>
        <w:t>industries</w:t>
      </w:r>
      <w:r>
        <w:rPr>
          <w:spacing w:val="28"/>
        </w:rPr>
        <w:t> </w:t>
      </w:r>
      <w:r>
        <w:rPr/>
        <w:t>in</w:t>
      </w:r>
      <w:r>
        <w:rPr>
          <w:spacing w:val="27"/>
        </w:rPr>
        <w:t> </w:t>
      </w:r>
      <w:r>
        <w:rPr/>
        <w:t>formulation of solid dosage forms. The Federal Government`s policy places emphasis on the use of local</w:t>
      </w:r>
      <w:r>
        <w:rPr>
          <w:spacing w:val="40"/>
        </w:rPr>
        <w:t> </w:t>
      </w:r>
      <w:r>
        <w:rPr/>
        <w:t>raw</w:t>
      </w:r>
      <w:r>
        <w:rPr>
          <w:spacing w:val="40"/>
        </w:rPr>
        <w:t> </w:t>
      </w:r>
      <w:r>
        <w:rPr/>
        <w:t>materials</w:t>
      </w:r>
      <w:r>
        <w:rPr>
          <w:spacing w:val="40"/>
        </w:rPr>
        <w:t> </w:t>
      </w:r>
      <w:r>
        <w:rPr/>
        <w:t>in</w:t>
      </w:r>
      <w:r>
        <w:rPr>
          <w:spacing w:val="40"/>
        </w:rPr>
        <w:t> </w:t>
      </w:r>
      <w:r>
        <w:rPr/>
        <w:t>manufacturing</w:t>
      </w:r>
      <w:r>
        <w:rPr>
          <w:spacing w:val="40"/>
        </w:rPr>
        <w:t> </w:t>
      </w:r>
      <w:r>
        <w:rPr/>
        <w:t>which</w:t>
      </w:r>
      <w:r>
        <w:rPr>
          <w:spacing w:val="40"/>
        </w:rPr>
        <w:t> </w:t>
      </w:r>
      <w:r>
        <w:rPr/>
        <w:t>will</w:t>
      </w:r>
      <w:r>
        <w:rPr>
          <w:spacing w:val="40"/>
        </w:rPr>
        <w:t> </w:t>
      </w:r>
      <w:r>
        <w:rPr/>
        <w:t>conserve</w:t>
      </w:r>
      <w:r>
        <w:rPr>
          <w:spacing w:val="40"/>
        </w:rPr>
        <w:t> </w:t>
      </w:r>
      <w:r>
        <w:rPr/>
        <w:t>foreign</w:t>
      </w:r>
      <w:r>
        <w:rPr>
          <w:spacing w:val="40"/>
        </w:rPr>
        <w:t> </w:t>
      </w:r>
      <w:r>
        <w:rPr/>
        <w:t>exchange</w:t>
      </w:r>
      <w:r>
        <w:rPr>
          <w:spacing w:val="40"/>
        </w:rPr>
        <w:t> </w:t>
      </w:r>
      <w:r>
        <w:rPr/>
        <w:t>and</w:t>
      </w:r>
      <w:r>
        <w:rPr>
          <w:spacing w:val="40"/>
        </w:rPr>
        <w:t> </w:t>
      </w:r>
      <w:r>
        <w:rPr/>
        <w:t>also lead to self-reliance from importation.</w:t>
      </w:r>
    </w:p>
    <w:p>
      <w:pPr>
        <w:pStyle w:val="BodyText"/>
        <w:spacing w:line="491" w:lineRule="auto" w:before="4"/>
        <w:ind w:left="665" w:right="1860"/>
        <w:jc w:val="both"/>
      </w:pPr>
      <w:r>
        <w:rPr/>
        <w:t>In consideration of the above, it is pertinent to develop starch obtained from </w:t>
      </w:r>
      <w:r>
        <w:rPr>
          <w:i/>
        </w:rPr>
        <w:t>Digitaria iburua</w:t>
      </w:r>
      <w:r>
        <w:rPr>
          <w:i/>
          <w:spacing w:val="40"/>
        </w:rPr>
        <w:t> </w:t>
      </w:r>
      <w:r>
        <w:rPr/>
        <w:t>as</w:t>
      </w:r>
      <w:r>
        <w:rPr>
          <w:spacing w:val="36"/>
        </w:rPr>
        <w:t> </w:t>
      </w:r>
      <w:r>
        <w:rPr/>
        <w:t>a</w:t>
      </w:r>
      <w:r>
        <w:rPr>
          <w:spacing w:val="33"/>
        </w:rPr>
        <w:t> </w:t>
      </w:r>
      <w:r>
        <w:rPr/>
        <w:t>pharmaceutical</w:t>
      </w:r>
      <w:r>
        <w:rPr>
          <w:spacing w:val="31"/>
        </w:rPr>
        <w:t> </w:t>
      </w:r>
      <w:r>
        <w:rPr/>
        <w:t>excipient</w:t>
      </w:r>
      <w:r>
        <w:rPr>
          <w:spacing w:val="37"/>
        </w:rPr>
        <w:t> </w:t>
      </w:r>
      <w:r>
        <w:rPr/>
        <w:t>because</w:t>
      </w:r>
      <w:r>
        <w:rPr>
          <w:spacing w:val="38"/>
        </w:rPr>
        <w:t> </w:t>
      </w:r>
      <w:r>
        <w:rPr/>
        <w:t>literature</w:t>
      </w:r>
      <w:r>
        <w:rPr>
          <w:spacing w:val="33"/>
        </w:rPr>
        <w:t> </w:t>
      </w:r>
      <w:r>
        <w:rPr/>
        <w:t>revealed</w:t>
      </w:r>
      <w:r>
        <w:rPr>
          <w:spacing w:val="39"/>
        </w:rPr>
        <w:t> </w:t>
      </w:r>
      <w:r>
        <w:rPr/>
        <w:t>that</w:t>
      </w:r>
      <w:r>
        <w:rPr>
          <w:spacing w:val="40"/>
        </w:rPr>
        <w:t> </w:t>
      </w:r>
      <w:r>
        <w:rPr/>
        <w:t>little</w:t>
      </w:r>
      <w:r>
        <w:rPr>
          <w:spacing w:val="38"/>
        </w:rPr>
        <w:t> </w:t>
      </w:r>
      <w:r>
        <w:rPr/>
        <w:t>or</w:t>
      </w:r>
      <w:r>
        <w:rPr>
          <w:spacing w:val="39"/>
        </w:rPr>
        <w:t> </w:t>
      </w:r>
      <w:r>
        <w:rPr/>
        <w:t>no</w:t>
      </w:r>
      <w:r>
        <w:rPr>
          <w:spacing w:val="39"/>
        </w:rPr>
        <w:t> </w:t>
      </w:r>
      <w:r>
        <w:rPr/>
        <w:t>work has been done on it.</w:t>
      </w:r>
    </w:p>
    <w:p>
      <w:pPr>
        <w:spacing w:after="0" w:line="491" w:lineRule="auto"/>
        <w:jc w:val="both"/>
        <w:sectPr>
          <w:pgSz w:w="12240" w:h="15840"/>
          <w:pgMar w:header="0" w:footer="999" w:top="1260" w:bottom="1180" w:left="1720" w:right="0"/>
        </w:sectPr>
      </w:pPr>
    </w:p>
    <w:p>
      <w:pPr>
        <w:pStyle w:val="Heading1"/>
        <w:ind w:left="1067"/>
      </w:pPr>
      <w:bookmarkStart w:name="_TOC_250124" w:id="37"/>
      <w:r>
        <w:rPr/>
        <w:t>CHAPTER</w:t>
      </w:r>
      <w:r>
        <w:rPr>
          <w:spacing w:val="17"/>
        </w:rPr>
        <w:t> </w:t>
      </w:r>
      <w:bookmarkEnd w:id="37"/>
      <w:r>
        <w:rPr>
          <w:spacing w:val="-5"/>
        </w:rPr>
        <w:t>TWO</w:t>
      </w:r>
    </w:p>
    <w:p>
      <w:pPr>
        <w:pStyle w:val="BodyText"/>
        <w:spacing w:before="108"/>
        <w:rPr>
          <w:b/>
        </w:rPr>
      </w:pPr>
    </w:p>
    <w:p>
      <w:pPr>
        <w:pStyle w:val="Heading1"/>
        <w:numPr>
          <w:ilvl w:val="1"/>
          <w:numId w:val="15"/>
        </w:numPr>
        <w:tabs>
          <w:tab w:pos="1342" w:val="left" w:leader="none"/>
        </w:tabs>
        <w:spacing w:line="240" w:lineRule="auto" w:before="0" w:after="0"/>
        <w:ind w:left="1342" w:right="0" w:hanging="677"/>
        <w:jc w:val="left"/>
      </w:pPr>
      <w:bookmarkStart w:name="_TOC_250123" w:id="38"/>
      <w:r>
        <w:rPr/>
        <w:t>LITERATURE</w:t>
      </w:r>
      <w:r>
        <w:rPr>
          <w:spacing w:val="30"/>
        </w:rPr>
        <w:t> </w:t>
      </w:r>
      <w:bookmarkEnd w:id="38"/>
      <w:r>
        <w:rPr>
          <w:spacing w:val="-2"/>
        </w:rPr>
        <w:t>REVIEW</w:t>
      </w:r>
    </w:p>
    <w:p>
      <w:pPr>
        <w:pStyle w:val="BodyText"/>
        <w:spacing w:before="109"/>
        <w:rPr>
          <w:b/>
        </w:rPr>
      </w:pPr>
    </w:p>
    <w:p>
      <w:pPr>
        <w:pStyle w:val="Heading2"/>
        <w:numPr>
          <w:ilvl w:val="1"/>
          <w:numId w:val="15"/>
        </w:numPr>
        <w:tabs>
          <w:tab w:pos="1342" w:val="left" w:leader="none"/>
        </w:tabs>
        <w:spacing w:line="240" w:lineRule="auto" w:before="0" w:after="0"/>
        <w:ind w:left="1342" w:right="0" w:hanging="677"/>
        <w:jc w:val="left"/>
      </w:pPr>
      <w:bookmarkStart w:name="_TOC_250122" w:id="39"/>
      <w:bookmarkEnd w:id="39"/>
      <w:r>
        <w:rPr>
          <w:spacing w:val="-2"/>
        </w:rPr>
        <w:t>Tablets</w:t>
      </w:r>
    </w:p>
    <w:p>
      <w:pPr>
        <w:pStyle w:val="BodyText"/>
        <w:spacing w:line="491" w:lineRule="auto" w:before="246"/>
        <w:ind w:left="665" w:right="1861" w:firstLine="676"/>
        <w:jc w:val="both"/>
      </w:pPr>
      <w:r>
        <w:rPr/>
        <w:t>Solid dosage forms encompass the largest category of dosage forms that are clinically used (David, 2008). Two types of formulation, namely tablets and capsules constitute solid dosage forms. Tablets and capsules constitute about 90 % of all dosage forms</w:t>
      </w:r>
      <w:r>
        <w:rPr>
          <w:spacing w:val="40"/>
        </w:rPr>
        <w:t> </w:t>
      </w:r>
      <w:r>
        <w:rPr/>
        <w:t>used</w:t>
      </w:r>
      <w:r>
        <w:rPr>
          <w:spacing w:val="40"/>
        </w:rPr>
        <w:t> </w:t>
      </w:r>
      <w:r>
        <w:rPr/>
        <w:t>to provide systemic</w:t>
      </w:r>
      <w:r>
        <w:rPr>
          <w:spacing w:val="40"/>
        </w:rPr>
        <w:t> </w:t>
      </w:r>
      <w:r>
        <w:rPr/>
        <w:t>administration</w:t>
      </w:r>
      <w:r>
        <w:rPr>
          <w:spacing w:val="40"/>
        </w:rPr>
        <w:t> </w:t>
      </w:r>
      <w:r>
        <w:rPr/>
        <w:t>of active</w:t>
      </w:r>
      <w:r>
        <w:rPr>
          <w:spacing w:val="40"/>
        </w:rPr>
        <w:t> </w:t>
      </w:r>
      <w:r>
        <w:rPr/>
        <w:t>pharmaceutical ingredients (API). (Rudnic and Kottke, 1999).</w:t>
      </w:r>
    </w:p>
    <w:p>
      <w:pPr>
        <w:pStyle w:val="BodyText"/>
        <w:spacing w:line="491" w:lineRule="auto"/>
        <w:ind w:left="665" w:right="1850" w:firstLine="676"/>
        <w:jc w:val="both"/>
      </w:pPr>
      <w:r>
        <w:rPr/>
        <w:t>In</w:t>
      </w:r>
      <w:r>
        <w:rPr>
          <w:spacing w:val="40"/>
        </w:rPr>
        <w:t> </w:t>
      </w:r>
      <w:r>
        <w:rPr/>
        <w:t>the</w:t>
      </w:r>
      <w:r>
        <w:rPr>
          <w:spacing w:val="40"/>
        </w:rPr>
        <w:t> </w:t>
      </w:r>
      <w:r>
        <w:rPr/>
        <w:t>European</w:t>
      </w:r>
      <w:r>
        <w:rPr>
          <w:spacing w:val="40"/>
        </w:rPr>
        <w:t> </w:t>
      </w:r>
      <w:r>
        <w:rPr/>
        <w:t>Pharmacopoeia</w:t>
      </w:r>
      <w:r>
        <w:rPr>
          <w:spacing w:val="40"/>
        </w:rPr>
        <w:t> </w:t>
      </w:r>
      <w:r>
        <w:rPr/>
        <w:t>(1997),</w:t>
      </w:r>
      <w:r>
        <w:rPr>
          <w:spacing w:val="40"/>
        </w:rPr>
        <w:t> </w:t>
      </w:r>
      <w:r>
        <w:rPr/>
        <w:t>tablets</w:t>
      </w:r>
      <w:r>
        <w:rPr>
          <w:spacing w:val="40"/>
        </w:rPr>
        <w:t> </w:t>
      </w:r>
      <w:r>
        <w:rPr/>
        <w:t>are</w:t>
      </w:r>
      <w:r>
        <w:rPr>
          <w:spacing w:val="40"/>
        </w:rPr>
        <w:t> </w:t>
      </w:r>
      <w:r>
        <w:rPr/>
        <w:t>defined</w:t>
      </w:r>
      <w:r>
        <w:rPr>
          <w:spacing w:val="40"/>
        </w:rPr>
        <w:t> </w:t>
      </w:r>
      <w:r>
        <w:rPr/>
        <w:t>as</w:t>
      </w:r>
      <w:r>
        <w:rPr>
          <w:spacing w:val="40"/>
        </w:rPr>
        <w:t> </w:t>
      </w:r>
      <w:r>
        <w:rPr/>
        <w:t>“Solid preparations</w:t>
      </w:r>
      <w:r>
        <w:rPr>
          <w:spacing w:val="40"/>
        </w:rPr>
        <w:t> </w:t>
      </w:r>
      <w:r>
        <w:rPr/>
        <w:t>each</w:t>
      </w:r>
      <w:r>
        <w:rPr>
          <w:spacing w:val="40"/>
        </w:rPr>
        <w:t> </w:t>
      </w:r>
      <w:r>
        <w:rPr/>
        <w:t>containing</w:t>
      </w:r>
      <w:r>
        <w:rPr>
          <w:spacing w:val="40"/>
        </w:rPr>
        <w:t> </w:t>
      </w:r>
      <w:r>
        <w:rPr/>
        <w:t>a</w:t>
      </w:r>
      <w:r>
        <w:rPr>
          <w:spacing w:val="40"/>
        </w:rPr>
        <w:t> </w:t>
      </w:r>
      <w:r>
        <w:rPr/>
        <w:t>single</w:t>
      </w:r>
      <w:r>
        <w:rPr>
          <w:spacing w:val="40"/>
        </w:rPr>
        <w:t> </w:t>
      </w:r>
      <w:r>
        <w:rPr/>
        <w:t>dose</w:t>
      </w:r>
      <w:r>
        <w:rPr>
          <w:spacing w:val="40"/>
        </w:rPr>
        <w:t> </w:t>
      </w:r>
      <w:r>
        <w:rPr/>
        <w:t>of</w:t>
      </w:r>
      <w:r>
        <w:rPr>
          <w:spacing w:val="40"/>
        </w:rPr>
        <w:t> </w:t>
      </w:r>
      <w:r>
        <w:rPr/>
        <w:t>one</w:t>
      </w:r>
      <w:r>
        <w:rPr>
          <w:spacing w:val="40"/>
        </w:rPr>
        <w:t> </w:t>
      </w:r>
      <w:r>
        <w:rPr/>
        <w:t>or</w:t>
      </w:r>
      <w:r>
        <w:rPr>
          <w:spacing w:val="40"/>
        </w:rPr>
        <w:t> </w:t>
      </w:r>
      <w:r>
        <w:rPr/>
        <w:t>more</w:t>
      </w:r>
      <w:r>
        <w:rPr>
          <w:spacing w:val="40"/>
        </w:rPr>
        <w:t> </w:t>
      </w:r>
      <w:r>
        <w:rPr/>
        <w:t>active</w:t>
      </w:r>
      <w:r>
        <w:rPr>
          <w:spacing w:val="40"/>
        </w:rPr>
        <w:t> </w:t>
      </w:r>
      <w:r>
        <w:rPr/>
        <w:t>ingredients</w:t>
      </w:r>
      <w:r>
        <w:rPr>
          <w:spacing w:val="40"/>
        </w:rPr>
        <w:t> </w:t>
      </w:r>
      <w:r>
        <w:rPr/>
        <w:t>and obtained by compressing uniform volumes of particles. Tablets are intended for oral administration.</w:t>
      </w:r>
      <w:r>
        <w:rPr>
          <w:spacing w:val="40"/>
        </w:rPr>
        <w:t> </w:t>
      </w:r>
      <w:r>
        <w:rPr/>
        <w:t>Some</w:t>
      </w:r>
      <w:r>
        <w:rPr>
          <w:spacing w:val="40"/>
        </w:rPr>
        <w:t> </w:t>
      </w:r>
      <w:r>
        <w:rPr/>
        <w:t>are</w:t>
      </w:r>
      <w:r>
        <w:rPr>
          <w:spacing w:val="40"/>
        </w:rPr>
        <w:t> </w:t>
      </w:r>
      <w:r>
        <w:rPr/>
        <w:t>swallowed</w:t>
      </w:r>
      <w:r>
        <w:rPr>
          <w:spacing w:val="40"/>
        </w:rPr>
        <w:t> </w:t>
      </w:r>
      <w:r>
        <w:rPr/>
        <w:t>whole,</w:t>
      </w:r>
      <w:r>
        <w:rPr>
          <w:spacing w:val="40"/>
        </w:rPr>
        <w:t> </w:t>
      </w:r>
      <w:r>
        <w:rPr/>
        <w:t>some</w:t>
      </w:r>
      <w:r>
        <w:rPr>
          <w:spacing w:val="40"/>
        </w:rPr>
        <w:t> </w:t>
      </w:r>
      <w:r>
        <w:rPr/>
        <w:t>after</w:t>
      </w:r>
      <w:r>
        <w:rPr>
          <w:spacing w:val="40"/>
        </w:rPr>
        <w:t> </w:t>
      </w:r>
      <w:r>
        <w:rPr/>
        <w:t>being</w:t>
      </w:r>
      <w:r>
        <w:rPr>
          <w:spacing w:val="40"/>
        </w:rPr>
        <w:t> </w:t>
      </w:r>
      <w:r>
        <w:rPr/>
        <w:t>chewed,</w:t>
      </w:r>
      <w:r>
        <w:rPr>
          <w:spacing w:val="40"/>
        </w:rPr>
        <w:t> </w:t>
      </w:r>
      <w:r>
        <w:rPr/>
        <w:t>some</w:t>
      </w:r>
      <w:r>
        <w:rPr>
          <w:spacing w:val="40"/>
        </w:rPr>
        <w:t> </w:t>
      </w:r>
      <w:r>
        <w:rPr/>
        <w:t>are dissolved or dispersed in water before being administered and some are retained in the mouth, where the API is liberated”.</w:t>
      </w:r>
    </w:p>
    <w:p>
      <w:pPr>
        <w:pStyle w:val="Heading2"/>
        <w:numPr>
          <w:ilvl w:val="1"/>
          <w:numId w:val="15"/>
        </w:numPr>
        <w:tabs>
          <w:tab w:pos="1342" w:val="left" w:leader="none"/>
        </w:tabs>
        <w:spacing w:line="240" w:lineRule="auto" w:before="233" w:after="0"/>
        <w:ind w:left="1342" w:right="0" w:hanging="677"/>
        <w:jc w:val="left"/>
      </w:pPr>
      <w:bookmarkStart w:name="_TOC_250121" w:id="40"/>
      <w:r>
        <w:rPr/>
        <w:t>Tablet</w:t>
      </w:r>
      <w:r>
        <w:rPr>
          <w:spacing w:val="15"/>
        </w:rPr>
        <w:t> </w:t>
      </w:r>
      <w:bookmarkEnd w:id="40"/>
      <w:r>
        <w:rPr>
          <w:spacing w:val="-2"/>
        </w:rPr>
        <w:t>types</w:t>
      </w:r>
    </w:p>
    <w:p>
      <w:pPr>
        <w:pStyle w:val="BodyText"/>
        <w:spacing w:line="491" w:lineRule="auto" w:before="241"/>
        <w:ind w:left="665" w:right="1852" w:firstLine="676"/>
        <w:jc w:val="both"/>
      </w:pPr>
      <w:r>
        <w:rPr/>
        <w:t>There are several types of tablet solid dosage forms that are designed to optimize the absorption rate of the drug, increase the ease of administration by the patient, control the rate and site of drug absorption and mask the taste of API.</w:t>
      </w:r>
    </w:p>
    <w:p>
      <w:pPr>
        <w:pStyle w:val="BodyText"/>
        <w:spacing w:line="252" w:lineRule="exact"/>
        <w:ind w:left="1342"/>
      </w:pPr>
      <w:r>
        <w:rPr/>
        <w:t>Examples</w:t>
      </w:r>
      <w:r>
        <w:rPr>
          <w:spacing w:val="10"/>
        </w:rPr>
        <w:t> </w:t>
      </w:r>
      <w:r>
        <w:rPr/>
        <w:t>of</w:t>
      </w:r>
      <w:r>
        <w:rPr>
          <w:spacing w:val="8"/>
        </w:rPr>
        <w:t> </w:t>
      </w:r>
      <w:r>
        <w:rPr/>
        <w:t>tablet</w:t>
      </w:r>
      <w:r>
        <w:rPr>
          <w:spacing w:val="12"/>
        </w:rPr>
        <w:t> </w:t>
      </w:r>
      <w:r>
        <w:rPr/>
        <w:t>types</w:t>
      </w:r>
      <w:r>
        <w:rPr>
          <w:spacing w:val="11"/>
        </w:rPr>
        <w:t> </w:t>
      </w:r>
      <w:r>
        <w:rPr/>
        <w:t>available</w:t>
      </w:r>
      <w:r>
        <w:rPr>
          <w:spacing w:val="13"/>
        </w:rPr>
        <w:t> </w:t>
      </w:r>
      <w:r>
        <w:rPr/>
        <w:t>include</w:t>
      </w:r>
      <w:r>
        <w:rPr>
          <w:spacing w:val="14"/>
        </w:rPr>
        <w:t> </w:t>
      </w:r>
      <w:r>
        <w:rPr/>
        <w:t>(David,</w:t>
      </w:r>
      <w:r>
        <w:rPr>
          <w:spacing w:val="14"/>
        </w:rPr>
        <w:t> </w:t>
      </w:r>
      <w:r>
        <w:rPr>
          <w:spacing w:val="-2"/>
        </w:rPr>
        <w:t>2008):</w:t>
      </w:r>
    </w:p>
    <w:p>
      <w:pPr>
        <w:pStyle w:val="BodyText"/>
        <w:spacing w:before="13"/>
      </w:pPr>
    </w:p>
    <w:p>
      <w:pPr>
        <w:pStyle w:val="ListParagraph"/>
        <w:numPr>
          <w:ilvl w:val="0"/>
          <w:numId w:val="16"/>
        </w:numPr>
        <w:tabs>
          <w:tab w:pos="1368" w:val="left" w:leader="none"/>
        </w:tabs>
        <w:spacing w:line="240" w:lineRule="auto" w:before="0" w:after="0"/>
        <w:ind w:left="1368" w:right="0" w:hanging="362"/>
        <w:jc w:val="left"/>
        <w:rPr>
          <w:sz w:val="22"/>
        </w:rPr>
      </w:pPr>
      <w:r>
        <w:rPr>
          <w:sz w:val="22"/>
        </w:rPr>
        <w:t>Conventional</w:t>
      </w:r>
      <w:r>
        <w:rPr>
          <w:spacing w:val="15"/>
          <w:sz w:val="22"/>
        </w:rPr>
        <w:t> </w:t>
      </w:r>
      <w:r>
        <w:rPr>
          <w:sz w:val="22"/>
        </w:rPr>
        <w:t>compressed</w:t>
      </w:r>
      <w:r>
        <w:rPr>
          <w:spacing w:val="24"/>
          <w:sz w:val="22"/>
        </w:rPr>
        <w:t> </w:t>
      </w:r>
      <w:r>
        <w:rPr>
          <w:spacing w:val="-2"/>
          <w:sz w:val="22"/>
        </w:rPr>
        <w:t>tablets;</w:t>
      </w:r>
    </w:p>
    <w:p>
      <w:pPr>
        <w:pStyle w:val="BodyText"/>
        <w:spacing w:before="12"/>
      </w:pPr>
    </w:p>
    <w:p>
      <w:pPr>
        <w:pStyle w:val="ListParagraph"/>
        <w:numPr>
          <w:ilvl w:val="0"/>
          <w:numId w:val="16"/>
        </w:numPr>
        <w:tabs>
          <w:tab w:pos="1368" w:val="left" w:leader="none"/>
        </w:tabs>
        <w:spacing w:line="240" w:lineRule="auto" w:before="0" w:after="0"/>
        <w:ind w:left="1368" w:right="0" w:hanging="362"/>
        <w:jc w:val="left"/>
        <w:rPr>
          <w:sz w:val="22"/>
        </w:rPr>
      </w:pPr>
      <w:r>
        <w:rPr>
          <w:sz w:val="22"/>
        </w:rPr>
        <w:t>Multiple</w:t>
      </w:r>
      <w:r>
        <w:rPr>
          <w:spacing w:val="15"/>
          <w:sz w:val="22"/>
        </w:rPr>
        <w:t> </w:t>
      </w:r>
      <w:r>
        <w:rPr>
          <w:sz w:val="22"/>
        </w:rPr>
        <w:t>compressed</w:t>
      </w:r>
      <w:r>
        <w:rPr>
          <w:spacing w:val="22"/>
          <w:sz w:val="22"/>
        </w:rPr>
        <w:t> </w:t>
      </w:r>
      <w:r>
        <w:rPr>
          <w:spacing w:val="-2"/>
          <w:sz w:val="22"/>
        </w:rPr>
        <w:t>tablets;</w:t>
      </w:r>
    </w:p>
    <w:p>
      <w:pPr>
        <w:pStyle w:val="BodyText"/>
        <w:spacing w:before="17"/>
      </w:pPr>
    </w:p>
    <w:p>
      <w:pPr>
        <w:pStyle w:val="ListParagraph"/>
        <w:numPr>
          <w:ilvl w:val="0"/>
          <w:numId w:val="16"/>
        </w:numPr>
        <w:tabs>
          <w:tab w:pos="1368" w:val="left" w:leader="none"/>
        </w:tabs>
        <w:spacing w:line="240" w:lineRule="auto" w:before="1" w:after="0"/>
        <w:ind w:left="1368" w:right="0" w:hanging="362"/>
        <w:jc w:val="left"/>
        <w:rPr>
          <w:sz w:val="22"/>
        </w:rPr>
      </w:pPr>
      <w:r>
        <w:rPr>
          <w:sz w:val="22"/>
        </w:rPr>
        <w:t>Enteric-coated</w:t>
      </w:r>
      <w:r>
        <w:rPr>
          <w:spacing w:val="27"/>
          <w:sz w:val="22"/>
        </w:rPr>
        <w:t> </w:t>
      </w:r>
      <w:r>
        <w:rPr>
          <w:spacing w:val="-2"/>
          <w:sz w:val="22"/>
        </w:rPr>
        <w:t>tablets;</w:t>
      </w:r>
    </w:p>
    <w:p>
      <w:pPr>
        <w:pStyle w:val="BodyText"/>
        <w:spacing w:before="12"/>
      </w:pPr>
    </w:p>
    <w:p>
      <w:pPr>
        <w:pStyle w:val="ListParagraph"/>
        <w:numPr>
          <w:ilvl w:val="0"/>
          <w:numId w:val="16"/>
        </w:numPr>
        <w:tabs>
          <w:tab w:pos="1368" w:val="left" w:leader="none"/>
        </w:tabs>
        <w:spacing w:line="240" w:lineRule="auto" w:before="0" w:after="0"/>
        <w:ind w:left="1368" w:right="0" w:hanging="362"/>
        <w:jc w:val="left"/>
        <w:rPr>
          <w:sz w:val="22"/>
        </w:rPr>
      </w:pPr>
      <w:r>
        <w:rPr>
          <w:sz w:val="22"/>
        </w:rPr>
        <w:t>Sugar-coated</w:t>
      </w:r>
      <w:r>
        <w:rPr>
          <w:spacing w:val="23"/>
          <w:sz w:val="22"/>
        </w:rPr>
        <w:t> </w:t>
      </w:r>
      <w:r>
        <w:rPr>
          <w:spacing w:val="-2"/>
          <w:sz w:val="22"/>
        </w:rPr>
        <w:t>tablets;</w:t>
      </w:r>
    </w:p>
    <w:p>
      <w:pPr>
        <w:pStyle w:val="BodyText"/>
        <w:spacing w:before="12"/>
      </w:pPr>
    </w:p>
    <w:p>
      <w:pPr>
        <w:pStyle w:val="ListParagraph"/>
        <w:numPr>
          <w:ilvl w:val="0"/>
          <w:numId w:val="16"/>
        </w:numPr>
        <w:tabs>
          <w:tab w:pos="1368" w:val="left" w:leader="none"/>
        </w:tabs>
        <w:spacing w:line="240" w:lineRule="auto" w:before="0" w:after="0"/>
        <w:ind w:left="1368" w:right="0" w:hanging="362"/>
        <w:jc w:val="left"/>
        <w:rPr>
          <w:sz w:val="22"/>
        </w:rPr>
      </w:pPr>
      <w:r>
        <w:rPr>
          <w:sz w:val="22"/>
        </w:rPr>
        <w:t>Film-coated</w:t>
      </w:r>
      <w:r>
        <w:rPr>
          <w:spacing w:val="25"/>
          <w:sz w:val="22"/>
        </w:rPr>
        <w:t> </w:t>
      </w:r>
      <w:r>
        <w:rPr>
          <w:spacing w:val="-2"/>
          <w:sz w:val="22"/>
        </w:rPr>
        <w:t>tablets;</w:t>
      </w:r>
    </w:p>
    <w:p>
      <w:pPr>
        <w:pStyle w:val="BodyText"/>
        <w:spacing w:before="13"/>
      </w:pPr>
    </w:p>
    <w:p>
      <w:pPr>
        <w:pStyle w:val="ListParagraph"/>
        <w:numPr>
          <w:ilvl w:val="0"/>
          <w:numId w:val="16"/>
        </w:numPr>
        <w:tabs>
          <w:tab w:pos="1368" w:val="left" w:leader="none"/>
        </w:tabs>
        <w:spacing w:line="240" w:lineRule="auto" w:before="0" w:after="0"/>
        <w:ind w:left="1368" w:right="0" w:hanging="362"/>
        <w:jc w:val="left"/>
        <w:rPr>
          <w:sz w:val="22"/>
        </w:rPr>
      </w:pPr>
      <w:r>
        <w:rPr>
          <w:sz w:val="22"/>
        </w:rPr>
        <w:t>Chewable</w:t>
      </w:r>
      <w:r>
        <w:rPr>
          <w:spacing w:val="12"/>
          <w:sz w:val="22"/>
        </w:rPr>
        <w:t> </w:t>
      </w:r>
      <w:r>
        <w:rPr>
          <w:spacing w:val="-2"/>
          <w:sz w:val="22"/>
        </w:rPr>
        <w:t>tablets;</w:t>
      </w:r>
    </w:p>
    <w:p>
      <w:pPr>
        <w:spacing w:after="0" w:line="240" w:lineRule="auto"/>
        <w:jc w:val="left"/>
        <w:rPr>
          <w:sz w:val="22"/>
        </w:rPr>
        <w:sectPr>
          <w:pgSz w:w="12240" w:h="15840"/>
          <w:pgMar w:header="0" w:footer="999" w:top="1260" w:bottom="1180" w:left="1720" w:right="0"/>
        </w:sectPr>
      </w:pPr>
    </w:p>
    <w:p>
      <w:pPr>
        <w:pStyle w:val="ListParagraph"/>
        <w:numPr>
          <w:ilvl w:val="0"/>
          <w:numId w:val="16"/>
        </w:numPr>
        <w:tabs>
          <w:tab w:pos="1368" w:val="left" w:leader="none"/>
        </w:tabs>
        <w:spacing w:line="240" w:lineRule="auto" w:before="75" w:after="0"/>
        <w:ind w:left="1368" w:right="0" w:hanging="362"/>
        <w:jc w:val="left"/>
        <w:rPr>
          <w:sz w:val="22"/>
        </w:rPr>
      </w:pPr>
      <w:r>
        <w:rPr>
          <w:sz w:val="22"/>
        </w:rPr>
        <w:t>Effervescent</w:t>
      </w:r>
      <w:r>
        <w:rPr>
          <w:spacing w:val="18"/>
          <w:sz w:val="22"/>
        </w:rPr>
        <w:t> </w:t>
      </w:r>
      <w:r>
        <w:rPr>
          <w:spacing w:val="-2"/>
          <w:sz w:val="22"/>
        </w:rPr>
        <w:t>tablets;</w:t>
      </w:r>
    </w:p>
    <w:p>
      <w:pPr>
        <w:pStyle w:val="BodyText"/>
        <w:spacing w:before="12"/>
      </w:pPr>
    </w:p>
    <w:p>
      <w:pPr>
        <w:pStyle w:val="ListParagraph"/>
        <w:numPr>
          <w:ilvl w:val="0"/>
          <w:numId w:val="16"/>
        </w:numPr>
        <w:tabs>
          <w:tab w:pos="1368" w:val="left" w:leader="none"/>
        </w:tabs>
        <w:spacing w:line="240" w:lineRule="auto" w:before="1" w:after="0"/>
        <w:ind w:left="1368" w:right="0" w:hanging="362"/>
        <w:jc w:val="left"/>
        <w:rPr>
          <w:sz w:val="22"/>
        </w:rPr>
      </w:pPr>
      <w:r>
        <w:rPr>
          <w:sz w:val="22"/>
        </w:rPr>
        <w:t>Buccal</w:t>
      </w:r>
      <w:r>
        <w:rPr>
          <w:spacing w:val="9"/>
          <w:sz w:val="22"/>
        </w:rPr>
        <w:t> </w:t>
      </w:r>
      <w:r>
        <w:rPr>
          <w:sz w:val="22"/>
        </w:rPr>
        <w:t>and</w:t>
      </w:r>
      <w:r>
        <w:rPr>
          <w:spacing w:val="18"/>
          <w:sz w:val="22"/>
        </w:rPr>
        <w:t> </w:t>
      </w:r>
      <w:r>
        <w:rPr>
          <w:sz w:val="22"/>
        </w:rPr>
        <w:t>sublingual</w:t>
      </w:r>
      <w:r>
        <w:rPr>
          <w:spacing w:val="4"/>
          <w:sz w:val="22"/>
        </w:rPr>
        <w:t> </w:t>
      </w:r>
      <w:r>
        <w:rPr>
          <w:sz w:val="22"/>
        </w:rPr>
        <w:t>tablets;</w:t>
      </w:r>
      <w:r>
        <w:rPr>
          <w:spacing w:val="9"/>
          <w:sz w:val="22"/>
        </w:rPr>
        <w:t> </w:t>
      </w:r>
      <w:r>
        <w:rPr>
          <w:spacing w:val="-5"/>
          <w:sz w:val="22"/>
        </w:rPr>
        <w:t>and</w:t>
      </w:r>
    </w:p>
    <w:p>
      <w:pPr>
        <w:pStyle w:val="BodyText"/>
        <w:spacing w:before="12"/>
      </w:pPr>
    </w:p>
    <w:p>
      <w:pPr>
        <w:pStyle w:val="ListParagraph"/>
        <w:numPr>
          <w:ilvl w:val="0"/>
          <w:numId w:val="16"/>
        </w:numPr>
        <w:tabs>
          <w:tab w:pos="1368" w:val="left" w:leader="none"/>
        </w:tabs>
        <w:spacing w:line="240" w:lineRule="auto" w:before="0" w:after="0"/>
        <w:ind w:left="1368" w:right="0" w:hanging="362"/>
        <w:jc w:val="left"/>
        <w:rPr>
          <w:sz w:val="22"/>
        </w:rPr>
      </w:pPr>
      <w:r>
        <w:rPr>
          <w:sz w:val="22"/>
        </w:rPr>
        <w:t>Vaginal</w:t>
      </w:r>
      <w:r>
        <w:rPr>
          <w:spacing w:val="9"/>
          <w:sz w:val="22"/>
        </w:rPr>
        <w:t> </w:t>
      </w:r>
      <w:r>
        <w:rPr>
          <w:spacing w:val="-2"/>
          <w:sz w:val="22"/>
        </w:rPr>
        <w:t>tablets.</w:t>
      </w:r>
    </w:p>
    <w:p>
      <w:pPr>
        <w:pStyle w:val="BodyText"/>
        <w:spacing w:before="243"/>
      </w:pPr>
    </w:p>
    <w:p>
      <w:pPr>
        <w:pStyle w:val="Heading2"/>
        <w:numPr>
          <w:ilvl w:val="2"/>
          <w:numId w:val="15"/>
        </w:numPr>
        <w:tabs>
          <w:tab w:pos="1342" w:val="left" w:leader="none"/>
        </w:tabs>
        <w:spacing w:line="240" w:lineRule="auto" w:before="0" w:after="0"/>
        <w:ind w:left="1342" w:right="0" w:hanging="677"/>
        <w:jc w:val="left"/>
      </w:pPr>
      <w:bookmarkStart w:name="_TOC_250120" w:id="41"/>
      <w:r>
        <w:rPr/>
        <w:t>Conventional</w:t>
      </w:r>
      <w:r>
        <w:rPr>
          <w:spacing w:val="19"/>
        </w:rPr>
        <w:t> </w:t>
      </w:r>
      <w:r>
        <w:rPr/>
        <w:t>compressed</w:t>
      </w:r>
      <w:r>
        <w:rPr>
          <w:spacing w:val="27"/>
        </w:rPr>
        <w:t> </w:t>
      </w:r>
      <w:bookmarkEnd w:id="41"/>
      <w:r>
        <w:rPr>
          <w:spacing w:val="-2"/>
        </w:rPr>
        <w:t>tablets</w:t>
      </w:r>
    </w:p>
    <w:p>
      <w:pPr>
        <w:pStyle w:val="BodyText"/>
        <w:spacing w:line="491" w:lineRule="auto" w:before="246"/>
        <w:ind w:left="665" w:right="1857" w:firstLine="676"/>
        <w:jc w:val="both"/>
      </w:pPr>
      <w:r>
        <w:rPr/>
        <w:t>Designed to provide rapid disintegration and drug release, and represent a significant</w:t>
      </w:r>
      <w:r>
        <w:rPr>
          <w:spacing w:val="40"/>
        </w:rPr>
        <w:t> </w:t>
      </w:r>
      <w:r>
        <w:rPr/>
        <w:t>proportion</w:t>
      </w:r>
      <w:r>
        <w:rPr>
          <w:spacing w:val="40"/>
        </w:rPr>
        <w:t> </w:t>
      </w:r>
      <w:r>
        <w:rPr/>
        <w:t>of</w:t>
      </w:r>
      <w:r>
        <w:rPr>
          <w:spacing w:val="40"/>
        </w:rPr>
        <w:t> </w:t>
      </w:r>
      <w:r>
        <w:rPr/>
        <w:t>tablets</w:t>
      </w:r>
      <w:r>
        <w:rPr>
          <w:spacing w:val="40"/>
        </w:rPr>
        <w:t> </w:t>
      </w:r>
      <w:r>
        <w:rPr/>
        <w:t>clinically</w:t>
      </w:r>
      <w:r>
        <w:rPr>
          <w:spacing w:val="40"/>
        </w:rPr>
        <w:t> </w:t>
      </w:r>
      <w:r>
        <w:rPr/>
        <w:t>used.</w:t>
      </w:r>
      <w:r>
        <w:rPr>
          <w:spacing w:val="40"/>
        </w:rPr>
        <w:t> </w:t>
      </w:r>
      <w:r>
        <w:rPr/>
        <w:t>The</w:t>
      </w:r>
      <w:r>
        <w:rPr>
          <w:spacing w:val="40"/>
        </w:rPr>
        <w:t> </w:t>
      </w:r>
      <w:r>
        <w:rPr/>
        <w:t>manufacture</w:t>
      </w:r>
      <w:r>
        <w:rPr>
          <w:spacing w:val="40"/>
        </w:rPr>
        <w:t> </w:t>
      </w:r>
      <w:r>
        <w:rPr/>
        <w:t>of</w:t>
      </w:r>
      <w:r>
        <w:rPr>
          <w:spacing w:val="40"/>
        </w:rPr>
        <w:t> </w:t>
      </w:r>
      <w:r>
        <w:rPr/>
        <w:t>these</w:t>
      </w:r>
      <w:r>
        <w:rPr>
          <w:spacing w:val="40"/>
        </w:rPr>
        <w:t> </w:t>
      </w:r>
      <w:r>
        <w:rPr/>
        <w:t>tablets involves the compression of granules or powders (both containing API) into the desired shape.</w:t>
      </w:r>
      <w:r>
        <w:rPr>
          <w:spacing w:val="22"/>
        </w:rPr>
        <w:t> </w:t>
      </w:r>
      <w:r>
        <w:rPr/>
        <w:t>The tablets after</w:t>
      </w:r>
      <w:r>
        <w:rPr>
          <w:spacing w:val="28"/>
        </w:rPr>
        <w:t> </w:t>
      </w:r>
      <w:r>
        <w:rPr/>
        <w:t>ingestion will disintegrate</w:t>
      </w:r>
      <w:r>
        <w:rPr>
          <w:spacing w:val="22"/>
        </w:rPr>
        <w:t> </w:t>
      </w:r>
      <w:r>
        <w:rPr/>
        <w:t>within the stomach, allowing the drug to dissolve</w:t>
      </w:r>
      <w:r>
        <w:rPr>
          <w:spacing w:val="23"/>
        </w:rPr>
        <w:t> </w:t>
      </w:r>
      <w:r>
        <w:rPr/>
        <w:t>in the</w:t>
      </w:r>
      <w:r>
        <w:rPr>
          <w:spacing w:val="23"/>
        </w:rPr>
        <w:t> </w:t>
      </w:r>
      <w:r>
        <w:rPr/>
        <w:t>gastric fluid</w:t>
      </w:r>
      <w:r>
        <w:rPr>
          <w:spacing w:val="24"/>
        </w:rPr>
        <w:t> </w:t>
      </w:r>
      <w:r>
        <w:rPr/>
        <w:t>and ultimately, be absorbed</w:t>
      </w:r>
      <w:r>
        <w:rPr>
          <w:spacing w:val="24"/>
        </w:rPr>
        <w:t> </w:t>
      </w:r>
      <w:r>
        <w:rPr/>
        <w:t>systematically (David, 2008).</w:t>
      </w:r>
    </w:p>
    <w:p>
      <w:pPr>
        <w:pStyle w:val="Heading2"/>
        <w:numPr>
          <w:ilvl w:val="2"/>
          <w:numId w:val="15"/>
        </w:numPr>
        <w:tabs>
          <w:tab w:pos="1342" w:val="left" w:leader="none"/>
        </w:tabs>
        <w:spacing w:line="240" w:lineRule="auto" w:before="234" w:after="0"/>
        <w:ind w:left="1342" w:right="0" w:hanging="677"/>
        <w:jc w:val="left"/>
      </w:pPr>
      <w:bookmarkStart w:name="_TOC_250119" w:id="42"/>
      <w:r>
        <w:rPr/>
        <w:t>Multiple</w:t>
      </w:r>
      <w:r>
        <w:rPr>
          <w:spacing w:val="16"/>
        </w:rPr>
        <w:t> </w:t>
      </w:r>
      <w:r>
        <w:rPr/>
        <w:t>compressed</w:t>
      </w:r>
      <w:r>
        <w:rPr>
          <w:spacing w:val="21"/>
        </w:rPr>
        <w:t> </w:t>
      </w:r>
      <w:bookmarkEnd w:id="42"/>
      <w:r>
        <w:rPr>
          <w:spacing w:val="-2"/>
        </w:rPr>
        <w:t>tablets</w:t>
      </w:r>
    </w:p>
    <w:p>
      <w:pPr>
        <w:pStyle w:val="BodyText"/>
        <w:spacing w:line="491" w:lineRule="auto" w:before="242"/>
        <w:ind w:left="665" w:right="1860" w:firstLine="676"/>
        <w:jc w:val="both"/>
      </w:pPr>
      <w:r>
        <w:rPr/>
        <w:t>These tablets consist of at least two layers. Two designs of multiple compressed tablets exist (David, 2008):</w:t>
      </w:r>
    </w:p>
    <w:p>
      <w:pPr>
        <w:pStyle w:val="BodyText"/>
        <w:spacing w:line="253" w:lineRule="exact"/>
        <w:ind w:left="665"/>
      </w:pPr>
      <w:r>
        <w:rPr/>
        <w:t>(1)</w:t>
      </w:r>
      <w:r>
        <w:rPr>
          <w:spacing w:val="15"/>
        </w:rPr>
        <w:t> </w:t>
      </w:r>
      <w:r>
        <w:rPr/>
        <w:t>multiple-layered;</w:t>
      </w:r>
      <w:r>
        <w:rPr>
          <w:spacing w:val="19"/>
        </w:rPr>
        <w:t> </w:t>
      </w:r>
      <w:r>
        <w:rPr/>
        <w:t>and</w:t>
      </w:r>
      <w:r>
        <w:rPr>
          <w:spacing w:val="15"/>
        </w:rPr>
        <w:t> </w:t>
      </w:r>
      <w:r>
        <w:rPr/>
        <w:t>(2)</w:t>
      </w:r>
      <w:r>
        <w:rPr>
          <w:spacing w:val="9"/>
        </w:rPr>
        <w:t> </w:t>
      </w:r>
      <w:r>
        <w:rPr/>
        <w:t>compression</w:t>
      </w:r>
      <w:r>
        <w:rPr>
          <w:spacing w:val="5"/>
        </w:rPr>
        <w:t> </w:t>
      </w:r>
      <w:r>
        <w:rPr>
          <w:spacing w:val="-2"/>
        </w:rPr>
        <w:t>coated.</w:t>
      </w:r>
    </w:p>
    <w:p>
      <w:pPr>
        <w:pStyle w:val="BodyText"/>
        <w:spacing w:before="12"/>
      </w:pPr>
    </w:p>
    <w:p>
      <w:pPr>
        <w:pStyle w:val="BodyText"/>
        <w:spacing w:line="491" w:lineRule="auto"/>
        <w:ind w:left="665" w:right="1849" w:firstLine="676"/>
        <w:jc w:val="both"/>
      </w:pPr>
      <w:r>
        <w:rPr/>
        <w:t>In</w:t>
      </w:r>
      <w:r>
        <w:rPr>
          <w:spacing w:val="28"/>
        </w:rPr>
        <w:t> </w:t>
      </w:r>
      <w:r>
        <w:rPr/>
        <w:t>the</w:t>
      </w:r>
      <w:r>
        <w:rPr>
          <w:spacing w:val="32"/>
        </w:rPr>
        <w:t> </w:t>
      </w:r>
      <w:r>
        <w:rPr/>
        <w:t>former</w:t>
      </w:r>
      <w:r>
        <w:rPr>
          <w:spacing w:val="27"/>
        </w:rPr>
        <w:t> </w:t>
      </w:r>
      <w:r>
        <w:rPr/>
        <w:t>design,</w:t>
      </w:r>
      <w:r>
        <w:rPr>
          <w:spacing w:val="33"/>
        </w:rPr>
        <w:t> </w:t>
      </w:r>
      <w:r>
        <w:rPr/>
        <w:t>the</w:t>
      </w:r>
      <w:r>
        <w:rPr>
          <w:spacing w:val="32"/>
        </w:rPr>
        <w:t> </w:t>
      </w:r>
      <w:r>
        <w:rPr/>
        <w:t>first</w:t>
      </w:r>
      <w:r>
        <w:rPr>
          <w:spacing w:val="36"/>
        </w:rPr>
        <w:t> </w:t>
      </w:r>
      <w:r>
        <w:rPr/>
        <w:t>layer</w:t>
      </w:r>
      <w:r>
        <w:rPr>
          <w:spacing w:val="33"/>
        </w:rPr>
        <w:t> </w:t>
      </w:r>
      <w:r>
        <w:rPr/>
        <w:t>is</w:t>
      </w:r>
      <w:r>
        <w:rPr>
          <w:spacing w:val="35"/>
        </w:rPr>
        <w:t> </w:t>
      </w:r>
      <w:r>
        <w:rPr/>
        <w:t>formed</w:t>
      </w:r>
      <w:r>
        <w:rPr>
          <w:spacing w:val="28"/>
        </w:rPr>
        <w:t> </w:t>
      </w:r>
      <w:r>
        <w:rPr/>
        <w:t>by a</w:t>
      </w:r>
      <w:r>
        <w:rPr>
          <w:spacing w:val="32"/>
        </w:rPr>
        <w:t> </w:t>
      </w:r>
      <w:r>
        <w:rPr/>
        <w:t>relatively</w:t>
      </w:r>
      <w:r>
        <w:rPr>
          <w:spacing w:val="23"/>
        </w:rPr>
        <w:t> </w:t>
      </w:r>
      <w:r>
        <w:rPr/>
        <w:t>light</w:t>
      </w:r>
      <w:r>
        <w:rPr>
          <w:spacing w:val="30"/>
        </w:rPr>
        <w:t> </w:t>
      </w:r>
      <w:r>
        <w:rPr/>
        <w:t>compression of the API</w:t>
      </w:r>
      <w:r>
        <w:rPr>
          <w:spacing w:val="40"/>
        </w:rPr>
        <w:t> </w:t>
      </w:r>
      <w:r>
        <w:rPr/>
        <w:t>containing powder mix/granules.</w:t>
      </w:r>
      <w:r>
        <w:rPr>
          <w:spacing w:val="40"/>
        </w:rPr>
        <w:t> </w:t>
      </w:r>
      <w:r>
        <w:rPr/>
        <w:t>The next layer</w:t>
      </w:r>
      <w:r>
        <w:rPr>
          <w:spacing w:val="40"/>
        </w:rPr>
        <w:t> </w:t>
      </w:r>
      <w:r>
        <w:rPr/>
        <w:t>is then formed</w:t>
      </w:r>
      <w:r>
        <w:rPr>
          <w:spacing w:val="40"/>
        </w:rPr>
        <w:t> </w:t>
      </w:r>
      <w:r>
        <w:rPr/>
        <w:t>by compression of</w:t>
      </w:r>
      <w:r>
        <w:rPr>
          <w:spacing w:val="40"/>
        </w:rPr>
        <w:t> </w:t>
      </w:r>
      <w:r>
        <w:rPr/>
        <w:t>the</w:t>
      </w:r>
      <w:r>
        <w:rPr>
          <w:spacing w:val="40"/>
        </w:rPr>
        <w:t> </w:t>
      </w:r>
      <w:r>
        <w:rPr/>
        <w:t>powder/granule</w:t>
      </w:r>
      <w:r>
        <w:rPr>
          <w:spacing w:val="40"/>
        </w:rPr>
        <w:t> </w:t>
      </w:r>
      <w:r>
        <w:rPr/>
        <w:t>mix</w:t>
      </w:r>
      <w:r>
        <w:rPr>
          <w:spacing w:val="40"/>
        </w:rPr>
        <w:t> </w:t>
      </w:r>
      <w:r>
        <w:rPr/>
        <w:t>(containing API)</w:t>
      </w:r>
      <w:r>
        <w:rPr>
          <w:spacing w:val="40"/>
        </w:rPr>
        <w:t> </w:t>
      </w:r>
      <w:r>
        <w:rPr/>
        <w:t>on</w:t>
      </w:r>
      <w:r>
        <w:rPr>
          <w:spacing w:val="40"/>
        </w:rPr>
        <w:t> </w:t>
      </w:r>
      <w:r>
        <w:rPr/>
        <w:t>top</w:t>
      </w:r>
      <w:r>
        <w:rPr>
          <w:spacing w:val="40"/>
        </w:rPr>
        <w:t> </w:t>
      </w:r>
      <w:r>
        <w:rPr/>
        <w:t>of</w:t>
      </w:r>
      <w:r>
        <w:rPr>
          <w:spacing w:val="40"/>
        </w:rPr>
        <w:t> </w:t>
      </w:r>
      <w:r>
        <w:rPr/>
        <w:t>the</w:t>
      </w:r>
      <w:r>
        <w:rPr>
          <w:spacing w:val="40"/>
        </w:rPr>
        <w:t> </w:t>
      </w:r>
      <w:r>
        <w:rPr/>
        <w:t>lightly compressed first layer. Extra layers are formed in a similar fashion. In the second</w:t>
      </w:r>
      <w:r>
        <w:rPr>
          <w:spacing w:val="40"/>
        </w:rPr>
        <w:t> </w:t>
      </w:r>
      <w:r>
        <w:rPr/>
        <w:t>approach the initial layer is prepared by light compression, removed and located in a second tablet press. Granules/powders of the second coat are fed into the press and</w:t>
      </w:r>
      <w:r>
        <w:rPr>
          <w:spacing w:val="40"/>
        </w:rPr>
        <w:t> </w:t>
      </w:r>
      <w:r>
        <w:rPr/>
        <w:t>allowed</w:t>
      </w:r>
      <w:r>
        <w:rPr>
          <w:spacing w:val="20"/>
        </w:rPr>
        <w:t> </w:t>
      </w:r>
      <w:r>
        <w:rPr/>
        <w:t>to</w:t>
      </w:r>
      <w:r>
        <w:rPr>
          <w:spacing w:val="20"/>
        </w:rPr>
        <w:t> </w:t>
      </w:r>
      <w:r>
        <w:rPr/>
        <w:t>form a constant mass around the surface and edges of the pressed tablet prior</w:t>
      </w:r>
      <w:r>
        <w:rPr>
          <w:spacing w:val="40"/>
        </w:rPr>
        <w:t> </w:t>
      </w:r>
      <w:r>
        <w:rPr/>
        <w:t>to compression to</w:t>
      </w:r>
      <w:r>
        <w:rPr>
          <w:spacing w:val="40"/>
        </w:rPr>
        <w:t> </w:t>
      </w:r>
      <w:r>
        <w:rPr/>
        <w:t>form the finished product. The complexity of the manufacturing</w:t>
      </w:r>
      <w:r>
        <w:rPr>
          <w:spacing w:val="40"/>
        </w:rPr>
        <w:t> </w:t>
      </w:r>
      <w:r>
        <w:rPr/>
        <w:t>process is dramatically increased where tablets containing more than two layers are </w:t>
      </w:r>
      <w:r>
        <w:rPr>
          <w:spacing w:val="-2"/>
        </w:rPr>
        <w:t>prepared.</w:t>
      </w:r>
    </w:p>
    <w:p>
      <w:pPr>
        <w:spacing w:after="0" w:line="491" w:lineRule="auto"/>
        <w:jc w:val="both"/>
        <w:sectPr>
          <w:pgSz w:w="12240" w:h="15840"/>
          <w:pgMar w:header="0" w:footer="999" w:top="1260" w:bottom="1180" w:left="1720" w:right="0"/>
        </w:sectPr>
      </w:pPr>
    </w:p>
    <w:p>
      <w:pPr>
        <w:pStyle w:val="Heading2"/>
        <w:numPr>
          <w:ilvl w:val="2"/>
          <w:numId w:val="15"/>
        </w:numPr>
        <w:tabs>
          <w:tab w:pos="1342" w:val="left" w:leader="none"/>
        </w:tabs>
        <w:spacing w:line="240" w:lineRule="auto" w:before="80" w:after="0"/>
        <w:ind w:left="1342" w:right="0" w:hanging="677"/>
        <w:jc w:val="left"/>
      </w:pPr>
      <w:bookmarkStart w:name="_TOC_250118" w:id="43"/>
      <w:r>
        <w:rPr/>
        <w:t>Enteric-coated</w:t>
      </w:r>
      <w:r>
        <w:rPr>
          <w:spacing w:val="30"/>
        </w:rPr>
        <w:t> </w:t>
      </w:r>
      <w:bookmarkEnd w:id="43"/>
      <w:r>
        <w:rPr>
          <w:spacing w:val="-2"/>
        </w:rPr>
        <w:t>tablets</w:t>
      </w:r>
    </w:p>
    <w:p>
      <w:pPr>
        <w:pStyle w:val="BodyText"/>
        <w:spacing w:line="491" w:lineRule="auto" w:before="246"/>
        <w:ind w:left="665" w:right="1857" w:firstLine="676"/>
        <w:jc w:val="both"/>
      </w:pPr>
      <w:r>
        <w:rPr/>
        <w:t>These are tablets that are coated</w:t>
      </w:r>
      <w:r>
        <w:rPr>
          <w:spacing w:val="40"/>
        </w:rPr>
        <w:t> </w:t>
      </w:r>
      <w:r>
        <w:rPr/>
        <w:t>with a polymer</w:t>
      </w:r>
      <w:r>
        <w:rPr>
          <w:spacing w:val="40"/>
        </w:rPr>
        <w:t> </w:t>
      </w:r>
      <w:r>
        <w:rPr/>
        <w:t>that does not dissolve under acidic conditions (i.e. stomach) but does dissolve under the more alkaline conditions of</w:t>
      </w:r>
      <w:r>
        <w:rPr>
          <w:spacing w:val="80"/>
        </w:rPr>
        <w:t> </w:t>
      </w:r>
      <w:r>
        <w:rPr/>
        <w:t>the small intestine (i.e. pH &gt; 4). Enteric polymers are used as coatings of conventional tablet dosage forms and by inhibiting the dissolution of the therapeutic agent within the stomach, offer protection against possible drug degradation (e.g. erythromycin) or irritation of the gastric mucosa (e.g. non-steroidal anti-inflammatory drugs). The tablet</w:t>
      </w:r>
      <w:r>
        <w:rPr>
          <w:spacing w:val="40"/>
        </w:rPr>
        <w:t> </w:t>
      </w:r>
      <w:r>
        <w:rPr/>
        <w:t>will disintegrate following dissolution of the coating,</w:t>
      </w:r>
      <w:r>
        <w:rPr>
          <w:spacing w:val="31"/>
        </w:rPr>
        <w:t> </w:t>
      </w:r>
      <w:r>
        <w:rPr/>
        <w:t>and</w:t>
      </w:r>
      <w:r>
        <w:rPr>
          <w:spacing w:val="32"/>
        </w:rPr>
        <w:t> </w:t>
      </w:r>
      <w:r>
        <w:rPr/>
        <w:t>then the drug will dissolve in the gastric fluids (thereby facilitating absorption).</w:t>
      </w:r>
    </w:p>
    <w:p>
      <w:pPr>
        <w:pStyle w:val="BodyText"/>
        <w:spacing w:before="3"/>
        <w:ind w:left="1342"/>
      </w:pPr>
      <w:r>
        <w:rPr/>
        <w:t>Examples</w:t>
      </w:r>
      <w:r>
        <w:rPr>
          <w:spacing w:val="10"/>
        </w:rPr>
        <w:t> </w:t>
      </w:r>
      <w:r>
        <w:rPr/>
        <w:t>of</w:t>
      </w:r>
      <w:r>
        <w:rPr>
          <w:spacing w:val="8"/>
        </w:rPr>
        <w:t> </w:t>
      </w:r>
      <w:r>
        <w:rPr/>
        <w:t>polymers</w:t>
      </w:r>
      <w:r>
        <w:rPr>
          <w:spacing w:val="11"/>
        </w:rPr>
        <w:t> </w:t>
      </w:r>
      <w:r>
        <w:rPr/>
        <w:t>used</w:t>
      </w:r>
      <w:r>
        <w:rPr>
          <w:spacing w:val="14"/>
        </w:rPr>
        <w:t> </w:t>
      </w:r>
      <w:r>
        <w:rPr/>
        <w:t>include</w:t>
      </w:r>
      <w:r>
        <w:rPr>
          <w:spacing w:val="14"/>
        </w:rPr>
        <w:t> </w:t>
      </w:r>
      <w:r>
        <w:rPr/>
        <w:t>(David,</w:t>
      </w:r>
      <w:r>
        <w:rPr>
          <w:spacing w:val="14"/>
        </w:rPr>
        <w:t> </w:t>
      </w:r>
      <w:r>
        <w:rPr>
          <w:spacing w:val="-2"/>
        </w:rPr>
        <w:t>2008):</w:t>
      </w:r>
    </w:p>
    <w:p>
      <w:pPr>
        <w:pStyle w:val="BodyText"/>
        <w:spacing w:before="13"/>
      </w:pPr>
    </w:p>
    <w:p>
      <w:pPr>
        <w:pStyle w:val="ListParagraph"/>
        <w:numPr>
          <w:ilvl w:val="0"/>
          <w:numId w:val="17"/>
        </w:numPr>
        <w:tabs>
          <w:tab w:pos="1368" w:val="left" w:leader="none"/>
        </w:tabs>
        <w:spacing w:line="240" w:lineRule="auto" w:before="0" w:after="0"/>
        <w:ind w:left="1368" w:right="0" w:hanging="362"/>
        <w:jc w:val="both"/>
        <w:rPr>
          <w:sz w:val="22"/>
        </w:rPr>
      </w:pPr>
      <w:r>
        <w:rPr>
          <w:sz w:val="22"/>
        </w:rPr>
        <w:t>hydroxypropylmethyl</w:t>
      </w:r>
      <w:r>
        <w:rPr>
          <w:spacing w:val="20"/>
          <w:sz w:val="22"/>
        </w:rPr>
        <w:t> </w:t>
      </w:r>
      <w:r>
        <w:rPr>
          <w:sz w:val="22"/>
        </w:rPr>
        <w:t>cellulose</w:t>
      </w:r>
      <w:r>
        <w:rPr>
          <w:spacing w:val="21"/>
          <w:sz w:val="22"/>
        </w:rPr>
        <w:t> </w:t>
      </w:r>
      <w:r>
        <w:rPr>
          <w:sz w:val="22"/>
        </w:rPr>
        <w:t>succinate;</w:t>
      </w:r>
      <w:r>
        <w:rPr>
          <w:spacing w:val="25"/>
          <w:sz w:val="22"/>
        </w:rPr>
        <w:t> </w:t>
      </w:r>
      <w:r>
        <w:rPr>
          <w:spacing w:val="-5"/>
          <w:sz w:val="22"/>
        </w:rPr>
        <w:t>and</w:t>
      </w:r>
    </w:p>
    <w:p>
      <w:pPr>
        <w:pStyle w:val="BodyText"/>
        <w:spacing w:before="12"/>
      </w:pPr>
    </w:p>
    <w:p>
      <w:pPr>
        <w:pStyle w:val="ListParagraph"/>
        <w:numPr>
          <w:ilvl w:val="0"/>
          <w:numId w:val="17"/>
        </w:numPr>
        <w:tabs>
          <w:tab w:pos="1368" w:val="left" w:leader="none"/>
        </w:tabs>
        <w:spacing w:line="240" w:lineRule="auto" w:before="0" w:after="0"/>
        <w:ind w:left="1368" w:right="0" w:hanging="362"/>
        <w:jc w:val="both"/>
        <w:rPr>
          <w:sz w:val="22"/>
        </w:rPr>
      </w:pPr>
      <w:r>
        <w:rPr>
          <w:sz w:val="22"/>
        </w:rPr>
        <w:t>methacrylic</w:t>
      </w:r>
      <w:r>
        <w:rPr>
          <w:spacing w:val="13"/>
          <w:sz w:val="22"/>
        </w:rPr>
        <w:t> </w:t>
      </w:r>
      <w:r>
        <w:rPr>
          <w:sz w:val="22"/>
        </w:rPr>
        <w:t>acid</w:t>
      </w:r>
      <w:r>
        <w:rPr>
          <w:spacing w:val="20"/>
          <w:sz w:val="22"/>
        </w:rPr>
        <w:t> </w:t>
      </w:r>
      <w:r>
        <w:rPr>
          <w:sz w:val="22"/>
        </w:rPr>
        <w:t>co-polymers</w:t>
      </w:r>
      <w:r>
        <w:rPr>
          <w:spacing w:val="11"/>
          <w:sz w:val="22"/>
        </w:rPr>
        <w:t> </w:t>
      </w:r>
      <w:r>
        <w:rPr>
          <w:spacing w:val="-2"/>
          <w:sz w:val="22"/>
        </w:rPr>
        <w:t>(Eudragit).</w:t>
      </w:r>
    </w:p>
    <w:p>
      <w:pPr>
        <w:pStyle w:val="BodyText"/>
        <w:spacing w:before="243"/>
      </w:pPr>
    </w:p>
    <w:p>
      <w:pPr>
        <w:pStyle w:val="Heading2"/>
        <w:numPr>
          <w:ilvl w:val="2"/>
          <w:numId w:val="15"/>
        </w:numPr>
        <w:tabs>
          <w:tab w:pos="1342" w:val="left" w:leader="none"/>
        </w:tabs>
        <w:spacing w:line="240" w:lineRule="auto" w:before="0" w:after="0"/>
        <w:ind w:left="1342" w:right="0" w:hanging="677"/>
        <w:jc w:val="left"/>
      </w:pPr>
      <w:bookmarkStart w:name="_TOC_250117" w:id="44"/>
      <w:r>
        <w:rPr/>
        <w:t>Sugar-coated</w:t>
      </w:r>
      <w:r>
        <w:rPr>
          <w:spacing w:val="21"/>
        </w:rPr>
        <w:t> </w:t>
      </w:r>
      <w:bookmarkEnd w:id="44"/>
      <w:r>
        <w:rPr>
          <w:spacing w:val="-2"/>
        </w:rPr>
        <w:t>tablets</w:t>
      </w:r>
    </w:p>
    <w:p>
      <w:pPr>
        <w:pStyle w:val="BodyText"/>
        <w:spacing w:line="494" w:lineRule="auto" w:before="241"/>
        <w:ind w:left="665" w:right="1857" w:firstLine="676"/>
        <w:jc w:val="both"/>
      </w:pPr>
      <w:r>
        <w:rPr/>
        <w:t>Conventional tablets are usually coated with a concentrated sugar solution to improve the appearance of the formulation and/or to mask bitter taste of the API. Due to the advent of film-coated tablets, the use of sugar-coatings has dramatically decreased. Film coated tablets have improved mechanical properties (David, 2008).</w:t>
      </w:r>
    </w:p>
    <w:p>
      <w:pPr>
        <w:pStyle w:val="Heading2"/>
        <w:numPr>
          <w:ilvl w:val="2"/>
          <w:numId w:val="15"/>
        </w:numPr>
        <w:tabs>
          <w:tab w:pos="1342" w:val="left" w:leader="none"/>
        </w:tabs>
        <w:spacing w:line="240" w:lineRule="auto" w:before="225" w:after="0"/>
        <w:ind w:left="1342" w:right="0" w:hanging="677"/>
        <w:jc w:val="left"/>
      </w:pPr>
      <w:bookmarkStart w:name="_TOC_250116" w:id="45"/>
      <w:r>
        <w:rPr/>
        <w:t>Film-coated</w:t>
      </w:r>
      <w:r>
        <w:rPr>
          <w:spacing w:val="24"/>
        </w:rPr>
        <w:t> </w:t>
      </w:r>
      <w:bookmarkEnd w:id="45"/>
      <w:r>
        <w:rPr>
          <w:spacing w:val="-2"/>
        </w:rPr>
        <w:t>tablets</w:t>
      </w:r>
    </w:p>
    <w:p>
      <w:pPr>
        <w:pStyle w:val="BodyText"/>
        <w:spacing w:line="491" w:lineRule="auto" w:before="241"/>
        <w:ind w:left="665" w:right="1859" w:firstLine="676"/>
        <w:jc w:val="both"/>
      </w:pPr>
      <w:r>
        <w:rPr/>
        <w:t>These are usually coated with a polymer or a mixture of polymers (and, when required, a plasticizer to render the coating flexible). Film coatings are generally less elegant</w:t>
      </w:r>
      <w:r>
        <w:rPr>
          <w:spacing w:val="40"/>
        </w:rPr>
        <w:t> </w:t>
      </w:r>
      <w:r>
        <w:rPr/>
        <w:t>than</w:t>
      </w:r>
      <w:r>
        <w:rPr>
          <w:spacing w:val="40"/>
        </w:rPr>
        <w:t> </w:t>
      </w:r>
      <w:r>
        <w:rPr/>
        <w:t>sugar</w:t>
      </w:r>
      <w:r>
        <w:rPr>
          <w:spacing w:val="40"/>
        </w:rPr>
        <w:t> </w:t>
      </w:r>
      <w:r>
        <w:rPr/>
        <w:t>coatings.</w:t>
      </w:r>
      <w:r>
        <w:rPr>
          <w:spacing w:val="40"/>
        </w:rPr>
        <w:t> </w:t>
      </w:r>
      <w:r>
        <w:rPr/>
        <w:t>Examples</w:t>
      </w:r>
      <w:r>
        <w:rPr>
          <w:spacing w:val="40"/>
        </w:rPr>
        <w:t> </w:t>
      </w:r>
      <w:r>
        <w:rPr/>
        <w:t>of</w:t>
      </w:r>
      <w:r>
        <w:rPr>
          <w:spacing w:val="40"/>
        </w:rPr>
        <w:t> </w:t>
      </w:r>
      <w:r>
        <w:rPr/>
        <w:t>polymers</w:t>
      </w:r>
      <w:r>
        <w:rPr>
          <w:spacing w:val="40"/>
        </w:rPr>
        <w:t> </w:t>
      </w:r>
      <w:r>
        <w:rPr/>
        <w:t>that</w:t>
      </w:r>
      <w:r>
        <w:rPr>
          <w:spacing w:val="40"/>
        </w:rPr>
        <w:t> </w:t>
      </w:r>
      <w:r>
        <w:rPr/>
        <w:t>are</w:t>
      </w:r>
      <w:r>
        <w:rPr>
          <w:spacing w:val="40"/>
        </w:rPr>
        <w:t> </w:t>
      </w:r>
      <w:r>
        <w:rPr/>
        <w:t>used</w:t>
      </w:r>
      <w:r>
        <w:rPr>
          <w:spacing w:val="40"/>
        </w:rPr>
        <w:t> </w:t>
      </w:r>
      <w:r>
        <w:rPr/>
        <w:t>to</w:t>
      </w:r>
      <w:r>
        <w:rPr>
          <w:spacing w:val="40"/>
        </w:rPr>
        <w:t> </w:t>
      </w:r>
      <w:r>
        <w:rPr/>
        <w:t>film-coat</w:t>
      </w:r>
      <w:r>
        <w:rPr>
          <w:spacing w:val="40"/>
        </w:rPr>
        <w:t> </w:t>
      </w:r>
      <w:r>
        <w:rPr/>
        <w:t>tablets (and which dissolve in the stomach to enable tablet disintegration and drug dissolution) include (David, 2008):</w:t>
      </w:r>
    </w:p>
    <w:p>
      <w:pPr>
        <w:pStyle w:val="ListParagraph"/>
        <w:numPr>
          <w:ilvl w:val="0"/>
          <w:numId w:val="18"/>
        </w:numPr>
        <w:tabs>
          <w:tab w:pos="1341" w:val="left" w:leader="none"/>
        </w:tabs>
        <w:spacing w:line="240" w:lineRule="auto" w:before="2" w:after="0"/>
        <w:ind w:left="1341" w:right="0" w:hanging="335"/>
        <w:jc w:val="both"/>
        <w:rPr>
          <w:sz w:val="22"/>
        </w:rPr>
      </w:pPr>
      <w:r>
        <w:rPr>
          <w:sz w:val="22"/>
        </w:rPr>
        <w:t>hydroxypropylmethyl</w:t>
      </w:r>
      <w:r>
        <w:rPr>
          <w:spacing w:val="31"/>
          <w:sz w:val="22"/>
        </w:rPr>
        <w:t> </w:t>
      </w:r>
      <w:r>
        <w:rPr>
          <w:spacing w:val="-2"/>
          <w:sz w:val="22"/>
        </w:rPr>
        <w:t>cellulose</w:t>
      </w:r>
    </w:p>
    <w:p>
      <w:pPr>
        <w:pStyle w:val="BodyText"/>
        <w:spacing w:before="15"/>
      </w:pPr>
    </w:p>
    <w:p>
      <w:pPr>
        <w:pStyle w:val="ListParagraph"/>
        <w:numPr>
          <w:ilvl w:val="0"/>
          <w:numId w:val="18"/>
        </w:numPr>
        <w:tabs>
          <w:tab w:pos="1341" w:val="left" w:leader="none"/>
        </w:tabs>
        <w:spacing w:line="240" w:lineRule="auto" w:before="1" w:after="0"/>
        <w:ind w:left="1341" w:right="0" w:hanging="335"/>
        <w:jc w:val="both"/>
        <w:rPr>
          <w:sz w:val="22"/>
        </w:rPr>
      </w:pPr>
      <w:r>
        <w:rPr>
          <w:sz w:val="22"/>
        </w:rPr>
        <w:t>hydroxypropyl</w:t>
      </w:r>
      <w:r>
        <w:rPr>
          <w:spacing w:val="23"/>
          <w:sz w:val="22"/>
        </w:rPr>
        <w:t> </w:t>
      </w:r>
      <w:r>
        <w:rPr>
          <w:spacing w:val="-2"/>
          <w:sz w:val="22"/>
        </w:rPr>
        <w:t>cellulose</w:t>
      </w:r>
    </w:p>
    <w:p>
      <w:pPr>
        <w:spacing w:after="0" w:line="240" w:lineRule="auto"/>
        <w:jc w:val="both"/>
        <w:rPr>
          <w:sz w:val="22"/>
        </w:rPr>
        <w:sectPr>
          <w:pgSz w:w="12240" w:h="15840"/>
          <w:pgMar w:header="0" w:footer="999" w:top="1260" w:bottom="1180" w:left="1720" w:right="0"/>
        </w:sectPr>
      </w:pPr>
    </w:p>
    <w:p>
      <w:pPr>
        <w:pStyle w:val="ListParagraph"/>
        <w:numPr>
          <w:ilvl w:val="0"/>
          <w:numId w:val="18"/>
        </w:numPr>
        <w:tabs>
          <w:tab w:pos="1342" w:val="left" w:leader="none"/>
          <w:tab w:pos="8340" w:val="left" w:leader="none"/>
        </w:tabs>
        <w:spacing w:line="475" w:lineRule="auto" w:before="94" w:after="0"/>
        <w:ind w:left="1342" w:right="1858" w:hanging="336"/>
        <w:jc w:val="both"/>
        <w:rPr>
          <w:sz w:val="22"/>
        </w:rPr>
      </w:pPr>
      <w:r>
        <w:rPr>
          <w:sz w:val="22"/>
        </w:rPr>
        <w:t>Eudragit</w:t>
      </w:r>
      <w:r>
        <w:rPr>
          <w:spacing w:val="40"/>
          <w:sz w:val="22"/>
        </w:rPr>
        <w:t> </w:t>
      </w:r>
      <w:r>
        <w:rPr>
          <w:sz w:val="22"/>
        </w:rPr>
        <w:t>E100 (a</w:t>
      </w:r>
      <w:r>
        <w:rPr>
          <w:spacing w:val="40"/>
          <w:sz w:val="22"/>
        </w:rPr>
        <w:t> </w:t>
      </w:r>
      <w:r>
        <w:rPr>
          <w:sz w:val="22"/>
        </w:rPr>
        <w:t>co-polymer</w:t>
      </w:r>
      <w:r>
        <w:rPr>
          <w:spacing w:val="40"/>
          <w:sz w:val="22"/>
        </w:rPr>
        <w:t> </w:t>
      </w:r>
      <w:r>
        <w:rPr>
          <w:sz w:val="22"/>
        </w:rPr>
        <w:t>of butylmethacrylate,</w:t>
        <w:tab/>
        <w:t>2 </w:t>
      </w:r>
      <w:r>
        <w:rPr>
          <w:sz w:val="22"/>
        </w:rPr>
        <w:t>– dimethylaminoethylemethacrylate and methyl methacrylate, 1:2:1).</w:t>
      </w:r>
    </w:p>
    <w:p>
      <w:pPr>
        <w:pStyle w:val="BodyText"/>
        <w:spacing w:line="491" w:lineRule="auto" w:before="23"/>
        <w:ind w:left="665" w:right="1859" w:firstLine="676"/>
        <w:jc w:val="both"/>
      </w:pPr>
      <w:r>
        <w:rPr/>
        <w:t>Other than improving the appearance of conventional tablets, film coatings are used to control the rate and duration of drug release or to target drug release to certain regions of the</w:t>
      </w:r>
      <w:r>
        <w:rPr>
          <w:spacing w:val="40"/>
        </w:rPr>
        <w:t> </w:t>
      </w:r>
      <w:r>
        <w:rPr/>
        <w:t>gastrointestinal tract.</w:t>
      </w:r>
      <w:r>
        <w:rPr>
          <w:spacing w:val="40"/>
        </w:rPr>
        <w:t> </w:t>
      </w:r>
      <w:r>
        <w:rPr/>
        <w:t>Drug release occurs by diffusion through the insoluble coating and subsequent partitioning into the gastrointestinal fluids.</w:t>
      </w:r>
    </w:p>
    <w:p>
      <w:pPr>
        <w:pStyle w:val="Heading2"/>
        <w:numPr>
          <w:ilvl w:val="2"/>
          <w:numId w:val="15"/>
        </w:numPr>
        <w:tabs>
          <w:tab w:pos="1342" w:val="left" w:leader="none"/>
        </w:tabs>
        <w:spacing w:line="240" w:lineRule="auto" w:before="229" w:after="0"/>
        <w:ind w:left="1342" w:right="0" w:hanging="677"/>
        <w:jc w:val="left"/>
      </w:pPr>
      <w:bookmarkStart w:name="_TOC_250115" w:id="46"/>
      <w:r>
        <w:rPr/>
        <w:t>Chewable</w:t>
      </w:r>
      <w:r>
        <w:rPr>
          <w:spacing w:val="21"/>
        </w:rPr>
        <w:t> </w:t>
      </w:r>
      <w:bookmarkEnd w:id="46"/>
      <w:r>
        <w:rPr>
          <w:spacing w:val="-2"/>
        </w:rPr>
        <w:t>tablets</w:t>
      </w:r>
    </w:p>
    <w:p>
      <w:pPr>
        <w:pStyle w:val="BodyText"/>
        <w:spacing w:line="491" w:lineRule="auto" w:before="242"/>
        <w:ind w:left="665" w:right="1854" w:firstLine="676"/>
        <w:jc w:val="both"/>
      </w:pPr>
      <w:r>
        <w:rPr/>
        <w:t>Just like the name, these tablets are chewed in the buccal cavity and thus mechanically disintegrate in the mouth. Dissolution however occurs in the stomach or intestine (Aulton, 2002). The main applications for this dosage form are:</w:t>
      </w:r>
    </w:p>
    <w:p>
      <w:pPr>
        <w:pStyle w:val="ListParagraph"/>
        <w:numPr>
          <w:ilvl w:val="0"/>
          <w:numId w:val="19"/>
        </w:numPr>
        <w:tabs>
          <w:tab w:pos="1342" w:val="left" w:leader="none"/>
        </w:tabs>
        <w:spacing w:line="475" w:lineRule="auto" w:before="2" w:after="0"/>
        <w:ind w:left="1342" w:right="1859" w:hanging="336"/>
        <w:jc w:val="left"/>
        <w:rPr>
          <w:sz w:val="22"/>
        </w:rPr>
      </w:pPr>
      <w:r>
        <w:rPr>
          <w:sz w:val="22"/>
        </w:rPr>
        <w:t>For</w:t>
      </w:r>
      <w:r>
        <w:rPr>
          <w:spacing w:val="40"/>
          <w:sz w:val="22"/>
        </w:rPr>
        <w:t> </w:t>
      </w:r>
      <w:r>
        <w:rPr>
          <w:sz w:val="22"/>
        </w:rPr>
        <w:t>administration</w:t>
      </w:r>
      <w:r>
        <w:rPr>
          <w:spacing w:val="40"/>
          <w:sz w:val="22"/>
        </w:rPr>
        <w:t> </w:t>
      </w:r>
      <w:r>
        <w:rPr>
          <w:sz w:val="22"/>
        </w:rPr>
        <w:t>to</w:t>
      </w:r>
      <w:r>
        <w:rPr>
          <w:spacing w:val="40"/>
          <w:sz w:val="22"/>
        </w:rPr>
        <w:t> </w:t>
      </w:r>
      <w:r>
        <w:rPr>
          <w:sz w:val="22"/>
        </w:rPr>
        <w:t>children</w:t>
      </w:r>
      <w:r>
        <w:rPr>
          <w:spacing w:val="40"/>
          <w:sz w:val="22"/>
        </w:rPr>
        <w:t> </w:t>
      </w:r>
      <w:r>
        <w:rPr>
          <w:sz w:val="22"/>
        </w:rPr>
        <w:t>and</w:t>
      </w:r>
      <w:r>
        <w:rPr>
          <w:spacing w:val="40"/>
          <w:sz w:val="22"/>
        </w:rPr>
        <w:t> </w:t>
      </w:r>
      <w:r>
        <w:rPr>
          <w:sz w:val="22"/>
        </w:rPr>
        <w:t>adults</w:t>
      </w:r>
      <w:r>
        <w:rPr>
          <w:spacing w:val="40"/>
          <w:sz w:val="22"/>
        </w:rPr>
        <w:t> </w:t>
      </w:r>
      <w:r>
        <w:rPr>
          <w:sz w:val="22"/>
        </w:rPr>
        <w:t>who</w:t>
      </w:r>
      <w:r>
        <w:rPr>
          <w:spacing w:val="40"/>
          <w:sz w:val="22"/>
        </w:rPr>
        <w:t> </w:t>
      </w:r>
      <w:r>
        <w:rPr>
          <w:sz w:val="22"/>
        </w:rPr>
        <w:t>have</w:t>
      </w:r>
      <w:r>
        <w:rPr>
          <w:spacing w:val="40"/>
          <w:sz w:val="22"/>
        </w:rPr>
        <w:t> </w:t>
      </w:r>
      <w:r>
        <w:rPr>
          <w:sz w:val="22"/>
        </w:rPr>
        <w:t>difficulty</w:t>
      </w:r>
      <w:r>
        <w:rPr>
          <w:spacing w:val="40"/>
          <w:sz w:val="22"/>
        </w:rPr>
        <w:t> </w:t>
      </w:r>
      <w:r>
        <w:rPr>
          <w:sz w:val="22"/>
        </w:rPr>
        <w:t>in</w:t>
      </w:r>
      <w:r>
        <w:rPr>
          <w:spacing w:val="40"/>
          <w:sz w:val="22"/>
        </w:rPr>
        <w:t> </w:t>
      </w:r>
      <w:r>
        <w:rPr>
          <w:sz w:val="22"/>
        </w:rPr>
        <w:t>swallowing</w:t>
      </w:r>
      <w:r>
        <w:rPr>
          <w:spacing w:val="40"/>
          <w:sz w:val="22"/>
        </w:rPr>
        <w:t> </w:t>
      </w:r>
      <w:r>
        <w:rPr>
          <w:sz w:val="22"/>
        </w:rPr>
        <w:t>conventional tablets.</w:t>
      </w:r>
    </w:p>
    <w:p>
      <w:pPr>
        <w:pStyle w:val="ListParagraph"/>
        <w:numPr>
          <w:ilvl w:val="0"/>
          <w:numId w:val="19"/>
        </w:numPr>
        <w:tabs>
          <w:tab w:pos="1342" w:val="left" w:leader="none"/>
        </w:tabs>
        <w:spacing w:line="470" w:lineRule="auto" w:before="22" w:after="0"/>
        <w:ind w:left="1342" w:right="1862" w:hanging="336"/>
        <w:jc w:val="left"/>
        <w:rPr>
          <w:sz w:val="22"/>
        </w:rPr>
      </w:pPr>
      <w:r>
        <w:rPr>
          <w:sz w:val="22"/>
        </w:rPr>
        <w:t>Antacid</w:t>
      </w:r>
      <w:r>
        <w:rPr>
          <w:spacing w:val="40"/>
          <w:sz w:val="22"/>
        </w:rPr>
        <w:t> </w:t>
      </w:r>
      <w:r>
        <w:rPr>
          <w:sz w:val="22"/>
        </w:rPr>
        <w:t>formulations</w:t>
      </w:r>
      <w:r>
        <w:rPr>
          <w:spacing w:val="40"/>
          <w:sz w:val="22"/>
        </w:rPr>
        <w:t> </w:t>
      </w:r>
      <w:r>
        <w:rPr>
          <w:sz w:val="22"/>
        </w:rPr>
        <w:t>in</w:t>
      </w:r>
      <w:r>
        <w:rPr>
          <w:spacing w:val="38"/>
          <w:sz w:val="22"/>
        </w:rPr>
        <w:t> </w:t>
      </w:r>
      <w:r>
        <w:rPr>
          <w:sz w:val="22"/>
        </w:rPr>
        <w:t>which</w:t>
      </w:r>
      <w:r>
        <w:rPr>
          <w:spacing w:val="32"/>
          <w:sz w:val="22"/>
        </w:rPr>
        <w:t> </w:t>
      </w:r>
      <w:r>
        <w:rPr>
          <w:sz w:val="22"/>
        </w:rPr>
        <w:t>the</w:t>
      </w:r>
      <w:r>
        <w:rPr>
          <w:spacing w:val="36"/>
          <w:sz w:val="22"/>
        </w:rPr>
        <w:t> </w:t>
      </w:r>
      <w:r>
        <w:rPr>
          <w:sz w:val="22"/>
        </w:rPr>
        <w:t>size</w:t>
      </w:r>
      <w:r>
        <w:rPr>
          <w:spacing w:val="40"/>
          <w:sz w:val="22"/>
        </w:rPr>
        <w:t> </w:t>
      </w:r>
      <w:r>
        <w:rPr>
          <w:sz w:val="22"/>
        </w:rPr>
        <w:t>of</w:t>
      </w:r>
      <w:r>
        <w:rPr>
          <w:spacing w:val="37"/>
          <w:sz w:val="22"/>
        </w:rPr>
        <w:t> </w:t>
      </w:r>
      <w:r>
        <w:rPr>
          <w:sz w:val="22"/>
        </w:rPr>
        <w:t>the</w:t>
      </w:r>
      <w:r>
        <w:rPr>
          <w:spacing w:val="36"/>
          <w:sz w:val="22"/>
        </w:rPr>
        <w:t> </w:t>
      </w:r>
      <w:r>
        <w:rPr>
          <w:sz w:val="22"/>
        </w:rPr>
        <w:t>tablet</w:t>
      </w:r>
      <w:r>
        <w:rPr>
          <w:spacing w:val="40"/>
          <w:sz w:val="22"/>
        </w:rPr>
        <w:t> </w:t>
      </w:r>
      <w:r>
        <w:rPr>
          <w:sz w:val="22"/>
        </w:rPr>
        <w:t>is</w:t>
      </w:r>
      <w:r>
        <w:rPr>
          <w:spacing w:val="39"/>
          <w:sz w:val="22"/>
        </w:rPr>
        <w:t> </w:t>
      </w:r>
      <w:r>
        <w:rPr>
          <w:sz w:val="22"/>
        </w:rPr>
        <w:t>normally</w:t>
      </w:r>
      <w:r>
        <w:rPr>
          <w:spacing w:val="32"/>
          <w:sz w:val="22"/>
        </w:rPr>
        <w:t> </w:t>
      </w:r>
      <w:r>
        <w:rPr>
          <w:sz w:val="22"/>
        </w:rPr>
        <w:t>large</w:t>
      </w:r>
      <w:r>
        <w:rPr>
          <w:spacing w:val="36"/>
          <w:sz w:val="22"/>
        </w:rPr>
        <w:t> </w:t>
      </w:r>
      <w:r>
        <w:rPr>
          <w:sz w:val="22"/>
        </w:rPr>
        <w:t>and</w:t>
      </w:r>
      <w:r>
        <w:rPr>
          <w:spacing w:val="40"/>
          <w:sz w:val="22"/>
        </w:rPr>
        <w:t> </w:t>
      </w:r>
      <w:r>
        <w:rPr>
          <w:sz w:val="22"/>
        </w:rPr>
        <w:t>the neutralization efficacy of the tablet is related</w:t>
      </w:r>
      <w:r>
        <w:rPr>
          <w:spacing w:val="27"/>
          <w:sz w:val="22"/>
        </w:rPr>
        <w:t> </w:t>
      </w:r>
      <w:r>
        <w:rPr>
          <w:sz w:val="22"/>
        </w:rPr>
        <w:t>to particle size within the stomach.</w:t>
      </w:r>
    </w:p>
    <w:p>
      <w:pPr>
        <w:pStyle w:val="ListParagraph"/>
        <w:numPr>
          <w:ilvl w:val="0"/>
          <w:numId w:val="19"/>
        </w:numPr>
        <w:tabs>
          <w:tab w:pos="1342" w:val="left" w:leader="none"/>
        </w:tabs>
        <w:spacing w:line="475" w:lineRule="auto" w:before="27" w:after="0"/>
        <w:ind w:left="1342" w:right="1859" w:hanging="336"/>
        <w:jc w:val="left"/>
        <w:rPr>
          <w:sz w:val="22"/>
        </w:rPr>
      </w:pPr>
      <w:r>
        <w:rPr>
          <w:sz w:val="22"/>
        </w:rPr>
        <w:t>Chewable</w:t>
      </w:r>
      <w:r>
        <w:rPr>
          <w:spacing w:val="40"/>
          <w:sz w:val="22"/>
        </w:rPr>
        <w:t> </w:t>
      </w:r>
      <w:r>
        <w:rPr>
          <w:sz w:val="22"/>
        </w:rPr>
        <w:t>tablets</w:t>
      </w:r>
      <w:r>
        <w:rPr>
          <w:spacing w:val="40"/>
          <w:sz w:val="22"/>
        </w:rPr>
        <w:t> </w:t>
      </w:r>
      <w:r>
        <w:rPr>
          <w:sz w:val="22"/>
        </w:rPr>
        <w:t>are</w:t>
      </w:r>
      <w:r>
        <w:rPr>
          <w:spacing w:val="40"/>
          <w:sz w:val="22"/>
        </w:rPr>
        <w:t> </w:t>
      </w:r>
      <w:r>
        <w:rPr>
          <w:sz w:val="22"/>
        </w:rPr>
        <w:t>not</w:t>
      </w:r>
      <w:r>
        <w:rPr>
          <w:spacing w:val="40"/>
          <w:sz w:val="22"/>
        </w:rPr>
        <w:t> </w:t>
      </w:r>
      <w:r>
        <w:rPr>
          <w:sz w:val="22"/>
        </w:rPr>
        <w:t>conventionally</w:t>
      </w:r>
      <w:r>
        <w:rPr>
          <w:spacing w:val="35"/>
          <w:sz w:val="22"/>
        </w:rPr>
        <w:t> </w:t>
      </w:r>
      <w:r>
        <w:rPr>
          <w:sz w:val="22"/>
        </w:rPr>
        <w:t>used</w:t>
      </w:r>
      <w:r>
        <w:rPr>
          <w:spacing w:val="40"/>
          <w:sz w:val="22"/>
        </w:rPr>
        <w:t> </w:t>
      </w:r>
      <w:r>
        <w:rPr>
          <w:sz w:val="22"/>
        </w:rPr>
        <w:t>if</w:t>
      </w:r>
      <w:r>
        <w:rPr>
          <w:spacing w:val="39"/>
          <w:sz w:val="22"/>
        </w:rPr>
        <w:t> </w:t>
      </w:r>
      <w:r>
        <w:rPr>
          <w:sz w:val="22"/>
        </w:rPr>
        <w:t>the</w:t>
      </w:r>
      <w:r>
        <w:rPr>
          <w:spacing w:val="40"/>
          <w:sz w:val="22"/>
        </w:rPr>
        <w:t> </w:t>
      </w:r>
      <w:r>
        <w:rPr>
          <w:sz w:val="22"/>
        </w:rPr>
        <w:t>drug</w:t>
      </w:r>
      <w:r>
        <w:rPr>
          <w:spacing w:val="40"/>
          <w:sz w:val="22"/>
        </w:rPr>
        <w:t> </w:t>
      </w:r>
      <w:r>
        <w:rPr>
          <w:sz w:val="22"/>
        </w:rPr>
        <w:t>has</w:t>
      </w:r>
      <w:r>
        <w:rPr>
          <w:spacing w:val="40"/>
          <w:sz w:val="22"/>
        </w:rPr>
        <w:t> </w:t>
      </w:r>
      <w:r>
        <w:rPr>
          <w:sz w:val="22"/>
        </w:rPr>
        <w:t>issues</w:t>
      </w:r>
      <w:r>
        <w:rPr>
          <w:spacing w:val="40"/>
          <w:sz w:val="22"/>
        </w:rPr>
        <w:t> </w:t>
      </w:r>
      <w:r>
        <w:rPr>
          <w:sz w:val="22"/>
        </w:rPr>
        <w:t>regarding taste acceptability (David, 2008).</w:t>
      </w:r>
    </w:p>
    <w:p>
      <w:pPr>
        <w:pStyle w:val="Heading2"/>
        <w:numPr>
          <w:ilvl w:val="2"/>
          <w:numId w:val="15"/>
        </w:numPr>
        <w:tabs>
          <w:tab w:pos="1342" w:val="left" w:leader="none"/>
        </w:tabs>
        <w:spacing w:line="240" w:lineRule="auto" w:before="248" w:after="0"/>
        <w:ind w:left="1342" w:right="0" w:hanging="677"/>
        <w:jc w:val="left"/>
      </w:pPr>
      <w:bookmarkStart w:name="_TOC_250114" w:id="47"/>
      <w:r>
        <w:rPr/>
        <w:t>Effervescent</w:t>
      </w:r>
      <w:r>
        <w:rPr>
          <w:spacing w:val="18"/>
        </w:rPr>
        <w:t> </w:t>
      </w:r>
      <w:bookmarkEnd w:id="47"/>
      <w:r>
        <w:rPr>
          <w:spacing w:val="-2"/>
        </w:rPr>
        <w:t>tablets</w:t>
      </w:r>
    </w:p>
    <w:p>
      <w:pPr>
        <w:pStyle w:val="BodyText"/>
        <w:spacing w:line="491" w:lineRule="auto" w:before="247"/>
        <w:ind w:left="665" w:right="1850" w:firstLine="676"/>
        <w:jc w:val="both"/>
      </w:pPr>
      <w:r>
        <w:rPr/>
        <w:t>These tablets are dropped in an aqueous solution where they will rapidly disintegrate and produce either a suspension or an aqueous solution (David, 2008).</w:t>
      </w:r>
    </w:p>
    <w:p>
      <w:pPr>
        <w:pStyle w:val="BodyText"/>
        <w:spacing w:line="491" w:lineRule="auto"/>
        <w:ind w:left="665" w:right="1859" w:firstLine="676"/>
        <w:jc w:val="both"/>
      </w:pPr>
      <w:r>
        <w:rPr/>
        <w:t>Disintegration of the tablets occurs due to a chemical interaction between two components: (1) an organic acid (e.g. citric acid); and (2) sodium bicarbonate in the presence of water. Carbon dioxide is liberated from this tablet in tablet disintegration (Aulton, 2002).</w:t>
      </w:r>
    </w:p>
    <w:p>
      <w:pPr>
        <w:spacing w:after="0" w:line="491" w:lineRule="auto"/>
        <w:jc w:val="both"/>
        <w:sectPr>
          <w:pgSz w:w="12240" w:h="15840"/>
          <w:pgMar w:header="0" w:footer="999" w:top="1240" w:bottom="1180" w:left="1720" w:right="0"/>
        </w:sectPr>
      </w:pPr>
    </w:p>
    <w:p>
      <w:pPr>
        <w:pStyle w:val="BodyText"/>
        <w:spacing w:line="491" w:lineRule="auto" w:before="75"/>
        <w:ind w:left="665" w:right="1858" w:firstLine="676"/>
        <w:jc w:val="both"/>
      </w:pPr>
      <w:r>
        <w:rPr/>
        <w:t>The main advantage</w:t>
      </w:r>
      <w:r>
        <w:rPr>
          <w:spacing w:val="40"/>
        </w:rPr>
        <w:t> </w:t>
      </w:r>
      <w:r>
        <w:rPr/>
        <w:t>of the</w:t>
      </w:r>
      <w:r>
        <w:rPr>
          <w:spacing w:val="40"/>
        </w:rPr>
        <w:t> </w:t>
      </w:r>
      <w:r>
        <w:rPr/>
        <w:t>use of effervescent</w:t>
      </w:r>
      <w:r>
        <w:rPr>
          <w:spacing w:val="40"/>
        </w:rPr>
        <w:t> </w:t>
      </w:r>
      <w:r>
        <w:rPr/>
        <w:t>tablets is the production of a dosage from which the therapeutic agent is more rapidly absorbed than from alternative solid dosage forms.</w:t>
      </w:r>
    </w:p>
    <w:p>
      <w:pPr>
        <w:pStyle w:val="BodyText"/>
        <w:spacing w:line="491" w:lineRule="auto"/>
        <w:ind w:left="665" w:right="1859" w:firstLine="676"/>
        <w:jc w:val="both"/>
      </w:pPr>
      <w:r>
        <w:rPr/>
        <w:t>The main advantages are the possible (un)availability of water and the need to package these tablets in moisture impermeable packaging (typically aluminum foil), to inhibit the interaction between the acid and sodium bicarbonate due to the presence of environmental moisture.</w:t>
      </w:r>
    </w:p>
    <w:p>
      <w:pPr>
        <w:pStyle w:val="Heading2"/>
        <w:numPr>
          <w:ilvl w:val="2"/>
          <w:numId w:val="15"/>
        </w:numPr>
        <w:tabs>
          <w:tab w:pos="1342" w:val="left" w:leader="none"/>
        </w:tabs>
        <w:spacing w:line="240" w:lineRule="auto" w:before="229" w:after="0"/>
        <w:ind w:left="1342" w:right="0" w:hanging="677"/>
        <w:jc w:val="left"/>
      </w:pPr>
      <w:bookmarkStart w:name="_TOC_250113" w:id="48"/>
      <w:r>
        <w:rPr/>
        <w:t>Sublingual</w:t>
      </w:r>
      <w:r>
        <w:rPr>
          <w:spacing w:val="10"/>
        </w:rPr>
        <w:t> </w:t>
      </w:r>
      <w:r>
        <w:rPr/>
        <w:t>and</w:t>
      </w:r>
      <w:r>
        <w:rPr>
          <w:spacing w:val="16"/>
        </w:rPr>
        <w:t> </w:t>
      </w:r>
      <w:r>
        <w:rPr/>
        <w:t>Buccal</w:t>
      </w:r>
      <w:r>
        <w:rPr>
          <w:spacing w:val="17"/>
        </w:rPr>
        <w:t> </w:t>
      </w:r>
      <w:bookmarkEnd w:id="48"/>
      <w:r>
        <w:rPr>
          <w:spacing w:val="-2"/>
        </w:rPr>
        <w:t>tablets</w:t>
      </w:r>
    </w:p>
    <w:p>
      <w:pPr>
        <w:pStyle w:val="BodyText"/>
        <w:spacing w:line="491" w:lineRule="auto" w:before="251"/>
        <w:ind w:left="665" w:right="1852" w:firstLine="676"/>
        <w:jc w:val="both"/>
      </w:pPr>
      <w:r>
        <w:rPr/>
        <w:t>Buccal and sublingual tablets are used for drug release in the mouth followed by systemic uptake of the drug (David, 2008). These tablets are employed to achieve either rapid absorption in the systemic circulation or alternatively, to enable systemic drug absorption in situations where oral drug delivery is inappropriate,</w:t>
      </w:r>
      <w:r>
        <w:rPr>
          <w:spacing w:val="40"/>
        </w:rPr>
        <w:t> </w:t>
      </w:r>
      <w:r>
        <w:rPr/>
        <w:t>e.g.</w:t>
      </w:r>
      <w:r>
        <w:rPr>
          <w:spacing w:val="40"/>
        </w:rPr>
        <w:t> </w:t>
      </w:r>
      <w:r>
        <w:rPr/>
        <w:t>nausea.</w:t>
      </w:r>
    </w:p>
    <w:p>
      <w:pPr>
        <w:pStyle w:val="BodyText"/>
        <w:spacing w:line="491" w:lineRule="auto"/>
        <w:ind w:left="665" w:right="1862" w:firstLine="676"/>
        <w:jc w:val="both"/>
      </w:pPr>
      <w:r>
        <w:rPr/>
        <w:t>Drug absorption across the buccal mucosa avoids first-pass liver metabolism. Sublingual</w:t>
      </w:r>
      <w:r>
        <w:rPr>
          <w:spacing w:val="17"/>
        </w:rPr>
        <w:t> </w:t>
      </w:r>
      <w:r>
        <w:rPr/>
        <w:t>tablets</w:t>
      </w:r>
      <w:r>
        <w:rPr>
          <w:spacing w:val="21"/>
        </w:rPr>
        <w:t> </w:t>
      </w:r>
      <w:r>
        <w:rPr/>
        <w:t>are</w:t>
      </w:r>
      <w:r>
        <w:rPr>
          <w:spacing w:val="29"/>
        </w:rPr>
        <w:t> </w:t>
      </w:r>
      <w:r>
        <w:rPr/>
        <w:t>placed</w:t>
      </w:r>
      <w:r>
        <w:rPr>
          <w:spacing w:val="25"/>
        </w:rPr>
        <w:t> </w:t>
      </w:r>
      <w:r>
        <w:rPr/>
        <w:t>under</w:t>
      </w:r>
      <w:r>
        <w:rPr>
          <w:spacing w:val="24"/>
        </w:rPr>
        <w:t> </w:t>
      </w:r>
      <w:r>
        <w:rPr/>
        <w:t>the</w:t>
      </w:r>
      <w:r>
        <w:rPr>
          <w:spacing w:val="23"/>
        </w:rPr>
        <w:t> </w:t>
      </w:r>
      <w:r>
        <w:rPr/>
        <w:t>tongue</w:t>
      </w:r>
      <w:r>
        <w:rPr>
          <w:spacing w:val="23"/>
        </w:rPr>
        <w:t> </w:t>
      </w:r>
      <w:r>
        <w:rPr/>
        <w:t>and</w:t>
      </w:r>
      <w:r>
        <w:rPr>
          <w:spacing w:val="25"/>
        </w:rPr>
        <w:t> </w:t>
      </w:r>
      <w:r>
        <w:rPr/>
        <w:t>buccal</w:t>
      </w:r>
      <w:r>
        <w:rPr>
          <w:spacing w:val="23"/>
        </w:rPr>
        <w:t> </w:t>
      </w:r>
      <w:r>
        <w:rPr/>
        <w:t>tablets</w:t>
      </w:r>
      <w:r>
        <w:rPr>
          <w:spacing w:val="26"/>
        </w:rPr>
        <w:t> </w:t>
      </w:r>
      <w:r>
        <w:rPr/>
        <w:t>are</w:t>
      </w:r>
      <w:r>
        <w:rPr>
          <w:spacing w:val="18"/>
        </w:rPr>
        <w:t> </w:t>
      </w:r>
      <w:r>
        <w:rPr/>
        <w:t>placed</w:t>
      </w:r>
      <w:r>
        <w:rPr>
          <w:spacing w:val="37"/>
        </w:rPr>
        <w:t> </w:t>
      </w:r>
      <w:r>
        <w:rPr/>
        <w:t>in the</w:t>
      </w:r>
      <w:r>
        <w:rPr>
          <w:spacing w:val="29"/>
        </w:rPr>
        <w:t> </w:t>
      </w:r>
      <w:r>
        <w:rPr/>
        <w:t>side of the cheek.</w:t>
      </w:r>
    </w:p>
    <w:p>
      <w:pPr>
        <w:pStyle w:val="BodyText"/>
        <w:spacing w:line="491" w:lineRule="auto"/>
        <w:ind w:left="665" w:right="1859" w:firstLine="676"/>
        <w:jc w:val="both"/>
      </w:pPr>
      <w:r>
        <w:rPr/>
        <w:t>Sublingual</w:t>
      </w:r>
      <w:r>
        <w:rPr>
          <w:spacing w:val="40"/>
        </w:rPr>
        <w:t> </w:t>
      </w:r>
      <w:r>
        <w:rPr/>
        <w:t>and</w:t>
      </w:r>
      <w:r>
        <w:rPr>
          <w:spacing w:val="40"/>
        </w:rPr>
        <w:t> </w:t>
      </w:r>
      <w:r>
        <w:rPr/>
        <w:t>buccal</w:t>
      </w:r>
      <w:r>
        <w:rPr>
          <w:spacing w:val="40"/>
        </w:rPr>
        <w:t> </w:t>
      </w:r>
      <w:r>
        <w:rPr/>
        <w:t>tablets</w:t>
      </w:r>
      <w:r>
        <w:rPr>
          <w:spacing w:val="40"/>
        </w:rPr>
        <w:t> </w:t>
      </w:r>
      <w:r>
        <w:rPr/>
        <w:t>are</w:t>
      </w:r>
      <w:r>
        <w:rPr>
          <w:spacing w:val="40"/>
        </w:rPr>
        <w:t> </w:t>
      </w:r>
      <w:r>
        <w:rPr/>
        <w:t>often</w:t>
      </w:r>
      <w:r>
        <w:rPr>
          <w:spacing w:val="40"/>
        </w:rPr>
        <w:t> </w:t>
      </w:r>
      <w:r>
        <w:rPr/>
        <w:t>small</w:t>
      </w:r>
      <w:r>
        <w:rPr>
          <w:spacing w:val="40"/>
        </w:rPr>
        <w:t> </w:t>
      </w:r>
      <w:r>
        <w:rPr/>
        <w:t>and</w:t>
      </w:r>
      <w:r>
        <w:rPr>
          <w:spacing w:val="40"/>
        </w:rPr>
        <w:t> </w:t>
      </w:r>
      <w:r>
        <w:rPr/>
        <w:t>porous.</w:t>
      </w:r>
      <w:r>
        <w:rPr>
          <w:spacing w:val="40"/>
        </w:rPr>
        <w:t> </w:t>
      </w:r>
      <w:r>
        <w:rPr/>
        <w:t>Buccal</w:t>
      </w:r>
      <w:r>
        <w:rPr>
          <w:spacing w:val="40"/>
        </w:rPr>
        <w:t> </w:t>
      </w:r>
      <w:r>
        <w:rPr/>
        <w:t>tablets facilitate faster disintegration and drug release.</w:t>
      </w:r>
    </w:p>
    <w:p>
      <w:pPr>
        <w:pStyle w:val="Heading2"/>
        <w:numPr>
          <w:ilvl w:val="2"/>
          <w:numId w:val="15"/>
        </w:numPr>
        <w:tabs>
          <w:tab w:pos="1342" w:val="left" w:leader="none"/>
        </w:tabs>
        <w:spacing w:line="240" w:lineRule="auto" w:before="229" w:after="0"/>
        <w:ind w:left="1342" w:right="0" w:hanging="677"/>
        <w:jc w:val="left"/>
      </w:pPr>
      <w:bookmarkStart w:name="_TOC_250112" w:id="49"/>
      <w:r>
        <w:rPr/>
        <w:t>Vaginal</w:t>
      </w:r>
      <w:r>
        <w:rPr>
          <w:spacing w:val="15"/>
        </w:rPr>
        <w:t> </w:t>
      </w:r>
      <w:bookmarkEnd w:id="49"/>
      <w:r>
        <w:rPr>
          <w:spacing w:val="-2"/>
        </w:rPr>
        <w:t>tablets</w:t>
      </w:r>
    </w:p>
    <w:p>
      <w:pPr>
        <w:pStyle w:val="BodyText"/>
        <w:spacing w:line="491" w:lineRule="auto" w:before="246"/>
        <w:ind w:left="665" w:right="1855" w:firstLine="676"/>
        <w:jc w:val="both"/>
      </w:pPr>
      <w:r>
        <w:rPr/>
        <w:t>They are ovoid-shaped and inserted into the vagina (with the aid of a special inserter). Following insertion, retention and slow dissolution of the tablet occur, thus releasing</w:t>
      </w:r>
      <w:r>
        <w:rPr>
          <w:spacing w:val="37"/>
        </w:rPr>
        <w:t> </w:t>
      </w:r>
      <w:r>
        <w:rPr/>
        <w:t>the</w:t>
      </w:r>
      <w:r>
        <w:rPr>
          <w:spacing w:val="40"/>
        </w:rPr>
        <w:t> </w:t>
      </w:r>
      <w:r>
        <w:rPr/>
        <w:t>API</w:t>
      </w:r>
      <w:r>
        <w:rPr>
          <w:spacing w:val="40"/>
        </w:rPr>
        <w:t> </w:t>
      </w:r>
      <w:r>
        <w:rPr/>
        <w:t>to</w:t>
      </w:r>
      <w:r>
        <w:rPr>
          <w:spacing w:val="40"/>
        </w:rPr>
        <w:t> </w:t>
      </w:r>
      <w:r>
        <w:rPr/>
        <w:t>provide</w:t>
      </w:r>
      <w:r>
        <w:rPr>
          <w:spacing w:val="40"/>
        </w:rPr>
        <w:t> </w:t>
      </w:r>
      <w:r>
        <w:rPr/>
        <w:t>the</w:t>
      </w:r>
      <w:r>
        <w:rPr>
          <w:spacing w:val="40"/>
        </w:rPr>
        <w:t> </w:t>
      </w:r>
      <w:r>
        <w:rPr/>
        <w:t>local</w:t>
      </w:r>
      <w:r>
        <w:rPr>
          <w:spacing w:val="39"/>
        </w:rPr>
        <w:t> </w:t>
      </w:r>
      <w:r>
        <w:rPr/>
        <w:t>pharmacological</w:t>
      </w:r>
      <w:r>
        <w:rPr>
          <w:spacing w:val="39"/>
        </w:rPr>
        <w:t> </w:t>
      </w:r>
      <w:r>
        <w:rPr/>
        <w:t>effect.</w:t>
      </w:r>
      <w:r>
        <w:rPr>
          <w:spacing w:val="40"/>
        </w:rPr>
        <w:t> </w:t>
      </w:r>
      <w:r>
        <w:rPr/>
        <w:t>Systemic</w:t>
      </w:r>
      <w:r>
        <w:rPr>
          <w:spacing w:val="40"/>
        </w:rPr>
        <w:t> </w:t>
      </w:r>
      <w:r>
        <w:rPr/>
        <w:t>absorption</w:t>
      </w:r>
      <w:r>
        <w:rPr>
          <w:spacing w:val="37"/>
        </w:rPr>
        <w:t> </w:t>
      </w:r>
      <w:r>
        <w:rPr/>
        <w:t>of API</w:t>
      </w:r>
      <w:r>
        <w:rPr>
          <w:spacing w:val="40"/>
        </w:rPr>
        <w:t> </w:t>
      </w:r>
      <w:r>
        <w:rPr/>
        <w:t>can</w:t>
      </w:r>
      <w:r>
        <w:rPr>
          <w:spacing w:val="40"/>
        </w:rPr>
        <w:t> </w:t>
      </w:r>
      <w:r>
        <w:rPr/>
        <w:t>also</w:t>
      </w:r>
      <w:r>
        <w:rPr>
          <w:spacing w:val="40"/>
        </w:rPr>
        <w:t> </w:t>
      </w:r>
      <w:r>
        <w:rPr/>
        <w:t>be</w:t>
      </w:r>
      <w:r>
        <w:rPr>
          <w:spacing w:val="40"/>
        </w:rPr>
        <w:t> </w:t>
      </w:r>
      <w:r>
        <w:rPr/>
        <w:t>achieved.</w:t>
      </w:r>
      <w:r>
        <w:rPr>
          <w:spacing w:val="40"/>
        </w:rPr>
        <w:t> </w:t>
      </w:r>
      <w:r>
        <w:rPr/>
        <w:t>In</w:t>
      </w:r>
      <w:r>
        <w:rPr>
          <w:spacing w:val="40"/>
        </w:rPr>
        <w:t> </w:t>
      </w:r>
      <w:r>
        <w:rPr/>
        <w:t>a</w:t>
      </w:r>
      <w:r>
        <w:rPr>
          <w:spacing w:val="40"/>
        </w:rPr>
        <w:t> </w:t>
      </w:r>
      <w:r>
        <w:rPr/>
        <w:t>similar</w:t>
      </w:r>
      <w:r>
        <w:rPr>
          <w:spacing w:val="40"/>
        </w:rPr>
        <w:t> </w:t>
      </w:r>
      <w:r>
        <w:rPr/>
        <w:t>fashion</w:t>
      </w:r>
      <w:r>
        <w:rPr>
          <w:spacing w:val="40"/>
        </w:rPr>
        <w:t> </w:t>
      </w:r>
      <w:r>
        <w:rPr/>
        <w:t>to</w:t>
      </w:r>
      <w:r>
        <w:rPr>
          <w:spacing w:val="40"/>
        </w:rPr>
        <w:t> </w:t>
      </w:r>
      <w:r>
        <w:rPr/>
        <w:t>buccal/sublingual</w:t>
      </w:r>
      <w:r>
        <w:rPr>
          <w:spacing w:val="40"/>
        </w:rPr>
        <w:t> </w:t>
      </w:r>
      <w:r>
        <w:rPr/>
        <w:t>tablets,</w:t>
      </w:r>
      <w:r>
        <w:rPr>
          <w:spacing w:val="40"/>
        </w:rPr>
        <w:t> </w:t>
      </w:r>
      <w:r>
        <w:rPr/>
        <w:t>it</w:t>
      </w:r>
      <w:r>
        <w:rPr>
          <w:spacing w:val="40"/>
        </w:rPr>
        <w:t> </w:t>
      </w:r>
      <w:r>
        <w:rPr/>
        <w:t>is important that absorption, and not disintegration of the tablet occurs in vivo, as disintegration will reduce tablet retention within the vagina (David, 2008).</w:t>
      </w:r>
    </w:p>
    <w:p>
      <w:pPr>
        <w:spacing w:after="0" w:line="491" w:lineRule="auto"/>
        <w:jc w:val="both"/>
        <w:sectPr>
          <w:pgSz w:w="12240" w:h="15840"/>
          <w:pgMar w:header="0" w:footer="999" w:top="1260" w:bottom="1180" w:left="1720" w:right="0"/>
        </w:sectPr>
      </w:pPr>
    </w:p>
    <w:p>
      <w:pPr>
        <w:pStyle w:val="BodyText"/>
        <w:spacing w:line="491" w:lineRule="auto" w:before="75"/>
        <w:ind w:left="665" w:right="1863" w:firstLine="676"/>
        <w:jc w:val="both"/>
      </w:pPr>
      <w:r>
        <w:rPr/>
        <w:t>The</w:t>
      </w:r>
      <w:r>
        <w:rPr>
          <w:spacing w:val="40"/>
        </w:rPr>
        <w:t> </w:t>
      </w:r>
      <w:r>
        <w:rPr/>
        <w:t>different</w:t>
      </w:r>
      <w:r>
        <w:rPr>
          <w:spacing w:val="40"/>
        </w:rPr>
        <w:t> </w:t>
      </w:r>
      <w:r>
        <w:rPr/>
        <w:t>types of solid</w:t>
      </w:r>
      <w:r>
        <w:rPr>
          <w:spacing w:val="40"/>
        </w:rPr>
        <w:t> </w:t>
      </w:r>
      <w:r>
        <w:rPr/>
        <w:t>dosage</w:t>
      </w:r>
      <w:r>
        <w:rPr>
          <w:spacing w:val="40"/>
        </w:rPr>
        <w:t> </w:t>
      </w:r>
      <w:r>
        <w:rPr/>
        <w:t>forms</w:t>
      </w:r>
      <w:r>
        <w:rPr>
          <w:spacing w:val="40"/>
        </w:rPr>
        <w:t> </w:t>
      </w:r>
      <w:r>
        <w:rPr/>
        <w:t>(tablets)</w:t>
      </w:r>
      <w:r>
        <w:rPr>
          <w:spacing w:val="40"/>
        </w:rPr>
        <w:t> </w:t>
      </w:r>
      <w:r>
        <w:rPr/>
        <w:t>are</w:t>
      </w:r>
      <w:r>
        <w:rPr>
          <w:spacing w:val="40"/>
        </w:rPr>
        <w:t> </w:t>
      </w:r>
      <w:r>
        <w:rPr/>
        <w:t>designed</w:t>
      </w:r>
      <w:r>
        <w:rPr>
          <w:spacing w:val="40"/>
        </w:rPr>
        <w:t> </w:t>
      </w:r>
      <w:r>
        <w:rPr/>
        <w:t>to</w:t>
      </w:r>
      <w:r>
        <w:rPr>
          <w:spacing w:val="40"/>
        </w:rPr>
        <w:t> </w:t>
      </w:r>
      <w:r>
        <w:rPr/>
        <w:t>provide flexible platforms for the delivery of therapeutic agents to the gastrointestinal tract.</w:t>
      </w:r>
    </w:p>
    <w:p>
      <w:pPr>
        <w:pStyle w:val="BodyText"/>
        <w:spacing w:line="491" w:lineRule="auto"/>
        <w:ind w:left="665" w:right="1856" w:firstLine="676"/>
        <w:jc w:val="both"/>
      </w:pPr>
      <w:r>
        <w:rPr/>
        <w:t>Coating tablets with polymers offers opportunities for the release of the</w:t>
      </w:r>
      <w:r>
        <w:rPr>
          <w:spacing w:val="40"/>
        </w:rPr>
        <w:t> </w:t>
      </w:r>
      <w:r>
        <w:rPr/>
        <w:t>therapeutic agent at particular regions within the gastrointestinal tract, e.g. the small intestine, colon.</w:t>
      </w:r>
    </w:p>
    <w:p>
      <w:pPr>
        <w:pStyle w:val="BodyText"/>
        <w:spacing w:line="252" w:lineRule="exact"/>
        <w:ind w:left="1342"/>
      </w:pPr>
      <w:r>
        <w:rPr/>
        <w:t>Absorption</w:t>
      </w:r>
      <w:r>
        <w:rPr>
          <w:spacing w:val="5"/>
        </w:rPr>
        <w:t> </w:t>
      </w:r>
      <w:r>
        <w:rPr/>
        <w:t>of</w:t>
      </w:r>
      <w:r>
        <w:rPr>
          <w:spacing w:val="17"/>
        </w:rPr>
        <w:t> </w:t>
      </w:r>
      <w:r>
        <w:rPr/>
        <w:t>poorly</w:t>
      </w:r>
      <w:r>
        <w:rPr>
          <w:spacing w:val="6"/>
        </w:rPr>
        <w:t> </w:t>
      </w:r>
      <w:r>
        <w:rPr/>
        <w:t>soluble</w:t>
      </w:r>
      <w:r>
        <w:rPr>
          <w:spacing w:val="16"/>
        </w:rPr>
        <w:t> </w:t>
      </w:r>
      <w:r>
        <w:rPr/>
        <w:t>drugs</w:t>
      </w:r>
      <w:r>
        <w:rPr>
          <w:spacing w:val="13"/>
        </w:rPr>
        <w:t> </w:t>
      </w:r>
      <w:r>
        <w:rPr/>
        <w:t>is</w:t>
      </w:r>
      <w:r>
        <w:rPr>
          <w:spacing w:val="19"/>
        </w:rPr>
        <w:t> </w:t>
      </w:r>
      <w:r>
        <w:rPr/>
        <w:t>greatly enhanced</w:t>
      </w:r>
      <w:r>
        <w:rPr>
          <w:spacing w:val="17"/>
        </w:rPr>
        <w:t> </w:t>
      </w:r>
      <w:r>
        <w:rPr/>
        <w:t>with</w:t>
      </w:r>
      <w:r>
        <w:rPr>
          <w:spacing w:val="6"/>
        </w:rPr>
        <w:t> </w:t>
      </w:r>
      <w:r>
        <w:rPr/>
        <w:t>effervescent</w:t>
      </w:r>
      <w:r>
        <w:rPr>
          <w:spacing w:val="14"/>
        </w:rPr>
        <w:t> </w:t>
      </w:r>
      <w:r>
        <w:rPr>
          <w:spacing w:val="-2"/>
        </w:rPr>
        <w:t>tablets.</w:t>
      </w:r>
    </w:p>
    <w:p>
      <w:pPr>
        <w:pStyle w:val="BodyText"/>
        <w:spacing w:before="242"/>
      </w:pPr>
    </w:p>
    <w:p>
      <w:pPr>
        <w:pStyle w:val="Heading2"/>
        <w:numPr>
          <w:ilvl w:val="1"/>
          <w:numId w:val="15"/>
        </w:numPr>
        <w:tabs>
          <w:tab w:pos="1342" w:val="left" w:leader="none"/>
        </w:tabs>
        <w:spacing w:line="240" w:lineRule="auto" w:before="1" w:after="0"/>
        <w:ind w:left="1342" w:right="0" w:hanging="677"/>
        <w:jc w:val="left"/>
      </w:pPr>
      <w:bookmarkStart w:name="_TOC_250111" w:id="50"/>
      <w:r>
        <w:rPr/>
        <w:t>Quality</w:t>
      </w:r>
      <w:r>
        <w:rPr>
          <w:spacing w:val="12"/>
        </w:rPr>
        <w:t> </w:t>
      </w:r>
      <w:r>
        <w:rPr/>
        <w:t>Attributes</w:t>
      </w:r>
      <w:r>
        <w:rPr>
          <w:spacing w:val="8"/>
        </w:rPr>
        <w:t> </w:t>
      </w:r>
      <w:r>
        <w:rPr/>
        <w:t>of</w:t>
      </w:r>
      <w:r>
        <w:rPr>
          <w:spacing w:val="24"/>
        </w:rPr>
        <w:t> </w:t>
      </w:r>
      <w:bookmarkEnd w:id="50"/>
      <w:r>
        <w:rPr>
          <w:spacing w:val="-2"/>
        </w:rPr>
        <w:t>Tablets</w:t>
      </w:r>
    </w:p>
    <w:p>
      <w:pPr>
        <w:pStyle w:val="BodyText"/>
        <w:spacing w:line="496" w:lineRule="auto" w:before="246"/>
        <w:ind w:left="665" w:right="1861" w:firstLine="676"/>
        <w:jc w:val="both"/>
      </w:pPr>
      <w:r>
        <w:rPr/>
        <w:t>According to Aulton (2002), the quality attributes a tablet must fulfill can be summarized as follows:</w:t>
      </w:r>
    </w:p>
    <w:p>
      <w:pPr>
        <w:pStyle w:val="ListParagraph"/>
        <w:numPr>
          <w:ilvl w:val="0"/>
          <w:numId w:val="20"/>
        </w:numPr>
        <w:tabs>
          <w:tab w:pos="1340" w:val="left" w:leader="none"/>
        </w:tabs>
        <w:spacing w:line="247" w:lineRule="exact" w:before="0" w:after="0"/>
        <w:ind w:left="1340" w:right="0" w:hanging="334"/>
        <w:jc w:val="left"/>
        <w:rPr>
          <w:sz w:val="22"/>
        </w:rPr>
      </w:pPr>
      <w:r>
        <w:rPr>
          <w:sz w:val="22"/>
        </w:rPr>
        <w:t>The</w:t>
      </w:r>
      <w:r>
        <w:rPr>
          <w:spacing w:val="8"/>
          <w:sz w:val="22"/>
        </w:rPr>
        <w:t> </w:t>
      </w:r>
      <w:r>
        <w:rPr>
          <w:sz w:val="22"/>
        </w:rPr>
        <w:t>tablet</w:t>
      </w:r>
      <w:r>
        <w:rPr>
          <w:spacing w:val="9"/>
          <w:sz w:val="22"/>
        </w:rPr>
        <w:t> </w:t>
      </w:r>
      <w:r>
        <w:rPr>
          <w:sz w:val="22"/>
        </w:rPr>
        <w:t>should</w:t>
      </w:r>
      <w:r>
        <w:rPr>
          <w:spacing w:val="16"/>
          <w:sz w:val="22"/>
        </w:rPr>
        <w:t> </w:t>
      </w:r>
      <w:r>
        <w:rPr>
          <w:sz w:val="22"/>
        </w:rPr>
        <w:t>include</w:t>
      </w:r>
      <w:r>
        <w:rPr>
          <w:spacing w:val="5"/>
          <w:sz w:val="22"/>
        </w:rPr>
        <w:t> </w:t>
      </w:r>
      <w:r>
        <w:rPr>
          <w:sz w:val="22"/>
        </w:rPr>
        <w:t>the</w:t>
      </w:r>
      <w:r>
        <w:rPr>
          <w:spacing w:val="10"/>
          <w:sz w:val="22"/>
        </w:rPr>
        <w:t> </w:t>
      </w:r>
      <w:r>
        <w:rPr>
          <w:sz w:val="22"/>
        </w:rPr>
        <w:t>correct</w:t>
      </w:r>
      <w:r>
        <w:rPr>
          <w:spacing w:val="9"/>
          <w:sz w:val="22"/>
        </w:rPr>
        <w:t> </w:t>
      </w:r>
      <w:r>
        <w:rPr>
          <w:sz w:val="22"/>
        </w:rPr>
        <w:t>dose</w:t>
      </w:r>
      <w:r>
        <w:rPr>
          <w:spacing w:val="5"/>
          <w:sz w:val="22"/>
        </w:rPr>
        <w:t> </w:t>
      </w:r>
      <w:r>
        <w:rPr>
          <w:sz w:val="22"/>
        </w:rPr>
        <w:t>of</w:t>
      </w:r>
      <w:r>
        <w:rPr>
          <w:spacing w:val="5"/>
          <w:sz w:val="22"/>
        </w:rPr>
        <w:t> </w:t>
      </w:r>
      <w:r>
        <w:rPr>
          <w:sz w:val="22"/>
        </w:rPr>
        <w:t>the</w:t>
      </w:r>
      <w:r>
        <w:rPr>
          <w:spacing w:val="12"/>
          <w:sz w:val="22"/>
        </w:rPr>
        <w:t> </w:t>
      </w:r>
      <w:r>
        <w:rPr>
          <w:spacing w:val="-4"/>
          <w:sz w:val="22"/>
        </w:rPr>
        <w:t>drug.</w:t>
      </w:r>
    </w:p>
    <w:p>
      <w:pPr>
        <w:pStyle w:val="BodyText"/>
        <w:spacing w:before="12"/>
      </w:pPr>
    </w:p>
    <w:p>
      <w:pPr>
        <w:pStyle w:val="ListParagraph"/>
        <w:numPr>
          <w:ilvl w:val="0"/>
          <w:numId w:val="20"/>
        </w:numPr>
        <w:tabs>
          <w:tab w:pos="1340" w:val="left" w:leader="none"/>
          <w:tab w:pos="1342" w:val="left" w:leader="none"/>
        </w:tabs>
        <w:spacing w:line="491" w:lineRule="auto" w:before="0" w:after="0"/>
        <w:ind w:left="1342" w:right="1865" w:hanging="336"/>
        <w:jc w:val="left"/>
        <w:rPr>
          <w:sz w:val="22"/>
        </w:rPr>
      </w:pPr>
      <w:r>
        <w:rPr>
          <w:sz w:val="22"/>
        </w:rPr>
        <w:t>The</w:t>
      </w:r>
      <w:r>
        <w:rPr>
          <w:spacing w:val="80"/>
          <w:sz w:val="22"/>
        </w:rPr>
        <w:t> </w:t>
      </w:r>
      <w:r>
        <w:rPr>
          <w:sz w:val="22"/>
        </w:rPr>
        <w:t>appearance</w:t>
      </w:r>
      <w:r>
        <w:rPr>
          <w:spacing w:val="80"/>
          <w:sz w:val="22"/>
        </w:rPr>
        <w:t> </w:t>
      </w:r>
      <w:r>
        <w:rPr>
          <w:sz w:val="22"/>
        </w:rPr>
        <w:t>of</w:t>
      </w:r>
      <w:r>
        <w:rPr>
          <w:spacing w:val="80"/>
          <w:sz w:val="22"/>
        </w:rPr>
        <w:t> </w:t>
      </w:r>
      <w:r>
        <w:rPr>
          <w:sz w:val="22"/>
        </w:rPr>
        <w:t>the</w:t>
      </w:r>
      <w:r>
        <w:rPr>
          <w:spacing w:val="80"/>
          <w:sz w:val="22"/>
        </w:rPr>
        <w:t> </w:t>
      </w:r>
      <w:r>
        <w:rPr>
          <w:sz w:val="22"/>
        </w:rPr>
        <w:t>tablet</w:t>
      </w:r>
      <w:r>
        <w:rPr>
          <w:spacing w:val="80"/>
          <w:sz w:val="22"/>
        </w:rPr>
        <w:t> </w:t>
      </w:r>
      <w:r>
        <w:rPr>
          <w:sz w:val="22"/>
        </w:rPr>
        <w:t>should</w:t>
      </w:r>
      <w:r>
        <w:rPr>
          <w:spacing w:val="80"/>
          <w:sz w:val="22"/>
        </w:rPr>
        <w:t> </w:t>
      </w:r>
      <w:r>
        <w:rPr>
          <w:sz w:val="22"/>
        </w:rPr>
        <w:t>be</w:t>
      </w:r>
      <w:r>
        <w:rPr>
          <w:spacing w:val="80"/>
          <w:sz w:val="22"/>
        </w:rPr>
        <w:t> </w:t>
      </w:r>
      <w:r>
        <w:rPr>
          <w:sz w:val="22"/>
        </w:rPr>
        <w:t>elegant</w:t>
      </w:r>
      <w:r>
        <w:rPr>
          <w:spacing w:val="80"/>
          <w:sz w:val="22"/>
        </w:rPr>
        <w:t> </w:t>
      </w:r>
      <w:r>
        <w:rPr>
          <w:sz w:val="22"/>
        </w:rPr>
        <w:t>and</w:t>
      </w:r>
      <w:r>
        <w:rPr>
          <w:spacing w:val="80"/>
          <w:sz w:val="22"/>
        </w:rPr>
        <w:t> </w:t>
      </w:r>
      <w:r>
        <w:rPr>
          <w:sz w:val="22"/>
        </w:rPr>
        <w:t>its</w:t>
      </w:r>
      <w:r>
        <w:rPr>
          <w:spacing w:val="80"/>
          <w:sz w:val="22"/>
        </w:rPr>
        <w:t> </w:t>
      </w:r>
      <w:r>
        <w:rPr>
          <w:sz w:val="22"/>
        </w:rPr>
        <w:t>weight,</w:t>
      </w:r>
      <w:r>
        <w:rPr>
          <w:spacing w:val="80"/>
          <w:sz w:val="22"/>
        </w:rPr>
        <w:t> </w:t>
      </w:r>
      <w:r>
        <w:rPr>
          <w:sz w:val="22"/>
        </w:rPr>
        <w:t>size</w:t>
      </w:r>
      <w:r>
        <w:rPr>
          <w:spacing w:val="80"/>
          <w:sz w:val="22"/>
        </w:rPr>
        <w:t> </w:t>
      </w:r>
      <w:r>
        <w:rPr>
          <w:sz w:val="22"/>
        </w:rPr>
        <w:t>and appearance should be consistent.</w:t>
      </w:r>
    </w:p>
    <w:p>
      <w:pPr>
        <w:pStyle w:val="ListParagraph"/>
        <w:numPr>
          <w:ilvl w:val="0"/>
          <w:numId w:val="20"/>
        </w:numPr>
        <w:tabs>
          <w:tab w:pos="1340" w:val="left" w:leader="none"/>
          <w:tab w:pos="1342" w:val="left" w:leader="none"/>
        </w:tabs>
        <w:spacing w:line="491" w:lineRule="auto" w:before="0" w:after="0"/>
        <w:ind w:left="1342" w:right="1861" w:hanging="336"/>
        <w:jc w:val="left"/>
        <w:rPr>
          <w:sz w:val="22"/>
        </w:rPr>
      </w:pPr>
      <w:r>
        <w:rPr>
          <w:sz w:val="22"/>
        </w:rPr>
        <w:t>The</w:t>
      </w:r>
      <w:r>
        <w:rPr>
          <w:spacing w:val="40"/>
          <w:sz w:val="22"/>
        </w:rPr>
        <w:t> </w:t>
      </w:r>
      <w:r>
        <w:rPr>
          <w:sz w:val="22"/>
        </w:rPr>
        <w:t>drug</w:t>
      </w:r>
      <w:r>
        <w:rPr>
          <w:spacing w:val="40"/>
          <w:sz w:val="22"/>
        </w:rPr>
        <w:t> </w:t>
      </w:r>
      <w:r>
        <w:rPr>
          <w:sz w:val="22"/>
        </w:rPr>
        <w:t>should</w:t>
      </w:r>
      <w:r>
        <w:rPr>
          <w:spacing w:val="40"/>
          <w:sz w:val="22"/>
        </w:rPr>
        <w:t> </w:t>
      </w:r>
      <w:r>
        <w:rPr>
          <w:sz w:val="22"/>
        </w:rPr>
        <w:t>be</w:t>
      </w:r>
      <w:r>
        <w:rPr>
          <w:spacing w:val="40"/>
          <w:sz w:val="22"/>
        </w:rPr>
        <w:t> </w:t>
      </w:r>
      <w:r>
        <w:rPr>
          <w:sz w:val="22"/>
        </w:rPr>
        <w:t>released</w:t>
      </w:r>
      <w:r>
        <w:rPr>
          <w:spacing w:val="40"/>
          <w:sz w:val="22"/>
        </w:rPr>
        <w:t> </w:t>
      </w:r>
      <w:r>
        <w:rPr>
          <w:sz w:val="22"/>
        </w:rPr>
        <w:t>from</w:t>
      </w:r>
      <w:r>
        <w:rPr>
          <w:spacing w:val="40"/>
          <w:sz w:val="22"/>
        </w:rPr>
        <w:t> </w:t>
      </w:r>
      <w:r>
        <w:rPr>
          <w:sz w:val="22"/>
        </w:rPr>
        <w:t>the</w:t>
      </w:r>
      <w:r>
        <w:rPr>
          <w:spacing w:val="40"/>
          <w:sz w:val="22"/>
        </w:rPr>
        <w:t> </w:t>
      </w:r>
      <w:r>
        <w:rPr>
          <w:sz w:val="22"/>
        </w:rPr>
        <w:t>tablet</w:t>
      </w:r>
      <w:r>
        <w:rPr>
          <w:spacing w:val="40"/>
          <w:sz w:val="22"/>
        </w:rPr>
        <w:t> </w:t>
      </w:r>
      <w:r>
        <w:rPr>
          <w:sz w:val="22"/>
        </w:rPr>
        <w:t>in</w:t>
      </w:r>
      <w:r>
        <w:rPr>
          <w:spacing w:val="40"/>
          <w:sz w:val="22"/>
        </w:rPr>
        <w:t> </w:t>
      </w:r>
      <w:r>
        <w:rPr>
          <w:sz w:val="22"/>
        </w:rPr>
        <w:t>a</w:t>
      </w:r>
      <w:r>
        <w:rPr>
          <w:spacing w:val="40"/>
          <w:sz w:val="22"/>
        </w:rPr>
        <w:t> </w:t>
      </w:r>
      <w:r>
        <w:rPr>
          <w:sz w:val="22"/>
        </w:rPr>
        <w:t>controlled</w:t>
      </w:r>
      <w:r>
        <w:rPr>
          <w:spacing w:val="40"/>
          <w:sz w:val="22"/>
        </w:rPr>
        <w:t> </w:t>
      </w:r>
      <w:r>
        <w:rPr>
          <w:sz w:val="22"/>
        </w:rPr>
        <w:t>and</w:t>
      </w:r>
      <w:r>
        <w:rPr>
          <w:spacing w:val="40"/>
          <w:sz w:val="22"/>
        </w:rPr>
        <w:t> </w:t>
      </w:r>
      <w:r>
        <w:rPr>
          <w:sz w:val="22"/>
        </w:rPr>
        <w:t>reproducible </w:t>
      </w:r>
      <w:r>
        <w:rPr>
          <w:spacing w:val="-4"/>
          <w:sz w:val="22"/>
        </w:rPr>
        <w:t>way.</w:t>
      </w:r>
    </w:p>
    <w:p>
      <w:pPr>
        <w:pStyle w:val="ListParagraph"/>
        <w:numPr>
          <w:ilvl w:val="0"/>
          <w:numId w:val="20"/>
        </w:numPr>
        <w:tabs>
          <w:tab w:pos="1340" w:val="left" w:leader="none"/>
          <w:tab w:pos="1342" w:val="left" w:leader="none"/>
        </w:tabs>
        <w:spacing w:line="491" w:lineRule="auto" w:before="0" w:after="0"/>
        <w:ind w:left="1342" w:right="1863" w:hanging="336"/>
        <w:jc w:val="left"/>
        <w:rPr>
          <w:sz w:val="22"/>
        </w:rPr>
      </w:pPr>
      <w:r>
        <w:rPr>
          <w:sz w:val="22"/>
        </w:rPr>
        <w:t>The tablet should be biocompatible, i.e. not include excipients, contaminants and microorganisms that could cause harm to patients.</w:t>
      </w:r>
    </w:p>
    <w:p>
      <w:pPr>
        <w:pStyle w:val="ListParagraph"/>
        <w:numPr>
          <w:ilvl w:val="0"/>
          <w:numId w:val="20"/>
        </w:numPr>
        <w:tabs>
          <w:tab w:pos="1340" w:val="left" w:leader="none"/>
          <w:tab w:pos="1342" w:val="left" w:leader="none"/>
        </w:tabs>
        <w:spacing w:line="491" w:lineRule="auto" w:before="0" w:after="0"/>
        <w:ind w:left="1342" w:right="1865" w:hanging="336"/>
        <w:jc w:val="left"/>
        <w:rPr>
          <w:sz w:val="22"/>
        </w:rPr>
      </w:pPr>
      <w:r>
        <w:rPr>
          <w:sz w:val="22"/>
        </w:rPr>
        <w:t>The</w:t>
      </w:r>
      <w:r>
        <w:rPr>
          <w:spacing w:val="28"/>
          <w:sz w:val="22"/>
        </w:rPr>
        <w:t> </w:t>
      </w:r>
      <w:r>
        <w:rPr>
          <w:sz w:val="22"/>
        </w:rPr>
        <w:t>tablet should be of sufficient</w:t>
      </w:r>
      <w:r>
        <w:rPr>
          <w:spacing w:val="33"/>
          <w:sz w:val="22"/>
        </w:rPr>
        <w:t> </w:t>
      </w:r>
      <w:r>
        <w:rPr>
          <w:sz w:val="22"/>
        </w:rPr>
        <w:t>mechanical strength to</w:t>
      </w:r>
      <w:r>
        <w:rPr>
          <w:spacing w:val="30"/>
          <w:sz w:val="22"/>
        </w:rPr>
        <w:t> </w:t>
      </w:r>
      <w:r>
        <w:rPr>
          <w:sz w:val="22"/>
        </w:rPr>
        <w:t>withstand</w:t>
      </w:r>
      <w:r>
        <w:rPr>
          <w:spacing w:val="36"/>
          <w:sz w:val="22"/>
        </w:rPr>
        <w:t> </w:t>
      </w:r>
      <w:r>
        <w:rPr>
          <w:sz w:val="22"/>
        </w:rPr>
        <w:t>fracture</w:t>
      </w:r>
      <w:r>
        <w:rPr>
          <w:spacing w:val="28"/>
          <w:sz w:val="22"/>
        </w:rPr>
        <w:t> </w:t>
      </w:r>
      <w:r>
        <w:rPr>
          <w:sz w:val="22"/>
        </w:rPr>
        <w:t>and erosion during handling.</w:t>
      </w:r>
    </w:p>
    <w:p>
      <w:pPr>
        <w:pStyle w:val="ListParagraph"/>
        <w:numPr>
          <w:ilvl w:val="0"/>
          <w:numId w:val="20"/>
        </w:numPr>
        <w:tabs>
          <w:tab w:pos="1340" w:val="left" w:leader="none"/>
          <w:tab w:pos="1342" w:val="left" w:leader="none"/>
        </w:tabs>
        <w:spacing w:line="491" w:lineRule="auto" w:before="0" w:after="0"/>
        <w:ind w:left="1342" w:right="1862" w:hanging="336"/>
        <w:jc w:val="left"/>
        <w:rPr>
          <w:sz w:val="22"/>
        </w:rPr>
      </w:pPr>
      <w:r>
        <w:rPr>
          <w:sz w:val="22"/>
        </w:rPr>
        <w:t>The tablet should be chemically,</w:t>
      </w:r>
      <w:r>
        <w:rPr>
          <w:spacing w:val="37"/>
          <w:sz w:val="22"/>
        </w:rPr>
        <w:t> </w:t>
      </w:r>
      <w:r>
        <w:rPr>
          <w:sz w:val="22"/>
        </w:rPr>
        <w:t>physically and</w:t>
      </w:r>
      <w:r>
        <w:rPr>
          <w:spacing w:val="39"/>
          <w:sz w:val="22"/>
        </w:rPr>
        <w:t> </w:t>
      </w:r>
      <w:r>
        <w:rPr>
          <w:sz w:val="22"/>
        </w:rPr>
        <w:t>microbiologically stable during the shelf-life of the product.</w:t>
      </w:r>
    </w:p>
    <w:p>
      <w:pPr>
        <w:pStyle w:val="ListParagraph"/>
        <w:numPr>
          <w:ilvl w:val="0"/>
          <w:numId w:val="20"/>
        </w:numPr>
        <w:tabs>
          <w:tab w:pos="1340" w:val="left" w:leader="none"/>
        </w:tabs>
        <w:spacing w:line="253" w:lineRule="exact" w:before="0" w:after="0"/>
        <w:ind w:left="1340" w:right="0" w:hanging="334"/>
        <w:jc w:val="left"/>
        <w:rPr>
          <w:sz w:val="22"/>
        </w:rPr>
      </w:pPr>
      <w:r>
        <w:rPr>
          <w:sz w:val="22"/>
        </w:rPr>
        <w:t>The</w:t>
      </w:r>
      <w:r>
        <w:rPr>
          <w:spacing w:val="10"/>
          <w:sz w:val="22"/>
        </w:rPr>
        <w:t> </w:t>
      </w:r>
      <w:r>
        <w:rPr>
          <w:sz w:val="22"/>
        </w:rPr>
        <w:t>tablet</w:t>
      </w:r>
      <w:r>
        <w:rPr>
          <w:spacing w:val="9"/>
          <w:sz w:val="22"/>
        </w:rPr>
        <w:t> </w:t>
      </w:r>
      <w:r>
        <w:rPr>
          <w:sz w:val="22"/>
        </w:rPr>
        <w:t>should</w:t>
      </w:r>
      <w:r>
        <w:rPr>
          <w:spacing w:val="12"/>
          <w:sz w:val="22"/>
        </w:rPr>
        <w:t> </w:t>
      </w:r>
      <w:r>
        <w:rPr>
          <w:sz w:val="22"/>
        </w:rPr>
        <w:t>be</w:t>
      </w:r>
      <w:r>
        <w:rPr>
          <w:spacing w:val="4"/>
          <w:sz w:val="22"/>
        </w:rPr>
        <w:t> </w:t>
      </w:r>
      <w:r>
        <w:rPr>
          <w:sz w:val="22"/>
        </w:rPr>
        <w:t>formulated</w:t>
      </w:r>
      <w:r>
        <w:rPr>
          <w:spacing w:val="17"/>
          <w:sz w:val="22"/>
        </w:rPr>
        <w:t> </w:t>
      </w:r>
      <w:r>
        <w:rPr>
          <w:sz w:val="22"/>
        </w:rPr>
        <w:t>into</w:t>
      </w:r>
      <w:r>
        <w:rPr>
          <w:spacing w:val="18"/>
          <w:sz w:val="22"/>
        </w:rPr>
        <w:t> </w:t>
      </w:r>
      <w:r>
        <w:rPr>
          <w:sz w:val="22"/>
        </w:rPr>
        <w:t>a</w:t>
      </w:r>
      <w:r>
        <w:rPr>
          <w:spacing w:val="4"/>
          <w:sz w:val="22"/>
        </w:rPr>
        <w:t> </w:t>
      </w:r>
      <w:r>
        <w:rPr>
          <w:sz w:val="22"/>
        </w:rPr>
        <w:t>product</w:t>
      </w:r>
      <w:r>
        <w:rPr>
          <w:spacing w:val="9"/>
          <w:sz w:val="22"/>
        </w:rPr>
        <w:t> </w:t>
      </w:r>
      <w:r>
        <w:rPr>
          <w:sz w:val="22"/>
        </w:rPr>
        <w:t>acceptable</w:t>
      </w:r>
      <w:r>
        <w:rPr>
          <w:spacing w:val="11"/>
          <w:sz w:val="22"/>
        </w:rPr>
        <w:t> </w:t>
      </w:r>
      <w:r>
        <w:rPr>
          <w:sz w:val="22"/>
        </w:rPr>
        <w:t>by</w:t>
      </w:r>
      <w:r>
        <w:rPr>
          <w:spacing w:val="-4"/>
          <w:sz w:val="22"/>
        </w:rPr>
        <w:t> </w:t>
      </w:r>
      <w:r>
        <w:rPr>
          <w:sz w:val="22"/>
        </w:rPr>
        <w:t>the</w:t>
      </w:r>
      <w:r>
        <w:rPr>
          <w:spacing w:val="10"/>
          <w:sz w:val="22"/>
        </w:rPr>
        <w:t> </w:t>
      </w:r>
      <w:r>
        <w:rPr>
          <w:spacing w:val="-2"/>
          <w:sz w:val="22"/>
        </w:rPr>
        <w:t>patient.</w:t>
      </w:r>
    </w:p>
    <w:p>
      <w:pPr>
        <w:pStyle w:val="BodyText"/>
        <w:spacing w:before="11"/>
      </w:pPr>
    </w:p>
    <w:p>
      <w:pPr>
        <w:pStyle w:val="ListParagraph"/>
        <w:numPr>
          <w:ilvl w:val="0"/>
          <w:numId w:val="20"/>
        </w:numPr>
        <w:tabs>
          <w:tab w:pos="1340" w:val="left" w:leader="none"/>
        </w:tabs>
        <w:spacing w:line="240" w:lineRule="auto" w:before="0" w:after="0"/>
        <w:ind w:left="1340" w:right="0" w:hanging="334"/>
        <w:jc w:val="left"/>
        <w:rPr>
          <w:sz w:val="22"/>
        </w:rPr>
      </w:pPr>
      <w:r>
        <w:rPr>
          <w:sz w:val="22"/>
        </w:rPr>
        <w:t>The</w:t>
      </w:r>
      <w:r>
        <w:rPr>
          <w:spacing w:val="8"/>
          <w:sz w:val="22"/>
        </w:rPr>
        <w:t> </w:t>
      </w:r>
      <w:r>
        <w:rPr>
          <w:sz w:val="22"/>
        </w:rPr>
        <w:t>tablet</w:t>
      </w:r>
      <w:r>
        <w:rPr>
          <w:spacing w:val="6"/>
          <w:sz w:val="22"/>
        </w:rPr>
        <w:t> </w:t>
      </w:r>
      <w:r>
        <w:rPr>
          <w:sz w:val="22"/>
        </w:rPr>
        <w:t>should</w:t>
      </w:r>
      <w:r>
        <w:rPr>
          <w:spacing w:val="9"/>
          <w:sz w:val="22"/>
        </w:rPr>
        <w:t> </w:t>
      </w:r>
      <w:r>
        <w:rPr>
          <w:sz w:val="22"/>
        </w:rPr>
        <w:t>be</w:t>
      </w:r>
      <w:r>
        <w:rPr>
          <w:spacing w:val="-1"/>
          <w:sz w:val="22"/>
        </w:rPr>
        <w:t> </w:t>
      </w:r>
      <w:r>
        <w:rPr>
          <w:sz w:val="22"/>
        </w:rPr>
        <w:t>packed</w:t>
      </w:r>
      <w:r>
        <w:rPr>
          <w:spacing w:val="14"/>
          <w:sz w:val="22"/>
        </w:rPr>
        <w:t> </w:t>
      </w:r>
      <w:r>
        <w:rPr>
          <w:sz w:val="22"/>
        </w:rPr>
        <w:t>in</w:t>
      </w:r>
      <w:r>
        <w:rPr>
          <w:spacing w:val="5"/>
          <w:sz w:val="22"/>
        </w:rPr>
        <w:t> </w:t>
      </w:r>
      <w:r>
        <w:rPr>
          <w:sz w:val="22"/>
        </w:rPr>
        <w:t>a</w:t>
      </w:r>
      <w:r>
        <w:rPr>
          <w:spacing w:val="8"/>
          <w:sz w:val="22"/>
        </w:rPr>
        <w:t> </w:t>
      </w:r>
      <w:r>
        <w:rPr>
          <w:sz w:val="22"/>
        </w:rPr>
        <w:t>safe</w:t>
      </w:r>
      <w:r>
        <w:rPr>
          <w:spacing w:val="8"/>
          <w:sz w:val="22"/>
        </w:rPr>
        <w:t> </w:t>
      </w:r>
      <w:r>
        <w:rPr>
          <w:spacing w:val="-2"/>
          <w:sz w:val="22"/>
        </w:rPr>
        <w:t>manner.</w:t>
      </w:r>
    </w:p>
    <w:p>
      <w:pPr>
        <w:spacing w:after="0" w:line="240" w:lineRule="auto"/>
        <w:jc w:val="left"/>
        <w:rPr>
          <w:sz w:val="22"/>
        </w:rPr>
        <w:sectPr>
          <w:pgSz w:w="12240" w:h="15840"/>
          <w:pgMar w:header="0" w:footer="999" w:top="1260" w:bottom="1180" w:left="1720" w:right="0"/>
        </w:sectPr>
      </w:pPr>
    </w:p>
    <w:p>
      <w:pPr>
        <w:pStyle w:val="Heading2"/>
        <w:numPr>
          <w:ilvl w:val="1"/>
          <w:numId w:val="15"/>
        </w:numPr>
        <w:tabs>
          <w:tab w:pos="1342" w:val="left" w:leader="none"/>
        </w:tabs>
        <w:spacing w:line="240" w:lineRule="auto" w:before="80" w:after="0"/>
        <w:ind w:left="1342" w:right="0" w:hanging="677"/>
        <w:jc w:val="left"/>
      </w:pPr>
      <w:bookmarkStart w:name="_TOC_250110" w:id="51"/>
      <w:r>
        <w:rPr/>
        <w:t>Manufacture</w:t>
      </w:r>
      <w:r>
        <w:rPr>
          <w:spacing w:val="14"/>
        </w:rPr>
        <w:t> </w:t>
      </w:r>
      <w:r>
        <w:rPr/>
        <w:t>of</w:t>
      </w:r>
      <w:r>
        <w:rPr>
          <w:spacing w:val="15"/>
        </w:rPr>
        <w:t> </w:t>
      </w:r>
      <w:bookmarkEnd w:id="51"/>
      <w:r>
        <w:rPr>
          <w:spacing w:val="-2"/>
        </w:rPr>
        <w:t>tablets</w:t>
      </w:r>
    </w:p>
    <w:p>
      <w:pPr>
        <w:pStyle w:val="BodyText"/>
        <w:spacing w:before="246"/>
        <w:ind w:left="1342"/>
      </w:pPr>
      <w:r>
        <w:rPr/>
        <w:t>There</w:t>
      </w:r>
      <w:r>
        <w:rPr>
          <w:spacing w:val="49"/>
        </w:rPr>
        <w:t> </w:t>
      </w:r>
      <w:r>
        <w:rPr/>
        <w:t>are</w:t>
      </w:r>
      <w:r>
        <w:rPr>
          <w:spacing w:val="49"/>
        </w:rPr>
        <w:t> </w:t>
      </w:r>
      <w:r>
        <w:rPr/>
        <w:t>four</w:t>
      </w:r>
      <w:r>
        <w:rPr>
          <w:spacing w:val="51"/>
        </w:rPr>
        <w:t> </w:t>
      </w:r>
      <w:r>
        <w:rPr/>
        <w:t>main</w:t>
      </w:r>
      <w:r>
        <w:rPr>
          <w:spacing w:val="50"/>
        </w:rPr>
        <w:t> </w:t>
      </w:r>
      <w:r>
        <w:rPr/>
        <w:t>methods</w:t>
      </w:r>
      <w:r>
        <w:rPr>
          <w:spacing w:val="42"/>
        </w:rPr>
        <w:t> </w:t>
      </w:r>
      <w:r>
        <w:rPr/>
        <w:t>by</w:t>
      </w:r>
      <w:r>
        <w:rPr>
          <w:spacing w:val="34"/>
        </w:rPr>
        <w:t> </w:t>
      </w:r>
      <w:r>
        <w:rPr/>
        <w:t>which</w:t>
      </w:r>
      <w:r>
        <w:rPr>
          <w:spacing w:val="46"/>
        </w:rPr>
        <w:t> </w:t>
      </w:r>
      <w:r>
        <w:rPr/>
        <w:t>tablets</w:t>
      </w:r>
      <w:r>
        <w:rPr>
          <w:spacing w:val="52"/>
        </w:rPr>
        <w:t> </w:t>
      </w:r>
      <w:r>
        <w:rPr/>
        <w:t>may</w:t>
      </w:r>
      <w:r>
        <w:rPr>
          <w:spacing w:val="45"/>
        </w:rPr>
        <w:t> </w:t>
      </w:r>
      <w:r>
        <w:rPr/>
        <w:t>be</w:t>
      </w:r>
      <w:r>
        <w:rPr>
          <w:spacing w:val="54"/>
        </w:rPr>
        <w:t> </w:t>
      </w:r>
      <w:r>
        <w:rPr/>
        <w:t>manufactured</w:t>
      </w:r>
      <w:r>
        <w:rPr>
          <w:spacing w:val="53"/>
        </w:rPr>
        <w:t> </w:t>
      </w:r>
      <w:r>
        <w:rPr>
          <w:spacing w:val="-2"/>
        </w:rPr>
        <w:t>(David,</w:t>
      </w:r>
    </w:p>
    <w:p>
      <w:pPr>
        <w:pStyle w:val="BodyText"/>
        <w:spacing w:before="12"/>
      </w:pPr>
    </w:p>
    <w:p>
      <w:pPr>
        <w:pStyle w:val="BodyText"/>
        <w:spacing w:before="1"/>
        <w:ind w:left="665"/>
      </w:pPr>
      <w:r>
        <w:rPr>
          <w:spacing w:val="-2"/>
        </w:rPr>
        <w:t>2008):</w:t>
      </w:r>
    </w:p>
    <w:p>
      <w:pPr>
        <w:pStyle w:val="BodyText"/>
        <w:spacing w:before="12"/>
      </w:pPr>
    </w:p>
    <w:p>
      <w:pPr>
        <w:pStyle w:val="ListParagraph"/>
        <w:numPr>
          <w:ilvl w:val="0"/>
          <w:numId w:val="21"/>
        </w:numPr>
        <w:tabs>
          <w:tab w:pos="1368" w:val="left" w:leader="none"/>
        </w:tabs>
        <w:spacing w:line="240" w:lineRule="auto" w:before="0" w:after="0"/>
        <w:ind w:left="1368" w:right="0" w:hanging="362"/>
        <w:jc w:val="left"/>
        <w:rPr>
          <w:sz w:val="22"/>
        </w:rPr>
      </w:pPr>
      <w:r>
        <w:rPr>
          <w:sz w:val="22"/>
        </w:rPr>
        <w:t>wet</w:t>
      </w:r>
      <w:r>
        <w:rPr>
          <w:spacing w:val="8"/>
          <w:sz w:val="22"/>
        </w:rPr>
        <w:t> </w:t>
      </w:r>
      <w:r>
        <w:rPr>
          <w:spacing w:val="-2"/>
          <w:sz w:val="22"/>
        </w:rPr>
        <w:t>granulation;</w:t>
      </w:r>
    </w:p>
    <w:p>
      <w:pPr>
        <w:pStyle w:val="BodyText"/>
        <w:spacing w:before="12"/>
      </w:pPr>
    </w:p>
    <w:p>
      <w:pPr>
        <w:pStyle w:val="ListParagraph"/>
        <w:numPr>
          <w:ilvl w:val="0"/>
          <w:numId w:val="21"/>
        </w:numPr>
        <w:tabs>
          <w:tab w:pos="1368" w:val="left" w:leader="none"/>
        </w:tabs>
        <w:spacing w:line="240" w:lineRule="auto" w:before="0" w:after="0"/>
        <w:ind w:left="1368" w:right="0" w:hanging="362"/>
        <w:jc w:val="left"/>
        <w:rPr>
          <w:sz w:val="22"/>
        </w:rPr>
      </w:pPr>
      <w:r>
        <w:rPr>
          <w:sz w:val="22"/>
        </w:rPr>
        <w:t>dry</w:t>
      </w:r>
      <w:r>
        <w:rPr>
          <w:spacing w:val="4"/>
          <w:sz w:val="22"/>
        </w:rPr>
        <w:t> </w:t>
      </w:r>
      <w:r>
        <w:rPr>
          <w:sz w:val="22"/>
        </w:rPr>
        <w:t>granulation</w:t>
      </w:r>
      <w:r>
        <w:rPr>
          <w:spacing w:val="17"/>
          <w:sz w:val="22"/>
        </w:rPr>
        <w:t> </w:t>
      </w:r>
      <w:r>
        <w:rPr>
          <w:spacing w:val="-2"/>
          <w:sz w:val="22"/>
        </w:rPr>
        <w:t>(slugging);</w:t>
      </w:r>
    </w:p>
    <w:p>
      <w:pPr>
        <w:pStyle w:val="BodyText"/>
        <w:spacing w:before="13"/>
      </w:pPr>
    </w:p>
    <w:p>
      <w:pPr>
        <w:pStyle w:val="ListParagraph"/>
        <w:numPr>
          <w:ilvl w:val="0"/>
          <w:numId w:val="21"/>
        </w:numPr>
        <w:tabs>
          <w:tab w:pos="1368" w:val="left" w:leader="none"/>
        </w:tabs>
        <w:spacing w:line="240" w:lineRule="auto" w:before="0" w:after="0"/>
        <w:ind w:left="1368" w:right="0" w:hanging="362"/>
        <w:jc w:val="left"/>
        <w:rPr>
          <w:sz w:val="22"/>
        </w:rPr>
      </w:pPr>
      <w:r>
        <w:rPr>
          <w:sz w:val="22"/>
        </w:rPr>
        <w:t>direct</w:t>
      </w:r>
      <w:r>
        <w:rPr>
          <w:spacing w:val="12"/>
          <w:sz w:val="22"/>
        </w:rPr>
        <w:t> </w:t>
      </w:r>
      <w:r>
        <w:rPr>
          <w:sz w:val="22"/>
        </w:rPr>
        <w:t>compression;</w:t>
      </w:r>
      <w:r>
        <w:rPr>
          <w:spacing w:val="19"/>
          <w:sz w:val="22"/>
        </w:rPr>
        <w:t> </w:t>
      </w:r>
      <w:r>
        <w:rPr>
          <w:spacing w:val="-5"/>
          <w:sz w:val="22"/>
        </w:rPr>
        <w:t>and</w:t>
      </w:r>
    </w:p>
    <w:p>
      <w:pPr>
        <w:pStyle w:val="BodyText"/>
        <w:spacing w:before="12"/>
      </w:pPr>
    </w:p>
    <w:p>
      <w:pPr>
        <w:pStyle w:val="ListParagraph"/>
        <w:numPr>
          <w:ilvl w:val="0"/>
          <w:numId w:val="21"/>
        </w:numPr>
        <w:tabs>
          <w:tab w:pos="1368" w:val="left" w:leader="none"/>
        </w:tabs>
        <w:spacing w:line="240" w:lineRule="auto" w:before="0" w:after="0"/>
        <w:ind w:left="1368" w:right="0" w:hanging="362"/>
        <w:jc w:val="left"/>
        <w:rPr>
          <w:sz w:val="22"/>
        </w:rPr>
      </w:pPr>
      <w:r>
        <w:rPr>
          <w:sz w:val="22"/>
        </w:rPr>
        <w:t>roller</w:t>
      </w:r>
      <w:r>
        <w:rPr>
          <w:spacing w:val="12"/>
          <w:sz w:val="22"/>
        </w:rPr>
        <w:t> </w:t>
      </w:r>
      <w:r>
        <w:rPr>
          <w:spacing w:val="-2"/>
          <w:sz w:val="22"/>
        </w:rPr>
        <w:t>compaction</w:t>
      </w:r>
    </w:p>
    <w:p>
      <w:pPr>
        <w:pStyle w:val="BodyText"/>
        <w:spacing w:before="13"/>
      </w:pPr>
    </w:p>
    <w:p>
      <w:pPr>
        <w:pStyle w:val="BodyText"/>
        <w:spacing w:line="494" w:lineRule="auto"/>
        <w:ind w:left="665" w:right="1859" w:firstLine="676"/>
        <w:jc w:val="both"/>
      </w:pPr>
      <w:r>
        <w:rPr/>
        <w:t>The choice of manufacturing process employed is dependent on several factors, including the compression properties of the API, the particle size of the API and</w:t>
      </w:r>
      <w:r>
        <w:rPr>
          <w:spacing w:val="40"/>
        </w:rPr>
        <w:t> </w:t>
      </w:r>
      <w:r>
        <w:rPr/>
        <w:t>excipients and the chemical stability of the API during the manufacturing process.</w:t>
      </w:r>
    </w:p>
    <w:p>
      <w:pPr>
        <w:pStyle w:val="BodyText"/>
        <w:spacing w:line="250" w:lineRule="exact"/>
        <w:ind w:left="1342"/>
      </w:pPr>
      <w:r>
        <w:rPr/>
        <w:t>The</w:t>
      </w:r>
      <w:r>
        <w:rPr>
          <w:spacing w:val="11"/>
        </w:rPr>
        <w:t> </w:t>
      </w:r>
      <w:r>
        <w:rPr/>
        <w:t>manufacturing</w:t>
      </w:r>
      <w:r>
        <w:rPr>
          <w:spacing w:val="8"/>
        </w:rPr>
        <w:t> </w:t>
      </w:r>
      <w:r>
        <w:rPr/>
        <w:t>of</w:t>
      </w:r>
      <w:r>
        <w:rPr>
          <w:spacing w:val="7"/>
        </w:rPr>
        <w:t> </w:t>
      </w:r>
      <w:r>
        <w:rPr/>
        <w:t>tablets</w:t>
      </w:r>
      <w:r>
        <w:rPr>
          <w:spacing w:val="9"/>
        </w:rPr>
        <w:t> </w:t>
      </w:r>
      <w:r>
        <w:rPr/>
        <w:t>may</w:t>
      </w:r>
      <w:r>
        <w:rPr>
          <w:spacing w:val="3"/>
        </w:rPr>
        <w:t> </w:t>
      </w:r>
      <w:r>
        <w:rPr/>
        <w:t>be</w:t>
      </w:r>
      <w:r>
        <w:rPr>
          <w:spacing w:val="11"/>
        </w:rPr>
        <w:t> </w:t>
      </w:r>
      <w:r>
        <w:rPr/>
        <w:t>considered</w:t>
      </w:r>
      <w:r>
        <w:rPr>
          <w:spacing w:val="13"/>
        </w:rPr>
        <w:t> </w:t>
      </w:r>
      <w:r>
        <w:rPr/>
        <w:t>to</w:t>
      </w:r>
      <w:r>
        <w:rPr>
          <w:spacing w:val="8"/>
        </w:rPr>
        <w:t> </w:t>
      </w:r>
      <w:r>
        <w:rPr/>
        <w:t>consist</w:t>
      </w:r>
      <w:r>
        <w:rPr>
          <w:spacing w:val="10"/>
        </w:rPr>
        <w:t> </w:t>
      </w:r>
      <w:r>
        <w:rPr/>
        <w:t>of</w:t>
      </w:r>
      <w:r>
        <w:rPr>
          <w:spacing w:val="7"/>
        </w:rPr>
        <w:t> </w:t>
      </w:r>
      <w:r>
        <w:rPr/>
        <w:t>a</w:t>
      </w:r>
      <w:r>
        <w:rPr>
          <w:spacing w:val="12"/>
        </w:rPr>
        <w:t> </w:t>
      </w:r>
      <w:r>
        <w:rPr/>
        <w:t>series</w:t>
      </w:r>
      <w:r>
        <w:rPr>
          <w:spacing w:val="9"/>
        </w:rPr>
        <w:t> </w:t>
      </w:r>
      <w:r>
        <w:rPr/>
        <w:t>of</w:t>
      </w:r>
      <w:r>
        <w:rPr>
          <w:spacing w:val="7"/>
        </w:rPr>
        <w:t> </w:t>
      </w:r>
      <w:r>
        <w:rPr>
          <w:spacing w:val="-2"/>
        </w:rPr>
        <w:t>steps:</w:t>
      </w:r>
    </w:p>
    <w:p>
      <w:pPr>
        <w:pStyle w:val="BodyText"/>
        <w:spacing w:before="15"/>
      </w:pPr>
    </w:p>
    <w:p>
      <w:pPr>
        <w:pStyle w:val="ListParagraph"/>
        <w:numPr>
          <w:ilvl w:val="1"/>
          <w:numId w:val="21"/>
        </w:numPr>
        <w:tabs>
          <w:tab w:pos="1342" w:val="left" w:leader="none"/>
        </w:tabs>
        <w:spacing w:line="240" w:lineRule="auto" w:before="1" w:after="0"/>
        <w:ind w:left="1342" w:right="0" w:hanging="336"/>
        <w:jc w:val="left"/>
        <w:rPr>
          <w:sz w:val="22"/>
        </w:rPr>
      </w:pPr>
      <w:r>
        <w:rPr>
          <w:sz w:val="22"/>
        </w:rPr>
        <w:t>mixing</w:t>
      </w:r>
      <w:r>
        <w:rPr>
          <w:spacing w:val="4"/>
          <w:sz w:val="22"/>
        </w:rPr>
        <w:t> </w:t>
      </w:r>
      <w:r>
        <w:rPr>
          <w:sz w:val="22"/>
        </w:rPr>
        <w:t>of</w:t>
      </w:r>
      <w:r>
        <w:rPr>
          <w:spacing w:val="9"/>
          <w:sz w:val="22"/>
        </w:rPr>
        <w:t> </w:t>
      </w:r>
      <w:r>
        <w:rPr>
          <w:sz w:val="22"/>
        </w:rPr>
        <w:t>the</w:t>
      </w:r>
      <w:r>
        <w:rPr>
          <w:spacing w:val="8"/>
          <w:sz w:val="22"/>
        </w:rPr>
        <w:t> </w:t>
      </w:r>
      <w:r>
        <w:rPr>
          <w:sz w:val="22"/>
        </w:rPr>
        <w:t>API</w:t>
      </w:r>
      <w:r>
        <w:rPr>
          <w:spacing w:val="9"/>
          <w:sz w:val="22"/>
        </w:rPr>
        <w:t> </w:t>
      </w:r>
      <w:r>
        <w:rPr>
          <w:sz w:val="22"/>
        </w:rPr>
        <w:t>with</w:t>
      </w:r>
      <w:r>
        <w:rPr>
          <w:spacing w:val="4"/>
          <w:sz w:val="22"/>
        </w:rPr>
        <w:t> </w:t>
      </w:r>
      <w:r>
        <w:rPr>
          <w:sz w:val="22"/>
        </w:rPr>
        <w:t>the</w:t>
      </w:r>
      <w:r>
        <w:rPr>
          <w:spacing w:val="8"/>
          <w:sz w:val="22"/>
        </w:rPr>
        <w:t> </w:t>
      </w:r>
      <w:r>
        <w:rPr>
          <w:spacing w:val="-2"/>
          <w:sz w:val="22"/>
        </w:rPr>
        <w:t>excipients;</w:t>
      </w:r>
    </w:p>
    <w:p>
      <w:pPr>
        <w:pStyle w:val="BodyText"/>
        <w:spacing w:before="10"/>
      </w:pPr>
    </w:p>
    <w:p>
      <w:pPr>
        <w:pStyle w:val="ListParagraph"/>
        <w:numPr>
          <w:ilvl w:val="1"/>
          <w:numId w:val="21"/>
        </w:numPr>
        <w:tabs>
          <w:tab w:pos="1342" w:val="left" w:leader="none"/>
        </w:tabs>
        <w:spacing w:line="240" w:lineRule="auto" w:before="0" w:after="0"/>
        <w:ind w:left="1342" w:right="0" w:hanging="336"/>
        <w:jc w:val="left"/>
        <w:rPr>
          <w:sz w:val="22"/>
        </w:rPr>
      </w:pPr>
      <w:r>
        <w:rPr>
          <w:sz w:val="22"/>
        </w:rPr>
        <w:t>granulation</w:t>
      </w:r>
      <w:r>
        <w:rPr>
          <w:spacing w:val="6"/>
          <w:sz w:val="22"/>
        </w:rPr>
        <w:t> </w:t>
      </w:r>
      <w:r>
        <w:rPr>
          <w:sz w:val="22"/>
        </w:rPr>
        <w:t>of</w:t>
      </w:r>
      <w:r>
        <w:rPr>
          <w:spacing w:val="11"/>
          <w:sz w:val="22"/>
        </w:rPr>
        <w:t> </w:t>
      </w:r>
      <w:r>
        <w:rPr>
          <w:sz w:val="22"/>
        </w:rPr>
        <w:t>the</w:t>
      </w:r>
      <w:r>
        <w:rPr>
          <w:spacing w:val="10"/>
          <w:sz w:val="22"/>
        </w:rPr>
        <w:t> </w:t>
      </w:r>
      <w:r>
        <w:rPr>
          <w:sz w:val="22"/>
        </w:rPr>
        <w:t>mixed</w:t>
      </w:r>
      <w:r>
        <w:rPr>
          <w:spacing w:val="12"/>
          <w:sz w:val="22"/>
        </w:rPr>
        <w:t> </w:t>
      </w:r>
      <w:r>
        <w:rPr>
          <w:sz w:val="22"/>
        </w:rPr>
        <w:t>powders</w:t>
      </w:r>
      <w:r>
        <w:rPr>
          <w:spacing w:val="7"/>
          <w:sz w:val="22"/>
        </w:rPr>
        <w:t> </w:t>
      </w:r>
      <w:r>
        <w:rPr>
          <w:sz w:val="22"/>
        </w:rPr>
        <w:t>(this</w:t>
      </w:r>
      <w:r>
        <w:rPr>
          <w:spacing w:val="8"/>
          <w:sz w:val="22"/>
        </w:rPr>
        <w:t> </w:t>
      </w:r>
      <w:r>
        <w:rPr>
          <w:sz w:val="22"/>
        </w:rPr>
        <w:t>is</w:t>
      </w:r>
      <w:r>
        <w:rPr>
          <w:spacing w:val="7"/>
          <w:sz w:val="22"/>
        </w:rPr>
        <w:t> </w:t>
      </w:r>
      <w:r>
        <w:rPr>
          <w:sz w:val="22"/>
        </w:rPr>
        <w:t>not</w:t>
      </w:r>
      <w:r>
        <w:rPr>
          <w:spacing w:val="15"/>
          <w:sz w:val="22"/>
        </w:rPr>
        <w:t> </w:t>
      </w:r>
      <w:r>
        <w:rPr>
          <w:sz w:val="22"/>
        </w:rPr>
        <w:t>performed</w:t>
      </w:r>
      <w:r>
        <w:rPr>
          <w:spacing w:val="6"/>
          <w:sz w:val="22"/>
        </w:rPr>
        <w:t> </w:t>
      </w:r>
      <w:r>
        <w:rPr>
          <w:sz w:val="22"/>
        </w:rPr>
        <w:t>in</w:t>
      </w:r>
      <w:r>
        <w:rPr>
          <w:spacing w:val="6"/>
          <w:sz w:val="22"/>
        </w:rPr>
        <w:t> </w:t>
      </w:r>
      <w:r>
        <w:rPr>
          <w:sz w:val="22"/>
        </w:rPr>
        <w:t>direct</w:t>
      </w:r>
      <w:r>
        <w:rPr>
          <w:spacing w:val="15"/>
          <w:sz w:val="22"/>
        </w:rPr>
        <w:t> </w:t>
      </w:r>
      <w:r>
        <w:rPr>
          <w:spacing w:val="-2"/>
          <w:sz w:val="22"/>
        </w:rPr>
        <w:t>compression);</w:t>
      </w:r>
    </w:p>
    <w:p>
      <w:pPr>
        <w:pStyle w:val="BodyText"/>
        <w:spacing w:before="10"/>
      </w:pPr>
    </w:p>
    <w:p>
      <w:pPr>
        <w:pStyle w:val="ListParagraph"/>
        <w:numPr>
          <w:ilvl w:val="1"/>
          <w:numId w:val="21"/>
        </w:numPr>
        <w:tabs>
          <w:tab w:pos="1342" w:val="left" w:leader="none"/>
        </w:tabs>
        <w:spacing w:line="475" w:lineRule="auto" w:before="0" w:after="0"/>
        <w:ind w:left="1342" w:right="1849" w:hanging="336"/>
        <w:jc w:val="left"/>
        <w:rPr>
          <w:sz w:val="22"/>
        </w:rPr>
      </w:pPr>
      <w:r>
        <w:rPr>
          <w:sz w:val="22"/>
        </w:rPr>
        <w:t>mixing</w:t>
      </w:r>
      <w:r>
        <w:rPr>
          <w:spacing w:val="80"/>
          <w:sz w:val="22"/>
        </w:rPr>
        <w:t> </w:t>
      </w:r>
      <w:r>
        <w:rPr>
          <w:sz w:val="22"/>
        </w:rPr>
        <w:t>of</w:t>
      </w:r>
      <w:r>
        <w:rPr>
          <w:spacing w:val="80"/>
          <w:sz w:val="22"/>
        </w:rPr>
        <w:t> </w:t>
      </w:r>
      <w:r>
        <w:rPr>
          <w:sz w:val="22"/>
        </w:rPr>
        <w:t>the</w:t>
      </w:r>
      <w:r>
        <w:rPr>
          <w:spacing w:val="80"/>
          <w:w w:val="150"/>
          <w:sz w:val="22"/>
        </w:rPr>
        <w:t> </w:t>
      </w:r>
      <w:r>
        <w:rPr>
          <w:sz w:val="22"/>
        </w:rPr>
        <w:t>granules</w:t>
      </w:r>
      <w:r>
        <w:rPr>
          <w:spacing w:val="80"/>
          <w:sz w:val="22"/>
        </w:rPr>
        <w:t> </w:t>
      </w:r>
      <w:r>
        <w:rPr>
          <w:sz w:val="22"/>
        </w:rPr>
        <w:t>or</w:t>
      </w:r>
      <w:r>
        <w:rPr>
          <w:spacing w:val="80"/>
          <w:w w:val="150"/>
          <w:sz w:val="22"/>
        </w:rPr>
        <w:t> </w:t>
      </w:r>
      <w:r>
        <w:rPr>
          <w:sz w:val="22"/>
        </w:rPr>
        <w:t>powders</w:t>
      </w:r>
      <w:r>
        <w:rPr>
          <w:spacing w:val="80"/>
          <w:sz w:val="22"/>
        </w:rPr>
        <w:t> </w:t>
      </w:r>
      <w:r>
        <w:rPr>
          <w:sz w:val="22"/>
        </w:rPr>
        <w:t>with</w:t>
      </w:r>
      <w:r>
        <w:rPr>
          <w:spacing w:val="80"/>
          <w:sz w:val="22"/>
        </w:rPr>
        <w:t> </w:t>
      </w:r>
      <w:r>
        <w:rPr>
          <w:sz w:val="22"/>
        </w:rPr>
        <w:t>other</w:t>
      </w:r>
      <w:r>
        <w:rPr>
          <w:spacing w:val="80"/>
          <w:w w:val="150"/>
          <w:sz w:val="22"/>
        </w:rPr>
        <w:t> </w:t>
      </w:r>
      <w:r>
        <w:rPr>
          <w:sz w:val="22"/>
        </w:rPr>
        <w:t>excipients</w:t>
      </w:r>
      <w:r>
        <w:rPr>
          <w:spacing w:val="80"/>
          <w:w w:val="150"/>
          <w:sz w:val="22"/>
        </w:rPr>
        <w:t> </w:t>
      </w:r>
      <w:r>
        <w:rPr>
          <w:sz w:val="22"/>
        </w:rPr>
        <w:t>(most</w:t>
      </w:r>
      <w:r>
        <w:rPr>
          <w:spacing w:val="80"/>
          <w:w w:val="150"/>
          <w:sz w:val="22"/>
        </w:rPr>
        <w:t> </w:t>
      </w:r>
      <w:r>
        <w:rPr>
          <w:sz w:val="22"/>
        </w:rPr>
        <w:t>notably </w:t>
      </w:r>
      <w:r>
        <w:rPr>
          <w:spacing w:val="-2"/>
          <w:sz w:val="22"/>
        </w:rPr>
        <w:t>lubricants);</w:t>
      </w:r>
    </w:p>
    <w:p>
      <w:pPr>
        <w:pStyle w:val="ListParagraph"/>
        <w:numPr>
          <w:ilvl w:val="1"/>
          <w:numId w:val="21"/>
        </w:numPr>
        <w:tabs>
          <w:tab w:pos="1342" w:val="left" w:leader="none"/>
        </w:tabs>
        <w:spacing w:line="240" w:lineRule="auto" w:before="17" w:after="0"/>
        <w:ind w:left="1342" w:right="0" w:hanging="336"/>
        <w:jc w:val="left"/>
        <w:rPr>
          <w:sz w:val="22"/>
        </w:rPr>
      </w:pPr>
      <w:r>
        <w:rPr>
          <w:sz w:val="22"/>
        </w:rPr>
        <w:t>Compression</w:t>
      </w:r>
      <w:r>
        <w:rPr>
          <w:spacing w:val="13"/>
          <w:sz w:val="22"/>
        </w:rPr>
        <w:t> </w:t>
      </w:r>
      <w:r>
        <w:rPr>
          <w:sz w:val="22"/>
        </w:rPr>
        <w:t>into</w:t>
      </w:r>
      <w:r>
        <w:rPr>
          <w:spacing w:val="18"/>
          <w:sz w:val="22"/>
        </w:rPr>
        <w:t> </w:t>
      </w:r>
      <w:r>
        <w:rPr>
          <w:spacing w:val="-2"/>
          <w:sz w:val="22"/>
        </w:rPr>
        <w:t>tablets.</w:t>
      </w:r>
    </w:p>
    <w:p>
      <w:pPr>
        <w:pStyle w:val="BodyText"/>
        <w:spacing w:before="16"/>
      </w:pPr>
    </w:p>
    <w:p>
      <w:pPr>
        <w:pStyle w:val="BodyText"/>
        <w:ind w:left="665"/>
      </w:pPr>
      <w:r>
        <w:rPr/>
        <w:t>Depending</w:t>
      </w:r>
      <w:r>
        <w:rPr>
          <w:spacing w:val="4"/>
        </w:rPr>
        <w:t> </w:t>
      </w:r>
      <w:r>
        <w:rPr/>
        <w:t>on</w:t>
      </w:r>
      <w:r>
        <w:rPr>
          <w:spacing w:val="9"/>
        </w:rPr>
        <w:t> </w:t>
      </w:r>
      <w:r>
        <w:rPr/>
        <w:t>the</w:t>
      </w:r>
      <w:r>
        <w:rPr>
          <w:spacing w:val="14"/>
        </w:rPr>
        <w:t> </w:t>
      </w:r>
      <w:r>
        <w:rPr/>
        <w:t>manufacturing</w:t>
      </w:r>
      <w:r>
        <w:rPr>
          <w:spacing w:val="10"/>
        </w:rPr>
        <w:t> </w:t>
      </w:r>
      <w:r>
        <w:rPr/>
        <w:t>method</w:t>
      </w:r>
      <w:r>
        <w:rPr>
          <w:spacing w:val="10"/>
        </w:rPr>
        <w:t> </w:t>
      </w:r>
      <w:r>
        <w:rPr/>
        <w:t>used,</w:t>
      </w:r>
      <w:r>
        <w:rPr>
          <w:spacing w:val="9"/>
        </w:rPr>
        <w:t> </w:t>
      </w:r>
      <w:r>
        <w:rPr/>
        <w:t>the</w:t>
      </w:r>
      <w:r>
        <w:rPr>
          <w:spacing w:val="7"/>
        </w:rPr>
        <w:t> </w:t>
      </w:r>
      <w:r>
        <w:rPr/>
        <w:t>details</w:t>
      </w:r>
      <w:r>
        <w:rPr>
          <w:spacing w:val="11"/>
        </w:rPr>
        <w:t> </w:t>
      </w:r>
      <w:r>
        <w:rPr/>
        <w:t>of</w:t>
      </w:r>
      <w:r>
        <w:rPr>
          <w:spacing w:val="9"/>
        </w:rPr>
        <w:t> </w:t>
      </w:r>
      <w:r>
        <w:rPr/>
        <w:t>these</w:t>
      </w:r>
      <w:r>
        <w:rPr>
          <w:spacing w:val="14"/>
        </w:rPr>
        <w:t> </w:t>
      </w:r>
      <w:r>
        <w:rPr/>
        <w:t>steps</w:t>
      </w:r>
      <w:r>
        <w:rPr>
          <w:spacing w:val="11"/>
        </w:rPr>
        <w:t> </w:t>
      </w:r>
      <w:r>
        <w:rPr/>
        <w:t>will</w:t>
      </w:r>
      <w:r>
        <w:rPr>
          <w:spacing w:val="18"/>
        </w:rPr>
        <w:t> </w:t>
      </w:r>
      <w:r>
        <w:rPr>
          <w:spacing w:val="-2"/>
        </w:rPr>
        <w:t>vary.</w:t>
      </w:r>
    </w:p>
    <w:p>
      <w:pPr>
        <w:pStyle w:val="BodyText"/>
        <w:spacing w:before="243"/>
      </w:pPr>
    </w:p>
    <w:p>
      <w:pPr>
        <w:pStyle w:val="Heading2"/>
        <w:numPr>
          <w:ilvl w:val="2"/>
          <w:numId w:val="15"/>
        </w:numPr>
        <w:tabs>
          <w:tab w:pos="1342" w:val="left" w:leader="none"/>
        </w:tabs>
        <w:spacing w:line="240" w:lineRule="auto" w:before="0" w:after="0"/>
        <w:ind w:left="1342" w:right="0" w:hanging="677"/>
        <w:jc w:val="left"/>
      </w:pPr>
      <w:bookmarkStart w:name="_TOC_250109" w:id="52"/>
      <w:r>
        <w:rPr/>
        <w:t>Manufacture</w:t>
      </w:r>
      <w:r>
        <w:rPr>
          <w:spacing w:val="7"/>
        </w:rPr>
        <w:t> </w:t>
      </w:r>
      <w:r>
        <w:rPr/>
        <w:t>of</w:t>
      </w:r>
      <w:r>
        <w:rPr>
          <w:spacing w:val="8"/>
        </w:rPr>
        <w:t> </w:t>
      </w:r>
      <w:r>
        <w:rPr/>
        <w:t>tablets</w:t>
      </w:r>
      <w:r>
        <w:rPr>
          <w:spacing w:val="11"/>
        </w:rPr>
        <w:t> </w:t>
      </w:r>
      <w:r>
        <w:rPr/>
        <w:t>by</w:t>
      </w:r>
      <w:r>
        <w:rPr>
          <w:spacing w:val="10"/>
        </w:rPr>
        <w:t> </w:t>
      </w:r>
      <w:r>
        <w:rPr/>
        <w:t>wet</w:t>
      </w:r>
      <w:r>
        <w:rPr>
          <w:spacing w:val="15"/>
        </w:rPr>
        <w:t> </w:t>
      </w:r>
      <w:bookmarkEnd w:id="52"/>
      <w:r>
        <w:rPr>
          <w:spacing w:val="-2"/>
        </w:rPr>
        <w:t>granulation.</w:t>
      </w:r>
    </w:p>
    <w:p>
      <w:pPr>
        <w:pStyle w:val="BodyText"/>
        <w:spacing w:line="491" w:lineRule="auto" w:before="242"/>
        <w:ind w:left="665" w:right="1854" w:firstLine="676"/>
        <w:jc w:val="both"/>
      </w:pPr>
      <w:r>
        <w:rPr/>
        <w:t>Wet granulation is a unit operation in which mixed powders is simultaneously mixed with a suitable fluid; e.g. water, isopropanol or ethanol or mixtures thereof. To achieve cohesion, a binder is required. Powder mixing, in conjunction with the cohesive properties of a binder enables the formation of granules.</w:t>
      </w:r>
    </w:p>
    <w:p>
      <w:pPr>
        <w:pStyle w:val="BodyText"/>
        <w:spacing w:line="491" w:lineRule="auto"/>
        <w:ind w:left="665" w:right="1860" w:firstLine="676"/>
        <w:jc w:val="both"/>
      </w:pPr>
      <w:r>
        <w:rPr/>
        <w:t>A</w:t>
      </w:r>
      <w:r>
        <w:rPr>
          <w:spacing w:val="40"/>
        </w:rPr>
        <w:t> </w:t>
      </w:r>
      <w:r>
        <w:rPr/>
        <w:t>stepwise summary of</w:t>
      </w:r>
      <w:r>
        <w:rPr>
          <w:spacing w:val="40"/>
        </w:rPr>
        <w:t> </w:t>
      </w:r>
      <w:r>
        <w:rPr/>
        <w:t>the</w:t>
      </w:r>
      <w:r>
        <w:rPr>
          <w:spacing w:val="40"/>
        </w:rPr>
        <w:t> </w:t>
      </w:r>
      <w:r>
        <w:rPr/>
        <w:t>manufacturing steps used</w:t>
      </w:r>
      <w:r>
        <w:rPr>
          <w:spacing w:val="40"/>
        </w:rPr>
        <w:t> </w:t>
      </w:r>
      <w:r>
        <w:rPr/>
        <w:t>in the manufacture of tablets by the wet granulation method is described below (David, 2008).</w:t>
      </w:r>
    </w:p>
    <w:p>
      <w:pPr>
        <w:spacing w:after="0" w:line="491" w:lineRule="auto"/>
        <w:jc w:val="both"/>
        <w:sectPr>
          <w:pgSz w:w="12240" w:h="15840"/>
          <w:pgMar w:header="0" w:footer="999" w:top="1260" w:bottom="1180" w:left="1720" w:right="0"/>
        </w:sectPr>
      </w:pPr>
    </w:p>
    <w:p>
      <w:pPr>
        <w:pStyle w:val="BodyText"/>
        <w:spacing w:line="491" w:lineRule="auto" w:before="75"/>
        <w:ind w:left="665" w:right="1862"/>
        <w:jc w:val="both"/>
      </w:pPr>
      <w:r>
        <w:rPr>
          <w:b/>
        </w:rPr>
        <w:t>Step 1: </w:t>
      </w:r>
      <w:r>
        <w:rPr/>
        <w:t>Mixing of the therapeutic agent with the powdered excipients (excluding the </w:t>
      </w:r>
      <w:r>
        <w:rPr>
          <w:spacing w:val="-2"/>
        </w:rPr>
        <w:t>lubricant).</w:t>
      </w:r>
    </w:p>
    <w:p>
      <w:pPr>
        <w:pStyle w:val="BodyText"/>
        <w:spacing w:line="491" w:lineRule="auto"/>
        <w:ind w:left="665" w:right="1859"/>
        <w:jc w:val="both"/>
      </w:pPr>
      <w:r>
        <w:rPr/>
        <w:t>The</w:t>
      </w:r>
      <w:r>
        <w:rPr>
          <w:spacing w:val="27"/>
        </w:rPr>
        <w:t> </w:t>
      </w:r>
      <w:r>
        <w:rPr/>
        <w:t>API</w:t>
      </w:r>
      <w:r>
        <w:rPr>
          <w:spacing w:val="28"/>
        </w:rPr>
        <w:t> </w:t>
      </w:r>
      <w:r>
        <w:rPr/>
        <w:t>is</w:t>
      </w:r>
      <w:r>
        <w:rPr>
          <w:spacing w:val="24"/>
        </w:rPr>
        <w:t> </w:t>
      </w:r>
      <w:r>
        <w:rPr/>
        <w:t>mixed</w:t>
      </w:r>
      <w:r>
        <w:rPr>
          <w:spacing w:val="29"/>
        </w:rPr>
        <w:t> </w:t>
      </w:r>
      <w:r>
        <w:rPr/>
        <w:t>with</w:t>
      </w:r>
      <w:r>
        <w:rPr>
          <w:spacing w:val="17"/>
        </w:rPr>
        <w:t> </w:t>
      </w:r>
      <w:r>
        <w:rPr/>
        <w:t>other</w:t>
      </w:r>
      <w:r>
        <w:rPr>
          <w:spacing w:val="28"/>
        </w:rPr>
        <w:t> </w:t>
      </w:r>
      <w:r>
        <w:rPr/>
        <w:t>excipients.</w:t>
      </w:r>
      <w:r>
        <w:rPr>
          <w:spacing w:val="27"/>
        </w:rPr>
        <w:t> </w:t>
      </w:r>
      <w:r>
        <w:rPr/>
        <w:t>The</w:t>
      </w:r>
      <w:r>
        <w:rPr>
          <w:spacing w:val="27"/>
        </w:rPr>
        <w:t> </w:t>
      </w:r>
      <w:r>
        <w:rPr/>
        <w:t>mixing</w:t>
      </w:r>
      <w:r>
        <w:rPr>
          <w:spacing w:val="17"/>
        </w:rPr>
        <w:t> </w:t>
      </w:r>
      <w:r>
        <w:rPr/>
        <w:t>speed</w:t>
      </w:r>
      <w:r>
        <w:rPr>
          <w:spacing w:val="29"/>
        </w:rPr>
        <w:t> </w:t>
      </w:r>
      <w:r>
        <w:rPr/>
        <w:t>and</w:t>
      </w:r>
      <w:r>
        <w:rPr>
          <w:spacing w:val="29"/>
        </w:rPr>
        <w:t> </w:t>
      </w:r>
      <w:r>
        <w:rPr/>
        <w:t>time</w:t>
      </w:r>
      <w:r>
        <w:rPr>
          <w:spacing w:val="27"/>
        </w:rPr>
        <w:t> </w:t>
      </w:r>
      <w:r>
        <w:rPr/>
        <w:t>must</w:t>
      </w:r>
      <w:r>
        <w:rPr>
          <w:spacing w:val="21"/>
        </w:rPr>
        <w:t> </w:t>
      </w:r>
      <w:r>
        <w:rPr/>
        <w:t>be</w:t>
      </w:r>
      <w:r>
        <w:rPr>
          <w:spacing w:val="27"/>
        </w:rPr>
        <w:t> </w:t>
      </w:r>
      <w:r>
        <w:rPr/>
        <w:t>sufficient to</w:t>
      </w:r>
      <w:r>
        <w:rPr>
          <w:spacing w:val="26"/>
        </w:rPr>
        <w:t> </w:t>
      </w:r>
      <w:r>
        <w:rPr/>
        <w:t>ensure that a homogenous mixture is produced. The efficiency of mixing is enhanced</w:t>
      </w:r>
      <w:r>
        <w:rPr>
          <w:spacing w:val="40"/>
        </w:rPr>
        <w:t> </w:t>
      </w:r>
      <w:r>
        <w:rPr/>
        <w:t>by the</w:t>
      </w:r>
      <w:r>
        <w:rPr>
          <w:spacing w:val="29"/>
        </w:rPr>
        <w:t> </w:t>
      </w:r>
      <w:r>
        <w:rPr/>
        <w:t>use</w:t>
      </w:r>
      <w:r>
        <w:rPr>
          <w:spacing w:val="29"/>
        </w:rPr>
        <w:t> </w:t>
      </w:r>
      <w:r>
        <w:rPr/>
        <w:t>of</w:t>
      </w:r>
      <w:r>
        <w:rPr>
          <w:spacing w:val="20"/>
        </w:rPr>
        <w:t> </w:t>
      </w:r>
      <w:r>
        <w:rPr/>
        <w:t>powders</w:t>
      </w:r>
      <w:r>
        <w:rPr>
          <w:spacing w:val="27"/>
        </w:rPr>
        <w:t> </w:t>
      </w:r>
      <w:r>
        <w:rPr/>
        <w:t>that</w:t>
      </w:r>
      <w:r>
        <w:rPr>
          <w:spacing w:val="28"/>
        </w:rPr>
        <w:t> </w:t>
      </w:r>
      <w:r>
        <w:rPr/>
        <w:t>have</w:t>
      </w:r>
      <w:r>
        <w:rPr>
          <w:spacing w:val="29"/>
        </w:rPr>
        <w:t> </w:t>
      </w:r>
      <w:r>
        <w:rPr/>
        <w:t>similar</w:t>
      </w:r>
      <w:r>
        <w:rPr>
          <w:spacing w:val="31"/>
        </w:rPr>
        <w:t> </w:t>
      </w:r>
      <w:r>
        <w:rPr/>
        <w:t>average</w:t>
      </w:r>
      <w:r>
        <w:rPr>
          <w:spacing w:val="29"/>
        </w:rPr>
        <w:t> </w:t>
      </w:r>
      <w:r>
        <w:rPr/>
        <w:t>particle</w:t>
      </w:r>
      <w:r>
        <w:rPr>
          <w:spacing w:val="32"/>
        </w:rPr>
        <w:t> </w:t>
      </w:r>
      <w:r>
        <w:rPr/>
        <w:t>size/distribution,</w:t>
      </w:r>
      <w:r>
        <w:rPr>
          <w:spacing w:val="35"/>
        </w:rPr>
        <w:t> </w:t>
      </w:r>
      <w:r>
        <w:rPr/>
        <w:t>although</w:t>
      </w:r>
      <w:r>
        <w:rPr>
          <w:spacing w:val="20"/>
        </w:rPr>
        <w:t> </w:t>
      </w:r>
      <w:r>
        <w:rPr/>
        <w:t>this is often not the case with many mixing operators.</w:t>
      </w:r>
    </w:p>
    <w:p>
      <w:pPr>
        <w:pStyle w:val="BodyText"/>
        <w:spacing w:line="491" w:lineRule="auto"/>
        <w:ind w:left="665" w:right="1857"/>
        <w:jc w:val="both"/>
      </w:pPr>
      <w:r>
        <w:rPr/>
        <w:t>Examples of mixers that are used within the pharmaceutical industry include: (1)</w:t>
      </w:r>
      <w:r>
        <w:rPr>
          <w:spacing w:val="80"/>
        </w:rPr>
        <w:t> </w:t>
      </w:r>
      <w:r>
        <w:rPr/>
        <w:t>planetary</w:t>
      </w:r>
      <w:r>
        <w:rPr>
          <w:spacing w:val="40"/>
        </w:rPr>
        <w:t> </w:t>
      </w:r>
      <w:r>
        <w:rPr/>
        <w:t>bowl</w:t>
      </w:r>
      <w:r>
        <w:rPr>
          <w:spacing w:val="40"/>
        </w:rPr>
        <w:t> </w:t>
      </w:r>
      <w:r>
        <w:rPr/>
        <w:t>mixer;</w:t>
      </w:r>
      <w:r>
        <w:rPr>
          <w:spacing w:val="40"/>
        </w:rPr>
        <w:t> </w:t>
      </w:r>
      <w:r>
        <w:rPr/>
        <w:t>(2)</w:t>
      </w:r>
      <w:r>
        <w:rPr>
          <w:spacing w:val="40"/>
        </w:rPr>
        <w:t> </w:t>
      </w:r>
      <w:r>
        <w:rPr/>
        <w:t>Rotating</w:t>
      </w:r>
      <w:r>
        <w:rPr>
          <w:spacing w:val="40"/>
        </w:rPr>
        <w:t> </w:t>
      </w:r>
      <w:r>
        <w:rPr/>
        <w:t>drum</w:t>
      </w:r>
      <w:r>
        <w:rPr>
          <w:spacing w:val="40"/>
        </w:rPr>
        <w:t> </w:t>
      </w:r>
      <w:r>
        <w:rPr/>
        <w:t>mixer;</w:t>
      </w:r>
      <w:r>
        <w:rPr>
          <w:spacing w:val="40"/>
        </w:rPr>
        <w:t> </w:t>
      </w:r>
      <w:r>
        <w:rPr/>
        <w:t>(3)</w:t>
      </w:r>
      <w:r>
        <w:rPr>
          <w:spacing w:val="40"/>
        </w:rPr>
        <w:t> </w:t>
      </w:r>
      <w:r>
        <w:rPr/>
        <w:t>high-speed</w:t>
      </w:r>
      <w:r>
        <w:rPr>
          <w:spacing w:val="40"/>
        </w:rPr>
        <w:t> </w:t>
      </w:r>
      <w:r>
        <w:rPr/>
        <w:t>mixers;</w:t>
      </w:r>
      <w:r>
        <w:rPr>
          <w:spacing w:val="40"/>
        </w:rPr>
        <w:t> </w:t>
      </w:r>
      <w:r>
        <w:rPr/>
        <w:t>(4) Ribbon/trough mixers.</w:t>
      </w:r>
    </w:p>
    <w:p>
      <w:pPr>
        <w:pStyle w:val="BodyText"/>
        <w:spacing w:line="252" w:lineRule="exact"/>
        <w:ind w:left="665"/>
        <w:jc w:val="both"/>
      </w:pPr>
      <w:r>
        <w:rPr>
          <w:b/>
        </w:rPr>
        <w:t>Step</w:t>
      </w:r>
      <w:r>
        <w:rPr>
          <w:b/>
          <w:spacing w:val="11"/>
        </w:rPr>
        <w:t> </w:t>
      </w:r>
      <w:r>
        <w:rPr>
          <w:b/>
        </w:rPr>
        <w:t>2:</w:t>
      </w:r>
      <w:r>
        <w:rPr>
          <w:b/>
          <w:spacing w:val="8"/>
        </w:rPr>
        <w:t> </w:t>
      </w:r>
      <w:r>
        <w:rPr/>
        <w:t>Wet</w:t>
      </w:r>
      <w:r>
        <w:rPr>
          <w:spacing w:val="17"/>
        </w:rPr>
        <w:t> </w:t>
      </w:r>
      <w:r>
        <w:rPr/>
        <w:t>granulation</w:t>
      </w:r>
      <w:r>
        <w:rPr>
          <w:spacing w:val="3"/>
        </w:rPr>
        <w:t> </w:t>
      </w:r>
      <w:r>
        <w:rPr/>
        <w:t>of</w:t>
      </w:r>
      <w:r>
        <w:rPr>
          <w:spacing w:val="8"/>
        </w:rPr>
        <w:t> </w:t>
      </w:r>
      <w:r>
        <w:rPr/>
        <w:t>the</w:t>
      </w:r>
      <w:r>
        <w:rPr>
          <w:spacing w:val="12"/>
        </w:rPr>
        <w:t> </w:t>
      </w:r>
      <w:r>
        <w:rPr/>
        <w:t>powder</w:t>
      </w:r>
      <w:r>
        <w:rPr>
          <w:spacing w:val="8"/>
        </w:rPr>
        <w:t> </w:t>
      </w:r>
      <w:r>
        <w:rPr>
          <w:spacing w:val="-4"/>
        </w:rPr>
        <w:t>mix.</w:t>
      </w:r>
    </w:p>
    <w:p>
      <w:pPr>
        <w:pStyle w:val="BodyText"/>
        <w:spacing w:before="16"/>
      </w:pPr>
    </w:p>
    <w:p>
      <w:pPr>
        <w:pStyle w:val="BodyText"/>
        <w:spacing w:line="491" w:lineRule="auto"/>
        <w:ind w:left="665" w:right="1859"/>
        <w:jc w:val="both"/>
      </w:pPr>
      <w:r>
        <w:rPr/>
        <w:t>Granulation is a unit operation in which mixed powders are aggregated into and retained</w:t>
      </w:r>
      <w:r>
        <w:rPr>
          <w:spacing w:val="40"/>
        </w:rPr>
        <w:t> </w:t>
      </w:r>
      <w:r>
        <w:rPr/>
        <w:t>as larger particles. Under ideal conditions, the chemical composition of the granules should</w:t>
      </w:r>
      <w:r>
        <w:rPr>
          <w:spacing w:val="40"/>
        </w:rPr>
        <w:t> </w:t>
      </w:r>
      <w:r>
        <w:rPr/>
        <w:t>be</w:t>
      </w:r>
      <w:r>
        <w:rPr>
          <w:spacing w:val="40"/>
        </w:rPr>
        <w:t> </w:t>
      </w:r>
      <w:r>
        <w:rPr/>
        <w:t>homogenous.</w:t>
      </w:r>
      <w:r>
        <w:rPr>
          <w:spacing w:val="40"/>
        </w:rPr>
        <w:t> </w:t>
      </w:r>
      <w:r>
        <w:rPr/>
        <w:t>There</w:t>
      </w:r>
      <w:r>
        <w:rPr>
          <w:spacing w:val="40"/>
        </w:rPr>
        <w:t> </w:t>
      </w:r>
      <w:r>
        <w:rPr/>
        <w:t>are</w:t>
      </w:r>
      <w:r>
        <w:rPr>
          <w:spacing w:val="40"/>
        </w:rPr>
        <w:t> </w:t>
      </w:r>
      <w:r>
        <w:rPr/>
        <w:t>several</w:t>
      </w:r>
      <w:r>
        <w:rPr>
          <w:spacing w:val="40"/>
        </w:rPr>
        <w:t> </w:t>
      </w:r>
      <w:r>
        <w:rPr/>
        <w:t>advantages</w:t>
      </w:r>
      <w:r>
        <w:rPr>
          <w:spacing w:val="40"/>
        </w:rPr>
        <w:t> </w:t>
      </w:r>
      <w:r>
        <w:rPr/>
        <w:t>for</w:t>
      </w:r>
      <w:r>
        <w:rPr>
          <w:spacing w:val="40"/>
        </w:rPr>
        <w:t> </w:t>
      </w:r>
      <w:r>
        <w:rPr/>
        <w:t>the</w:t>
      </w:r>
      <w:r>
        <w:rPr>
          <w:spacing w:val="40"/>
        </w:rPr>
        <w:t> </w:t>
      </w:r>
      <w:r>
        <w:rPr/>
        <w:t>use</w:t>
      </w:r>
      <w:r>
        <w:rPr>
          <w:spacing w:val="40"/>
        </w:rPr>
        <w:t> </w:t>
      </w:r>
      <w:r>
        <w:rPr/>
        <w:t>of</w:t>
      </w:r>
      <w:r>
        <w:rPr>
          <w:spacing w:val="40"/>
        </w:rPr>
        <w:t> </w:t>
      </w:r>
      <w:r>
        <w:rPr/>
        <w:t>granules</w:t>
      </w:r>
      <w:r>
        <w:rPr>
          <w:spacing w:val="40"/>
        </w:rPr>
        <w:t> </w:t>
      </w:r>
      <w:r>
        <w:rPr/>
        <w:t>in tabletting as follows:</w:t>
      </w:r>
    </w:p>
    <w:p>
      <w:pPr>
        <w:pStyle w:val="ListParagraph"/>
        <w:numPr>
          <w:ilvl w:val="0"/>
          <w:numId w:val="14"/>
        </w:numPr>
        <w:tabs>
          <w:tab w:pos="1512" w:val="left" w:leader="none"/>
          <w:tab w:pos="1515" w:val="left" w:leader="none"/>
        </w:tabs>
        <w:spacing w:line="491" w:lineRule="auto" w:before="0" w:after="0"/>
        <w:ind w:left="1515" w:right="1855" w:hanging="677"/>
        <w:jc w:val="both"/>
        <w:rPr>
          <w:sz w:val="22"/>
        </w:rPr>
      </w:pPr>
      <w:r>
        <w:rPr>
          <w:sz w:val="22"/>
        </w:rPr>
        <w:t>Prevention of segregation of powder components</w:t>
      </w:r>
      <w:r>
        <w:rPr>
          <w:spacing w:val="29"/>
          <w:sz w:val="22"/>
        </w:rPr>
        <w:t> </w:t>
      </w:r>
      <w:r>
        <w:rPr>
          <w:sz w:val="22"/>
        </w:rPr>
        <w:t>during the tabletting process</w:t>
      </w:r>
      <w:r>
        <w:rPr>
          <w:spacing w:val="80"/>
          <w:sz w:val="22"/>
        </w:rPr>
        <w:t> </w:t>
      </w:r>
      <w:r>
        <w:rPr>
          <w:sz w:val="22"/>
        </w:rPr>
        <w:t>or during storage.</w:t>
      </w:r>
    </w:p>
    <w:p>
      <w:pPr>
        <w:pStyle w:val="ListParagraph"/>
        <w:numPr>
          <w:ilvl w:val="0"/>
          <w:numId w:val="14"/>
        </w:numPr>
        <w:tabs>
          <w:tab w:pos="1515" w:val="left" w:leader="none"/>
        </w:tabs>
        <w:spacing w:line="253" w:lineRule="exact" w:before="0" w:after="0"/>
        <w:ind w:left="1515" w:right="0" w:hanging="677"/>
        <w:jc w:val="left"/>
        <w:rPr>
          <w:sz w:val="22"/>
        </w:rPr>
      </w:pPr>
      <w:r>
        <w:rPr>
          <w:sz w:val="22"/>
        </w:rPr>
        <w:t>Enhancement</w:t>
      </w:r>
      <w:r>
        <w:rPr>
          <w:spacing w:val="13"/>
          <w:sz w:val="22"/>
        </w:rPr>
        <w:t> </w:t>
      </w:r>
      <w:r>
        <w:rPr>
          <w:sz w:val="22"/>
        </w:rPr>
        <w:t>of</w:t>
      </w:r>
      <w:r>
        <w:rPr>
          <w:spacing w:val="11"/>
          <w:sz w:val="22"/>
        </w:rPr>
        <w:t> </w:t>
      </w:r>
      <w:r>
        <w:rPr>
          <w:sz w:val="22"/>
        </w:rPr>
        <w:t>the</w:t>
      </w:r>
      <w:r>
        <w:rPr>
          <w:spacing w:val="10"/>
          <w:sz w:val="22"/>
        </w:rPr>
        <w:t> </w:t>
      </w:r>
      <w:r>
        <w:rPr>
          <w:sz w:val="22"/>
        </w:rPr>
        <w:t>flow</w:t>
      </w:r>
      <w:r>
        <w:rPr>
          <w:spacing w:val="5"/>
          <w:sz w:val="22"/>
        </w:rPr>
        <w:t> </w:t>
      </w:r>
      <w:r>
        <w:rPr>
          <w:spacing w:val="-2"/>
          <w:sz w:val="22"/>
        </w:rPr>
        <w:t>properties</w:t>
      </w:r>
    </w:p>
    <w:p>
      <w:pPr>
        <w:pStyle w:val="BodyText"/>
        <w:spacing w:before="12"/>
      </w:pPr>
    </w:p>
    <w:p>
      <w:pPr>
        <w:pStyle w:val="ListParagraph"/>
        <w:numPr>
          <w:ilvl w:val="0"/>
          <w:numId w:val="14"/>
        </w:numPr>
        <w:tabs>
          <w:tab w:pos="1515" w:val="left" w:leader="none"/>
        </w:tabs>
        <w:spacing w:line="240" w:lineRule="auto" w:before="0" w:after="0"/>
        <w:ind w:left="1515" w:right="0" w:hanging="677"/>
        <w:jc w:val="left"/>
        <w:rPr>
          <w:sz w:val="22"/>
        </w:rPr>
      </w:pPr>
      <w:r>
        <w:rPr>
          <w:sz w:val="22"/>
        </w:rPr>
        <w:t>Enhancement</w:t>
      </w:r>
      <w:r>
        <w:rPr>
          <w:spacing w:val="16"/>
          <w:sz w:val="22"/>
        </w:rPr>
        <w:t> </w:t>
      </w:r>
      <w:r>
        <w:rPr>
          <w:sz w:val="22"/>
        </w:rPr>
        <w:t>of</w:t>
      </w:r>
      <w:r>
        <w:rPr>
          <w:spacing w:val="15"/>
          <w:sz w:val="22"/>
        </w:rPr>
        <w:t> </w:t>
      </w:r>
      <w:r>
        <w:rPr>
          <w:sz w:val="22"/>
        </w:rPr>
        <w:t>the</w:t>
      </w:r>
      <w:r>
        <w:rPr>
          <w:spacing w:val="13"/>
          <w:sz w:val="22"/>
        </w:rPr>
        <w:t> </w:t>
      </w:r>
      <w:r>
        <w:rPr>
          <w:sz w:val="22"/>
        </w:rPr>
        <w:t>compaction</w:t>
      </w:r>
      <w:r>
        <w:rPr>
          <w:spacing w:val="6"/>
          <w:sz w:val="22"/>
        </w:rPr>
        <w:t> </w:t>
      </w:r>
      <w:r>
        <w:rPr>
          <w:spacing w:val="-2"/>
          <w:sz w:val="22"/>
        </w:rPr>
        <w:t>properties</w:t>
      </w:r>
    </w:p>
    <w:p>
      <w:pPr>
        <w:pStyle w:val="BodyText"/>
        <w:spacing w:before="12"/>
      </w:pPr>
    </w:p>
    <w:p>
      <w:pPr>
        <w:pStyle w:val="ListParagraph"/>
        <w:numPr>
          <w:ilvl w:val="0"/>
          <w:numId w:val="14"/>
        </w:numPr>
        <w:tabs>
          <w:tab w:pos="1515" w:val="left" w:leader="none"/>
        </w:tabs>
        <w:spacing w:line="240" w:lineRule="auto" w:before="0" w:after="0"/>
        <w:ind w:left="1515" w:right="0" w:hanging="677"/>
        <w:jc w:val="left"/>
        <w:rPr>
          <w:sz w:val="22"/>
        </w:rPr>
      </w:pPr>
      <w:r>
        <w:rPr>
          <w:sz w:val="22"/>
        </w:rPr>
        <w:t>Lower</w:t>
      </w:r>
      <w:r>
        <w:rPr>
          <w:spacing w:val="12"/>
          <w:sz w:val="22"/>
        </w:rPr>
        <w:t> </w:t>
      </w:r>
      <w:r>
        <w:rPr>
          <w:sz w:val="22"/>
        </w:rPr>
        <w:t>incidence</w:t>
      </w:r>
      <w:r>
        <w:rPr>
          <w:spacing w:val="12"/>
          <w:sz w:val="22"/>
        </w:rPr>
        <w:t> </w:t>
      </w:r>
      <w:r>
        <w:rPr>
          <w:sz w:val="22"/>
        </w:rPr>
        <w:t>of</w:t>
      </w:r>
      <w:r>
        <w:rPr>
          <w:spacing w:val="7"/>
          <w:sz w:val="22"/>
        </w:rPr>
        <w:t> </w:t>
      </w:r>
      <w:r>
        <w:rPr>
          <w:sz w:val="22"/>
        </w:rPr>
        <w:t>dust</w:t>
      </w:r>
      <w:r>
        <w:rPr>
          <w:spacing w:val="5"/>
          <w:sz w:val="22"/>
        </w:rPr>
        <w:t> </w:t>
      </w:r>
      <w:r>
        <w:rPr>
          <w:spacing w:val="-2"/>
          <w:sz w:val="22"/>
        </w:rPr>
        <w:t>production.</w:t>
      </w:r>
    </w:p>
    <w:p>
      <w:pPr>
        <w:pStyle w:val="BodyText"/>
        <w:spacing w:before="12"/>
      </w:pPr>
    </w:p>
    <w:p>
      <w:pPr>
        <w:pStyle w:val="BodyText"/>
        <w:spacing w:before="1"/>
        <w:ind w:left="665"/>
        <w:jc w:val="both"/>
      </w:pPr>
      <w:r>
        <w:rPr>
          <w:b/>
        </w:rPr>
        <w:t>Step</w:t>
      </w:r>
      <w:r>
        <w:rPr>
          <w:b/>
          <w:spacing w:val="11"/>
        </w:rPr>
        <w:t> </w:t>
      </w:r>
      <w:r>
        <w:rPr>
          <w:b/>
        </w:rPr>
        <w:t>3:</w:t>
      </w:r>
      <w:r>
        <w:rPr>
          <w:b/>
          <w:spacing w:val="8"/>
        </w:rPr>
        <w:t> </w:t>
      </w:r>
      <w:r>
        <w:rPr/>
        <w:t>Processing</w:t>
      </w:r>
      <w:r>
        <w:rPr>
          <w:spacing w:val="9"/>
        </w:rPr>
        <w:t> </w:t>
      </w:r>
      <w:r>
        <w:rPr/>
        <w:t>granules</w:t>
      </w:r>
      <w:r>
        <w:rPr>
          <w:spacing w:val="10"/>
        </w:rPr>
        <w:t> </w:t>
      </w:r>
      <w:r>
        <w:rPr/>
        <w:t>into</w:t>
      </w:r>
      <w:r>
        <w:rPr>
          <w:spacing w:val="14"/>
        </w:rPr>
        <w:t> </w:t>
      </w:r>
      <w:r>
        <w:rPr>
          <w:spacing w:val="-2"/>
        </w:rPr>
        <w:t>tablets.</w:t>
      </w:r>
    </w:p>
    <w:p>
      <w:pPr>
        <w:pStyle w:val="BodyText"/>
        <w:spacing w:before="17"/>
      </w:pPr>
    </w:p>
    <w:p>
      <w:pPr>
        <w:pStyle w:val="BodyText"/>
        <w:spacing w:line="491" w:lineRule="auto"/>
        <w:ind w:left="665" w:right="1858" w:firstLine="676"/>
      </w:pPr>
      <w:r>
        <w:rPr/>
        <w:t>Following the production of granules, further unit operations are required for the successful production of tablets. There are as follows:</w:t>
      </w:r>
    </w:p>
    <w:p>
      <w:pPr>
        <w:pStyle w:val="ListParagraph"/>
        <w:numPr>
          <w:ilvl w:val="1"/>
          <w:numId w:val="14"/>
        </w:numPr>
        <w:tabs>
          <w:tab w:pos="1683" w:val="left" w:leader="none"/>
        </w:tabs>
        <w:spacing w:line="491" w:lineRule="auto" w:before="0" w:after="0"/>
        <w:ind w:left="1683" w:right="1856" w:hanging="677"/>
        <w:jc w:val="left"/>
        <w:rPr>
          <w:sz w:val="22"/>
        </w:rPr>
      </w:pPr>
      <w:r>
        <w:rPr>
          <w:sz w:val="22"/>
        </w:rPr>
        <w:t>Drying</w:t>
      </w:r>
      <w:r>
        <w:rPr>
          <w:spacing w:val="30"/>
          <w:sz w:val="22"/>
        </w:rPr>
        <w:t> </w:t>
      </w:r>
      <w:r>
        <w:rPr>
          <w:sz w:val="22"/>
        </w:rPr>
        <w:t>of</w:t>
      </w:r>
      <w:r>
        <w:rPr>
          <w:spacing w:val="29"/>
          <w:sz w:val="22"/>
        </w:rPr>
        <w:t> </w:t>
      </w:r>
      <w:r>
        <w:rPr>
          <w:sz w:val="22"/>
        </w:rPr>
        <w:t>granules.</w:t>
      </w:r>
      <w:r>
        <w:rPr>
          <w:spacing w:val="34"/>
          <w:sz w:val="22"/>
        </w:rPr>
        <w:t> </w:t>
      </w:r>
      <w:r>
        <w:rPr>
          <w:sz w:val="22"/>
        </w:rPr>
        <w:t>This</w:t>
      </w:r>
      <w:r>
        <w:rPr>
          <w:spacing w:val="31"/>
          <w:sz w:val="22"/>
        </w:rPr>
        <w:t> </w:t>
      </w:r>
      <w:r>
        <w:rPr>
          <w:sz w:val="22"/>
        </w:rPr>
        <w:t>is</w:t>
      </w:r>
      <w:r>
        <w:rPr>
          <w:spacing w:val="31"/>
          <w:sz w:val="22"/>
        </w:rPr>
        <w:t> </w:t>
      </w:r>
      <w:r>
        <w:rPr>
          <w:sz w:val="22"/>
        </w:rPr>
        <w:t>achieved</w:t>
      </w:r>
      <w:r>
        <w:rPr>
          <w:spacing w:val="40"/>
          <w:sz w:val="22"/>
        </w:rPr>
        <w:t> </w:t>
      </w:r>
      <w:r>
        <w:rPr>
          <w:sz w:val="22"/>
        </w:rPr>
        <w:t>using</w:t>
      </w:r>
      <w:r>
        <w:rPr>
          <w:spacing w:val="30"/>
          <w:sz w:val="22"/>
        </w:rPr>
        <w:t> </w:t>
      </w:r>
      <w:r>
        <w:rPr>
          <w:sz w:val="22"/>
        </w:rPr>
        <w:t>several</w:t>
      </w:r>
      <w:r>
        <w:rPr>
          <w:spacing w:val="33"/>
          <w:sz w:val="22"/>
        </w:rPr>
        <w:t> </w:t>
      </w:r>
      <w:r>
        <w:rPr>
          <w:sz w:val="22"/>
        </w:rPr>
        <w:t>types</w:t>
      </w:r>
      <w:r>
        <w:rPr>
          <w:spacing w:val="26"/>
          <w:sz w:val="22"/>
        </w:rPr>
        <w:t> </w:t>
      </w:r>
      <w:r>
        <w:rPr>
          <w:sz w:val="22"/>
        </w:rPr>
        <w:t>of</w:t>
      </w:r>
      <w:r>
        <w:rPr>
          <w:spacing w:val="29"/>
          <w:sz w:val="22"/>
        </w:rPr>
        <w:t> </w:t>
      </w:r>
      <w:r>
        <w:rPr>
          <w:sz w:val="22"/>
        </w:rPr>
        <w:t>drier</w:t>
      </w:r>
      <w:r>
        <w:rPr>
          <w:spacing w:val="35"/>
          <w:sz w:val="22"/>
        </w:rPr>
        <w:t> </w:t>
      </w:r>
      <w:r>
        <w:rPr>
          <w:sz w:val="22"/>
        </w:rPr>
        <w:t>including: the shelf or tray drier, the fluidized-bed drier.</w:t>
      </w:r>
    </w:p>
    <w:p>
      <w:pPr>
        <w:pStyle w:val="ListParagraph"/>
        <w:numPr>
          <w:ilvl w:val="1"/>
          <w:numId w:val="14"/>
        </w:numPr>
        <w:tabs>
          <w:tab w:pos="1683" w:val="left" w:leader="none"/>
        </w:tabs>
        <w:spacing w:line="253" w:lineRule="exact" w:before="0" w:after="0"/>
        <w:ind w:left="1683" w:right="0" w:hanging="677"/>
        <w:jc w:val="left"/>
        <w:rPr>
          <w:sz w:val="22"/>
        </w:rPr>
      </w:pPr>
      <w:r>
        <w:rPr>
          <w:sz w:val="22"/>
        </w:rPr>
        <w:t>Milling</w:t>
      </w:r>
      <w:r>
        <w:rPr>
          <w:spacing w:val="6"/>
          <w:sz w:val="22"/>
        </w:rPr>
        <w:t> </w:t>
      </w:r>
      <w:r>
        <w:rPr>
          <w:sz w:val="22"/>
        </w:rPr>
        <w:t>of</w:t>
      </w:r>
      <w:r>
        <w:rPr>
          <w:spacing w:val="11"/>
          <w:sz w:val="22"/>
        </w:rPr>
        <w:t> </w:t>
      </w:r>
      <w:r>
        <w:rPr>
          <w:sz w:val="22"/>
        </w:rPr>
        <w:t>the</w:t>
      </w:r>
      <w:r>
        <w:rPr>
          <w:spacing w:val="11"/>
          <w:sz w:val="22"/>
        </w:rPr>
        <w:t> </w:t>
      </w:r>
      <w:r>
        <w:rPr>
          <w:sz w:val="22"/>
        </w:rPr>
        <w:t>granules</w:t>
      </w:r>
      <w:r>
        <w:rPr>
          <w:spacing w:val="7"/>
          <w:sz w:val="22"/>
        </w:rPr>
        <w:t> </w:t>
      </w:r>
      <w:r>
        <w:rPr>
          <w:sz w:val="22"/>
        </w:rPr>
        <w:t>(reduction</w:t>
      </w:r>
      <w:r>
        <w:rPr>
          <w:spacing w:val="7"/>
          <w:sz w:val="22"/>
        </w:rPr>
        <w:t> </w:t>
      </w:r>
      <w:r>
        <w:rPr>
          <w:sz w:val="22"/>
        </w:rPr>
        <w:t>in</w:t>
      </w:r>
      <w:r>
        <w:rPr>
          <w:spacing w:val="7"/>
          <w:sz w:val="22"/>
        </w:rPr>
        <w:t> </w:t>
      </w:r>
      <w:r>
        <w:rPr>
          <w:sz w:val="22"/>
        </w:rPr>
        <w:t>the</w:t>
      </w:r>
      <w:r>
        <w:rPr>
          <w:spacing w:val="16"/>
          <w:sz w:val="22"/>
        </w:rPr>
        <w:t> </w:t>
      </w:r>
      <w:r>
        <w:rPr>
          <w:sz w:val="22"/>
        </w:rPr>
        <w:t>granules</w:t>
      </w:r>
      <w:r>
        <w:rPr>
          <w:spacing w:val="7"/>
          <w:sz w:val="22"/>
        </w:rPr>
        <w:t> </w:t>
      </w:r>
      <w:r>
        <w:rPr>
          <w:spacing w:val="-2"/>
          <w:sz w:val="22"/>
        </w:rPr>
        <w:t>size)</w:t>
      </w:r>
    </w:p>
    <w:p>
      <w:pPr>
        <w:spacing w:after="0" w:line="253" w:lineRule="exact"/>
        <w:jc w:val="left"/>
        <w:rPr>
          <w:sz w:val="22"/>
        </w:rPr>
        <w:sectPr>
          <w:pgSz w:w="12240" w:h="15840"/>
          <w:pgMar w:header="0" w:footer="999" w:top="1260" w:bottom="1180" w:left="1720" w:right="0"/>
        </w:sectPr>
      </w:pPr>
    </w:p>
    <w:p>
      <w:pPr>
        <w:pStyle w:val="ListParagraph"/>
        <w:numPr>
          <w:ilvl w:val="1"/>
          <w:numId w:val="14"/>
        </w:numPr>
        <w:tabs>
          <w:tab w:pos="1681" w:val="left" w:leader="none"/>
          <w:tab w:pos="1683" w:val="left" w:leader="none"/>
        </w:tabs>
        <w:spacing w:line="491" w:lineRule="auto" w:before="75" w:after="0"/>
        <w:ind w:left="1683" w:right="1860" w:hanging="677"/>
        <w:jc w:val="both"/>
        <w:rPr>
          <w:sz w:val="22"/>
        </w:rPr>
      </w:pPr>
      <w:r>
        <w:rPr>
          <w:sz w:val="22"/>
        </w:rPr>
        <w:t>Mixing of the granules with lubricant. The penultimate stage in the manufacture of tablets using wet granulation involves a final mixing of the dried granules with the lubricant.</w:t>
      </w:r>
    </w:p>
    <w:p>
      <w:pPr>
        <w:pStyle w:val="ListParagraph"/>
        <w:numPr>
          <w:ilvl w:val="1"/>
          <w:numId w:val="14"/>
        </w:numPr>
        <w:tabs>
          <w:tab w:pos="1683" w:val="left" w:leader="none"/>
        </w:tabs>
        <w:spacing w:line="252" w:lineRule="exact" w:before="0" w:after="0"/>
        <w:ind w:left="1683" w:right="0" w:hanging="677"/>
        <w:jc w:val="left"/>
        <w:rPr>
          <w:sz w:val="22"/>
        </w:rPr>
      </w:pPr>
      <w:r>
        <w:rPr>
          <w:sz w:val="22"/>
        </w:rPr>
        <w:t>Compression</w:t>
      </w:r>
      <w:r>
        <w:rPr>
          <w:spacing w:val="9"/>
          <w:sz w:val="22"/>
        </w:rPr>
        <w:t> </w:t>
      </w:r>
      <w:r>
        <w:rPr>
          <w:sz w:val="22"/>
        </w:rPr>
        <w:t>of</w:t>
      </w:r>
      <w:r>
        <w:rPr>
          <w:spacing w:val="9"/>
          <w:sz w:val="22"/>
        </w:rPr>
        <w:t> </w:t>
      </w:r>
      <w:r>
        <w:rPr>
          <w:sz w:val="22"/>
        </w:rPr>
        <w:t>the</w:t>
      </w:r>
      <w:r>
        <w:rPr>
          <w:spacing w:val="7"/>
          <w:sz w:val="22"/>
        </w:rPr>
        <w:t> </w:t>
      </w:r>
      <w:r>
        <w:rPr>
          <w:sz w:val="22"/>
        </w:rPr>
        <w:t>formulation</w:t>
      </w:r>
      <w:r>
        <w:rPr>
          <w:spacing w:val="10"/>
          <w:sz w:val="22"/>
        </w:rPr>
        <w:t> </w:t>
      </w:r>
      <w:r>
        <w:rPr>
          <w:sz w:val="22"/>
        </w:rPr>
        <w:t>into</w:t>
      </w:r>
      <w:r>
        <w:rPr>
          <w:spacing w:val="20"/>
          <w:sz w:val="22"/>
        </w:rPr>
        <w:t> </w:t>
      </w:r>
      <w:r>
        <w:rPr>
          <w:spacing w:val="-2"/>
          <w:sz w:val="22"/>
        </w:rPr>
        <w:t>tablets.</w:t>
      </w:r>
    </w:p>
    <w:p>
      <w:pPr>
        <w:pStyle w:val="BodyText"/>
        <w:spacing w:before="243"/>
      </w:pPr>
    </w:p>
    <w:p>
      <w:pPr>
        <w:pStyle w:val="Heading2"/>
        <w:numPr>
          <w:ilvl w:val="3"/>
          <w:numId w:val="15"/>
        </w:numPr>
        <w:tabs>
          <w:tab w:pos="1338" w:val="left" w:leader="none"/>
        </w:tabs>
        <w:spacing w:line="240" w:lineRule="auto" w:before="0" w:after="0"/>
        <w:ind w:left="1338" w:right="0" w:hanging="673"/>
        <w:jc w:val="left"/>
      </w:pPr>
      <w:bookmarkStart w:name="_TOC_250108" w:id="53"/>
      <w:r>
        <w:rPr/>
        <w:t>Advantages</w:t>
      </w:r>
      <w:r>
        <w:rPr>
          <w:spacing w:val="8"/>
        </w:rPr>
        <w:t> </w:t>
      </w:r>
      <w:r>
        <w:rPr/>
        <w:t>and</w:t>
      </w:r>
      <w:r>
        <w:rPr>
          <w:spacing w:val="15"/>
        </w:rPr>
        <w:t> </w:t>
      </w:r>
      <w:r>
        <w:rPr/>
        <w:t>disadvantages</w:t>
      </w:r>
      <w:r>
        <w:rPr>
          <w:spacing w:val="8"/>
        </w:rPr>
        <w:t> </w:t>
      </w:r>
      <w:r>
        <w:rPr/>
        <w:t>of</w:t>
      </w:r>
      <w:r>
        <w:rPr>
          <w:spacing w:val="12"/>
        </w:rPr>
        <w:t> </w:t>
      </w:r>
      <w:r>
        <w:rPr/>
        <w:t>wet</w:t>
      </w:r>
      <w:r>
        <w:rPr>
          <w:spacing w:val="24"/>
        </w:rPr>
        <w:t> </w:t>
      </w:r>
      <w:bookmarkEnd w:id="53"/>
      <w:r>
        <w:rPr>
          <w:spacing w:val="-2"/>
        </w:rPr>
        <w:t>granulation</w:t>
      </w:r>
    </w:p>
    <w:p>
      <w:pPr>
        <w:pStyle w:val="BodyText"/>
        <w:spacing w:line="491" w:lineRule="auto" w:before="246"/>
        <w:ind w:left="665" w:right="1858" w:firstLine="676"/>
      </w:pPr>
      <w:r>
        <w:rPr/>
        <w:t>There</w:t>
      </w:r>
      <w:r>
        <w:rPr>
          <w:spacing w:val="40"/>
        </w:rPr>
        <w:t> </w:t>
      </w:r>
      <w:r>
        <w:rPr/>
        <w:t>are</w:t>
      </w:r>
      <w:r>
        <w:rPr>
          <w:spacing w:val="40"/>
        </w:rPr>
        <w:t> </w:t>
      </w:r>
      <w:r>
        <w:rPr/>
        <w:t>several</w:t>
      </w:r>
      <w:r>
        <w:rPr>
          <w:spacing w:val="39"/>
        </w:rPr>
        <w:t> </w:t>
      </w:r>
      <w:r>
        <w:rPr/>
        <w:t>advantages</w:t>
      </w:r>
      <w:r>
        <w:rPr>
          <w:spacing w:val="38"/>
        </w:rPr>
        <w:t> </w:t>
      </w:r>
      <w:r>
        <w:rPr/>
        <w:t>and</w:t>
      </w:r>
      <w:r>
        <w:rPr>
          <w:spacing w:val="40"/>
        </w:rPr>
        <w:t> </w:t>
      </w:r>
      <w:r>
        <w:rPr/>
        <w:t>disadvantages</w:t>
      </w:r>
      <w:r>
        <w:rPr>
          <w:spacing w:val="40"/>
        </w:rPr>
        <w:t> </w:t>
      </w:r>
      <w:r>
        <w:rPr/>
        <w:t>associated</w:t>
      </w:r>
      <w:r>
        <w:rPr>
          <w:spacing w:val="40"/>
        </w:rPr>
        <w:t> </w:t>
      </w:r>
      <w:r>
        <w:rPr/>
        <w:t>with</w:t>
      </w:r>
      <w:r>
        <w:rPr>
          <w:spacing w:val="37"/>
        </w:rPr>
        <w:t> </w:t>
      </w:r>
      <w:r>
        <w:rPr/>
        <w:t>this</w:t>
      </w:r>
      <w:r>
        <w:rPr>
          <w:spacing w:val="40"/>
        </w:rPr>
        <w:t> </w:t>
      </w:r>
      <w:r>
        <w:rPr/>
        <w:t>technique (David, 2008).</w:t>
      </w:r>
    </w:p>
    <w:p>
      <w:pPr>
        <w:pStyle w:val="Heading2"/>
        <w:spacing w:before="5"/>
        <w:ind w:firstLine="0"/>
      </w:pPr>
      <w:r>
        <w:rPr>
          <w:spacing w:val="-2"/>
        </w:rPr>
        <w:t>Advantages</w:t>
      </w:r>
    </w:p>
    <w:p>
      <w:pPr>
        <w:pStyle w:val="BodyText"/>
        <w:spacing w:before="12"/>
        <w:rPr>
          <w:b/>
        </w:rPr>
      </w:pPr>
    </w:p>
    <w:p>
      <w:pPr>
        <w:pStyle w:val="ListParagraph"/>
        <w:numPr>
          <w:ilvl w:val="4"/>
          <w:numId w:val="15"/>
        </w:numPr>
        <w:tabs>
          <w:tab w:pos="1006" w:val="left" w:leader="none"/>
        </w:tabs>
        <w:spacing w:line="491" w:lineRule="auto" w:before="0" w:after="0"/>
        <w:ind w:left="1006" w:right="1863" w:hanging="341"/>
        <w:jc w:val="left"/>
        <w:rPr>
          <w:sz w:val="22"/>
        </w:rPr>
      </w:pPr>
      <w:r>
        <w:rPr>
          <w:sz w:val="22"/>
        </w:rPr>
        <w:t>Reduced</w:t>
      </w:r>
      <w:r>
        <w:rPr>
          <w:spacing w:val="40"/>
          <w:sz w:val="22"/>
        </w:rPr>
        <w:t> </w:t>
      </w:r>
      <w:r>
        <w:rPr>
          <w:sz w:val="22"/>
        </w:rPr>
        <w:t>segregation</w:t>
      </w:r>
      <w:r>
        <w:rPr>
          <w:spacing w:val="36"/>
          <w:sz w:val="22"/>
        </w:rPr>
        <w:t> </w:t>
      </w:r>
      <w:r>
        <w:rPr>
          <w:sz w:val="22"/>
        </w:rPr>
        <w:t>of</w:t>
      </w:r>
      <w:r>
        <w:rPr>
          <w:spacing w:val="40"/>
          <w:sz w:val="22"/>
        </w:rPr>
        <w:t> </w:t>
      </w:r>
      <w:r>
        <w:rPr>
          <w:sz w:val="22"/>
        </w:rPr>
        <w:t>formulation</w:t>
      </w:r>
      <w:r>
        <w:rPr>
          <w:spacing w:val="36"/>
          <w:sz w:val="22"/>
        </w:rPr>
        <w:t> </w:t>
      </w:r>
      <w:r>
        <w:rPr>
          <w:sz w:val="22"/>
        </w:rPr>
        <w:t>components</w:t>
      </w:r>
      <w:r>
        <w:rPr>
          <w:spacing w:val="40"/>
          <w:sz w:val="22"/>
        </w:rPr>
        <w:t> </w:t>
      </w:r>
      <w:r>
        <w:rPr>
          <w:sz w:val="22"/>
        </w:rPr>
        <w:t>during</w:t>
      </w:r>
      <w:r>
        <w:rPr>
          <w:spacing w:val="36"/>
          <w:sz w:val="22"/>
        </w:rPr>
        <w:t> </w:t>
      </w:r>
      <w:r>
        <w:rPr>
          <w:sz w:val="22"/>
        </w:rPr>
        <w:t>storage</w:t>
      </w:r>
      <w:r>
        <w:rPr>
          <w:spacing w:val="40"/>
          <w:sz w:val="22"/>
        </w:rPr>
        <w:t> </w:t>
      </w:r>
      <w:r>
        <w:rPr>
          <w:sz w:val="22"/>
        </w:rPr>
        <w:t>and/or</w:t>
      </w:r>
      <w:r>
        <w:rPr>
          <w:spacing w:val="40"/>
          <w:sz w:val="22"/>
        </w:rPr>
        <w:t> </w:t>
      </w:r>
      <w:r>
        <w:rPr>
          <w:sz w:val="22"/>
        </w:rPr>
        <w:t>processing, leading to reduced intra-and inter batch variability.</w:t>
      </w:r>
    </w:p>
    <w:p>
      <w:pPr>
        <w:pStyle w:val="ListParagraph"/>
        <w:numPr>
          <w:ilvl w:val="4"/>
          <w:numId w:val="15"/>
        </w:numPr>
        <w:tabs>
          <w:tab w:pos="1006" w:val="left" w:leader="none"/>
        </w:tabs>
        <w:spacing w:line="491" w:lineRule="auto" w:before="0" w:after="0"/>
        <w:ind w:left="1006" w:right="1861" w:hanging="341"/>
        <w:jc w:val="left"/>
        <w:rPr>
          <w:sz w:val="22"/>
        </w:rPr>
      </w:pPr>
      <w:r>
        <w:rPr>
          <w:sz w:val="22"/>
        </w:rPr>
        <w:t>Tablets</w:t>
      </w:r>
      <w:r>
        <w:rPr>
          <w:spacing w:val="80"/>
          <w:sz w:val="22"/>
        </w:rPr>
        <w:t> </w:t>
      </w:r>
      <w:r>
        <w:rPr>
          <w:sz w:val="22"/>
        </w:rPr>
        <w:t>containing</w:t>
      </w:r>
      <w:r>
        <w:rPr>
          <w:spacing w:val="80"/>
          <w:sz w:val="22"/>
        </w:rPr>
        <w:t> </w:t>
      </w:r>
      <w:r>
        <w:rPr>
          <w:sz w:val="22"/>
        </w:rPr>
        <w:t>low</w:t>
      </w:r>
      <w:r>
        <w:rPr>
          <w:spacing w:val="80"/>
          <w:sz w:val="22"/>
        </w:rPr>
        <w:t> </w:t>
      </w:r>
      <w:r>
        <w:rPr>
          <w:sz w:val="22"/>
        </w:rPr>
        <w:t>concentrations</w:t>
      </w:r>
      <w:r>
        <w:rPr>
          <w:spacing w:val="80"/>
          <w:sz w:val="22"/>
        </w:rPr>
        <w:t> </w:t>
      </w:r>
      <w:r>
        <w:rPr>
          <w:sz w:val="22"/>
        </w:rPr>
        <w:t>of</w:t>
      </w:r>
      <w:r>
        <w:rPr>
          <w:spacing w:val="79"/>
          <w:sz w:val="22"/>
        </w:rPr>
        <w:t> </w:t>
      </w:r>
      <w:r>
        <w:rPr>
          <w:sz w:val="22"/>
        </w:rPr>
        <w:t>API</w:t>
      </w:r>
      <w:r>
        <w:rPr>
          <w:spacing w:val="79"/>
          <w:sz w:val="22"/>
        </w:rPr>
        <w:t> </w:t>
      </w:r>
      <w:r>
        <w:rPr>
          <w:sz w:val="22"/>
        </w:rPr>
        <w:t>can</w:t>
      </w:r>
      <w:r>
        <w:rPr>
          <w:spacing w:val="80"/>
          <w:sz w:val="22"/>
        </w:rPr>
        <w:t> </w:t>
      </w:r>
      <w:r>
        <w:rPr>
          <w:sz w:val="22"/>
        </w:rPr>
        <w:t>be</w:t>
      </w:r>
      <w:r>
        <w:rPr>
          <w:spacing w:val="80"/>
          <w:sz w:val="22"/>
        </w:rPr>
        <w:t> </w:t>
      </w:r>
      <w:r>
        <w:rPr>
          <w:sz w:val="22"/>
        </w:rPr>
        <w:t>manufactured</w:t>
      </w:r>
      <w:r>
        <w:rPr>
          <w:spacing w:val="80"/>
          <w:sz w:val="22"/>
        </w:rPr>
        <w:t> </w:t>
      </w:r>
      <w:r>
        <w:rPr>
          <w:sz w:val="22"/>
        </w:rPr>
        <w:t>using</w:t>
      </w:r>
      <w:r>
        <w:rPr>
          <w:spacing w:val="80"/>
          <w:sz w:val="22"/>
        </w:rPr>
        <w:t> </w:t>
      </w:r>
      <w:r>
        <w:rPr>
          <w:sz w:val="22"/>
        </w:rPr>
        <w:t>this </w:t>
      </w:r>
      <w:r>
        <w:rPr>
          <w:spacing w:val="-2"/>
          <w:sz w:val="22"/>
        </w:rPr>
        <w:t>technique.</w:t>
      </w:r>
    </w:p>
    <w:p>
      <w:pPr>
        <w:pStyle w:val="ListParagraph"/>
        <w:numPr>
          <w:ilvl w:val="4"/>
          <w:numId w:val="15"/>
        </w:numPr>
        <w:tabs>
          <w:tab w:pos="1006" w:val="left" w:leader="none"/>
        </w:tabs>
        <w:spacing w:line="491" w:lineRule="auto" w:before="0" w:after="0"/>
        <w:ind w:left="1006" w:right="1860" w:hanging="341"/>
        <w:jc w:val="left"/>
        <w:rPr>
          <w:sz w:val="22"/>
        </w:rPr>
      </w:pPr>
      <w:r>
        <w:rPr>
          <w:sz w:val="22"/>
        </w:rPr>
        <w:t>Employs conventional excipients and therefore is not dependent on the inclusion of</w:t>
      </w:r>
      <w:r>
        <w:rPr>
          <w:spacing w:val="80"/>
          <w:sz w:val="22"/>
        </w:rPr>
        <w:t> </w:t>
      </w:r>
      <w:r>
        <w:rPr>
          <w:sz w:val="22"/>
        </w:rPr>
        <w:t>special grades of excipient.</w:t>
      </w:r>
    </w:p>
    <w:p>
      <w:pPr>
        <w:pStyle w:val="ListParagraph"/>
        <w:numPr>
          <w:ilvl w:val="4"/>
          <w:numId w:val="15"/>
        </w:numPr>
        <w:tabs>
          <w:tab w:pos="1006" w:val="left" w:leader="none"/>
        </w:tabs>
        <w:spacing w:line="253" w:lineRule="exact" w:before="0" w:after="0"/>
        <w:ind w:left="1006" w:right="0" w:hanging="341"/>
        <w:jc w:val="left"/>
        <w:rPr>
          <w:sz w:val="22"/>
        </w:rPr>
      </w:pPr>
      <w:r>
        <w:rPr>
          <w:sz w:val="22"/>
        </w:rPr>
        <w:t>Most</w:t>
      </w:r>
      <w:r>
        <w:rPr>
          <w:spacing w:val="15"/>
          <w:sz w:val="22"/>
        </w:rPr>
        <w:t> </w:t>
      </w:r>
      <w:r>
        <w:rPr>
          <w:sz w:val="22"/>
        </w:rPr>
        <w:t>manufacturing</w:t>
      </w:r>
      <w:r>
        <w:rPr>
          <w:spacing w:val="9"/>
          <w:sz w:val="22"/>
        </w:rPr>
        <w:t> </w:t>
      </w:r>
      <w:r>
        <w:rPr>
          <w:sz w:val="22"/>
        </w:rPr>
        <w:t>plants</w:t>
      </w:r>
      <w:r>
        <w:rPr>
          <w:spacing w:val="10"/>
          <w:sz w:val="22"/>
        </w:rPr>
        <w:t> </w:t>
      </w:r>
      <w:r>
        <w:rPr>
          <w:sz w:val="22"/>
        </w:rPr>
        <w:t>are</w:t>
      </w:r>
      <w:r>
        <w:rPr>
          <w:spacing w:val="12"/>
          <w:sz w:val="22"/>
        </w:rPr>
        <w:t> </w:t>
      </w:r>
      <w:r>
        <w:rPr>
          <w:sz w:val="22"/>
        </w:rPr>
        <w:t>built</w:t>
      </w:r>
      <w:r>
        <w:rPr>
          <w:spacing w:val="11"/>
          <w:sz w:val="22"/>
        </w:rPr>
        <w:t> </w:t>
      </w:r>
      <w:r>
        <w:rPr>
          <w:sz w:val="22"/>
        </w:rPr>
        <w:t>around</w:t>
      </w:r>
      <w:r>
        <w:rPr>
          <w:spacing w:val="14"/>
          <w:sz w:val="22"/>
        </w:rPr>
        <w:t> </w:t>
      </w:r>
      <w:r>
        <w:rPr>
          <w:sz w:val="22"/>
        </w:rPr>
        <w:t>wet</w:t>
      </w:r>
      <w:r>
        <w:rPr>
          <w:spacing w:val="15"/>
          <w:sz w:val="22"/>
        </w:rPr>
        <w:t> </w:t>
      </w:r>
      <w:r>
        <w:rPr>
          <w:sz w:val="22"/>
        </w:rPr>
        <w:t>granulation</w:t>
      </w:r>
      <w:r>
        <w:rPr>
          <w:spacing w:val="3"/>
          <w:sz w:val="22"/>
        </w:rPr>
        <w:t> </w:t>
      </w:r>
      <w:r>
        <w:rPr>
          <w:sz w:val="22"/>
        </w:rPr>
        <w:t>tablet</w:t>
      </w:r>
      <w:r>
        <w:rPr>
          <w:spacing w:val="12"/>
          <w:sz w:val="22"/>
        </w:rPr>
        <w:t> </w:t>
      </w:r>
      <w:r>
        <w:rPr>
          <w:spacing w:val="-2"/>
          <w:sz w:val="22"/>
        </w:rPr>
        <w:t>manufacture.</w:t>
      </w:r>
    </w:p>
    <w:p>
      <w:pPr>
        <w:pStyle w:val="BodyText"/>
        <w:spacing w:before="11"/>
      </w:pPr>
    </w:p>
    <w:p>
      <w:pPr>
        <w:pStyle w:val="ListParagraph"/>
        <w:numPr>
          <w:ilvl w:val="4"/>
          <w:numId w:val="15"/>
        </w:numPr>
        <w:tabs>
          <w:tab w:pos="1006" w:val="left" w:leader="none"/>
        </w:tabs>
        <w:spacing w:line="491" w:lineRule="auto" w:before="1" w:after="0"/>
        <w:ind w:left="1006" w:right="1859" w:hanging="341"/>
        <w:jc w:val="left"/>
        <w:rPr>
          <w:sz w:val="22"/>
        </w:rPr>
      </w:pPr>
      <w:r>
        <w:rPr>
          <w:sz w:val="22"/>
        </w:rPr>
        <w:t>Tablets</w:t>
      </w:r>
      <w:r>
        <w:rPr>
          <w:spacing w:val="80"/>
          <w:w w:val="150"/>
          <w:sz w:val="22"/>
        </w:rPr>
        <w:t> </w:t>
      </w:r>
      <w:r>
        <w:rPr>
          <w:sz w:val="22"/>
        </w:rPr>
        <w:t>produced</w:t>
      </w:r>
      <w:r>
        <w:rPr>
          <w:spacing w:val="80"/>
          <w:w w:val="150"/>
          <w:sz w:val="22"/>
        </w:rPr>
        <w:t> </w:t>
      </w:r>
      <w:r>
        <w:rPr>
          <w:sz w:val="22"/>
        </w:rPr>
        <w:t>by</w:t>
      </w:r>
      <w:r>
        <w:rPr>
          <w:spacing w:val="80"/>
          <w:sz w:val="22"/>
        </w:rPr>
        <w:t> </w:t>
      </w:r>
      <w:r>
        <w:rPr>
          <w:sz w:val="22"/>
        </w:rPr>
        <w:t>wet</w:t>
      </w:r>
      <w:r>
        <w:rPr>
          <w:spacing w:val="80"/>
          <w:w w:val="150"/>
          <w:sz w:val="22"/>
        </w:rPr>
        <w:t> </w:t>
      </w:r>
      <w:r>
        <w:rPr>
          <w:sz w:val="22"/>
        </w:rPr>
        <w:t>granulation</w:t>
      </w:r>
      <w:r>
        <w:rPr>
          <w:spacing w:val="80"/>
          <w:w w:val="150"/>
          <w:sz w:val="22"/>
        </w:rPr>
        <w:t> </w:t>
      </w:r>
      <w:r>
        <w:rPr>
          <w:sz w:val="22"/>
        </w:rPr>
        <w:t>are</w:t>
      </w:r>
      <w:r>
        <w:rPr>
          <w:spacing w:val="80"/>
          <w:w w:val="150"/>
          <w:sz w:val="22"/>
        </w:rPr>
        <w:t> </w:t>
      </w:r>
      <w:r>
        <w:rPr>
          <w:sz w:val="22"/>
        </w:rPr>
        <w:t>amenable</w:t>
      </w:r>
      <w:r>
        <w:rPr>
          <w:spacing w:val="80"/>
          <w:w w:val="150"/>
          <w:sz w:val="22"/>
        </w:rPr>
        <w:t> </w:t>
      </w:r>
      <w:r>
        <w:rPr>
          <w:sz w:val="22"/>
        </w:rPr>
        <w:t>to</w:t>
      </w:r>
      <w:r>
        <w:rPr>
          <w:spacing w:val="80"/>
          <w:w w:val="150"/>
          <w:sz w:val="22"/>
        </w:rPr>
        <w:t> </w:t>
      </w:r>
      <w:r>
        <w:rPr>
          <w:sz w:val="22"/>
        </w:rPr>
        <w:t>post-processing</w:t>
      </w:r>
      <w:r>
        <w:rPr>
          <w:spacing w:val="80"/>
          <w:w w:val="150"/>
          <w:sz w:val="22"/>
        </w:rPr>
        <w:t> </w:t>
      </w:r>
      <w:r>
        <w:rPr>
          <w:sz w:val="22"/>
        </w:rPr>
        <w:t>unit operations, e.g. tablet-coating technique.</w:t>
      </w:r>
    </w:p>
    <w:p>
      <w:pPr>
        <w:pStyle w:val="Heading2"/>
        <w:spacing w:before="4"/>
        <w:ind w:firstLine="0"/>
      </w:pPr>
      <w:r>
        <w:rPr>
          <w:spacing w:val="-2"/>
        </w:rPr>
        <w:t>Disadvantages</w:t>
      </w:r>
    </w:p>
    <w:p>
      <w:pPr>
        <w:pStyle w:val="BodyText"/>
        <w:spacing w:before="7"/>
        <w:rPr>
          <w:b/>
        </w:rPr>
      </w:pPr>
    </w:p>
    <w:p>
      <w:pPr>
        <w:pStyle w:val="ListParagraph"/>
        <w:numPr>
          <w:ilvl w:val="4"/>
          <w:numId w:val="15"/>
        </w:numPr>
        <w:tabs>
          <w:tab w:pos="1006" w:val="left" w:leader="none"/>
        </w:tabs>
        <w:spacing w:line="240" w:lineRule="auto" w:before="1" w:after="0"/>
        <w:ind w:left="1006" w:right="0" w:hanging="341"/>
        <w:jc w:val="left"/>
        <w:rPr>
          <w:sz w:val="22"/>
        </w:rPr>
      </w:pPr>
      <w:r>
        <w:rPr>
          <w:sz w:val="22"/>
        </w:rPr>
        <w:t>Several</w:t>
      </w:r>
      <w:r>
        <w:rPr>
          <w:spacing w:val="8"/>
          <w:sz w:val="22"/>
        </w:rPr>
        <w:t> </w:t>
      </w:r>
      <w:r>
        <w:rPr>
          <w:sz w:val="22"/>
        </w:rPr>
        <w:t>processing</w:t>
      </w:r>
      <w:r>
        <w:rPr>
          <w:spacing w:val="5"/>
          <w:sz w:val="22"/>
        </w:rPr>
        <w:t> </w:t>
      </w:r>
      <w:r>
        <w:rPr>
          <w:sz w:val="22"/>
        </w:rPr>
        <w:t>steps</w:t>
      </w:r>
      <w:r>
        <w:rPr>
          <w:spacing w:val="13"/>
          <w:sz w:val="22"/>
        </w:rPr>
        <w:t> </w:t>
      </w:r>
      <w:r>
        <w:rPr>
          <w:sz w:val="22"/>
        </w:rPr>
        <w:t>are</w:t>
      </w:r>
      <w:r>
        <w:rPr>
          <w:spacing w:val="16"/>
          <w:sz w:val="22"/>
        </w:rPr>
        <w:t> </w:t>
      </w:r>
      <w:r>
        <w:rPr>
          <w:spacing w:val="-2"/>
          <w:sz w:val="22"/>
        </w:rPr>
        <w:t>required</w:t>
      </w:r>
    </w:p>
    <w:p>
      <w:pPr>
        <w:pStyle w:val="BodyText"/>
        <w:spacing w:before="12"/>
      </w:pPr>
    </w:p>
    <w:p>
      <w:pPr>
        <w:pStyle w:val="ListParagraph"/>
        <w:numPr>
          <w:ilvl w:val="4"/>
          <w:numId w:val="15"/>
        </w:numPr>
        <w:tabs>
          <w:tab w:pos="1006" w:val="left" w:leader="none"/>
        </w:tabs>
        <w:spacing w:line="240" w:lineRule="auto" w:before="0" w:after="0"/>
        <w:ind w:left="1006" w:right="0" w:hanging="341"/>
        <w:jc w:val="left"/>
        <w:rPr>
          <w:sz w:val="22"/>
        </w:rPr>
      </w:pPr>
      <w:r>
        <w:rPr>
          <w:sz w:val="22"/>
        </w:rPr>
        <w:t>Solvents</w:t>
      </w:r>
      <w:r>
        <w:rPr>
          <w:spacing w:val="9"/>
          <w:sz w:val="22"/>
        </w:rPr>
        <w:t> </w:t>
      </w:r>
      <w:r>
        <w:rPr>
          <w:sz w:val="22"/>
        </w:rPr>
        <w:t>are</w:t>
      </w:r>
      <w:r>
        <w:rPr>
          <w:spacing w:val="12"/>
          <w:sz w:val="22"/>
        </w:rPr>
        <w:t> </w:t>
      </w:r>
      <w:r>
        <w:rPr>
          <w:sz w:val="22"/>
        </w:rPr>
        <w:t>required</w:t>
      </w:r>
      <w:r>
        <w:rPr>
          <w:spacing w:val="8"/>
          <w:sz w:val="22"/>
        </w:rPr>
        <w:t> </w:t>
      </w:r>
      <w:r>
        <w:rPr>
          <w:sz w:val="22"/>
        </w:rPr>
        <w:t>which</w:t>
      </w:r>
      <w:r>
        <w:rPr>
          <w:spacing w:val="8"/>
          <w:sz w:val="22"/>
        </w:rPr>
        <w:t> </w:t>
      </w:r>
      <w:r>
        <w:rPr>
          <w:sz w:val="22"/>
        </w:rPr>
        <w:t>leads</w:t>
      </w:r>
      <w:r>
        <w:rPr>
          <w:spacing w:val="10"/>
          <w:sz w:val="22"/>
        </w:rPr>
        <w:t> </w:t>
      </w:r>
      <w:r>
        <w:rPr>
          <w:sz w:val="22"/>
        </w:rPr>
        <w:t>to</w:t>
      </w:r>
      <w:r>
        <w:rPr>
          <w:spacing w:val="13"/>
          <w:sz w:val="22"/>
        </w:rPr>
        <w:t> </w:t>
      </w:r>
      <w:r>
        <w:rPr>
          <w:sz w:val="22"/>
        </w:rPr>
        <w:t>a</w:t>
      </w:r>
      <w:r>
        <w:rPr>
          <w:spacing w:val="5"/>
          <w:sz w:val="22"/>
        </w:rPr>
        <w:t> </w:t>
      </w:r>
      <w:r>
        <w:rPr>
          <w:sz w:val="22"/>
        </w:rPr>
        <w:t>number</w:t>
      </w:r>
      <w:r>
        <w:rPr>
          <w:spacing w:val="2"/>
          <w:sz w:val="22"/>
        </w:rPr>
        <w:t> </w:t>
      </w:r>
      <w:r>
        <w:rPr>
          <w:sz w:val="22"/>
        </w:rPr>
        <w:t>of</w:t>
      </w:r>
      <w:r>
        <w:rPr>
          <w:spacing w:val="7"/>
          <w:sz w:val="22"/>
        </w:rPr>
        <w:t> </w:t>
      </w:r>
      <w:r>
        <w:rPr>
          <w:sz w:val="22"/>
        </w:rPr>
        <w:t>concerns,</w:t>
      </w:r>
      <w:r>
        <w:rPr>
          <w:spacing w:val="12"/>
          <w:sz w:val="22"/>
        </w:rPr>
        <w:t> </w:t>
      </w:r>
      <w:r>
        <w:rPr>
          <w:spacing w:val="-4"/>
          <w:sz w:val="22"/>
        </w:rPr>
        <w:t>e.g.</w:t>
      </w:r>
    </w:p>
    <w:p>
      <w:pPr>
        <w:pStyle w:val="BodyText"/>
        <w:spacing w:before="12"/>
      </w:pPr>
    </w:p>
    <w:p>
      <w:pPr>
        <w:pStyle w:val="ListParagraph"/>
        <w:numPr>
          <w:ilvl w:val="5"/>
          <w:numId w:val="15"/>
        </w:numPr>
        <w:tabs>
          <w:tab w:pos="2031" w:val="left" w:leader="none"/>
        </w:tabs>
        <w:spacing w:line="240" w:lineRule="auto" w:before="1" w:after="0"/>
        <w:ind w:left="2031" w:right="0" w:hanging="348"/>
        <w:jc w:val="left"/>
        <w:rPr>
          <w:sz w:val="22"/>
        </w:rPr>
      </w:pPr>
      <w:r>
        <w:rPr>
          <w:sz w:val="22"/>
        </w:rPr>
        <w:t>Drug</w:t>
      </w:r>
      <w:r>
        <w:rPr>
          <w:spacing w:val="4"/>
          <w:sz w:val="22"/>
        </w:rPr>
        <w:t> </w:t>
      </w:r>
      <w:r>
        <w:rPr>
          <w:sz w:val="22"/>
        </w:rPr>
        <w:t>degradation</w:t>
      </w:r>
      <w:r>
        <w:rPr>
          <w:spacing w:val="10"/>
          <w:sz w:val="22"/>
        </w:rPr>
        <w:t> </w:t>
      </w:r>
      <w:r>
        <w:rPr>
          <w:sz w:val="22"/>
        </w:rPr>
        <w:t>may</w:t>
      </w:r>
      <w:r>
        <w:rPr>
          <w:spacing w:val="-1"/>
          <w:sz w:val="22"/>
        </w:rPr>
        <w:t> </w:t>
      </w:r>
      <w:r>
        <w:rPr>
          <w:sz w:val="22"/>
        </w:rPr>
        <w:t>occur</w:t>
      </w:r>
      <w:r>
        <w:rPr>
          <w:spacing w:val="15"/>
          <w:sz w:val="22"/>
        </w:rPr>
        <w:t> </w:t>
      </w:r>
      <w:r>
        <w:rPr>
          <w:sz w:val="22"/>
        </w:rPr>
        <w:t>in</w:t>
      </w:r>
      <w:r>
        <w:rPr>
          <w:spacing w:val="11"/>
          <w:sz w:val="22"/>
        </w:rPr>
        <w:t> </w:t>
      </w:r>
      <w:r>
        <w:rPr>
          <w:sz w:val="22"/>
        </w:rPr>
        <w:t>the</w:t>
      </w:r>
      <w:r>
        <w:rPr>
          <w:spacing w:val="8"/>
          <w:sz w:val="22"/>
        </w:rPr>
        <w:t> </w:t>
      </w:r>
      <w:r>
        <w:rPr>
          <w:sz w:val="22"/>
        </w:rPr>
        <w:t>presence</w:t>
      </w:r>
      <w:r>
        <w:rPr>
          <w:spacing w:val="14"/>
          <w:sz w:val="22"/>
        </w:rPr>
        <w:t> </w:t>
      </w:r>
      <w:r>
        <w:rPr>
          <w:sz w:val="22"/>
        </w:rPr>
        <w:t>of</w:t>
      </w:r>
      <w:r>
        <w:rPr>
          <w:spacing w:val="9"/>
          <w:sz w:val="22"/>
        </w:rPr>
        <w:t> </w:t>
      </w:r>
      <w:r>
        <w:rPr>
          <w:sz w:val="22"/>
        </w:rPr>
        <w:t>the</w:t>
      </w:r>
      <w:r>
        <w:rPr>
          <w:spacing w:val="8"/>
          <w:sz w:val="22"/>
        </w:rPr>
        <w:t> </w:t>
      </w:r>
      <w:r>
        <w:rPr>
          <w:spacing w:val="-2"/>
          <w:sz w:val="22"/>
        </w:rPr>
        <w:t>solvent</w:t>
      </w:r>
    </w:p>
    <w:p>
      <w:pPr>
        <w:pStyle w:val="BodyText"/>
        <w:spacing w:before="12"/>
      </w:pPr>
    </w:p>
    <w:p>
      <w:pPr>
        <w:pStyle w:val="ListParagraph"/>
        <w:numPr>
          <w:ilvl w:val="5"/>
          <w:numId w:val="15"/>
        </w:numPr>
        <w:tabs>
          <w:tab w:pos="2031" w:val="left" w:leader="none"/>
        </w:tabs>
        <w:spacing w:line="240" w:lineRule="auto" w:before="0" w:after="0"/>
        <w:ind w:left="2031" w:right="0" w:hanging="348"/>
        <w:jc w:val="left"/>
        <w:rPr>
          <w:sz w:val="22"/>
        </w:rPr>
      </w:pPr>
      <w:r>
        <w:rPr>
          <w:sz w:val="22"/>
        </w:rPr>
        <w:t>Drug</w:t>
      </w:r>
      <w:r>
        <w:rPr>
          <w:spacing w:val="9"/>
          <w:sz w:val="22"/>
        </w:rPr>
        <w:t> </w:t>
      </w:r>
      <w:r>
        <w:rPr>
          <w:sz w:val="22"/>
        </w:rPr>
        <w:t>may</w:t>
      </w:r>
      <w:r>
        <w:rPr>
          <w:spacing w:val="-2"/>
          <w:sz w:val="22"/>
        </w:rPr>
        <w:t> </w:t>
      </w:r>
      <w:r>
        <w:rPr>
          <w:sz w:val="22"/>
        </w:rPr>
        <w:t>be</w:t>
      </w:r>
      <w:r>
        <w:rPr>
          <w:spacing w:val="13"/>
          <w:sz w:val="22"/>
        </w:rPr>
        <w:t> </w:t>
      </w:r>
      <w:r>
        <w:rPr>
          <w:sz w:val="22"/>
        </w:rPr>
        <w:t>soluble</w:t>
      </w:r>
      <w:r>
        <w:rPr>
          <w:spacing w:val="13"/>
          <w:sz w:val="22"/>
        </w:rPr>
        <w:t> </w:t>
      </w:r>
      <w:r>
        <w:rPr>
          <w:sz w:val="22"/>
        </w:rPr>
        <w:t>in</w:t>
      </w:r>
      <w:r>
        <w:rPr>
          <w:spacing w:val="10"/>
          <w:sz w:val="22"/>
        </w:rPr>
        <w:t> </w:t>
      </w:r>
      <w:r>
        <w:rPr>
          <w:sz w:val="22"/>
        </w:rPr>
        <w:t>the</w:t>
      </w:r>
      <w:r>
        <w:rPr>
          <w:spacing w:val="13"/>
          <w:sz w:val="22"/>
        </w:rPr>
        <w:t> </w:t>
      </w:r>
      <w:r>
        <w:rPr>
          <w:sz w:val="22"/>
        </w:rPr>
        <w:t>granulation</w:t>
      </w:r>
      <w:r>
        <w:rPr>
          <w:spacing w:val="4"/>
          <w:sz w:val="22"/>
        </w:rPr>
        <w:t> </w:t>
      </w:r>
      <w:r>
        <w:rPr>
          <w:spacing w:val="-4"/>
          <w:sz w:val="22"/>
        </w:rPr>
        <w:t>fluid</w:t>
      </w:r>
    </w:p>
    <w:p>
      <w:pPr>
        <w:pStyle w:val="BodyText"/>
        <w:spacing w:before="12"/>
      </w:pPr>
    </w:p>
    <w:p>
      <w:pPr>
        <w:pStyle w:val="ListParagraph"/>
        <w:numPr>
          <w:ilvl w:val="5"/>
          <w:numId w:val="15"/>
        </w:numPr>
        <w:tabs>
          <w:tab w:pos="2030" w:val="left" w:leader="none"/>
          <w:tab w:pos="2033" w:val="left" w:leader="none"/>
        </w:tabs>
        <w:spacing w:line="491" w:lineRule="auto" w:before="0" w:after="0"/>
        <w:ind w:left="2033" w:right="1861" w:hanging="351"/>
        <w:jc w:val="left"/>
        <w:rPr>
          <w:sz w:val="22"/>
        </w:rPr>
      </w:pPr>
      <w:r>
        <w:rPr>
          <w:sz w:val="22"/>
        </w:rPr>
        <w:t>Heat</w:t>
      </w:r>
      <w:r>
        <w:rPr>
          <w:spacing w:val="80"/>
          <w:sz w:val="22"/>
        </w:rPr>
        <w:t> </w:t>
      </w:r>
      <w:r>
        <w:rPr>
          <w:sz w:val="22"/>
        </w:rPr>
        <w:t>is</w:t>
      </w:r>
      <w:r>
        <w:rPr>
          <w:spacing w:val="80"/>
          <w:sz w:val="22"/>
        </w:rPr>
        <w:t> </w:t>
      </w:r>
      <w:r>
        <w:rPr>
          <w:sz w:val="22"/>
        </w:rPr>
        <w:t>required</w:t>
      </w:r>
      <w:r>
        <w:rPr>
          <w:spacing w:val="80"/>
          <w:sz w:val="22"/>
        </w:rPr>
        <w:t> </w:t>
      </w:r>
      <w:r>
        <w:rPr>
          <w:sz w:val="22"/>
        </w:rPr>
        <w:t>to</w:t>
      </w:r>
      <w:r>
        <w:rPr>
          <w:spacing w:val="80"/>
          <w:sz w:val="22"/>
        </w:rPr>
        <w:t> </w:t>
      </w:r>
      <w:r>
        <w:rPr>
          <w:sz w:val="22"/>
        </w:rPr>
        <w:t>remove</w:t>
      </w:r>
      <w:r>
        <w:rPr>
          <w:spacing w:val="80"/>
          <w:sz w:val="22"/>
        </w:rPr>
        <w:t> </w:t>
      </w:r>
      <w:r>
        <w:rPr>
          <w:sz w:val="22"/>
        </w:rPr>
        <w:t>the</w:t>
      </w:r>
      <w:r>
        <w:rPr>
          <w:spacing w:val="80"/>
          <w:sz w:val="22"/>
        </w:rPr>
        <w:t> </w:t>
      </w:r>
      <w:r>
        <w:rPr>
          <w:sz w:val="22"/>
        </w:rPr>
        <w:t>solvent</w:t>
      </w:r>
      <w:r>
        <w:rPr>
          <w:spacing w:val="80"/>
          <w:sz w:val="22"/>
        </w:rPr>
        <w:t> </w:t>
      </w:r>
      <w:r>
        <w:rPr>
          <w:sz w:val="22"/>
        </w:rPr>
        <w:t>which</w:t>
      </w:r>
      <w:r>
        <w:rPr>
          <w:spacing w:val="80"/>
          <w:sz w:val="22"/>
        </w:rPr>
        <w:t> </w:t>
      </w:r>
      <w:r>
        <w:rPr>
          <w:sz w:val="22"/>
        </w:rPr>
        <w:t>may</w:t>
      </w:r>
      <w:r>
        <w:rPr>
          <w:spacing w:val="80"/>
          <w:sz w:val="22"/>
        </w:rPr>
        <w:t> </w:t>
      </w:r>
      <w:r>
        <w:rPr>
          <w:sz w:val="22"/>
        </w:rPr>
        <w:t>result</w:t>
      </w:r>
      <w:r>
        <w:rPr>
          <w:spacing w:val="80"/>
          <w:sz w:val="22"/>
        </w:rPr>
        <w:t> </w:t>
      </w:r>
      <w:r>
        <w:rPr>
          <w:sz w:val="22"/>
        </w:rPr>
        <w:t>in</w:t>
      </w:r>
      <w:r>
        <w:rPr>
          <w:spacing w:val="80"/>
          <w:sz w:val="22"/>
        </w:rPr>
        <w:t> </w:t>
      </w:r>
      <w:r>
        <w:rPr>
          <w:sz w:val="22"/>
        </w:rPr>
        <w:t>the</w:t>
      </w:r>
      <w:r>
        <w:rPr>
          <w:spacing w:val="40"/>
          <w:sz w:val="22"/>
        </w:rPr>
        <w:t> </w:t>
      </w:r>
      <w:r>
        <w:rPr>
          <w:sz w:val="22"/>
        </w:rPr>
        <w:t>degradation of thermolabile API.</w:t>
      </w:r>
    </w:p>
    <w:p>
      <w:pPr>
        <w:spacing w:after="0" w:line="491" w:lineRule="auto"/>
        <w:jc w:val="left"/>
        <w:rPr>
          <w:sz w:val="22"/>
        </w:rPr>
        <w:sectPr>
          <w:pgSz w:w="12240" w:h="15840"/>
          <w:pgMar w:header="0" w:footer="999" w:top="1260" w:bottom="1180" w:left="1720" w:right="0"/>
        </w:sectPr>
      </w:pPr>
    </w:p>
    <w:p>
      <w:pPr>
        <w:pStyle w:val="Heading2"/>
        <w:numPr>
          <w:ilvl w:val="2"/>
          <w:numId w:val="15"/>
        </w:numPr>
        <w:tabs>
          <w:tab w:pos="1342" w:val="left" w:leader="none"/>
        </w:tabs>
        <w:spacing w:line="240" w:lineRule="auto" w:before="80" w:after="0"/>
        <w:ind w:left="1342" w:right="0" w:hanging="677"/>
        <w:jc w:val="left"/>
      </w:pPr>
      <w:bookmarkStart w:name="_TOC_250107" w:id="54"/>
      <w:r>
        <w:rPr/>
        <w:t>Manufacture</w:t>
      </w:r>
      <w:r>
        <w:rPr>
          <w:spacing w:val="8"/>
        </w:rPr>
        <w:t> </w:t>
      </w:r>
      <w:r>
        <w:rPr/>
        <w:t>of</w:t>
      </w:r>
      <w:r>
        <w:rPr>
          <w:spacing w:val="10"/>
        </w:rPr>
        <w:t> </w:t>
      </w:r>
      <w:r>
        <w:rPr/>
        <w:t>tablets</w:t>
      </w:r>
      <w:r>
        <w:rPr>
          <w:spacing w:val="12"/>
        </w:rPr>
        <w:t> </w:t>
      </w:r>
      <w:r>
        <w:rPr/>
        <w:t>by</w:t>
      </w:r>
      <w:r>
        <w:rPr>
          <w:spacing w:val="11"/>
        </w:rPr>
        <w:t> </w:t>
      </w:r>
      <w:r>
        <w:rPr/>
        <w:t>dry</w:t>
      </w:r>
      <w:r>
        <w:rPr>
          <w:spacing w:val="11"/>
        </w:rPr>
        <w:t> </w:t>
      </w:r>
      <w:bookmarkEnd w:id="54"/>
      <w:r>
        <w:rPr>
          <w:spacing w:val="-2"/>
        </w:rPr>
        <w:t>granulation</w:t>
      </w:r>
    </w:p>
    <w:p>
      <w:pPr>
        <w:pStyle w:val="BodyText"/>
        <w:spacing w:line="491" w:lineRule="auto" w:before="246"/>
        <w:ind w:left="665" w:right="1860" w:firstLine="676"/>
        <w:jc w:val="both"/>
      </w:pPr>
      <w:r>
        <w:rPr/>
        <w:t>Dry</w:t>
      </w:r>
      <w:r>
        <w:rPr>
          <w:spacing w:val="25"/>
        </w:rPr>
        <w:t> </w:t>
      </w:r>
      <w:r>
        <w:rPr/>
        <w:t>granulation</w:t>
      </w:r>
      <w:r>
        <w:rPr>
          <w:spacing w:val="30"/>
        </w:rPr>
        <w:t> </w:t>
      </w:r>
      <w:r>
        <w:rPr/>
        <w:t>is</w:t>
      </w:r>
      <w:r>
        <w:rPr>
          <w:spacing w:val="31"/>
        </w:rPr>
        <w:t> </w:t>
      </w:r>
      <w:r>
        <w:rPr/>
        <w:t>similar</w:t>
      </w:r>
      <w:r>
        <w:rPr>
          <w:spacing w:val="29"/>
        </w:rPr>
        <w:t> </w:t>
      </w:r>
      <w:r>
        <w:rPr/>
        <w:t>to</w:t>
      </w:r>
      <w:r>
        <w:rPr>
          <w:spacing w:val="30"/>
        </w:rPr>
        <w:t> </w:t>
      </w:r>
      <w:r>
        <w:rPr/>
        <w:t>wet</w:t>
      </w:r>
      <w:r>
        <w:rPr>
          <w:spacing w:val="27"/>
        </w:rPr>
        <w:t> </w:t>
      </w:r>
      <w:r>
        <w:rPr/>
        <w:t>granulation.</w:t>
      </w:r>
      <w:r>
        <w:rPr>
          <w:spacing w:val="28"/>
        </w:rPr>
        <w:t> </w:t>
      </w:r>
      <w:r>
        <w:rPr/>
        <w:t>In</w:t>
      </w:r>
      <w:r>
        <w:rPr>
          <w:spacing w:val="19"/>
        </w:rPr>
        <w:t> </w:t>
      </w:r>
      <w:r>
        <w:rPr/>
        <w:t>any dry granulation</w:t>
      </w:r>
      <w:r>
        <w:rPr>
          <w:spacing w:val="30"/>
        </w:rPr>
        <w:t> </w:t>
      </w:r>
      <w:r>
        <w:rPr/>
        <w:t>no</w:t>
      </w:r>
      <w:r>
        <w:rPr>
          <w:spacing w:val="36"/>
        </w:rPr>
        <w:t> </w:t>
      </w:r>
      <w:r>
        <w:rPr/>
        <w:t>solvent is required; the aggregation of particles into granules is facilitated by the application of high stresses to the mixed powders. There are two methods by which dry granules are formulated (David, 2008):</w:t>
      </w:r>
    </w:p>
    <w:p>
      <w:pPr>
        <w:pStyle w:val="ListParagraph"/>
        <w:numPr>
          <w:ilvl w:val="0"/>
          <w:numId w:val="22"/>
        </w:numPr>
        <w:tabs>
          <w:tab w:pos="989" w:val="left" w:leader="none"/>
        </w:tabs>
        <w:spacing w:line="252" w:lineRule="exact" w:before="0" w:after="0"/>
        <w:ind w:left="989" w:right="0" w:hanging="324"/>
        <w:jc w:val="left"/>
        <w:rPr>
          <w:sz w:val="22"/>
        </w:rPr>
      </w:pPr>
      <w:r>
        <w:rPr>
          <w:sz w:val="22"/>
        </w:rPr>
        <w:t>Slugging;</w:t>
      </w:r>
      <w:r>
        <w:rPr>
          <w:spacing w:val="12"/>
          <w:sz w:val="22"/>
        </w:rPr>
        <w:t> </w:t>
      </w:r>
      <w:r>
        <w:rPr>
          <w:sz w:val="22"/>
        </w:rPr>
        <w:t>and</w:t>
      </w:r>
      <w:r>
        <w:rPr>
          <w:spacing w:val="8"/>
          <w:sz w:val="22"/>
        </w:rPr>
        <w:t> </w:t>
      </w:r>
      <w:r>
        <w:rPr>
          <w:sz w:val="22"/>
        </w:rPr>
        <w:t>(2)</w:t>
      </w:r>
      <w:r>
        <w:rPr>
          <w:spacing w:val="4"/>
          <w:sz w:val="22"/>
        </w:rPr>
        <w:t> </w:t>
      </w:r>
      <w:r>
        <w:rPr>
          <w:sz w:val="22"/>
        </w:rPr>
        <w:t>roller</w:t>
      </w:r>
      <w:r>
        <w:rPr>
          <w:spacing w:val="9"/>
          <w:sz w:val="22"/>
        </w:rPr>
        <w:t> </w:t>
      </w:r>
      <w:r>
        <w:rPr>
          <w:spacing w:val="-2"/>
          <w:sz w:val="22"/>
        </w:rPr>
        <w:t>compaction</w:t>
      </w:r>
    </w:p>
    <w:p>
      <w:pPr>
        <w:pStyle w:val="BodyText"/>
        <w:spacing w:before="243"/>
      </w:pPr>
    </w:p>
    <w:p>
      <w:pPr>
        <w:pStyle w:val="Heading2"/>
        <w:numPr>
          <w:ilvl w:val="3"/>
          <w:numId w:val="15"/>
        </w:numPr>
        <w:tabs>
          <w:tab w:pos="1338" w:val="left" w:leader="none"/>
        </w:tabs>
        <w:spacing w:line="240" w:lineRule="auto" w:before="0" w:after="0"/>
        <w:ind w:left="1338" w:right="0" w:hanging="673"/>
        <w:jc w:val="left"/>
      </w:pPr>
      <w:bookmarkStart w:name="_TOC_250106" w:id="55"/>
      <w:bookmarkEnd w:id="55"/>
      <w:r>
        <w:rPr>
          <w:spacing w:val="-2"/>
        </w:rPr>
        <w:t>Slugging</w:t>
      </w:r>
    </w:p>
    <w:p>
      <w:pPr>
        <w:pStyle w:val="BodyText"/>
        <w:spacing w:line="491" w:lineRule="auto" w:before="246"/>
        <w:ind w:left="665" w:right="1856" w:firstLine="676"/>
        <w:jc w:val="both"/>
      </w:pPr>
      <w:r>
        <w:rPr/>
        <w:t>In this method, the powders are mixed and then compressed into oversized tablet</w:t>
      </w:r>
      <w:r>
        <w:rPr>
          <w:spacing w:val="40"/>
        </w:rPr>
        <w:t> </w:t>
      </w:r>
      <w:r>
        <w:rPr/>
        <w:t>or slugs using heavy duty tablet press. Following this the tablet is milled to produce granules of the required size.</w:t>
      </w:r>
    </w:p>
    <w:p>
      <w:pPr>
        <w:pStyle w:val="Heading2"/>
        <w:numPr>
          <w:ilvl w:val="3"/>
          <w:numId w:val="15"/>
        </w:numPr>
        <w:tabs>
          <w:tab w:pos="1338" w:val="left" w:leader="none"/>
        </w:tabs>
        <w:spacing w:line="240" w:lineRule="auto" w:before="230" w:after="0"/>
        <w:ind w:left="1338" w:right="0" w:hanging="673"/>
        <w:jc w:val="left"/>
      </w:pPr>
      <w:bookmarkStart w:name="_TOC_250105" w:id="56"/>
      <w:r>
        <w:rPr/>
        <w:t>Roller</w:t>
      </w:r>
      <w:r>
        <w:rPr>
          <w:spacing w:val="16"/>
        </w:rPr>
        <w:t> </w:t>
      </w:r>
      <w:bookmarkEnd w:id="56"/>
      <w:r>
        <w:rPr>
          <w:spacing w:val="-2"/>
        </w:rPr>
        <w:t>compaction</w:t>
      </w:r>
    </w:p>
    <w:p>
      <w:pPr>
        <w:pStyle w:val="BodyText"/>
        <w:spacing w:line="491" w:lineRule="auto" w:before="241"/>
        <w:ind w:left="665" w:right="1862" w:firstLine="676"/>
        <w:jc w:val="both"/>
      </w:pPr>
      <w:r>
        <w:rPr/>
        <w:t>In this technique, the formulation ingredients are mixed and are then compressed using</w:t>
      </w:r>
      <w:r>
        <w:rPr>
          <w:spacing w:val="27"/>
        </w:rPr>
        <w:t> </w:t>
      </w:r>
      <w:r>
        <w:rPr/>
        <w:t>a</w:t>
      </w:r>
      <w:r>
        <w:rPr>
          <w:spacing w:val="25"/>
        </w:rPr>
        <w:t> </w:t>
      </w:r>
      <w:r>
        <w:rPr/>
        <w:t>roller</w:t>
      </w:r>
      <w:r>
        <w:rPr>
          <w:spacing w:val="31"/>
        </w:rPr>
        <w:t> </w:t>
      </w:r>
      <w:r>
        <w:rPr/>
        <w:t>compactor.</w:t>
      </w:r>
      <w:r>
        <w:rPr>
          <w:spacing w:val="30"/>
        </w:rPr>
        <w:t> </w:t>
      </w:r>
      <w:r>
        <w:rPr/>
        <w:t>In</w:t>
      </w:r>
      <w:r>
        <w:rPr>
          <w:spacing w:val="27"/>
        </w:rPr>
        <w:t> </w:t>
      </w:r>
      <w:r>
        <w:rPr/>
        <w:t>this</w:t>
      </w:r>
      <w:r>
        <w:rPr>
          <w:spacing w:val="28"/>
        </w:rPr>
        <w:t> </w:t>
      </w:r>
      <w:r>
        <w:rPr/>
        <w:t>the</w:t>
      </w:r>
      <w:r>
        <w:rPr>
          <w:spacing w:val="30"/>
        </w:rPr>
        <w:t> </w:t>
      </w:r>
      <w:r>
        <w:rPr/>
        <w:t>powders</w:t>
      </w:r>
      <w:r>
        <w:rPr>
          <w:spacing w:val="28"/>
        </w:rPr>
        <w:t> </w:t>
      </w:r>
      <w:r>
        <w:rPr/>
        <w:t>are</w:t>
      </w:r>
      <w:r>
        <w:rPr>
          <w:spacing w:val="25"/>
        </w:rPr>
        <w:t> </w:t>
      </w:r>
      <w:r>
        <w:rPr/>
        <w:t>fed</w:t>
      </w:r>
      <w:r>
        <w:rPr>
          <w:spacing w:val="33"/>
        </w:rPr>
        <w:t> </w:t>
      </w:r>
      <w:r>
        <w:rPr/>
        <w:t>from hopper</w:t>
      </w:r>
      <w:r>
        <w:rPr>
          <w:spacing w:val="26"/>
        </w:rPr>
        <w:t> </w:t>
      </w:r>
      <w:r>
        <w:rPr/>
        <w:t>on to</w:t>
      </w:r>
      <w:r>
        <w:rPr>
          <w:spacing w:val="37"/>
        </w:rPr>
        <w:t> </w:t>
      </w:r>
      <w:r>
        <w:rPr/>
        <w:t>a</w:t>
      </w:r>
      <w:r>
        <w:rPr>
          <w:spacing w:val="25"/>
        </w:rPr>
        <w:t> </w:t>
      </w:r>
      <w:r>
        <w:rPr/>
        <w:t>moving belt and</w:t>
      </w:r>
      <w:r>
        <w:rPr>
          <w:spacing w:val="40"/>
        </w:rPr>
        <w:t> </w:t>
      </w:r>
      <w:r>
        <w:rPr/>
        <w:t>then</w:t>
      </w:r>
      <w:r>
        <w:rPr>
          <w:spacing w:val="40"/>
        </w:rPr>
        <w:t> </w:t>
      </w:r>
      <w:r>
        <w:rPr/>
        <w:t>transported</w:t>
      </w:r>
      <w:r>
        <w:rPr>
          <w:spacing w:val="40"/>
        </w:rPr>
        <w:t> </w:t>
      </w:r>
      <w:r>
        <w:rPr/>
        <w:t>to,</w:t>
      </w:r>
      <w:r>
        <w:rPr>
          <w:spacing w:val="40"/>
        </w:rPr>
        <w:t> </w:t>
      </w:r>
      <w:r>
        <w:rPr/>
        <w:t>and</w:t>
      </w:r>
      <w:r>
        <w:rPr>
          <w:spacing w:val="40"/>
        </w:rPr>
        <w:t> </w:t>
      </w:r>
      <w:r>
        <w:rPr/>
        <w:t>compressed</w:t>
      </w:r>
      <w:r>
        <w:rPr>
          <w:spacing w:val="40"/>
        </w:rPr>
        <w:t> </w:t>
      </w:r>
      <w:r>
        <w:rPr/>
        <w:t>by</w:t>
      </w:r>
      <w:r>
        <w:rPr>
          <w:spacing w:val="40"/>
        </w:rPr>
        <w:t> </w:t>
      </w:r>
      <w:r>
        <w:rPr/>
        <w:t>the</w:t>
      </w:r>
      <w:r>
        <w:rPr>
          <w:spacing w:val="40"/>
        </w:rPr>
        <w:t> </w:t>
      </w:r>
      <w:r>
        <w:rPr/>
        <w:t>passage</w:t>
      </w:r>
      <w:r>
        <w:rPr>
          <w:spacing w:val="40"/>
        </w:rPr>
        <w:t> </w:t>
      </w:r>
      <w:r>
        <w:rPr/>
        <w:t>between</w:t>
      </w:r>
      <w:r>
        <w:rPr>
          <w:spacing w:val="40"/>
        </w:rPr>
        <w:t> </w:t>
      </w:r>
      <w:r>
        <w:rPr/>
        <w:t>the</w:t>
      </w:r>
      <w:r>
        <w:rPr>
          <w:spacing w:val="40"/>
        </w:rPr>
        <w:t> </w:t>
      </w:r>
      <w:r>
        <w:rPr/>
        <w:t>narrow</w:t>
      </w:r>
      <w:r>
        <w:rPr>
          <w:spacing w:val="40"/>
        </w:rPr>
        <w:t> </w:t>
      </w:r>
      <w:r>
        <w:rPr/>
        <w:t>gap between</w:t>
      </w:r>
      <w:r>
        <w:rPr>
          <w:spacing w:val="40"/>
        </w:rPr>
        <w:t> </w:t>
      </w:r>
      <w:r>
        <w:rPr/>
        <w:t>two</w:t>
      </w:r>
      <w:r>
        <w:rPr>
          <w:spacing w:val="40"/>
        </w:rPr>
        <w:t> </w:t>
      </w:r>
      <w:r>
        <w:rPr/>
        <w:t>(oppositely)</w:t>
      </w:r>
      <w:r>
        <w:rPr>
          <w:spacing w:val="40"/>
        </w:rPr>
        <w:t> </w:t>
      </w:r>
      <w:r>
        <w:rPr/>
        <w:t>rotating</w:t>
      </w:r>
      <w:r>
        <w:rPr>
          <w:spacing w:val="40"/>
        </w:rPr>
        <w:t> </w:t>
      </w:r>
      <w:r>
        <w:rPr/>
        <w:t>rollers</w:t>
      </w:r>
      <w:r>
        <w:rPr>
          <w:spacing w:val="40"/>
        </w:rPr>
        <w:t> </w:t>
      </w:r>
      <w:r>
        <w:rPr/>
        <w:t>to</w:t>
      </w:r>
      <w:r>
        <w:rPr>
          <w:spacing w:val="40"/>
        </w:rPr>
        <w:t> </w:t>
      </w:r>
      <w:r>
        <w:rPr/>
        <w:t>produce</w:t>
      </w:r>
      <w:r>
        <w:rPr>
          <w:spacing w:val="40"/>
        </w:rPr>
        <w:t> </w:t>
      </w:r>
      <w:r>
        <w:rPr/>
        <w:t>a</w:t>
      </w:r>
      <w:r>
        <w:rPr>
          <w:spacing w:val="40"/>
        </w:rPr>
        <w:t> </w:t>
      </w:r>
      <w:r>
        <w:rPr/>
        <w:t>sheet</w:t>
      </w:r>
      <w:r>
        <w:rPr>
          <w:spacing w:val="40"/>
        </w:rPr>
        <w:t> </w:t>
      </w:r>
      <w:r>
        <w:rPr/>
        <w:t>of</w:t>
      </w:r>
      <w:r>
        <w:rPr>
          <w:spacing w:val="40"/>
        </w:rPr>
        <w:t> </w:t>
      </w:r>
      <w:r>
        <w:rPr/>
        <w:t>compressed</w:t>
      </w:r>
      <w:r>
        <w:rPr>
          <w:spacing w:val="40"/>
        </w:rPr>
        <w:t> </w:t>
      </w:r>
      <w:r>
        <w:rPr/>
        <w:t>material. The compressed sheet is then milled to produce granules of the required size (Tousey, </w:t>
      </w:r>
      <w:r>
        <w:rPr>
          <w:spacing w:val="-2"/>
        </w:rPr>
        <w:t>2002).</w:t>
      </w:r>
    </w:p>
    <w:p>
      <w:pPr>
        <w:pStyle w:val="Heading2"/>
        <w:numPr>
          <w:ilvl w:val="2"/>
          <w:numId w:val="15"/>
        </w:numPr>
        <w:tabs>
          <w:tab w:pos="1342" w:val="left" w:leader="none"/>
        </w:tabs>
        <w:spacing w:line="240" w:lineRule="auto" w:before="234" w:after="0"/>
        <w:ind w:left="1342" w:right="0" w:hanging="677"/>
        <w:jc w:val="left"/>
      </w:pPr>
      <w:bookmarkStart w:name="_TOC_250104" w:id="57"/>
      <w:r>
        <w:rPr/>
        <w:t>Stages</w:t>
      </w:r>
      <w:r>
        <w:rPr>
          <w:spacing w:val="8"/>
        </w:rPr>
        <w:t> </w:t>
      </w:r>
      <w:r>
        <w:rPr/>
        <w:t>in</w:t>
      </w:r>
      <w:r>
        <w:rPr>
          <w:spacing w:val="13"/>
        </w:rPr>
        <w:t> </w:t>
      </w:r>
      <w:r>
        <w:rPr/>
        <w:t>dry</w:t>
      </w:r>
      <w:r>
        <w:rPr>
          <w:spacing w:val="2"/>
        </w:rPr>
        <w:t> </w:t>
      </w:r>
      <w:bookmarkEnd w:id="57"/>
      <w:r>
        <w:rPr>
          <w:spacing w:val="-2"/>
        </w:rPr>
        <w:t>granulation</w:t>
      </w:r>
    </w:p>
    <w:p>
      <w:pPr>
        <w:pStyle w:val="BodyText"/>
        <w:spacing w:line="491" w:lineRule="auto" w:before="242"/>
        <w:ind w:left="665" w:right="1859" w:firstLine="676"/>
        <w:jc w:val="both"/>
      </w:pPr>
      <w:r>
        <w:rPr/>
        <w:t>The aggregation of particles is facilitated by the application of high compression stresses. In dry granulation particle- particle interactions occur due to:</w:t>
      </w:r>
    </w:p>
    <w:p>
      <w:pPr>
        <w:pStyle w:val="BodyText"/>
        <w:spacing w:line="496" w:lineRule="auto"/>
        <w:ind w:left="1356" w:right="1858" w:hanging="351"/>
      </w:pPr>
      <w:r>
        <w:rPr/>
        <w:t>(1)</w:t>
      </w:r>
      <w:r>
        <w:rPr>
          <w:spacing w:val="39"/>
        </w:rPr>
        <w:t> </w:t>
      </w:r>
      <w:r>
        <w:rPr/>
        <w:t>Electrostatic</w:t>
      </w:r>
      <w:r>
        <w:rPr>
          <w:spacing w:val="80"/>
          <w:w w:val="150"/>
        </w:rPr>
        <w:t> </w:t>
      </w:r>
      <w:r>
        <w:rPr/>
        <w:t>forces;</w:t>
      </w:r>
      <w:r>
        <w:rPr>
          <w:spacing w:val="80"/>
        </w:rPr>
        <w:t> </w:t>
      </w:r>
      <w:r>
        <w:rPr/>
        <w:t>(2)</w:t>
      </w:r>
      <w:r>
        <w:rPr>
          <w:spacing w:val="80"/>
        </w:rPr>
        <w:t> </w:t>
      </w:r>
      <w:r>
        <w:rPr/>
        <w:t>Van</w:t>
      </w:r>
      <w:r>
        <w:rPr>
          <w:spacing w:val="80"/>
        </w:rPr>
        <w:t> </w:t>
      </w:r>
      <w:r>
        <w:rPr/>
        <w:t>der</w:t>
      </w:r>
      <w:r>
        <w:rPr>
          <w:spacing w:val="80"/>
        </w:rPr>
        <w:t> </w:t>
      </w:r>
      <w:r>
        <w:rPr/>
        <w:t>Waals</w:t>
      </w:r>
      <w:r>
        <w:rPr>
          <w:spacing w:val="80"/>
        </w:rPr>
        <w:t> </w:t>
      </w:r>
      <w:r>
        <w:rPr/>
        <w:t>interactions;</w:t>
      </w:r>
      <w:r>
        <w:rPr>
          <w:spacing w:val="80"/>
        </w:rPr>
        <w:t> </w:t>
      </w:r>
      <w:r>
        <w:rPr/>
        <w:t>and</w:t>
      </w:r>
      <w:r>
        <w:rPr>
          <w:spacing w:val="80"/>
        </w:rPr>
        <w:t> </w:t>
      </w:r>
      <w:r>
        <w:rPr/>
        <w:t>(3)</w:t>
      </w:r>
      <w:r>
        <w:rPr>
          <w:spacing w:val="80"/>
        </w:rPr>
        <w:t> </w:t>
      </w:r>
      <w:r>
        <w:rPr/>
        <w:t>melting</w:t>
      </w:r>
      <w:r>
        <w:rPr>
          <w:spacing w:val="80"/>
        </w:rPr>
        <w:t> </w:t>
      </w:r>
      <w:r>
        <w:rPr/>
        <w:t>of</w:t>
      </w:r>
      <w:r>
        <w:rPr>
          <w:spacing w:val="40"/>
        </w:rPr>
        <w:t> </w:t>
      </w:r>
      <w:r>
        <w:rPr/>
        <w:t>components within the powder mix (David, 2008).</w:t>
      </w:r>
    </w:p>
    <w:p>
      <w:pPr>
        <w:spacing w:after="0" w:line="496" w:lineRule="auto"/>
        <w:sectPr>
          <w:pgSz w:w="12240" w:h="15840"/>
          <w:pgMar w:header="0" w:footer="999" w:top="1260" w:bottom="1180" w:left="1720" w:right="0"/>
        </w:sectPr>
      </w:pPr>
    </w:p>
    <w:p>
      <w:pPr>
        <w:pStyle w:val="Heading2"/>
        <w:numPr>
          <w:ilvl w:val="3"/>
          <w:numId w:val="15"/>
        </w:numPr>
        <w:tabs>
          <w:tab w:pos="1338" w:val="left" w:leader="none"/>
        </w:tabs>
        <w:spacing w:line="240" w:lineRule="auto" w:before="80" w:after="0"/>
        <w:ind w:left="1338" w:right="0" w:hanging="673"/>
        <w:jc w:val="left"/>
      </w:pPr>
      <w:bookmarkStart w:name="_TOC_250103" w:id="58"/>
      <w:r>
        <w:rPr/>
        <w:t>Advantages</w:t>
      </w:r>
      <w:r>
        <w:rPr>
          <w:spacing w:val="9"/>
        </w:rPr>
        <w:t> </w:t>
      </w:r>
      <w:r>
        <w:rPr/>
        <w:t>and</w:t>
      </w:r>
      <w:r>
        <w:rPr>
          <w:spacing w:val="18"/>
        </w:rPr>
        <w:t> </w:t>
      </w:r>
      <w:r>
        <w:rPr/>
        <w:t>disadvantages</w:t>
      </w:r>
      <w:r>
        <w:rPr>
          <w:spacing w:val="10"/>
        </w:rPr>
        <w:t> </w:t>
      </w:r>
      <w:r>
        <w:rPr/>
        <w:t>of</w:t>
      </w:r>
      <w:r>
        <w:rPr>
          <w:spacing w:val="13"/>
        </w:rPr>
        <w:t> </w:t>
      </w:r>
      <w:r>
        <w:rPr/>
        <w:t>dry</w:t>
      </w:r>
      <w:r>
        <w:rPr>
          <w:spacing w:val="15"/>
        </w:rPr>
        <w:t> </w:t>
      </w:r>
      <w:bookmarkEnd w:id="58"/>
      <w:r>
        <w:rPr>
          <w:spacing w:val="-2"/>
        </w:rPr>
        <w:t>granulation</w:t>
      </w:r>
    </w:p>
    <w:p>
      <w:pPr>
        <w:pStyle w:val="BodyText"/>
        <w:spacing w:line="491" w:lineRule="auto" w:before="246"/>
        <w:ind w:left="665" w:right="1862" w:firstLine="676"/>
        <w:jc w:val="both"/>
      </w:pPr>
      <w:r>
        <w:rPr/>
        <w:t>The popularity of dry granulation for tableting has decreased in recent years, having been superseded by direct compression. However, both slugging and roller compaction are still employed in formulation. There are several advantages and disadvantages associated with dry granulation (David, 2008).</w:t>
      </w:r>
    </w:p>
    <w:p>
      <w:pPr>
        <w:pStyle w:val="Heading2"/>
        <w:spacing w:before="4"/>
        <w:ind w:firstLine="0"/>
      </w:pPr>
      <w:r>
        <w:rPr>
          <w:spacing w:val="-2"/>
        </w:rPr>
        <w:t>Advantages</w:t>
      </w:r>
    </w:p>
    <w:p>
      <w:pPr>
        <w:pStyle w:val="BodyText"/>
        <w:spacing w:before="8"/>
        <w:rPr>
          <w:b/>
        </w:rPr>
      </w:pPr>
    </w:p>
    <w:p>
      <w:pPr>
        <w:pStyle w:val="ListParagraph"/>
        <w:numPr>
          <w:ilvl w:val="4"/>
          <w:numId w:val="15"/>
        </w:numPr>
        <w:tabs>
          <w:tab w:pos="1006" w:val="left" w:leader="none"/>
        </w:tabs>
        <w:spacing w:line="240" w:lineRule="auto" w:before="0" w:after="0"/>
        <w:ind w:left="1006" w:right="0" w:hanging="341"/>
        <w:jc w:val="left"/>
        <w:rPr>
          <w:sz w:val="22"/>
        </w:rPr>
      </w:pPr>
      <w:r>
        <w:rPr>
          <w:sz w:val="22"/>
        </w:rPr>
        <w:t>Both</w:t>
      </w:r>
      <w:r>
        <w:rPr>
          <w:spacing w:val="12"/>
          <w:sz w:val="22"/>
        </w:rPr>
        <w:t> </w:t>
      </w:r>
      <w:r>
        <w:rPr>
          <w:sz w:val="22"/>
        </w:rPr>
        <w:t>methods</w:t>
      </w:r>
      <w:r>
        <w:rPr>
          <w:spacing w:val="7"/>
          <w:sz w:val="22"/>
        </w:rPr>
        <w:t> </w:t>
      </w:r>
      <w:r>
        <w:rPr>
          <w:sz w:val="22"/>
        </w:rPr>
        <w:t>of</w:t>
      </w:r>
      <w:r>
        <w:rPr>
          <w:spacing w:val="11"/>
          <w:sz w:val="22"/>
        </w:rPr>
        <w:t> </w:t>
      </w:r>
      <w:r>
        <w:rPr>
          <w:sz w:val="22"/>
        </w:rPr>
        <w:t>granulation</w:t>
      </w:r>
      <w:r>
        <w:rPr>
          <w:spacing w:val="12"/>
          <w:sz w:val="22"/>
        </w:rPr>
        <w:t> </w:t>
      </w:r>
      <w:r>
        <w:rPr>
          <w:sz w:val="22"/>
        </w:rPr>
        <w:t>require</w:t>
      </w:r>
      <w:r>
        <w:rPr>
          <w:spacing w:val="15"/>
          <w:sz w:val="22"/>
        </w:rPr>
        <w:t> </w:t>
      </w:r>
      <w:r>
        <w:rPr>
          <w:sz w:val="22"/>
        </w:rPr>
        <w:t>conventional</w:t>
      </w:r>
      <w:r>
        <w:rPr>
          <w:spacing w:val="15"/>
          <w:sz w:val="22"/>
        </w:rPr>
        <w:t> </w:t>
      </w:r>
      <w:r>
        <w:rPr>
          <w:sz w:val="22"/>
        </w:rPr>
        <w:t>grades</w:t>
      </w:r>
      <w:r>
        <w:rPr>
          <w:spacing w:val="13"/>
          <w:sz w:val="22"/>
        </w:rPr>
        <w:t> </w:t>
      </w:r>
      <w:r>
        <w:rPr>
          <w:sz w:val="22"/>
        </w:rPr>
        <w:t>of</w:t>
      </w:r>
      <w:r>
        <w:rPr>
          <w:spacing w:val="11"/>
          <w:sz w:val="22"/>
        </w:rPr>
        <w:t> </w:t>
      </w:r>
      <w:r>
        <w:rPr>
          <w:spacing w:val="-2"/>
          <w:sz w:val="22"/>
        </w:rPr>
        <w:t>excipients</w:t>
      </w:r>
    </w:p>
    <w:p>
      <w:pPr>
        <w:pStyle w:val="BodyText"/>
        <w:spacing w:before="12"/>
      </w:pPr>
    </w:p>
    <w:p>
      <w:pPr>
        <w:pStyle w:val="ListParagraph"/>
        <w:numPr>
          <w:ilvl w:val="4"/>
          <w:numId w:val="15"/>
        </w:numPr>
        <w:tabs>
          <w:tab w:pos="1004" w:val="left" w:leader="none"/>
          <w:tab w:pos="1006" w:val="left" w:leader="none"/>
        </w:tabs>
        <w:spacing w:line="496" w:lineRule="auto" w:before="0" w:after="0"/>
        <w:ind w:left="1006" w:right="1851" w:hanging="341"/>
        <w:jc w:val="both"/>
        <w:rPr>
          <w:sz w:val="22"/>
        </w:rPr>
      </w:pPr>
      <w:r>
        <w:rPr>
          <w:sz w:val="22"/>
        </w:rPr>
        <w:t>Both</w:t>
      </w:r>
      <w:r>
        <w:rPr>
          <w:spacing w:val="40"/>
          <w:sz w:val="22"/>
        </w:rPr>
        <w:t> </w:t>
      </w:r>
      <w:r>
        <w:rPr>
          <w:sz w:val="22"/>
        </w:rPr>
        <w:t>methods</w:t>
      </w:r>
      <w:r>
        <w:rPr>
          <w:spacing w:val="40"/>
          <w:sz w:val="22"/>
        </w:rPr>
        <w:t> </w:t>
      </w:r>
      <w:r>
        <w:rPr>
          <w:sz w:val="22"/>
        </w:rPr>
        <w:t>are</w:t>
      </w:r>
      <w:r>
        <w:rPr>
          <w:spacing w:val="40"/>
          <w:sz w:val="22"/>
        </w:rPr>
        <w:t> </w:t>
      </w:r>
      <w:r>
        <w:rPr>
          <w:sz w:val="22"/>
        </w:rPr>
        <w:t>not</w:t>
      </w:r>
      <w:r>
        <w:rPr>
          <w:spacing w:val="40"/>
          <w:sz w:val="22"/>
        </w:rPr>
        <w:t> </w:t>
      </w:r>
      <w:r>
        <w:rPr>
          <w:sz w:val="22"/>
        </w:rPr>
        <w:t>generally associated</w:t>
      </w:r>
      <w:r>
        <w:rPr>
          <w:spacing w:val="40"/>
          <w:sz w:val="22"/>
        </w:rPr>
        <w:t> </w:t>
      </w:r>
      <w:r>
        <w:rPr>
          <w:sz w:val="22"/>
        </w:rPr>
        <w:t>with</w:t>
      </w:r>
      <w:r>
        <w:rPr>
          <w:spacing w:val="40"/>
          <w:sz w:val="22"/>
        </w:rPr>
        <w:t> </w:t>
      </w:r>
      <w:r>
        <w:rPr>
          <w:sz w:val="22"/>
        </w:rPr>
        <w:t>alterations</w:t>
      </w:r>
      <w:r>
        <w:rPr>
          <w:spacing w:val="40"/>
          <w:sz w:val="22"/>
        </w:rPr>
        <w:t> </w:t>
      </w:r>
      <w:r>
        <w:rPr>
          <w:sz w:val="22"/>
        </w:rPr>
        <w:t>in</w:t>
      </w:r>
      <w:r>
        <w:rPr>
          <w:spacing w:val="40"/>
          <w:sz w:val="22"/>
        </w:rPr>
        <w:t> </w:t>
      </w:r>
      <w:r>
        <w:rPr>
          <w:sz w:val="22"/>
        </w:rPr>
        <w:t>drug</w:t>
      </w:r>
      <w:r>
        <w:rPr>
          <w:spacing w:val="40"/>
          <w:sz w:val="22"/>
        </w:rPr>
        <w:t> </w:t>
      </w:r>
      <w:r>
        <w:rPr>
          <w:sz w:val="22"/>
        </w:rPr>
        <w:t>morphology during processing.</w:t>
      </w:r>
    </w:p>
    <w:p>
      <w:pPr>
        <w:pStyle w:val="ListParagraph"/>
        <w:numPr>
          <w:ilvl w:val="4"/>
          <w:numId w:val="15"/>
        </w:numPr>
        <w:tabs>
          <w:tab w:pos="1006" w:val="left" w:leader="none"/>
        </w:tabs>
        <w:spacing w:line="247" w:lineRule="exact" w:before="0" w:after="0"/>
        <w:ind w:left="1006" w:right="0" w:hanging="341"/>
        <w:jc w:val="left"/>
        <w:rPr>
          <w:sz w:val="22"/>
        </w:rPr>
      </w:pPr>
      <w:r>
        <w:rPr>
          <w:sz w:val="22"/>
        </w:rPr>
        <w:t>No</w:t>
      </w:r>
      <w:r>
        <w:rPr>
          <w:spacing w:val="8"/>
          <w:sz w:val="22"/>
        </w:rPr>
        <w:t> </w:t>
      </w:r>
      <w:r>
        <w:rPr>
          <w:sz w:val="22"/>
        </w:rPr>
        <w:t>heat</w:t>
      </w:r>
      <w:r>
        <w:rPr>
          <w:spacing w:val="6"/>
          <w:sz w:val="22"/>
        </w:rPr>
        <w:t> </w:t>
      </w:r>
      <w:r>
        <w:rPr>
          <w:sz w:val="22"/>
        </w:rPr>
        <w:t>or</w:t>
      </w:r>
      <w:r>
        <w:rPr>
          <w:spacing w:val="9"/>
          <w:sz w:val="22"/>
        </w:rPr>
        <w:t> </w:t>
      </w:r>
      <w:r>
        <w:rPr>
          <w:sz w:val="22"/>
        </w:rPr>
        <w:t>solvent</w:t>
      </w:r>
      <w:r>
        <w:rPr>
          <w:spacing w:val="6"/>
          <w:sz w:val="22"/>
        </w:rPr>
        <w:t> </w:t>
      </w:r>
      <w:r>
        <w:rPr>
          <w:sz w:val="22"/>
        </w:rPr>
        <w:t>are</w:t>
      </w:r>
      <w:r>
        <w:rPr>
          <w:spacing w:val="2"/>
          <w:sz w:val="22"/>
        </w:rPr>
        <w:t> </w:t>
      </w:r>
      <w:r>
        <w:rPr>
          <w:spacing w:val="-2"/>
          <w:sz w:val="22"/>
        </w:rPr>
        <w:t>required</w:t>
      </w:r>
    </w:p>
    <w:p>
      <w:pPr>
        <w:pStyle w:val="BodyText"/>
        <w:spacing w:before="17"/>
      </w:pPr>
    </w:p>
    <w:p>
      <w:pPr>
        <w:pStyle w:val="Heading2"/>
        <w:ind w:firstLine="0"/>
      </w:pPr>
      <w:r>
        <w:rPr>
          <w:spacing w:val="-2"/>
        </w:rPr>
        <w:t>Disadvantages</w:t>
      </w:r>
    </w:p>
    <w:p>
      <w:pPr>
        <w:pStyle w:val="BodyText"/>
        <w:spacing w:before="8"/>
        <w:rPr>
          <w:b/>
        </w:rPr>
      </w:pPr>
    </w:p>
    <w:p>
      <w:pPr>
        <w:pStyle w:val="ListParagraph"/>
        <w:numPr>
          <w:ilvl w:val="4"/>
          <w:numId w:val="15"/>
        </w:numPr>
        <w:tabs>
          <w:tab w:pos="1006" w:val="left" w:leader="none"/>
        </w:tabs>
        <w:spacing w:line="240" w:lineRule="auto" w:before="0" w:after="0"/>
        <w:ind w:left="1006" w:right="0" w:hanging="341"/>
        <w:jc w:val="left"/>
        <w:rPr>
          <w:sz w:val="22"/>
        </w:rPr>
      </w:pPr>
      <w:r>
        <w:rPr>
          <w:sz w:val="22"/>
        </w:rPr>
        <w:t>Specialist</w:t>
      </w:r>
      <w:r>
        <w:rPr>
          <w:spacing w:val="12"/>
          <w:sz w:val="22"/>
        </w:rPr>
        <w:t> </w:t>
      </w:r>
      <w:r>
        <w:rPr>
          <w:sz w:val="22"/>
        </w:rPr>
        <w:t>equipment</w:t>
      </w:r>
      <w:r>
        <w:rPr>
          <w:spacing w:val="16"/>
          <w:sz w:val="22"/>
        </w:rPr>
        <w:t> </w:t>
      </w:r>
      <w:r>
        <w:rPr>
          <w:sz w:val="22"/>
        </w:rPr>
        <w:t>is</w:t>
      </w:r>
      <w:r>
        <w:rPr>
          <w:spacing w:val="11"/>
          <w:sz w:val="22"/>
        </w:rPr>
        <w:t> </w:t>
      </w:r>
      <w:r>
        <w:rPr>
          <w:sz w:val="22"/>
        </w:rPr>
        <w:t>required</w:t>
      </w:r>
      <w:r>
        <w:rPr>
          <w:spacing w:val="10"/>
          <w:sz w:val="22"/>
        </w:rPr>
        <w:t> </w:t>
      </w:r>
      <w:r>
        <w:rPr>
          <w:sz w:val="22"/>
        </w:rPr>
        <w:t>for</w:t>
      </w:r>
      <w:r>
        <w:rPr>
          <w:spacing w:val="8"/>
          <w:sz w:val="22"/>
        </w:rPr>
        <w:t> </w:t>
      </w:r>
      <w:r>
        <w:rPr>
          <w:sz w:val="22"/>
        </w:rPr>
        <w:t>granulation</w:t>
      </w:r>
      <w:r>
        <w:rPr>
          <w:spacing w:val="10"/>
          <w:sz w:val="22"/>
        </w:rPr>
        <w:t> </w:t>
      </w:r>
      <w:r>
        <w:rPr>
          <w:sz w:val="22"/>
        </w:rPr>
        <w:t>by</w:t>
      </w:r>
      <w:r>
        <w:rPr>
          <w:spacing w:val="4"/>
          <w:sz w:val="22"/>
        </w:rPr>
        <w:t> </w:t>
      </w:r>
      <w:r>
        <w:rPr>
          <w:sz w:val="22"/>
        </w:rPr>
        <w:t>roller</w:t>
      </w:r>
      <w:r>
        <w:rPr>
          <w:spacing w:val="14"/>
          <w:sz w:val="22"/>
        </w:rPr>
        <w:t> </w:t>
      </w:r>
      <w:r>
        <w:rPr>
          <w:spacing w:val="-2"/>
          <w:sz w:val="22"/>
        </w:rPr>
        <w:t>compaction</w:t>
      </w:r>
    </w:p>
    <w:p>
      <w:pPr>
        <w:pStyle w:val="BodyText"/>
        <w:spacing w:before="12"/>
      </w:pPr>
    </w:p>
    <w:p>
      <w:pPr>
        <w:pStyle w:val="ListParagraph"/>
        <w:numPr>
          <w:ilvl w:val="4"/>
          <w:numId w:val="15"/>
        </w:numPr>
        <w:tabs>
          <w:tab w:pos="1006" w:val="left" w:leader="none"/>
        </w:tabs>
        <w:spacing w:line="240" w:lineRule="auto" w:before="1" w:after="0"/>
        <w:ind w:left="1006" w:right="0" w:hanging="341"/>
        <w:jc w:val="left"/>
        <w:rPr>
          <w:sz w:val="22"/>
        </w:rPr>
      </w:pPr>
      <w:r>
        <w:rPr>
          <w:sz w:val="22"/>
        </w:rPr>
        <w:t>Segregation</w:t>
      </w:r>
      <w:r>
        <w:rPr>
          <w:spacing w:val="14"/>
          <w:sz w:val="22"/>
        </w:rPr>
        <w:t> </w:t>
      </w:r>
      <w:r>
        <w:rPr>
          <w:sz w:val="22"/>
        </w:rPr>
        <w:t>of</w:t>
      </w:r>
      <w:r>
        <w:rPr>
          <w:spacing w:val="12"/>
          <w:sz w:val="22"/>
        </w:rPr>
        <w:t> </w:t>
      </w:r>
      <w:r>
        <w:rPr>
          <w:sz w:val="22"/>
        </w:rPr>
        <w:t>components</w:t>
      </w:r>
      <w:r>
        <w:rPr>
          <w:spacing w:val="16"/>
          <w:sz w:val="22"/>
        </w:rPr>
        <w:t> </w:t>
      </w:r>
      <w:r>
        <w:rPr>
          <w:sz w:val="22"/>
        </w:rPr>
        <w:t>may</w:t>
      </w:r>
      <w:r>
        <w:rPr>
          <w:spacing w:val="1"/>
          <w:sz w:val="22"/>
        </w:rPr>
        <w:t> </w:t>
      </w:r>
      <w:r>
        <w:rPr>
          <w:sz w:val="22"/>
        </w:rPr>
        <w:t>occur</w:t>
      </w:r>
      <w:r>
        <w:rPr>
          <w:spacing w:val="13"/>
          <w:sz w:val="22"/>
        </w:rPr>
        <w:t> </w:t>
      </w:r>
      <w:r>
        <w:rPr>
          <w:sz w:val="22"/>
        </w:rPr>
        <w:t>post</w:t>
      </w:r>
      <w:r>
        <w:rPr>
          <w:spacing w:val="10"/>
          <w:sz w:val="22"/>
        </w:rPr>
        <w:t> </w:t>
      </w:r>
      <w:r>
        <w:rPr>
          <w:spacing w:val="-2"/>
          <w:sz w:val="22"/>
        </w:rPr>
        <w:t>mixing</w:t>
      </w:r>
    </w:p>
    <w:p>
      <w:pPr>
        <w:pStyle w:val="BodyText"/>
        <w:spacing w:before="12"/>
      </w:pPr>
    </w:p>
    <w:p>
      <w:pPr>
        <w:pStyle w:val="ListParagraph"/>
        <w:numPr>
          <w:ilvl w:val="4"/>
          <w:numId w:val="15"/>
        </w:numPr>
        <w:tabs>
          <w:tab w:pos="1006" w:val="left" w:leader="none"/>
        </w:tabs>
        <w:spacing w:line="240" w:lineRule="auto" w:before="0" w:after="0"/>
        <w:ind w:left="1006" w:right="0" w:hanging="341"/>
        <w:jc w:val="left"/>
        <w:rPr>
          <w:sz w:val="22"/>
        </w:rPr>
      </w:pPr>
      <w:r>
        <w:rPr>
          <w:sz w:val="22"/>
        </w:rPr>
        <w:t>There</w:t>
      </w:r>
      <w:r>
        <w:rPr>
          <w:spacing w:val="13"/>
          <w:sz w:val="22"/>
        </w:rPr>
        <w:t> </w:t>
      </w:r>
      <w:r>
        <w:rPr>
          <w:sz w:val="22"/>
        </w:rPr>
        <w:t>may</w:t>
      </w:r>
      <w:r>
        <w:rPr>
          <w:spacing w:val="4"/>
          <w:sz w:val="22"/>
        </w:rPr>
        <w:t> </w:t>
      </w:r>
      <w:r>
        <w:rPr>
          <w:sz w:val="22"/>
        </w:rPr>
        <w:t>be</w:t>
      </w:r>
      <w:r>
        <w:rPr>
          <w:spacing w:val="7"/>
          <w:sz w:val="22"/>
        </w:rPr>
        <w:t> </w:t>
      </w:r>
      <w:r>
        <w:rPr>
          <w:sz w:val="22"/>
        </w:rPr>
        <w:t>issue</w:t>
      </w:r>
      <w:r>
        <w:rPr>
          <w:spacing w:val="13"/>
          <w:sz w:val="22"/>
        </w:rPr>
        <w:t> </w:t>
      </w:r>
      <w:r>
        <w:rPr>
          <w:sz w:val="22"/>
        </w:rPr>
        <w:t>regarding</w:t>
      </w:r>
      <w:r>
        <w:rPr>
          <w:spacing w:val="10"/>
          <w:sz w:val="22"/>
        </w:rPr>
        <w:t> </w:t>
      </w:r>
      <w:r>
        <w:rPr>
          <w:sz w:val="22"/>
        </w:rPr>
        <w:t>powder</w:t>
      </w:r>
      <w:r>
        <w:rPr>
          <w:spacing w:val="14"/>
          <w:sz w:val="22"/>
        </w:rPr>
        <w:t> </w:t>
      </w:r>
      <w:r>
        <w:rPr>
          <w:spacing w:val="-4"/>
          <w:sz w:val="22"/>
        </w:rPr>
        <w:t>flow</w:t>
      </w:r>
    </w:p>
    <w:p>
      <w:pPr>
        <w:pStyle w:val="BodyText"/>
        <w:spacing w:before="12"/>
      </w:pPr>
    </w:p>
    <w:p>
      <w:pPr>
        <w:pStyle w:val="ListParagraph"/>
        <w:numPr>
          <w:ilvl w:val="4"/>
          <w:numId w:val="15"/>
        </w:numPr>
        <w:tabs>
          <w:tab w:pos="1004" w:val="left" w:leader="none"/>
          <w:tab w:pos="1006" w:val="left" w:leader="none"/>
        </w:tabs>
        <w:spacing w:line="491" w:lineRule="auto" w:before="0" w:after="0"/>
        <w:ind w:left="1006" w:right="1857" w:hanging="341"/>
        <w:jc w:val="both"/>
        <w:rPr>
          <w:sz w:val="22"/>
        </w:rPr>
      </w:pPr>
      <w:r>
        <w:rPr>
          <w:sz w:val="22"/>
        </w:rPr>
        <w:t>Tablets produced by dry granulation tend to be softer than those produced by wet granulation,</w:t>
      </w:r>
      <w:r>
        <w:rPr>
          <w:spacing w:val="40"/>
          <w:sz w:val="22"/>
        </w:rPr>
        <w:t> </w:t>
      </w:r>
      <w:r>
        <w:rPr>
          <w:sz w:val="22"/>
        </w:rPr>
        <w:t>rendering</w:t>
      </w:r>
      <w:r>
        <w:rPr>
          <w:spacing w:val="40"/>
          <w:sz w:val="22"/>
        </w:rPr>
        <w:t> </w:t>
      </w:r>
      <w:r>
        <w:rPr>
          <w:sz w:val="22"/>
        </w:rPr>
        <w:t>them</w:t>
      </w:r>
      <w:r>
        <w:rPr>
          <w:spacing w:val="40"/>
          <w:sz w:val="22"/>
        </w:rPr>
        <w:t> </w:t>
      </w:r>
      <w:r>
        <w:rPr>
          <w:sz w:val="22"/>
        </w:rPr>
        <w:t>more</w:t>
      </w:r>
      <w:r>
        <w:rPr>
          <w:spacing w:val="40"/>
          <w:sz w:val="22"/>
        </w:rPr>
        <w:t> </w:t>
      </w:r>
      <w:r>
        <w:rPr>
          <w:sz w:val="22"/>
        </w:rPr>
        <w:t>difficult</w:t>
      </w:r>
      <w:r>
        <w:rPr>
          <w:spacing w:val="40"/>
          <w:sz w:val="22"/>
        </w:rPr>
        <w:t> </w:t>
      </w:r>
      <w:r>
        <w:rPr>
          <w:sz w:val="22"/>
        </w:rPr>
        <w:t>to</w:t>
      </w:r>
      <w:r>
        <w:rPr>
          <w:spacing w:val="40"/>
          <w:sz w:val="22"/>
        </w:rPr>
        <w:t> </w:t>
      </w:r>
      <w:r>
        <w:rPr>
          <w:sz w:val="22"/>
        </w:rPr>
        <w:t>process</w:t>
      </w:r>
      <w:r>
        <w:rPr>
          <w:spacing w:val="40"/>
          <w:sz w:val="22"/>
        </w:rPr>
        <w:t> </w:t>
      </w:r>
      <w:r>
        <w:rPr>
          <w:sz w:val="22"/>
        </w:rPr>
        <w:t>using</w:t>
      </w:r>
      <w:r>
        <w:rPr>
          <w:spacing w:val="40"/>
          <w:sz w:val="22"/>
        </w:rPr>
        <w:t> </w:t>
      </w:r>
      <w:r>
        <w:rPr>
          <w:sz w:val="22"/>
        </w:rPr>
        <w:t>post-tableting techniques, e.g. film coating.</w:t>
      </w:r>
    </w:p>
    <w:p>
      <w:pPr>
        <w:pStyle w:val="ListParagraph"/>
        <w:numPr>
          <w:ilvl w:val="4"/>
          <w:numId w:val="15"/>
        </w:numPr>
        <w:tabs>
          <w:tab w:pos="1004" w:val="left" w:leader="none"/>
          <w:tab w:pos="1006" w:val="left" w:leader="none"/>
        </w:tabs>
        <w:spacing w:line="491" w:lineRule="auto" w:before="0" w:after="0"/>
        <w:ind w:left="1006" w:right="1864" w:hanging="341"/>
        <w:jc w:val="both"/>
        <w:rPr>
          <w:sz w:val="22"/>
        </w:rPr>
      </w:pPr>
      <w:r>
        <w:rPr>
          <w:sz w:val="22"/>
        </w:rPr>
        <w:t>Both method lead to the generation of dust. Therefore, containment measures are required. Furthermore, there may be a reduction in the yield of tablet.</w:t>
      </w:r>
    </w:p>
    <w:p>
      <w:pPr>
        <w:pStyle w:val="Heading2"/>
        <w:numPr>
          <w:ilvl w:val="2"/>
          <w:numId w:val="23"/>
        </w:numPr>
        <w:tabs>
          <w:tab w:pos="1342" w:val="left" w:leader="none"/>
        </w:tabs>
        <w:spacing w:line="240" w:lineRule="auto" w:before="230" w:after="0"/>
        <w:ind w:left="1342" w:right="0" w:hanging="677"/>
        <w:jc w:val="left"/>
      </w:pPr>
      <w:bookmarkStart w:name="_TOC_250102" w:id="59"/>
      <w:r>
        <w:rPr/>
        <w:t>Manufacture</w:t>
      </w:r>
      <w:r>
        <w:rPr>
          <w:spacing w:val="9"/>
        </w:rPr>
        <w:t> </w:t>
      </w:r>
      <w:r>
        <w:rPr/>
        <w:t>of</w:t>
      </w:r>
      <w:r>
        <w:rPr>
          <w:spacing w:val="10"/>
        </w:rPr>
        <w:t> </w:t>
      </w:r>
      <w:r>
        <w:rPr/>
        <w:t>tablets</w:t>
      </w:r>
      <w:r>
        <w:rPr>
          <w:spacing w:val="13"/>
        </w:rPr>
        <w:t> </w:t>
      </w:r>
      <w:r>
        <w:rPr/>
        <w:t>by</w:t>
      </w:r>
      <w:r>
        <w:rPr>
          <w:spacing w:val="12"/>
        </w:rPr>
        <w:t> </w:t>
      </w:r>
      <w:r>
        <w:rPr/>
        <w:t>direct</w:t>
      </w:r>
      <w:r>
        <w:rPr>
          <w:spacing w:val="16"/>
        </w:rPr>
        <w:t> </w:t>
      </w:r>
      <w:bookmarkEnd w:id="59"/>
      <w:r>
        <w:rPr>
          <w:spacing w:val="-2"/>
        </w:rPr>
        <w:t>compression.</w:t>
      </w:r>
    </w:p>
    <w:p>
      <w:pPr>
        <w:pStyle w:val="BodyText"/>
        <w:spacing w:line="491" w:lineRule="auto" w:before="246"/>
        <w:ind w:left="665" w:right="1861" w:firstLine="676"/>
        <w:jc w:val="both"/>
      </w:pPr>
      <w:r>
        <w:rPr/>
        <w:t>Direct compression is of interest to the pharmaceutical industry for the manufacture of tablets due to the low number of processing steps and</w:t>
      </w:r>
      <w:r>
        <w:rPr>
          <w:spacing w:val="40"/>
        </w:rPr>
        <w:t> </w:t>
      </w:r>
      <w:r>
        <w:rPr/>
        <w:t>the absence of</w:t>
      </w:r>
      <w:r>
        <w:rPr>
          <w:spacing w:val="40"/>
        </w:rPr>
        <w:t> </w:t>
      </w:r>
      <w:r>
        <w:rPr/>
        <w:t>liquid (David, 2008).</w:t>
      </w:r>
    </w:p>
    <w:p>
      <w:pPr>
        <w:spacing w:after="0" w:line="491" w:lineRule="auto"/>
        <w:jc w:val="both"/>
        <w:sectPr>
          <w:pgSz w:w="12240" w:h="15840"/>
          <w:pgMar w:header="0" w:footer="999" w:top="1260" w:bottom="1180" w:left="1720" w:right="0"/>
        </w:sectPr>
      </w:pPr>
    </w:p>
    <w:p>
      <w:pPr>
        <w:pStyle w:val="Heading2"/>
        <w:spacing w:before="80"/>
        <w:ind w:left="665" w:firstLine="0"/>
      </w:pPr>
      <w:r>
        <w:rPr/>
        <w:t>Stages</w:t>
      </w:r>
      <w:r>
        <w:rPr>
          <w:spacing w:val="9"/>
        </w:rPr>
        <w:t> </w:t>
      </w:r>
      <w:r>
        <w:rPr/>
        <w:t>in</w:t>
      </w:r>
      <w:r>
        <w:rPr>
          <w:spacing w:val="10"/>
        </w:rPr>
        <w:t> </w:t>
      </w:r>
      <w:r>
        <w:rPr/>
        <w:t>the</w:t>
      </w:r>
      <w:r>
        <w:rPr>
          <w:spacing w:val="12"/>
        </w:rPr>
        <w:t> </w:t>
      </w:r>
      <w:r>
        <w:rPr/>
        <w:t>manufacture</w:t>
      </w:r>
      <w:r>
        <w:rPr>
          <w:spacing w:val="6"/>
        </w:rPr>
        <w:t> </w:t>
      </w:r>
      <w:r>
        <w:rPr/>
        <w:t>of</w:t>
      </w:r>
      <w:r>
        <w:rPr>
          <w:spacing w:val="13"/>
        </w:rPr>
        <w:t> </w:t>
      </w:r>
      <w:r>
        <w:rPr/>
        <w:t>tablets</w:t>
      </w:r>
      <w:r>
        <w:rPr>
          <w:spacing w:val="9"/>
        </w:rPr>
        <w:t> </w:t>
      </w:r>
      <w:r>
        <w:rPr/>
        <w:t>by</w:t>
      </w:r>
      <w:r>
        <w:rPr>
          <w:spacing w:val="8"/>
        </w:rPr>
        <w:t> </w:t>
      </w:r>
      <w:r>
        <w:rPr/>
        <w:t>direct</w:t>
      </w:r>
      <w:r>
        <w:rPr>
          <w:spacing w:val="13"/>
        </w:rPr>
        <w:t> </w:t>
      </w:r>
      <w:r>
        <w:rPr>
          <w:spacing w:val="-2"/>
        </w:rPr>
        <w:t>compression.</w:t>
      </w:r>
    </w:p>
    <w:p>
      <w:pPr>
        <w:pStyle w:val="BodyText"/>
        <w:spacing w:before="7"/>
        <w:rPr>
          <w:b/>
        </w:rPr>
      </w:pPr>
    </w:p>
    <w:p>
      <w:pPr>
        <w:pStyle w:val="BodyText"/>
        <w:spacing w:line="491" w:lineRule="auto" w:before="1"/>
        <w:ind w:left="665" w:right="1858" w:firstLine="676"/>
      </w:pPr>
      <w:r>
        <w:rPr/>
        <w:t>A</w:t>
      </w:r>
      <w:r>
        <w:rPr>
          <w:spacing w:val="40"/>
        </w:rPr>
        <w:t> </w:t>
      </w:r>
      <w:r>
        <w:rPr/>
        <w:t>summary</w:t>
      </w:r>
      <w:r>
        <w:rPr>
          <w:spacing w:val="32"/>
        </w:rPr>
        <w:t> </w:t>
      </w:r>
      <w:r>
        <w:rPr/>
        <w:t>of</w:t>
      </w:r>
      <w:r>
        <w:rPr>
          <w:spacing w:val="40"/>
        </w:rPr>
        <w:t> </w:t>
      </w:r>
      <w:r>
        <w:rPr/>
        <w:t>the</w:t>
      </w:r>
      <w:r>
        <w:rPr>
          <w:spacing w:val="40"/>
        </w:rPr>
        <w:t> </w:t>
      </w:r>
      <w:r>
        <w:rPr/>
        <w:t>various</w:t>
      </w:r>
      <w:r>
        <w:rPr>
          <w:spacing w:val="40"/>
        </w:rPr>
        <w:t> </w:t>
      </w:r>
      <w:r>
        <w:rPr/>
        <w:t>steps</w:t>
      </w:r>
      <w:r>
        <w:rPr>
          <w:spacing w:val="40"/>
        </w:rPr>
        <w:t> </w:t>
      </w:r>
      <w:r>
        <w:rPr/>
        <w:t>used</w:t>
      </w:r>
      <w:r>
        <w:rPr>
          <w:spacing w:val="40"/>
        </w:rPr>
        <w:t> </w:t>
      </w:r>
      <w:r>
        <w:rPr/>
        <w:t>in</w:t>
      </w:r>
      <w:r>
        <w:rPr>
          <w:spacing w:val="40"/>
        </w:rPr>
        <w:t> </w:t>
      </w:r>
      <w:r>
        <w:rPr/>
        <w:t>the</w:t>
      </w:r>
      <w:r>
        <w:rPr>
          <w:spacing w:val="40"/>
        </w:rPr>
        <w:t> </w:t>
      </w:r>
      <w:r>
        <w:rPr/>
        <w:t>manufacture</w:t>
      </w:r>
      <w:r>
        <w:rPr>
          <w:spacing w:val="40"/>
        </w:rPr>
        <w:t> </w:t>
      </w:r>
      <w:r>
        <w:rPr/>
        <w:t>of</w:t>
      </w:r>
      <w:r>
        <w:rPr>
          <w:spacing w:val="40"/>
        </w:rPr>
        <w:t> </w:t>
      </w:r>
      <w:r>
        <w:rPr/>
        <w:t>tablets</w:t>
      </w:r>
      <w:r>
        <w:rPr>
          <w:spacing w:val="40"/>
        </w:rPr>
        <w:t> </w:t>
      </w:r>
      <w:r>
        <w:rPr/>
        <w:t>by</w:t>
      </w:r>
      <w:r>
        <w:rPr>
          <w:spacing w:val="40"/>
        </w:rPr>
        <w:t> </w:t>
      </w:r>
      <w:r>
        <w:rPr/>
        <w:t>direct compression is described below (David, 2008):</w:t>
      </w:r>
    </w:p>
    <w:p>
      <w:pPr>
        <w:pStyle w:val="ListParagraph"/>
        <w:numPr>
          <w:ilvl w:val="3"/>
          <w:numId w:val="23"/>
        </w:numPr>
        <w:tabs>
          <w:tab w:pos="1414" w:val="left" w:leader="none"/>
        </w:tabs>
        <w:spacing w:line="240" w:lineRule="auto" w:before="3" w:after="0"/>
        <w:ind w:left="1414" w:right="0" w:hanging="336"/>
        <w:jc w:val="left"/>
        <w:rPr>
          <w:sz w:val="22"/>
        </w:rPr>
      </w:pPr>
      <w:r>
        <w:rPr>
          <w:sz w:val="22"/>
        </w:rPr>
        <w:t>Pre-milling</w:t>
      </w:r>
      <w:r>
        <w:rPr>
          <w:spacing w:val="13"/>
          <w:sz w:val="22"/>
        </w:rPr>
        <w:t> </w:t>
      </w:r>
      <w:r>
        <w:rPr>
          <w:sz w:val="22"/>
        </w:rPr>
        <w:t>of</w:t>
      </w:r>
      <w:r>
        <w:rPr>
          <w:spacing w:val="19"/>
          <w:sz w:val="22"/>
        </w:rPr>
        <w:t> </w:t>
      </w:r>
      <w:r>
        <w:rPr>
          <w:sz w:val="22"/>
        </w:rPr>
        <w:t>formulation</w:t>
      </w:r>
      <w:r>
        <w:rPr>
          <w:spacing w:val="14"/>
          <w:sz w:val="22"/>
        </w:rPr>
        <w:t> </w:t>
      </w:r>
      <w:r>
        <w:rPr>
          <w:spacing w:val="-2"/>
          <w:sz w:val="22"/>
        </w:rPr>
        <w:t>components;</w:t>
      </w:r>
    </w:p>
    <w:p>
      <w:pPr>
        <w:pStyle w:val="BodyText"/>
        <w:spacing w:before="10"/>
      </w:pPr>
    </w:p>
    <w:p>
      <w:pPr>
        <w:pStyle w:val="ListParagraph"/>
        <w:numPr>
          <w:ilvl w:val="3"/>
          <w:numId w:val="23"/>
        </w:numPr>
        <w:tabs>
          <w:tab w:pos="1414" w:val="left" w:leader="none"/>
        </w:tabs>
        <w:spacing w:line="240" w:lineRule="auto" w:before="0" w:after="0"/>
        <w:ind w:left="1414" w:right="0" w:hanging="336"/>
        <w:jc w:val="left"/>
        <w:rPr>
          <w:sz w:val="22"/>
        </w:rPr>
      </w:pPr>
      <w:r>
        <w:rPr>
          <w:sz w:val="22"/>
        </w:rPr>
        <w:t>Mixing</w:t>
      </w:r>
      <w:r>
        <w:rPr>
          <w:spacing w:val="10"/>
          <w:sz w:val="22"/>
        </w:rPr>
        <w:t> </w:t>
      </w:r>
      <w:r>
        <w:rPr>
          <w:sz w:val="22"/>
        </w:rPr>
        <w:t>of</w:t>
      </w:r>
      <w:r>
        <w:rPr>
          <w:spacing w:val="10"/>
          <w:sz w:val="22"/>
        </w:rPr>
        <w:t> </w:t>
      </w:r>
      <w:r>
        <w:rPr>
          <w:sz w:val="22"/>
        </w:rPr>
        <w:t>the</w:t>
      </w:r>
      <w:r>
        <w:rPr>
          <w:spacing w:val="15"/>
          <w:sz w:val="22"/>
        </w:rPr>
        <w:t> </w:t>
      </w:r>
      <w:r>
        <w:rPr>
          <w:sz w:val="22"/>
        </w:rPr>
        <w:t>API</w:t>
      </w:r>
      <w:r>
        <w:rPr>
          <w:spacing w:val="9"/>
          <w:sz w:val="22"/>
        </w:rPr>
        <w:t> </w:t>
      </w:r>
      <w:r>
        <w:rPr>
          <w:sz w:val="22"/>
        </w:rPr>
        <w:t>with</w:t>
      </w:r>
      <w:r>
        <w:rPr>
          <w:spacing w:val="5"/>
          <w:sz w:val="22"/>
        </w:rPr>
        <w:t> </w:t>
      </w:r>
      <w:r>
        <w:rPr>
          <w:sz w:val="22"/>
        </w:rPr>
        <w:t>the</w:t>
      </w:r>
      <w:r>
        <w:rPr>
          <w:spacing w:val="15"/>
          <w:sz w:val="22"/>
        </w:rPr>
        <w:t> </w:t>
      </w:r>
      <w:r>
        <w:rPr>
          <w:sz w:val="22"/>
        </w:rPr>
        <w:t>powdered</w:t>
      </w:r>
      <w:r>
        <w:rPr>
          <w:spacing w:val="10"/>
          <w:sz w:val="22"/>
        </w:rPr>
        <w:t> </w:t>
      </w:r>
      <w:r>
        <w:rPr>
          <w:sz w:val="22"/>
        </w:rPr>
        <w:t>excipients</w:t>
      </w:r>
      <w:r>
        <w:rPr>
          <w:spacing w:val="16"/>
          <w:sz w:val="22"/>
        </w:rPr>
        <w:t> </w:t>
      </w:r>
      <w:r>
        <w:rPr>
          <w:sz w:val="22"/>
        </w:rPr>
        <w:t>(including</w:t>
      </w:r>
      <w:r>
        <w:rPr>
          <w:spacing w:val="5"/>
          <w:sz w:val="22"/>
        </w:rPr>
        <w:t> </w:t>
      </w:r>
      <w:r>
        <w:rPr>
          <w:spacing w:val="-2"/>
          <w:sz w:val="22"/>
        </w:rPr>
        <w:t>lubricant);</w:t>
      </w:r>
    </w:p>
    <w:p>
      <w:pPr>
        <w:pStyle w:val="BodyText"/>
        <w:spacing w:before="15"/>
      </w:pPr>
    </w:p>
    <w:p>
      <w:pPr>
        <w:pStyle w:val="ListParagraph"/>
        <w:numPr>
          <w:ilvl w:val="3"/>
          <w:numId w:val="23"/>
        </w:numPr>
        <w:tabs>
          <w:tab w:pos="1414" w:val="left" w:leader="none"/>
        </w:tabs>
        <w:spacing w:line="240" w:lineRule="auto" w:before="0" w:after="0"/>
        <w:ind w:left="1414" w:right="0" w:hanging="336"/>
        <w:jc w:val="left"/>
        <w:rPr>
          <w:sz w:val="22"/>
        </w:rPr>
      </w:pPr>
      <w:r>
        <w:rPr>
          <w:sz w:val="22"/>
        </w:rPr>
        <w:t>Compression</w:t>
      </w:r>
      <w:r>
        <w:rPr>
          <w:spacing w:val="7"/>
          <w:sz w:val="22"/>
        </w:rPr>
        <w:t> </w:t>
      </w:r>
      <w:r>
        <w:rPr>
          <w:sz w:val="22"/>
        </w:rPr>
        <w:t>of</w:t>
      </w:r>
      <w:r>
        <w:rPr>
          <w:spacing w:val="7"/>
          <w:sz w:val="22"/>
        </w:rPr>
        <w:t> </w:t>
      </w:r>
      <w:r>
        <w:rPr>
          <w:sz w:val="22"/>
        </w:rPr>
        <w:t>the</w:t>
      </w:r>
      <w:r>
        <w:rPr>
          <w:spacing w:val="11"/>
          <w:sz w:val="22"/>
        </w:rPr>
        <w:t> </w:t>
      </w:r>
      <w:r>
        <w:rPr>
          <w:sz w:val="22"/>
        </w:rPr>
        <w:t>mixed</w:t>
      </w:r>
      <w:r>
        <w:rPr>
          <w:spacing w:val="18"/>
          <w:sz w:val="22"/>
        </w:rPr>
        <w:t> </w:t>
      </w:r>
      <w:r>
        <w:rPr>
          <w:sz w:val="22"/>
        </w:rPr>
        <w:t>powders</w:t>
      </w:r>
      <w:r>
        <w:rPr>
          <w:spacing w:val="9"/>
          <w:sz w:val="22"/>
        </w:rPr>
        <w:t> </w:t>
      </w:r>
      <w:r>
        <w:rPr>
          <w:sz w:val="22"/>
        </w:rPr>
        <w:t>into</w:t>
      </w:r>
      <w:r>
        <w:rPr>
          <w:spacing w:val="13"/>
          <w:sz w:val="22"/>
        </w:rPr>
        <w:t> </w:t>
      </w:r>
      <w:r>
        <w:rPr>
          <w:spacing w:val="-2"/>
          <w:sz w:val="22"/>
        </w:rPr>
        <w:t>tablets.</w:t>
      </w:r>
    </w:p>
    <w:p>
      <w:pPr>
        <w:pStyle w:val="BodyText"/>
        <w:spacing w:before="11"/>
      </w:pPr>
    </w:p>
    <w:p>
      <w:pPr>
        <w:pStyle w:val="Heading2"/>
        <w:numPr>
          <w:ilvl w:val="2"/>
          <w:numId w:val="23"/>
        </w:numPr>
        <w:tabs>
          <w:tab w:pos="1342" w:val="left" w:leader="none"/>
          <w:tab w:pos="2691" w:val="left" w:leader="none"/>
          <w:tab w:pos="3281" w:val="left" w:leader="none"/>
          <w:tab w:pos="4855" w:val="left" w:leader="none"/>
          <w:tab w:pos="5272" w:val="left" w:leader="none"/>
          <w:tab w:pos="6045" w:val="left" w:leader="none"/>
          <w:tab w:pos="7638" w:val="left" w:leader="none"/>
          <w:tab w:pos="8094" w:val="left" w:leader="none"/>
        </w:tabs>
        <w:spacing w:line="249" w:lineRule="auto" w:before="1" w:after="0"/>
        <w:ind w:left="1342" w:right="1858" w:hanging="677"/>
        <w:jc w:val="left"/>
      </w:pPr>
      <w:bookmarkStart w:name="_TOC_250101" w:id="60"/>
      <w:r>
        <w:rPr>
          <w:spacing w:val="-2"/>
        </w:rPr>
        <w:t>Advantages</w:t>
      </w:r>
      <w:r>
        <w:rPr/>
        <w:tab/>
      </w:r>
      <w:r>
        <w:rPr>
          <w:spacing w:val="-4"/>
        </w:rPr>
        <w:t>and</w:t>
      </w:r>
      <w:r>
        <w:rPr/>
        <w:tab/>
      </w:r>
      <w:r>
        <w:rPr>
          <w:spacing w:val="-2"/>
        </w:rPr>
        <w:t>disadvantages</w:t>
      </w:r>
      <w:r>
        <w:rPr/>
        <w:tab/>
      </w:r>
      <w:r>
        <w:rPr>
          <w:spacing w:val="-6"/>
        </w:rPr>
        <w:t>of</w:t>
      </w:r>
      <w:r>
        <w:rPr/>
        <w:tab/>
      </w:r>
      <w:r>
        <w:rPr>
          <w:spacing w:val="-2"/>
        </w:rPr>
        <w:t>tablet</w:t>
      </w:r>
      <w:r>
        <w:rPr/>
        <w:tab/>
      </w:r>
      <w:r>
        <w:rPr>
          <w:spacing w:val="-2"/>
        </w:rPr>
        <w:t>manufactured</w:t>
      </w:r>
      <w:r>
        <w:rPr/>
        <w:tab/>
      </w:r>
      <w:r>
        <w:rPr>
          <w:spacing w:val="-6"/>
        </w:rPr>
        <w:t>by</w:t>
      </w:r>
      <w:r>
        <w:rPr/>
        <w:tab/>
      </w:r>
      <w:bookmarkEnd w:id="60"/>
      <w:r>
        <w:rPr>
          <w:spacing w:val="-2"/>
        </w:rPr>
        <w:t>direct compression.</w:t>
      </w:r>
    </w:p>
    <w:p>
      <w:pPr>
        <w:pStyle w:val="BodyText"/>
        <w:spacing w:line="491" w:lineRule="auto" w:before="102"/>
        <w:ind w:left="665" w:right="1858" w:firstLine="676"/>
      </w:pPr>
      <w:r>
        <w:rPr/>
        <w:t>The</w:t>
      </w:r>
      <w:r>
        <w:rPr>
          <w:spacing w:val="40"/>
        </w:rPr>
        <w:t> </w:t>
      </w:r>
      <w:r>
        <w:rPr/>
        <w:t>advantages</w:t>
      </w:r>
      <w:r>
        <w:rPr>
          <w:spacing w:val="40"/>
        </w:rPr>
        <w:t> </w:t>
      </w:r>
      <w:r>
        <w:rPr/>
        <w:t>and</w:t>
      </w:r>
      <w:r>
        <w:rPr>
          <w:spacing w:val="40"/>
        </w:rPr>
        <w:t> </w:t>
      </w:r>
      <w:r>
        <w:rPr/>
        <w:t>disadvantages</w:t>
      </w:r>
      <w:r>
        <w:rPr>
          <w:spacing w:val="40"/>
        </w:rPr>
        <w:t> </w:t>
      </w:r>
      <w:r>
        <w:rPr/>
        <w:t>of</w:t>
      </w:r>
      <w:r>
        <w:rPr>
          <w:spacing w:val="40"/>
        </w:rPr>
        <w:t> </w:t>
      </w:r>
      <w:r>
        <w:rPr/>
        <w:t>direct</w:t>
      </w:r>
      <w:r>
        <w:rPr>
          <w:spacing w:val="40"/>
        </w:rPr>
        <w:t> </w:t>
      </w:r>
      <w:r>
        <w:rPr/>
        <w:t>compression</w:t>
      </w:r>
      <w:r>
        <w:rPr>
          <w:spacing w:val="40"/>
        </w:rPr>
        <w:t> </w:t>
      </w:r>
      <w:r>
        <w:rPr/>
        <w:t>are</w:t>
      </w:r>
      <w:r>
        <w:rPr>
          <w:spacing w:val="40"/>
        </w:rPr>
        <w:t> </w:t>
      </w:r>
      <w:r>
        <w:rPr/>
        <w:t>detailed</w:t>
      </w:r>
      <w:r>
        <w:rPr>
          <w:spacing w:val="40"/>
        </w:rPr>
        <w:t> </w:t>
      </w:r>
      <w:r>
        <w:rPr/>
        <w:t>below</w:t>
      </w:r>
      <w:r>
        <w:rPr>
          <w:spacing w:val="80"/>
        </w:rPr>
        <w:t> </w:t>
      </w:r>
      <w:r>
        <w:rPr/>
        <w:t>(David, 2008):</w:t>
      </w:r>
    </w:p>
    <w:p>
      <w:pPr>
        <w:pStyle w:val="Heading2"/>
        <w:spacing w:before="5"/>
        <w:ind w:firstLine="0"/>
      </w:pPr>
      <w:r>
        <w:rPr>
          <w:spacing w:val="-2"/>
        </w:rPr>
        <w:t>Advantages</w:t>
      </w:r>
    </w:p>
    <w:p>
      <w:pPr>
        <w:pStyle w:val="BodyText"/>
        <w:spacing w:before="7"/>
        <w:rPr>
          <w:b/>
        </w:rPr>
      </w:pPr>
    </w:p>
    <w:p>
      <w:pPr>
        <w:pStyle w:val="ListParagraph"/>
        <w:numPr>
          <w:ilvl w:val="0"/>
          <w:numId w:val="24"/>
        </w:numPr>
        <w:tabs>
          <w:tab w:pos="1004" w:val="left" w:leader="none"/>
          <w:tab w:pos="1006" w:val="left" w:leader="none"/>
        </w:tabs>
        <w:spacing w:line="496" w:lineRule="auto" w:before="0" w:after="0"/>
        <w:ind w:left="1006" w:right="1848" w:hanging="341"/>
        <w:jc w:val="both"/>
        <w:rPr>
          <w:sz w:val="22"/>
        </w:rPr>
      </w:pPr>
      <w:r>
        <w:rPr>
          <w:sz w:val="22"/>
        </w:rPr>
        <w:t>Fewer processing steps/unit operations are involved and this method is potentially more cost-effective than other methods.</w:t>
      </w:r>
    </w:p>
    <w:p>
      <w:pPr>
        <w:pStyle w:val="ListParagraph"/>
        <w:numPr>
          <w:ilvl w:val="0"/>
          <w:numId w:val="24"/>
        </w:numPr>
        <w:tabs>
          <w:tab w:pos="1004" w:val="left" w:leader="none"/>
          <w:tab w:pos="1006" w:val="left" w:leader="none"/>
        </w:tabs>
        <w:spacing w:line="491" w:lineRule="auto" w:before="0" w:after="0"/>
        <w:ind w:left="1006" w:right="1859" w:hanging="341"/>
        <w:jc w:val="both"/>
        <w:rPr>
          <w:sz w:val="22"/>
        </w:rPr>
      </w:pPr>
      <w:r>
        <w:rPr>
          <w:sz w:val="22"/>
        </w:rPr>
        <w:t>Does not require the use of water or other solvents. Thus, negates potential problems regarding</w:t>
      </w:r>
      <w:r>
        <w:rPr>
          <w:spacing w:val="40"/>
          <w:sz w:val="22"/>
        </w:rPr>
        <w:t> </w:t>
      </w:r>
      <w:r>
        <w:rPr>
          <w:sz w:val="22"/>
        </w:rPr>
        <w:t>the</w:t>
      </w:r>
      <w:r>
        <w:rPr>
          <w:spacing w:val="40"/>
          <w:sz w:val="22"/>
        </w:rPr>
        <w:t> </w:t>
      </w:r>
      <w:r>
        <w:rPr>
          <w:sz w:val="22"/>
        </w:rPr>
        <w:t>stability of</w:t>
      </w:r>
      <w:r>
        <w:rPr>
          <w:spacing w:val="40"/>
          <w:sz w:val="22"/>
        </w:rPr>
        <w:t> </w:t>
      </w:r>
      <w:r>
        <w:rPr>
          <w:sz w:val="22"/>
        </w:rPr>
        <w:t>therapeutic</w:t>
      </w:r>
      <w:r>
        <w:rPr>
          <w:spacing w:val="40"/>
          <w:sz w:val="22"/>
        </w:rPr>
        <w:t> </w:t>
      </w:r>
      <w:r>
        <w:rPr>
          <w:sz w:val="22"/>
        </w:rPr>
        <w:t>agents</w:t>
      </w:r>
      <w:r>
        <w:rPr>
          <w:spacing w:val="40"/>
          <w:sz w:val="22"/>
        </w:rPr>
        <w:t> </w:t>
      </w:r>
      <w:r>
        <w:rPr>
          <w:sz w:val="22"/>
        </w:rPr>
        <w:t>in</w:t>
      </w:r>
      <w:r>
        <w:rPr>
          <w:spacing w:val="40"/>
          <w:sz w:val="22"/>
        </w:rPr>
        <w:t> </w:t>
      </w:r>
      <w:r>
        <w:rPr>
          <w:sz w:val="22"/>
        </w:rPr>
        <w:t>the</w:t>
      </w:r>
      <w:r>
        <w:rPr>
          <w:spacing w:val="40"/>
          <w:sz w:val="22"/>
        </w:rPr>
        <w:t> </w:t>
      </w:r>
      <w:r>
        <w:rPr>
          <w:sz w:val="22"/>
        </w:rPr>
        <w:t>presence</w:t>
      </w:r>
      <w:r>
        <w:rPr>
          <w:spacing w:val="40"/>
          <w:sz w:val="22"/>
        </w:rPr>
        <w:t> </w:t>
      </w:r>
      <w:r>
        <w:rPr>
          <w:sz w:val="22"/>
        </w:rPr>
        <w:t>of</w:t>
      </w:r>
      <w:r>
        <w:rPr>
          <w:spacing w:val="40"/>
          <w:sz w:val="22"/>
        </w:rPr>
        <w:t> </w:t>
      </w:r>
      <w:r>
        <w:rPr>
          <w:sz w:val="22"/>
        </w:rPr>
        <w:t>the</w:t>
      </w:r>
      <w:r>
        <w:rPr>
          <w:spacing w:val="40"/>
          <w:sz w:val="22"/>
        </w:rPr>
        <w:t> </w:t>
      </w:r>
      <w:r>
        <w:rPr>
          <w:sz w:val="22"/>
        </w:rPr>
        <w:t>solvent.</w:t>
      </w:r>
      <w:r>
        <w:rPr>
          <w:spacing w:val="40"/>
          <w:sz w:val="22"/>
        </w:rPr>
        <w:t> </w:t>
      </w:r>
      <w:r>
        <w:rPr>
          <w:sz w:val="22"/>
        </w:rPr>
        <w:t>In addition, heating is not required in direct compression.</w:t>
      </w:r>
    </w:p>
    <w:p>
      <w:pPr>
        <w:pStyle w:val="ListParagraph"/>
        <w:numPr>
          <w:ilvl w:val="0"/>
          <w:numId w:val="24"/>
        </w:numPr>
        <w:tabs>
          <w:tab w:pos="1004" w:val="left" w:leader="none"/>
          <w:tab w:pos="1006" w:val="left" w:leader="none"/>
        </w:tabs>
        <w:spacing w:line="491" w:lineRule="auto" w:before="0" w:after="0"/>
        <w:ind w:left="1006" w:right="1860" w:hanging="341"/>
        <w:jc w:val="both"/>
        <w:rPr>
          <w:sz w:val="22"/>
        </w:rPr>
      </w:pPr>
      <w:r>
        <w:rPr>
          <w:sz w:val="22"/>
        </w:rPr>
        <w:t>Lubrication</w:t>
      </w:r>
      <w:r>
        <w:rPr>
          <w:spacing w:val="40"/>
          <w:sz w:val="22"/>
        </w:rPr>
        <w:t> </w:t>
      </w:r>
      <w:r>
        <w:rPr>
          <w:sz w:val="22"/>
        </w:rPr>
        <w:t>is</w:t>
      </w:r>
      <w:r>
        <w:rPr>
          <w:spacing w:val="40"/>
          <w:sz w:val="22"/>
        </w:rPr>
        <w:t> </w:t>
      </w:r>
      <w:r>
        <w:rPr>
          <w:sz w:val="22"/>
        </w:rPr>
        <w:t>performed</w:t>
      </w:r>
      <w:r>
        <w:rPr>
          <w:spacing w:val="40"/>
          <w:sz w:val="22"/>
        </w:rPr>
        <w:t> </w:t>
      </w:r>
      <w:r>
        <w:rPr>
          <w:sz w:val="22"/>
        </w:rPr>
        <w:t>in</w:t>
      </w:r>
      <w:r>
        <w:rPr>
          <w:spacing w:val="40"/>
          <w:sz w:val="22"/>
        </w:rPr>
        <w:t> </w:t>
      </w:r>
      <w:r>
        <w:rPr>
          <w:sz w:val="22"/>
        </w:rPr>
        <w:t>the</w:t>
      </w:r>
      <w:r>
        <w:rPr>
          <w:spacing w:val="40"/>
          <w:sz w:val="22"/>
        </w:rPr>
        <w:t> </w:t>
      </w:r>
      <w:r>
        <w:rPr>
          <w:sz w:val="22"/>
        </w:rPr>
        <w:t>same</w:t>
      </w:r>
      <w:r>
        <w:rPr>
          <w:spacing w:val="40"/>
          <w:sz w:val="22"/>
        </w:rPr>
        <w:t> </w:t>
      </w:r>
      <w:r>
        <w:rPr>
          <w:sz w:val="22"/>
        </w:rPr>
        <w:t>vessel</w:t>
      </w:r>
      <w:r>
        <w:rPr>
          <w:spacing w:val="40"/>
          <w:sz w:val="22"/>
        </w:rPr>
        <w:t> </w:t>
      </w:r>
      <w:r>
        <w:rPr>
          <w:sz w:val="22"/>
        </w:rPr>
        <w:t>as</w:t>
      </w:r>
      <w:r>
        <w:rPr>
          <w:spacing w:val="40"/>
          <w:sz w:val="22"/>
        </w:rPr>
        <w:t> </w:t>
      </w:r>
      <w:r>
        <w:rPr>
          <w:sz w:val="22"/>
        </w:rPr>
        <w:t>powder</w:t>
      </w:r>
      <w:r>
        <w:rPr>
          <w:spacing w:val="40"/>
          <w:sz w:val="22"/>
        </w:rPr>
        <w:t> </w:t>
      </w:r>
      <w:r>
        <w:rPr>
          <w:sz w:val="22"/>
        </w:rPr>
        <w:t>mixing,</w:t>
      </w:r>
      <w:r>
        <w:rPr>
          <w:spacing w:val="40"/>
          <w:sz w:val="22"/>
        </w:rPr>
        <w:t> </w:t>
      </w:r>
      <w:r>
        <w:rPr>
          <w:sz w:val="22"/>
        </w:rPr>
        <w:t>thereby</w:t>
      </w:r>
      <w:r>
        <w:rPr>
          <w:spacing w:val="39"/>
          <w:sz w:val="22"/>
        </w:rPr>
        <w:t> </w:t>
      </w:r>
      <w:r>
        <w:rPr>
          <w:sz w:val="22"/>
        </w:rPr>
        <w:t>reducing both transfer losses and contamination of equipment.</w:t>
      </w:r>
    </w:p>
    <w:p>
      <w:pPr>
        <w:pStyle w:val="Heading2"/>
        <w:ind w:firstLine="0"/>
      </w:pPr>
      <w:r>
        <w:rPr>
          <w:spacing w:val="-2"/>
        </w:rPr>
        <w:t>Disadvantages</w:t>
      </w:r>
    </w:p>
    <w:p>
      <w:pPr>
        <w:pStyle w:val="BodyText"/>
        <w:spacing w:before="6"/>
        <w:rPr>
          <w:b/>
        </w:rPr>
      </w:pPr>
    </w:p>
    <w:p>
      <w:pPr>
        <w:pStyle w:val="ListParagraph"/>
        <w:numPr>
          <w:ilvl w:val="0"/>
          <w:numId w:val="24"/>
        </w:numPr>
        <w:tabs>
          <w:tab w:pos="1006" w:val="left" w:leader="none"/>
        </w:tabs>
        <w:spacing w:line="240" w:lineRule="auto" w:before="0" w:after="0"/>
        <w:ind w:left="1006" w:right="0" w:hanging="341"/>
        <w:jc w:val="left"/>
        <w:rPr>
          <w:sz w:val="22"/>
        </w:rPr>
      </w:pPr>
      <w:r>
        <w:rPr>
          <w:sz w:val="22"/>
        </w:rPr>
        <w:t>Specialized</w:t>
      </w:r>
      <w:r>
        <w:rPr>
          <w:spacing w:val="16"/>
          <w:sz w:val="22"/>
        </w:rPr>
        <w:t> </w:t>
      </w:r>
      <w:r>
        <w:rPr>
          <w:sz w:val="22"/>
        </w:rPr>
        <w:t>and</w:t>
      </w:r>
      <w:r>
        <w:rPr>
          <w:spacing w:val="17"/>
          <w:sz w:val="22"/>
        </w:rPr>
        <w:t> </w:t>
      </w:r>
      <w:r>
        <w:rPr>
          <w:sz w:val="22"/>
        </w:rPr>
        <w:t>more</w:t>
      </w:r>
      <w:r>
        <w:rPr>
          <w:spacing w:val="11"/>
          <w:sz w:val="22"/>
        </w:rPr>
        <w:t> </w:t>
      </w:r>
      <w:r>
        <w:rPr>
          <w:sz w:val="22"/>
        </w:rPr>
        <w:t>expensive</w:t>
      </w:r>
      <w:r>
        <w:rPr>
          <w:spacing w:val="10"/>
          <w:sz w:val="22"/>
        </w:rPr>
        <w:t> </w:t>
      </w:r>
      <w:r>
        <w:rPr>
          <w:sz w:val="22"/>
        </w:rPr>
        <w:t>excipients</w:t>
      </w:r>
      <w:r>
        <w:rPr>
          <w:spacing w:val="8"/>
          <w:sz w:val="22"/>
        </w:rPr>
        <w:t> </w:t>
      </w:r>
      <w:r>
        <w:rPr>
          <w:sz w:val="22"/>
        </w:rPr>
        <w:t>are</w:t>
      </w:r>
      <w:r>
        <w:rPr>
          <w:spacing w:val="10"/>
          <w:sz w:val="22"/>
        </w:rPr>
        <w:t> </w:t>
      </w:r>
      <w:r>
        <w:rPr>
          <w:spacing w:val="-2"/>
          <w:sz w:val="22"/>
        </w:rPr>
        <w:t>required.</w:t>
      </w:r>
    </w:p>
    <w:p>
      <w:pPr>
        <w:pStyle w:val="BodyText"/>
        <w:spacing w:before="12"/>
      </w:pPr>
    </w:p>
    <w:p>
      <w:pPr>
        <w:pStyle w:val="ListParagraph"/>
        <w:numPr>
          <w:ilvl w:val="0"/>
          <w:numId w:val="24"/>
        </w:numPr>
        <w:tabs>
          <w:tab w:pos="1004" w:val="left" w:leader="none"/>
          <w:tab w:pos="1006" w:val="left" w:leader="none"/>
        </w:tabs>
        <w:spacing w:line="494" w:lineRule="auto" w:before="0" w:after="0"/>
        <w:ind w:left="1006" w:right="1860" w:hanging="341"/>
        <w:jc w:val="both"/>
        <w:rPr>
          <w:sz w:val="22"/>
        </w:rPr>
      </w:pPr>
      <w:r>
        <w:rPr>
          <w:sz w:val="22"/>
        </w:rPr>
        <w:t>The quality of the final dosage form is dependent on the powders being easily</w:t>
      </w:r>
      <w:r>
        <w:rPr>
          <w:spacing w:val="-2"/>
          <w:sz w:val="22"/>
        </w:rPr>
        <w:t> </w:t>
      </w:r>
      <w:r>
        <w:rPr>
          <w:sz w:val="22"/>
        </w:rPr>
        <w:t>mixed and remaining homogenously mixed. Segregation of the mixed components is minimized by ensuring that the excipients and the dosage forms exhibit similar morphologies, densities and particle size/distribution properties.</w:t>
      </w:r>
    </w:p>
    <w:p>
      <w:pPr>
        <w:spacing w:after="0" w:line="494" w:lineRule="auto"/>
        <w:jc w:val="both"/>
        <w:rPr>
          <w:sz w:val="22"/>
        </w:rPr>
        <w:sectPr>
          <w:pgSz w:w="12240" w:h="15840"/>
          <w:pgMar w:header="0" w:footer="999" w:top="1260" w:bottom="1180" w:left="1720" w:right="0"/>
        </w:sectPr>
      </w:pPr>
    </w:p>
    <w:p>
      <w:pPr>
        <w:pStyle w:val="ListParagraph"/>
        <w:numPr>
          <w:ilvl w:val="0"/>
          <w:numId w:val="24"/>
        </w:numPr>
        <w:tabs>
          <w:tab w:pos="1004" w:val="left" w:leader="none"/>
          <w:tab w:pos="1006" w:val="left" w:leader="none"/>
        </w:tabs>
        <w:spacing w:line="491" w:lineRule="auto" w:before="75" w:after="0"/>
        <w:ind w:left="1006" w:right="1857" w:hanging="341"/>
        <w:jc w:val="both"/>
        <w:rPr>
          <w:sz w:val="22"/>
        </w:rPr>
      </w:pPr>
      <w:r>
        <w:rPr>
          <w:sz w:val="22"/>
        </w:rPr>
        <w:t>The</w:t>
      </w:r>
      <w:r>
        <w:rPr>
          <w:spacing w:val="40"/>
          <w:sz w:val="22"/>
        </w:rPr>
        <w:t> </w:t>
      </w:r>
      <w:r>
        <w:rPr>
          <w:sz w:val="22"/>
        </w:rPr>
        <w:t>final tablets produced</w:t>
      </w:r>
      <w:r>
        <w:rPr>
          <w:spacing w:val="40"/>
          <w:sz w:val="22"/>
        </w:rPr>
        <w:t> </w:t>
      </w:r>
      <w:r>
        <w:rPr>
          <w:sz w:val="22"/>
        </w:rPr>
        <w:t>by direct compression tend</w:t>
      </w:r>
      <w:r>
        <w:rPr>
          <w:spacing w:val="40"/>
          <w:sz w:val="22"/>
        </w:rPr>
        <w:t> </w:t>
      </w:r>
      <w:r>
        <w:rPr>
          <w:sz w:val="22"/>
        </w:rPr>
        <w:t>to</w:t>
      </w:r>
      <w:r>
        <w:rPr>
          <w:spacing w:val="40"/>
          <w:sz w:val="22"/>
        </w:rPr>
        <w:t> </w:t>
      </w:r>
      <w:r>
        <w:rPr>
          <w:sz w:val="22"/>
        </w:rPr>
        <w:t>be softer</w:t>
      </w:r>
      <w:r>
        <w:rPr>
          <w:spacing w:val="40"/>
          <w:sz w:val="22"/>
        </w:rPr>
        <w:t> </w:t>
      </w:r>
      <w:r>
        <w:rPr>
          <w:sz w:val="22"/>
        </w:rPr>
        <w:t>than those produced by wet granulation, rendering them more difficult to process using post- tableting techniques, e.g. film coating.</w:t>
      </w:r>
    </w:p>
    <w:p>
      <w:pPr>
        <w:pStyle w:val="ListParagraph"/>
        <w:numPr>
          <w:ilvl w:val="0"/>
          <w:numId w:val="24"/>
        </w:numPr>
        <w:tabs>
          <w:tab w:pos="1006" w:val="left" w:leader="none"/>
        </w:tabs>
        <w:spacing w:line="252" w:lineRule="exact" w:before="0" w:after="0"/>
        <w:ind w:left="1006" w:right="0" w:hanging="341"/>
        <w:jc w:val="left"/>
        <w:rPr>
          <w:sz w:val="22"/>
        </w:rPr>
      </w:pPr>
      <w:r>
        <w:rPr>
          <w:sz w:val="22"/>
        </w:rPr>
        <w:t>There</w:t>
      </w:r>
      <w:r>
        <w:rPr>
          <w:spacing w:val="12"/>
          <w:sz w:val="22"/>
        </w:rPr>
        <w:t> </w:t>
      </w:r>
      <w:r>
        <w:rPr>
          <w:sz w:val="22"/>
        </w:rPr>
        <w:t>may</w:t>
      </w:r>
      <w:r>
        <w:rPr>
          <w:spacing w:val="2"/>
          <w:sz w:val="22"/>
        </w:rPr>
        <w:t> </w:t>
      </w:r>
      <w:r>
        <w:rPr>
          <w:sz w:val="22"/>
        </w:rPr>
        <w:t>be</w:t>
      </w:r>
      <w:r>
        <w:rPr>
          <w:spacing w:val="7"/>
          <w:sz w:val="22"/>
        </w:rPr>
        <w:t> </w:t>
      </w:r>
      <w:r>
        <w:rPr>
          <w:sz w:val="22"/>
        </w:rPr>
        <w:t>issues</w:t>
      </w:r>
      <w:r>
        <w:rPr>
          <w:spacing w:val="15"/>
          <w:sz w:val="22"/>
        </w:rPr>
        <w:t> </w:t>
      </w:r>
      <w:r>
        <w:rPr>
          <w:sz w:val="22"/>
        </w:rPr>
        <w:t>regarding</w:t>
      </w:r>
      <w:r>
        <w:rPr>
          <w:spacing w:val="3"/>
          <w:sz w:val="22"/>
        </w:rPr>
        <w:t> </w:t>
      </w:r>
      <w:r>
        <w:rPr>
          <w:sz w:val="22"/>
        </w:rPr>
        <w:t>powder</w:t>
      </w:r>
      <w:r>
        <w:rPr>
          <w:spacing w:val="13"/>
          <w:sz w:val="22"/>
        </w:rPr>
        <w:t> </w:t>
      </w:r>
      <w:r>
        <w:rPr>
          <w:sz w:val="22"/>
        </w:rPr>
        <w:t>flow</w:t>
      </w:r>
      <w:r>
        <w:rPr>
          <w:spacing w:val="11"/>
          <w:sz w:val="22"/>
        </w:rPr>
        <w:t> </w:t>
      </w:r>
      <w:r>
        <w:rPr>
          <w:sz w:val="22"/>
        </w:rPr>
        <w:t>into</w:t>
      </w:r>
      <w:r>
        <w:rPr>
          <w:spacing w:val="19"/>
          <w:sz w:val="22"/>
        </w:rPr>
        <w:t> </w:t>
      </w:r>
      <w:r>
        <w:rPr>
          <w:sz w:val="22"/>
        </w:rPr>
        <w:t>the</w:t>
      </w:r>
      <w:r>
        <w:rPr>
          <w:spacing w:val="6"/>
          <w:sz w:val="22"/>
        </w:rPr>
        <w:t> </w:t>
      </w:r>
      <w:r>
        <w:rPr>
          <w:sz w:val="22"/>
        </w:rPr>
        <w:t>tableting</w:t>
      </w:r>
      <w:r>
        <w:rPr>
          <w:spacing w:val="9"/>
          <w:sz w:val="22"/>
        </w:rPr>
        <w:t> </w:t>
      </w:r>
      <w:r>
        <w:rPr>
          <w:spacing w:val="-2"/>
          <w:sz w:val="22"/>
        </w:rPr>
        <w:t>machine.</w:t>
      </w:r>
    </w:p>
    <w:p>
      <w:pPr>
        <w:pStyle w:val="BodyText"/>
        <w:spacing w:before="12"/>
      </w:pPr>
    </w:p>
    <w:p>
      <w:pPr>
        <w:pStyle w:val="ListParagraph"/>
        <w:numPr>
          <w:ilvl w:val="0"/>
          <w:numId w:val="24"/>
        </w:numPr>
        <w:tabs>
          <w:tab w:pos="1004" w:val="left" w:leader="none"/>
          <w:tab w:pos="1006" w:val="left" w:leader="none"/>
        </w:tabs>
        <w:spacing w:line="491" w:lineRule="auto" w:before="1" w:after="0"/>
        <w:ind w:left="1006" w:right="1864" w:hanging="341"/>
        <w:jc w:val="both"/>
        <w:rPr>
          <w:sz w:val="22"/>
        </w:rPr>
      </w:pPr>
      <w:r>
        <w:rPr>
          <w:sz w:val="22"/>
        </w:rPr>
        <w:t>Direct</w:t>
      </w:r>
      <w:r>
        <w:rPr>
          <w:spacing w:val="29"/>
          <w:sz w:val="22"/>
        </w:rPr>
        <w:t> </w:t>
      </w:r>
      <w:r>
        <w:rPr>
          <w:sz w:val="22"/>
        </w:rPr>
        <w:t>compression</w:t>
      </w:r>
      <w:r>
        <w:rPr>
          <w:spacing w:val="27"/>
          <w:sz w:val="22"/>
        </w:rPr>
        <w:t> </w:t>
      </w:r>
      <w:r>
        <w:rPr>
          <w:sz w:val="22"/>
        </w:rPr>
        <w:t>is</w:t>
      </w:r>
      <w:r>
        <w:rPr>
          <w:spacing w:val="39"/>
          <w:sz w:val="22"/>
        </w:rPr>
        <w:t> </w:t>
      </w:r>
      <w:r>
        <w:rPr>
          <w:sz w:val="22"/>
        </w:rPr>
        <w:t>not</w:t>
      </w:r>
      <w:r>
        <w:rPr>
          <w:spacing w:val="29"/>
          <w:sz w:val="22"/>
        </w:rPr>
        <w:t> </w:t>
      </w:r>
      <w:r>
        <w:rPr>
          <w:sz w:val="22"/>
        </w:rPr>
        <w:t>used</w:t>
      </w:r>
      <w:r>
        <w:rPr>
          <w:spacing w:val="37"/>
          <w:sz w:val="22"/>
        </w:rPr>
        <w:t> </w:t>
      </w:r>
      <w:r>
        <w:rPr>
          <w:sz w:val="22"/>
        </w:rPr>
        <w:t>if</w:t>
      </w:r>
      <w:r>
        <w:rPr>
          <w:spacing w:val="31"/>
          <w:sz w:val="22"/>
        </w:rPr>
        <w:t> </w:t>
      </w:r>
      <w:r>
        <w:rPr>
          <w:sz w:val="22"/>
        </w:rPr>
        <w:t>a</w:t>
      </w:r>
      <w:r>
        <w:rPr>
          <w:spacing w:val="25"/>
          <w:sz w:val="22"/>
        </w:rPr>
        <w:t> </w:t>
      </w:r>
      <w:r>
        <w:rPr>
          <w:sz w:val="22"/>
        </w:rPr>
        <w:t>colourant</w:t>
      </w:r>
      <w:r>
        <w:rPr>
          <w:spacing w:val="29"/>
          <w:sz w:val="22"/>
        </w:rPr>
        <w:t> </w:t>
      </w:r>
      <w:r>
        <w:rPr>
          <w:sz w:val="22"/>
        </w:rPr>
        <w:t>is</w:t>
      </w:r>
      <w:r>
        <w:rPr>
          <w:spacing w:val="34"/>
          <w:sz w:val="22"/>
        </w:rPr>
        <w:t> </w:t>
      </w:r>
      <w:r>
        <w:rPr>
          <w:sz w:val="22"/>
        </w:rPr>
        <w:t>required</w:t>
      </w:r>
      <w:r>
        <w:rPr>
          <w:spacing w:val="37"/>
          <w:sz w:val="22"/>
        </w:rPr>
        <w:t> </w:t>
      </w:r>
      <w:r>
        <w:rPr>
          <w:sz w:val="22"/>
        </w:rPr>
        <w:t>in</w:t>
      </w:r>
      <w:r>
        <w:rPr>
          <w:spacing w:val="27"/>
          <w:sz w:val="22"/>
        </w:rPr>
        <w:t> </w:t>
      </w:r>
      <w:r>
        <w:rPr>
          <w:sz w:val="22"/>
        </w:rPr>
        <w:t>the</w:t>
      </w:r>
      <w:r>
        <w:rPr>
          <w:spacing w:val="36"/>
          <w:sz w:val="22"/>
        </w:rPr>
        <w:t> </w:t>
      </w:r>
      <w:r>
        <w:rPr>
          <w:sz w:val="22"/>
        </w:rPr>
        <w:t>formulation</w:t>
      </w:r>
      <w:r>
        <w:rPr>
          <w:spacing w:val="27"/>
          <w:sz w:val="22"/>
        </w:rPr>
        <w:t> </w:t>
      </w:r>
      <w:r>
        <w:rPr>
          <w:sz w:val="22"/>
        </w:rPr>
        <w:t>due</w:t>
      </w:r>
      <w:r>
        <w:rPr>
          <w:spacing w:val="25"/>
          <w:sz w:val="22"/>
        </w:rPr>
        <w:t> </w:t>
      </w:r>
      <w:r>
        <w:rPr>
          <w:sz w:val="22"/>
        </w:rPr>
        <w:t>to the mottled appearance of the resulting dosage form.</w:t>
      </w:r>
    </w:p>
    <w:p>
      <w:pPr>
        <w:pStyle w:val="ListParagraph"/>
        <w:numPr>
          <w:ilvl w:val="0"/>
          <w:numId w:val="24"/>
        </w:numPr>
        <w:tabs>
          <w:tab w:pos="1004" w:val="left" w:leader="none"/>
          <w:tab w:pos="1006" w:val="left" w:leader="none"/>
        </w:tabs>
        <w:spacing w:line="491" w:lineRule="auto" w:before="0" w:after="0"/>
        <w:ind w:left="1006" w:right="1856" w:hanging="341"/>
        <w:jc w:val="both"/>
        <w:rPr>
          <w:sz w:val="22"/>
        </w:rPr>
      </w:pPr>
      <w:r>
        <w:rPr>
          <w:sz w:val="22"/>
        </w:rPr>
        <w:t>If the loading of the API in the final formulation is high (&gt; 10 % w/w), the compression properties of the powder mix are significantly affected by the compression</w:t>
      </w:r>
      <w:r>
        <w:rPr>
          <w:spacing w:val="35"/>
          <w:sz w:val="22"/>
        </w:rPr>
        <w:t> </w:t>
      </w:r>
      <w:r>
        <w:rPr>
          <w:sz w:val="22"/>
        </w:rPr>
        <w:t>of</w:t>
      </w:r>
      <w:r>
        <w:rPr>
          <w:spacing w:val="33"/>
          <w:sz w:val="22"/>
        </w:rPr>
        <w:t> </w:t>
      </w:r>
      <w:r>
        <w:rPr>
          <w:sz w:val="22"/>
        </w:rPr>
        <w:t>the</w:t>
      </w:r>
      <w:r>
        <w:rPr>
          <w:spacing w:val="38"/>
          <w:sz w:val="22"/>
        </w:rPr>
        <w:t> </w:t>
      </w:r>
      <w:r>
        <w:rPr>
          <w:sz w:val="22"/>
        </w:rPr>
        <w:t>API.</w:t>
      </w:r>
      <w:r>
        <w:rPr>
          <w:spacing w:val="40"/>
          <w:sz w:val="22"/>
        </w:rPr>
        <w:t> </w:t>
      </w:r>
      <w:r>
        <w:rPr>
          <w:sz w:val="22"/>
        </w:rPr>
        <w:t>In</w:t>
      </w:r>
      <w:r>
        <w:rPr>
          <w:spacing w:val="40"/>
          <w:sz w:val="22"/>
        </w:rPr>
        <w:t> </w:t>
      </w:r>
      <w:r>
        <w:rPr>
          <w:sz w:val="22"/>
        </w:rPr>
        <w:t>some cases</w:t>
      </w:r>
      <w:r>
        <w:rPr>
          <w:spacing w:val="36"/>
          <w:sz w:val="22"/>
        </w:rPr>
        <w:t> </w:t>
      </w:r>
      <w:r>
        <w:rPr>
          <w:sz w:val="22"/>
        </w:rPr>
        <w:t>the</w:t>
      </w:r>
      <w:r>
        <w:rPr>
          <w:spacing w:val="38"/>
          <w:sz w:val="22"/>
        </w:rPr>
        <w:t> </w:t>
      </w:r>
      <w:r>
        <w:rPr>
          <w:sz w:val="22"/>
        </w:rPr>
        <w:t>physical properties</w:t>
      </w:r>
      <w:r>
        <w:rPr>
          <w:spacing w:val="36"/>
          <w:sz w:val="22"/>
        </w:rPr>
        <w:t> </w:t>
      </w:r>
      <w:r>
        <w:rPr>
          <w:sz w:val="22"/>
        </w:rPr>
        <w:t>of</w:t>
      </w:r>
      <w:r>
        <w:rPr>
          <w:spacing w:val="33"/>
          <w:sz w:val="22"/>
        </w:rPr>
        <w:t> </w:t>
      </w:r>
      <w:r>
        <w:rPr>
          <w:sz w:val="22"/>
        </w:rPr>
        <w:t>the</w:t>
      </w:r>
      <w:r>
        <w:rPr>
          <w:spacing w:val="38"/>
          <w:sz w:val="22"/>
        </w:rPr>
        <w:t> </w:t>
      </w:r>
      <w:r>
        <w:rPr>
          <w:sz w:val="22"/>
        </w:rPr>
        <w:t>chosen drug may be inappropriate for compression using this technique.</w:t>
      </w:r>
    </w:p>
    <w:p>
      <w:pPr>
        <w:pStyle w:val="Heading2"/>
        <w:numPr>
          <w:ilvl w:val="1"/>
          <w:numId w:val="25"/>
        </w:numPr>
        <w:tabs>
          <w:tab w:pos="1342" w:val="left" w:leader="none"/>
        </w:tabs>
        <w:spacing w:line="240" w:lineRule="auto" w:before="234" w:after="0"/>
        <w:ind w:left="1342" w:right="0" w:hanging="677"/>
        <w:jc w:val="left"/>
      </w:pPr>
      <w:bookmarkStart w:name="_TOC_250100" w:id="61"/>
      <w:r>
        <w:rPr/>
        <w:t>Advancements</w:t>
      </w:r>
      <w:r>
        <w:rPr>
          <w:spacing w:val="14"/>
        </w:rPr>
        <w:t> </w:t>
      </w:r>
      <w:r>
        <w:rPr/>
        <w:t>in</w:t>
      </w:r>
      <w:r>
        <w:rPr>
          <w:spacing w:val="15"/>
        </w:rPr>
        <w:t> </w:t>
      </w:r>
      <w:r>
        <w:rPr/>
        <w:t>the</w:t>
      </w:r>
      <w:r>
        <w:rPr>
          <w:spacing w:val="17"/>
        </w:rPr>
        <w:t> </w:t>
      </w:r>
      <w:r>
        <w:rPr/>
        <w:t>manufacture</w:t>
      </w:r>
      <w:r>
        <w:rPr>
          <w:spacing w:val="10"/>
        </w:rPr>
        <w:t> </w:t>
      </w:r>
      <w:r>
        <w:rPr/>
        <w:t>of</w:t>
      </w:r>
      <w:r>
        <w:rPr>
          <w:spacing w:val="12"/>
        </w:rPr>
        <w:t> </w:t>
      </w:r>
      <w:bookmarkEnd w:id="61"/>
      <w:r>
        <w:rPr>
          <w:spacing w:val="-2"/>
        </w:rPr>
        <w:t>tablets</w:t>
      </w:r>
    </w:p>
    <w:p>
      <w:pPr>
        <w:pStyle w:val="BodyText"/>
        <w:spacing w:before="246"/>
        <w:ind w:left="1342"/>
      </w:pPr>
      <w:r>
        <w:rPr/>
        <w:t>Olayemi</w:t>
      </w:r>
      <w:r>
        <w:rPr>
          <w:spacing w:val="6"/>
        </w:rPr>
        <w:t> </w:t>
      </w:r>
      <w:r>
        <w:rPr/>
        <w:t>(2008),</w:t>
      </w:r>
      <w:r>
        <w:rPr>
          <w:spacing w:val="13"/>
        </w:rPr>
        <w:t> </w:t>
      </w:r>
      <w:r>
        <w:rPr/>
        <w:t>described</w:t>
      </w:r>
      <w:r>
        <w:rPr>
          <w:spacing w:val="15"/>
        </w:rPr>
        <w:t> </w:t>
      </w:r>
      <w:r>
        <w:rPr/>
        <w:t>the</w:t>
      </w:r>
      <w:r>
        <w:rPr>
          <w:spacing w:val="13"/>
        </w:rPr>
        <w:t> </w:t>
      </w:r>
      <w:r>
        <w:rPr/>
        <w:t>advancement</w:t>
      </w:r>
      <w:r>
        <w:rPr>
          <w:spacing w:val="18"/>
        </w:rPr>
        <w:t> </w:t>
      </w:r>
      <w:r>
        <w:rPr/>
        <w:t>in</w:t>
      </w:r>
      <w:r>
        <w:rPr>
          <w:spacing w:val="4"/>
        </w:rPr>
        <w:t> </w:t>
      </w:r>
      <w:r>
        <w:rPr/>
        <w:t>tableting</w:t>
      </w:r>
      <w:r>
        <w:rPr>
          <w:spacing w:val="10"/>
        </w:rPr>
        <w:t> </w:t>
      </w:r>
      <w:r>
        <w:rPr/>
        <w:t>as</w:t>
      </w:r>
      <w:r>
        <w:rPr>
          <w:spacing w:val="11"/>
        </w:rPr>
        <w:t> </w:t>
      </w:r>
      <w:r>
        <w:rPr/>
        <w:t>detailed</w:t>
      </w:r>
      <w:r>
        <w:rPr>
          <w:spacing w:val="14"/>
        </w:rPr>
        <w:t> </w:t>
      </w:r>
      <w:r>
        <w:rPr>
          <w:spacing w:val="-2"/>
        </w:rPr>
        <w:t>below:</w:t>
      </w:r>
    </w:p>
    <w:p>
      <w:pPr>
        <w:pStyle w:val="BodyText"/>
        <w:spacing w:before="12"/>
      </w:pPr>
    </w:p>
    <w:p>
      <w:pPr>
        <w:pStyle w:val="ListParagraph"/>
        <w:numPr>
          <w:ilvl w:val="0"/>
          <w:numId w:val="26"/>
        </w:numPr>
        <w:tabs>
          <w:tab w:pos="1340" w:val="left" w:leader="none"/>
          <w:tab w:pos="1342" w:val="left" w:leader="none"/>
        </w:tabs>
        <w:spacing w:line="491" w:lineRule="auto" w:before="0" w:after="0"/>
        <w:ind w:left="1342" w:right="1863" w:hanging="336"/>
        <w:jc w:val="both"/>
        <w:rPr>
          <w:sz w:val="22"/>
        </w:rPr>
      </w:pPr>
      <w:r>
        <w:rPr>
          <w:sz w:val="22"/>
        </w:rPr>
        <w:t>Steam</w:t>
      </w:r>
      <w:r>
        <w:rPr>
          <w:spacing w:val="31"/>
          <w:sz w:val="22"/>
        </w:rPr>
        <w:t> </w:t>
      </w:r>
      <w:r>
        <w:rPr>
          <w:sz w:val="22"/>
        </w:rPr>
        <w:t>granulation</w:t>
      </w:r>
      <w:r>
        <w:rPr>
          <w:spacing w:val="21"/>
          <w:sz w:val="22"/>
        </w:rPr>
        <w:t> </w:t>
      </w:r>
      <w:r>
        <w:rPr>
          <w:sz w:val="22"/>
        </w:rPr>
        <w:t>–</w:t>
      </w:r>
      <w:r>
        <w:rPr>
          <w:spacing w:val="37"/>
          <w:sz w:val="22"/>
        </w:rPr>
        <w:t> </w:t>
      </w:r>
      <w:r>
        <w:rPr>
          <w:sz w:val="22"/>
        </w:rPr>
        <w:t>A</w:t>
      </w:r>
      <w:r>
        <w:rPr>
          <w:spacing w:val="28"/>
          <w:sz w:val="22"/>
        </w:rPr>
        <w:t> </w:t>
      </w:r>
      <w:r>
        <w:rPr>
          <w:sz w:val="22"/>
        </w:rPr>
        <w:t>modification</w:t>
      </w:r>
      <w:r>
        <w:rPr>
          <w:spacing w:val="25"/>
          <w:sz w:val="22"/>
        </w:rPr>
        <w:t> </w:t>
      </w:r>
      <w:r>
        <w:rPr>
          <w:sz w:val="22"/>
        </w:rPr>
        <w:t>of</w:t>
      </w:r>
      <w:r>
        <w:rPr>
          <w:spacing w:val="24"/>
          <w:sz w:val="22"/>
        </w:rPr>
        <w:t> </w:t>
      </w:r>
      <w:r>
        <w:rPr>
          <w:sz w:val="22"/>
        </w:rPr>
        <w:t>wet</w:t>
      </w:r>
      <w:r>
        <w:rPr>
          <w:spacing w:val="33"/>
          <w:sz w:val="22"/>
        </w:rPr>
        <w:t> </w:t>
      </w:r>
      <w:r>
        <w:rPr>
          <w:sz w:val="22"/>
        </w:rPr>
        <w:t>granulation.</w:t>
      </w:r>
      <w:r>
        <w:rPr>
          <w:spacing w:val="28"/>
          <w:sz w:val="22"/>
        </w:rPr>
        <w:t> </w:t>
      </w:r>
      <w:r>
        <w:rPr>
          <w:sz w:val="22"/>
        </w:rPr>
        <w:t>Steam</w:t>
      </w:r>
      <w:r>
        <w:rPr>
          <w:spacing w:val="37"/>
          <w:sz w:val="22"/>
        </w:rPr>
        <w:t> </w:t>
      </w:r>
      <w:r>
        <w:rPr>
          <w:sz w:val="22"/>
        </w:rPr>
        <w:t>instead</w:t>
      </w:r>
      <w:r>
        <w:rPr>
          <w:spacing w:val="31"/>
          <w:sz w:val="22"/>
        </w:rPr>
        <w:t> </w:t>
      </w:r>
      <w:r>
        <w:rPr>
          <w:sz w:val="22"/>
        </w:rPr>
        <w:t>of</w:t>
      </w:r>
      <w:r>
        <w:rPr>
          <w:spacing w:val="24"/>
          <w:sz w:val="22"/>
        </w:rPr>
        <w:t> </w:t>
      </w:r>
      <w:r>
        <w:rPr>
          <w:sz w:val="22"/>
        </w:rPr>
        <w:t>water in used as a binder.</w:t>
      </w:r>
    </w:p>
    <w:p>
      <w:pPr>
        <w:pStyle w:val="ListParagraph"/>
        <w:numPr>
          <w:ilvl w:val="0"/>
          <w:numId w:val="26"/>
        </w:numPr>
        <w:tabs>
          <w:tab w:pos="1340" w:val="left" w:leader="none"/>
          <w:tab w:pos="1342" w:val="left" w:leader="none"/>
        </w:tabs>
        <w:spacing w:line="491" w:lineRule="auto" w:before="0" w:after="0"/>
        <w:ind w:left="1342" w:right="1859" w:hanging="336"/>
        <w:jc w:val="both"/>
        <w:rPr>
          <w:sz w:val="22"/>
        </w:rPr>
      </w:pPr>
      <w:r>
        <w:rPr>
          <w:sz w:val="22"/>
        </w:rPr>
        <w:t>Melt granulation/Thermoplastic granulation – The bind which is in solid state at room temperature</w:t>
      </w:r>
      <w:r>
        <w:rPr>
          <w:spacing w:val="27"/>
          <w:sz w:val="22"/>
        </w:rPr>
        <w:t> </w:t>
      </w:r>
      <w:r>
        <w:rPr>
          <w:sz w:val="22"/>
        </w:rPr>
        <w:t>melts in the temperature range</w:t>
      </w:r>
      <w:r>
        <w:rPr>
          <w:spacing w:val="27"/>
          <w:sz w:val="22"/>
        </w:rPr>
        <w:t> </w:t>
      </w:r>
      <w:r>
        <w:rPr>
          <w:sz w:val="22"/>
        </w:rPr>
        <w:t>of 50</w:t>
      </w:r>
      <w:r>
        <w:rPr>
          <w:spacing w:val="26"/>
          <w:sz w:val="22"/>
        </w:rPr>
        <w:t> </w:t>
      </w:r>
      <w:r>
        <w:rPr>
          <w:sz w:val="22"/>
        </w:rPr>
        <w:t>–</w:t>
      </w:r>
      <w:r>
        <w:rPr>
          <w:spacing w:val="29"/>
          <w:sz w:val="22"/>
        </w:rPr>
        <w:t> </w:t>
      </w:r>
      <w:r>
        <w:rPr>
          <w:sz w:val="22"/>
        </w:rPr>
        <w:t>80</w:t>
      </w:r>
      <w:r>
        <w:rPr>
          <w:spacing w:val="29"/>
          <w:sz w:val="22"/>
        </w:rPr>
        <w:t> </w:t>
      </w:r>
      <w:r>
        <w:rPr>
          <w:sz w:val="22"/>
          <w:vertAlign w:val="superscript"/>
        </w:rPr>
        <w:t>0</w:t>
      </w:r>
      <w:r>
        <w:rPr>
          <w:sz w:val="22"/>
          <w:vertAlign w:val="baseline"/>
        </w:rPr>
        <w:t>C.</w:t>
      </w:r>
      <w:r>
        <w:rPr>
          <w:spacing w:val="33"/>
          <w:sz w:val="22"/>
          <w:vertAlign w:val="baseline"/>
        </w:rPr>
        <w:t> </w:t>
      </w:r>
      <w:r>
        <w:rPr>
          <w:sz w:val="22"/>
          <w:vertAlign w:val="baseline"/>
        </w:rPr>
        <w:t>Dried</w:t>
      </w:r>
      <w:r>
        <w:rPr>
          <w:spacing w:val="29"/>
          <w:sz w:val="22"/>
          <w:vertAlign w:val="baseline"/>
        </w:rPr>
        <w:t> </w:t>
      </w:r>
      <w:r>
        <w:rPr>
          <w:sz w:val="22"/>
          <w:vertAlign w:val="baseline"/>
        </w:rPr>
        <w:t>granules are</w:t>
      </w:r>
      <w:r>
        <w:rPr>
          <w:spacing w:val="22"/>
          <w:sz w:val="22"/>
          <w:vertAlign w:val="baseline"/>
        </w:rPr>
        <w:t> </w:t>
      </w:r>
      <w:r>
        <w:rPr>
          <w:sz w:val="22"/>
          <w:vertAlign w:val="baseline"/>
        </w:rPr>
        <w:t>obtained</w:t>
      </w:r>
      <w:r>
        <w:rPr>
          <w:spacing w:val="24"/>
          <w:sz w:val="22"/>
          <w:vertAlign w:val="baseline"/>
        </w:rPr>
        <w:t> </w:t>
      </w:r>
      <w:r>
        <w:rPr>
          <w:sz w:val="22"/>
          <w:vertAlign w:val="baseline"/>
        </w:rPr>
        <w:t>by cooling</w:t>
      </w:r>
      <w:r>
        <w:rPr>
          <w:spacing w:val="20"/>
          <w:sz w:val="22"/>
          <w:vertAlign w:val="baseline"/>
        </w:rPr>
        <w:t> </w:t>
      </w:r>
      <w:r>
        <w:rPr>
          <w:sz w:val="22"/>
          <w:vertAlign w:val="baseline"/>
        </w:rPr>
        <w:t>to</w:t>
      </w:r>
      <w:r>
        <w:rPr>
          <w:spacing w:val="24"/>
          <w:sz w:val="22"/>
          <w:vertAlign w:val="baseline"/>
        </w:rPr>
        <w:t> </w:t>
      </w:r>
      <w:r>
        <w:rPr>
          <w:sz w:val="22"/>
          <w:vertAlign w:val="baseline"/>
        </w:rPr>
        <w:t>room</w:t>
      </w:r>
      <w:r>
        <w:rPr>
          <w:spacing w:val="24"/>
          <w:sz w:val="22"/>
          <w:vertAlign w:val="baseline"/>
        </w:rPr>
        <w:t> </w:t>
      </w:r>
      <w:r>
        <w:rPr>
          <w:sz w:val="22"/>
          <w:vertAlign w:val="baseline"/>
        </w:rPr>
        <w:t>temperature;</w:t>
      </w:r>
      <w:r>
        <w:rPr>
          <w:spacing w:val="22"/>
          <w:sz w:val="22"/>
          <w:vertAlign w:val="baseline"/>
        </w:rPr>
        <w:t> </w:t>
      </w:r>
      <w:r>
        <w:rPr>
          <w:sz w:val="22"/>
          <w:vertAlign w:val="baseline"/>
        </w:rPr>
        <w:t>hence</w:t>
      </w:r>
      <w:r>
        <w:rPr>
          <w:spacing w:val="22"/>
          <w:sz w:val="22"/>
          <w:vertAlign w:val="baseline"/>
        </w:rPr>
        <w:t> </w:t>
      </w:r>
      <w:r>
        <w:rPr>
          <w:sz w:val="22"/>
          <w:vertAlign w:val="baseline"/>
        </w:rPr>
        <w:t>the</w:t>
      </w:r>
      <w:r>
        <w:rPr>
          <w:spacing w:val="28"/>
          <w:sz w:val="22"/>
          <w:vertAlign w:val="baseline"/>
        </w:rPr>
        <w:t> </w:t>
      </w:r>
      <w:r>
        <w:rPr>
          <w:sz w:val="22"/>
          <w:vertAlign w:val="baseline"/>
        </w:rPr>
        <w:t>need</w:t>
      </w:r>
      <w:r>
        <w:rPr>
          <w:spacing w:val="26"/>
          <w:sz w:val="22"/>
          <w:vertAlign w:val="baseline"/>
        </w:rPr>
        <w:t> </w:t>
      </w:r>
      <w:r>
        <w:rPr>
          <w:sz w:val="22"/>
          <w:vertAlign w:val="baseline"/>
        </w:rPr>
        <w:t>for</w:t>
      </w:r>
      <w:r>
        <w:rPr>
          <w:spacing w:val="24"/>
          <w:sz w:val="22"/>
          <w:vertAlign w:val="baseline"/>
        </w:rPr>
        <w:t> </w:t>
      </w:r>
      <w:r>
        <w:rPr>
          <w:sz w:val="22"/>
          <w:vertAlign w:val="baseline"/>
        </w:rPr>
        <w:t>a drying</w:t>
      </w:r>
      <w:r>
        <w:rPr>
          <w:spacing w:val="20"/>
          <w:sz w:val="22"/>
          <w:vertAlign w:val="baseline"/>
        </w:rPr>
        <w:t> </w:t>
      </w:r>
      <w:r>
        <w:rPr>
          <w:sz w:val="22"/>
          <w:vertAlign w:val="baseline"/>
        </w:rPr>
        <w:t>phase is not required.</w:t>
      </w:r>
    </w:p>
    <w:p>
      <w:pPr>
        <w:pStyle w:val="ListParagraph"/>
        <w:numPr>
          <w:ilvl w:val="0"/>
          <w:numId w:val="26"/>
        </w:numPr>
        <w:tabs>
          <w:tab w:pos="1340" w:val="left" w:leader="none"/>
          <w:tab w:pos="1342" w:val="left" w:leader="none"/>
        </w:tabs>
        <w:spacing w:line="491" w:lineRule="auto" w:before="0" w:after="0"/>
        <w:ind w:left="1342" w:right="1858" w:hanging="336"/>
        <w:jc w:val="both"/>
        <w:rPr>
          <w:sz w:val="22"/>
        </w:rPr>
      </w:pPr>
      <w:r>
        <w:rPr>
          <w:sz w:val="22"/>
        </w:rPr>
        <w:t>Moisture Activated Dry Granulation (MADG) – It involves moisture distribution and agglomeration. Tablets prepared using MADG technique has better content uniformity. MADG utilizes very little granulation fluid.</w:t>
      </w:r>
    </w:p>
    <w:p>
      <w:pPr>
        <w:pStyle w:val="ListParagraph"/>
        <w:numPr>
          <w:ilvl w:val="0"/>
          <w:numId w:val="26"/>
        </w:numPr>
        <w:tabs>
          <w:tab w:pos="1340" w:val="left" w:leader="none"/>
          <w:tab w:pos="1342" w:val="left" w:leader="none"/>
        </w:tabs>
        <w:spacing w:line="491" w:lineRule="auto" w:before="0" w:after="0"/>
        <w:ind w:left="1342" w:right="1855" w:hanging="336"/>
        <w:jc w:val="both"/>
        <w:rPr>
          <w:sz w:val="22"/>
        </w:rPr>
      </w:pPr>
      <w:r>
        <w:rPr>
          <w:sz w:val="22"/>
        </w:rPr>
        <w:t>Moist Granulation Techniques (MGT) – A little quantity of granulation fluid are added to activate dry binder and to facilitate agglomeration. Then a moisture absorbing material like microcrystalline cellulose (MCC) is added to absorb any excess moisture.</w:t>
      </w:r>
    </w:p>
    <w:p>
      <w:pPr>
        <w:spacing w:after="0" w:line="491" w:lineRule="auto"/>
        <w:jc w:val="both"/>
        <w:rPr>
          <w:sz w:val="22"/>
        </w:rPr>
        <w:sectPr>
          <w:pgSz w:w="12240" w:h="15840"/>
          <w:pgMar w:header="0" w:footer="999" w:top="1260" w:bottom="1180" w:left="1720" w:right="0"/>
        </w:sectPr>
      </w:pPr>
    </w:p>
    <w:p>
      <w:pPr>
        <w:pStyle w:val="ListParagraph"/>
        <w:numPr>
          <w:ilvl w:val="0"/>
          <w:numId w:val="26"/>
        </w:numPr>
        <w:tabs>
          <w:tab w:pos="1340" w:val="left" w:leader="none"/>
          <w:tab w:pos="1342" w:val="left" w:leader="none"/>
        </w:tabs>
        <w:spacing w:line="491" w:lineRule="auto" w:before="75" w:after="0"/>
        <w:ind w:left="1342" w:right="1857" w:hanging="336"/>
        <w:jc w:val="both"/>
        <w:rPr>
          <w:sz w:val="22"/>
        </w:rPr>
      </w:pPr>
      <w:r>
        <w:rPr>
          <w:sz w:val="22"/>
        </w:rPr>
        <w:t>Thermal Adhesion Granulation Process (TAGP) – This technique is performed under</w:t>
      </w:r>
      <w:r>
        <w:rPr>
          <w:spacing w:val="40"/>
          <w:sz w:val="22"/>
        </w:rPr>
        <w:t> </w:t>
      </w:r>
      <w:r>
        <w:rPr>
          <w:sz w:val="22"/>
        </w:rPr>
        <w:t>low</w:t>
      </w:r>
      <w:r>
        <w:rPr>
          <w:spacing w:val="40"/>
          <w:sz w:val="22"/>
        </w:rPr>
        <w:t> </w:t>
      </w:r>
      <w:r>
        <w:rPr>
          <w:sz w:val="22"/>
        </w:rPr>
        <w:t>moisture</w:t>
      </w:r>
      <w:r>
        <w:rPr>
          <w:spacing w:val="40"/>
          <w:sz w:val="22"/>
        </w:rPr>
        <w:t> </w:t>
      </w:r>
      <w:r>
        <w:rPr>
          <w:sz w:val="22"/>
        </w:rPr>
        <w:t>content</w:t>
      </w:r>
      <w:r>
        <w:rPr>
          <w:spacing w:val="40"/>
          <w:sz w:val="22"/>
        </w:rPr>
        <w:t> </w:t>
      </w:r>
      <w:r>
        <w:rPr>
          <w:sz w:val="22"/>
        </w:rPr>
        <w:t>or</w:t>
      </w:r>
      <w:r>
        <w:rPr>
          <w:spacing w:val="40"/>
          <w:sz w:val="22"/>
        </w:rPr>
        <w:t> </w:t>
      </w:r>
      <w:r>
        <w:rPr>
          <w:sz w:val="22"/>
        </w:rPr>
        <w:t>low</w:t>
      </w:r>
      <w:r>
        <w:rPr>
          <w:spacing w:val="40"/>
          <w:sz w:val="22"/>
        </w:rPr>
        <w:t> </w:t>
      </w:r>
      <w:r>
        <w:rPr>
          <w:sz w:val="22"/>
        </w:rPr>
        <w:t>content</w:t>
      </w:r>
      <w:r>
        <w:rPr>
          <w:spacing w:val="40"/>
          <w:sz w:val="22"/>
        </w:rPr>
        <w:t> </w:t>
      </w:r>
      <w:r>
        <w:rPr>
          <w:sz w:val="22"/>
        </w:rPr>
        <w:t>of</w:t>
      </w:r>
      <w:r>
        <w:rPr>
          <w:spacing w:val="40"/>
          <w:sz w:val="22"/>
        </w:rPr>
        <w:t> </w:t>
      </w:r>
      <w:r>
        <w:rPr>
          <w:sz w:val="22"/>
        </w:rPr>
        <w:t>pharmaceutically</w:t>
      </w:r>
      <w:r>
        <w:rPr>
          <w:spacing w:val="40"/>
          <w:sz w:val="22"/>
        </w:rPr>
        <w:t> </w:t>
      </w:r>
      <w:r>
        <w:rPr>
          <w:sz w:val="22"/>
        </w:rPr>
        <w:t>acceptable solvent by subjecting a mixture containing excipients to heating at a temperature</w:t>
      </w:r>
      <w:r>
        <w:rPr>
          <w:spacing w:val="80"/>
          <w:sz w:val="22"/>
        </w:rPr>
        <w:t> </w:t>
      </w:r>
      <w:r>
        <w:rPr>
          <w:sz w:val="22"/>
        </w:rPr>
        <w:t>in the range of about 30 to 130 </w:t>
      </w:r>
      <w:r>
        <w:rPr>
          <w:sz w:val="22"/>
          <w:vertAlign w:val="superscript"/>
        </w:rPr>
        <w:t>0</w:t>
      </w:r>
      <w:r>
        <w:rPr>
          <w:sz w:val="22"/>
          <w:vertAlign w:val="baseline"/>
        </w:rPr>
        <w:t>C in a closed system under mixing by tumble rotation</w:t>
      </w:r>
      <w:r>
        <w:rPr>
          <w:spacing w:val="40"/>
          <w:sz w:val="22"/>
          <w:vertAlign w:val="baseline"/>
        </w:rPr>
        <w:t> </w:t>
      </w:r>
      <w:r>
        <w:rPr>
          <w:sz w:val="22"/>
          <w:vertAlign w:val="baseline"/>
        </w:rPr>
        <w:t>until</w:t>
      </w:r>
      <w:r>
        <w:rPr>
          <w:spacing w:val="40"/>
          <w:sz w:val="22"/>
          <w:vertAlign w:val="baseline"/>
        </w:rPr>
        <w:t> </w:t>
      </w:r>
      <w:r>
        <w:rPr>
          <w:sz w:val="22"/>
          <w:vertAlign w:val="baseline"/>
        </w:rPr>
        <w:t>the</w:t>
      </w:r>
      <w:r>
        <w:rPr>
          <w:spacing w:val="40"/>
          <w:sz w:val="22"/>
          <w:vertAlign w:val="baseline"/>
        </w:rPr>
        <w:t> </w:t>
      </w:r>
      <w:r>
        <w:rPr>
          <w:sz w:val="22"/>
          <w:vertAlign w:val="baseline"/>
        </w:rPr>
        <w:t>formation</w:t>
      </w:r>
      <w:r>
        <w:rPr>
          <w:spacing w:val="40"/>
          <w:sz w:val="22"/>
          <w:vertAlign w:val="baseline"/>
        </w:rPr>
        <w:t> </w:t>
      </w:r>
      <w:r>
        <w:rPr>
          <w:sz w:val="22"/>
          <w:vertAlign w:val="baseline"/>
        </w:rPr>
        <w:t>of</w:t>
      </w:r>
      <w:r>
        <w:rPr>
          <w:spacing w:val="40"/>
          <w:sz w:val="22"/>
          <w:vertAlign w:val="baseline"/>
        </w:rPr>
        <w:t> </w:t>
      </w:r>
      <w:r>
        <w:rPr>
          <w:sz w:val="22"/>
          <w:vertAlign w:val="baseline"/>
        </w:rPr>
        <w:t>granules.</w:t>
      </w:r>
      <w:r>
        <w:rPr>
          <w:spacing w:val="40"/>
          <w:sz w:val="22"/>
          <w:vertAlign w:val="baseline"/>
        </w:rPr>
        <w:t> </w:t>
      </w:r>
      <w:r>
        <w:rPr>
          <w:sz w:val="22"/>
          <w:vertAlign w:val="baseline"/>
        </w:rPr>
        <w:t>This</w:t>
      </w:r>
      <w:r>
        <w:rPr>
          <w:spacing w:val="40"/>
          <w:sz w:val="22"/>
          <w:vertAlign w:val="baseline"/>
        </w:rPr>
        <w:t> </w:t>
      </w:r>
      <w:r>
        <w:rPr>
          <w:sz w:val="22"/>
          <w:vertAlign w:val="baseline"/>
        </w:rPr>
        <w:t>method</w:t>
      </w:r>
      <w:r>
        <w:rPr>
          <w:spacing w:val="40"/>
          <w:sz w:val="22"/>
          <w:vertAlign w:val="baseline"/>
        </w:rPr>
        <w:t> </w:t>
      </w:r>
      <w:r>
        <w:rPr>
          <w:sz w:val="22"/>
          <w:vertAlign w:val="baseline"/>
        </w:rPr>
        <w:t>utilizes</w:t>
      </w:r>
      <w:r>
        <w:rPr>
          <w:spacing w:val="40"/>
          <w:sz w:val="22"/>
          <w:vertAlign w:val="baseline"/>
        </w:rPr>
        <w:t> </w:t>
      </w:r>
      <w:r>
        <w:rPr>
          <w:sz w:val="22"/>
          <w:vertAlign w:val="baseline"/>
        </w:rPr>
        <w:t>less</w:t>
      </w:r>
      <w:r>
        <w:rPr>
          <w:spacing w:val="40"/>
          <w:sz w:val="22"/>
          <w:vertAlign w:val="baseline"/>
        </w:rPr>
        <w:t> </w:t>
      </w:r>
      <w:r>
        <w:rPr>
          <w:sz w:val="22"/>
          <w:vertAlign w:val="baseline"/>
        </w:rPr>
        <w:t>water</w:t>
      </w:r>
      <w:r>
        <w:rPr>
          <w:spacing w:val="40"/>
          <w:sz w:val="22"/>
          <w:vertAlign w:val="baseline"/>
        </w:rPr>
        <w:t> </w:t>
      </w:r>
      <w:r>
        <w:rPr>
          <w:sz w:val="22"/>
          <w:vertAlign w:val="baseline"/>
        </w:rPr>
        <w:t>or solvent than the traditional wet granulation method.</w:t>
      </w:r>
    </w:p>
    <w:p>
      <w:pPr>
        <w:pStyle w:val="ListParagraph"/>
        <w:numPr>
          <w:ilvl w:val="0"/>
          <w:numId w:val="26"/>
        </w:numPr>
        <w:tabs>
          <w:tab w:pos="1340" w:val="left" w:leader="none"/>
        </w:tabs>
        <w:spacing w:line="252" w:lineRule="exact" w:before="0" w:after="0"/>
        <w:ind w:left="1340" w:right="0" w:hanging="334"/>
        <w:jc w:val="left"/>
        <w:rPr>
          <w:sz w:val="22"/>
        </w:rPr>
      </w:pPr>
      <w:r>
        <w:rPr>
          <w:sz w:val="22"/>
        </w:rPr>
        <w:t>Foam</w:t>
      </w:r>
      <w:r>
        <w:rPr>
          <w:spacing w:val="7"/>
          <w:sz w:val="22"/>
        </w:rPr>
        <w:t> </w:t>
      </w:r>
      <w:r>
        <w:rPr>
          <w:sz w:val="22"/>
        </w:rPr>
        <w:t>granulation</w:t>
      </w:r>
      <w:r>
        <w:rPr>
          <w:spacing w:val="8"/>
          <w:sz w:val="22"/>
        </w:rPr>
        <w:t> </w:t>
      </w:r>
      <w:r>
        <w:rPr>
          <w:sz w:val="22"/>
        </w:rPr>
        <w:t>–</w:t>
      </w:r>
      <w:r>
        <w:rPr>
          <w:spacing w:val="19"/>
          <w:sz w:val="22"/>
        </w:rPr>
        <w:t> </w:t>
      </w:r>
      <w:r>
        <w:rPr>
          <w:sz w:val="22"/>
        </w:rPr>
        <w:t>here</w:t>
      </w:r>
      <w:r>
        <w:rPr>
          <w:spacing w:val="10"/>
          <w:sz w:val="22"/>
        </w:rPr>
        <w:t> </w:t>
      </w:r>
      <w:r>
        <w:rPr>
          <w:sz w:val="22"/>
        </w:rPr>
        <w:t>liquid</w:t>
      </w:r>
      <w:r>
        <w:rPr>
          <w:spacing w:val="7"/>
          <w:sz w:val="22"/>
        </w:rPr>
        <w:t> </w:t>
      </w:r>
      <w:r>
        <w:rPr>
          <w:sz w:val="22"/>
        </w:rPr>
        <w:t>binders</w:t>
      </w:r>
      <w:r>
        <w:rPr>
          <w:spacing w:val="9"/>
          <w:sz w:val="22"/>
        </w:rPr>
        <w:t> </w:t>
      </w:r>
      <w:r>
        <w:rPr>
          <w:sz w:val="22"/>
        </w:rPr>
        <w:t>are</w:t>
      </w:r>
      <w:r>
        <w:rPr>
          <w:spacing w:val="10"/>
          <w:sz w:val="22"/>
        </w:rPr>
        <w:t> </w:t>
      </w:r>
      <w:r>
        <w:rPr>
          <w:sz w:val="22"/>
        </w:rPr>
        <w:t>added</w:t>
      </w:r>
      <w:r>
        <w:rPr>
          <w:spacing w:val="12"/>
          <w:sz w:val="22"/>
        </w:rPr>
        <w:t> </w:t>
      </w:r>
      <w:r>
        <w:rPr>
          <w:sz w:val="22"/>
        </w:rPr>
        <w:t>as</w:t>
      </w:r>
      <w:r>
        <w:rPr>
          <w:spacing w:val="9"/>
          <w:sz w:val="22"/>
        </w:rPr>
        <w:t> </w:t>
      </w:r>
      <w:r>
        <w:rPr>
          <w:sz w:val="22"/>
        </w:rPr>
        <w:t>aqueous</w:t>
      </w:r>
      <w:r>
        <w:rPr>
          <w:spacing w:val="14"/>
          <w:sz w:val="22"/>
        </w:rPr>
        <w:t> </w:t>
      </w:r>
      <w:r>
        <w:rPr>
          <w:spacing w:val="-2"/>
          <w:sz w:val="22"/>
        </w:rPr>
        <w:t>foam.</w:t>
      </w:r>
    </w:p>
    <w:p>
      <w:pPr>
        <w:pStyle w:val="BodyText"/>
        <w:spacing w:before="243"/>
      </w:pPr>
    </w:p>
    <w:p>
      <w:pPr>
        <w:pStyle w:val="Heading2"/>
        <w:numPr>
          <w:ilvl w:val="1"/>
          <w:numId w:val="25"/>
        </w:numPr>
        <w:tabs>
          <w:tab w:pos="1342" w:val="left" w:leader="none"/>
        </w:tabs>
        <w:spacing w:line="240" w:lineRule="auto" w:before="0" w:after="0"/>
        <w:ind w:left="1342" w:right="0" w:hanging="677"/>
        <w:jc w:val="left"/>
      </w:pPr>
      <w:bookmarkStart w:name="_TOC_250099" w:id="62"/>
      <w:r>
        <w:rPr/>
        <w:t>Stages</w:t>
      </w:r>
      <w:r>
        <w:rPr>
          <w:spacing w:val="10"/>
        </w:rPr>
        <w:t> </w:t>
      </w:r>
      <w:r>
        <w:rPr/>
        <w:t>in</w:t>
      </w:r>
      <w:r>
        <w:rPr>
          <w:spacing w:val="12"/>
        </w:rPr>
        <w:t> </w:t>
      </w:r>
      <w:r>
        <w:rPr/>
        <w:t>tablet</w:t>
      </w:r>
      <w:r>
        <w:rPr>
          <w:spacing w:val="9"/>
        </w:rPr>
        <w:t> </w:t>
      </w:r>
      <w:bookmarkEnd w:id="62"/>
      <w:r>
        <w:rPr>
          <w:spacing w:val="-2"/>
        </w:rPr>
        <w:t>compression</w:t>
      </w:r>
    </w:p>
    <w:p>
      <w:pPr>
        <w:pStyle w:val="BodyText"/>
        <w:spacing w:line="491" w:lineRule="auto" w:before="251"/>
        <w:ind w:left="665" w:right="1858" w:firstLine="676"/>
      </w:pPr>
      <w:r>
        <w:rPr/>
        <w:t>Powder compression is defined as the reduction in volume of a powder owing to the application of a force (Aulton, 2002).</w:t>
      </w:r>
    </w:p>
    <w:p>
      <w:pPr>
        <w:pStyle w:val="BodyText"/>
        <w:spacing w:line="253" w:lineRule="exact"/>
        <w:ind w:left="1342"/>
      </w:pPr>
      <w:r>
        <w:rPr/>
        <w:t>The</w:t>
      </w:r>
      <w:r>
        <w:rPr>
          <w:spacing w:val="10"/>
        </w:rPr>
        <w:t> </w:t>
      </w:r>
      <w:r>
        <w:rPr/>
        <w:t>process</w:t>
      </w:r>
      <w:r>
        <w:rPr>
          <w:spacing w:val="8"/>
        </w:rPr>
        <w:t> </w:t>
      </w:r>
      <w:r>
        <w:rPr/>
        <w:t>of</w:t>
      </w:r>
      <w:r>
        <w:rPr>
          <w:spacing w:val="11"/>
        </w:rPr>
        <w:t> </w:t>
      </w:r>
      <w:r>
        <w:rPr/>
        <w:t>tableting</w:t>
      </w:r>
      <w:r>
        <w:rPr>
          <w:spacing w:val="7"/>
        </w:rPr>
        <w:t> </w:t>
      </w:r>
      <w:r>
        <w:rPr/>
        <w:t>can</w:t>
      </w:r>
      <w:r>
        <w:rPr>
          <w:spacing w:val="6"/>
        </w:rPr>
        <w:t> </w:t>
      </w:r>
      <w:r>
        <w:rPr/>
        <w:t>be</w:t>
      </w:r>
      <w:r>
        <w:rPr>
          <w:spacing w:val="5"/>
        </w:rPr>
        <w:t> </w:t>
      </w:r>
      <w:r>
        <w:rPr/>
        <w:t>divided</w:t>
      </w:r>
      <w:r>
        <w:rPr>
          <w:spacing w:val="7"/>
        </w:rPr>
        <w:t> </w:t>
      </w:r>
      <w:r>
        <w:rPr/>
        <w:t>into</w:t>
      </w:r>
      <w:r>
        <w:rPr>
          <w:spacing w:val="17"/>
        </w:rPr>
        <w:t> </w:t>
      </w:r>
      <w:r>
        <w:rPr/>
        <w:t>three</w:t>
      </w:r>
      <w:r>
        <w:rPr>
          <w:spacing w:val="10"/>
        </w:rPr>
        <w:t> </w:t>
      </w:r>
      <w:r>
        <w:rPr>
          <w:spacing w:val="-2"/>
        </w:rPr>
        <w:t>stages.</w:t>
      </w:r>
    </w:p>
    <w:p>
      <w:pPr>
        <w:pStyle w:val="BodyText"/>
        <w:spacing w:before="16"/>
      </w:pPr>
    </w:p>
    <w:p>
      <w:pPr>
        <w:pStyle w:val="ListParagraph"/>
        <w:numPr>
          <w:ilvl w:val="0"/>
          <w:numId w:val="27"/>
        </w:numPr>
        <w:tabs>
          <w:tab w:pos="1342" w:val="left" w:leader="none"/>
        </w:tabs>
        <w:spacing w:line="482" w:lineRule="auto" w:before="0" w:after="0"/>
        <w:ind w:left="1342" w:right="1859" w:hanging="336"/>
        <w:jc w:val="both"/>
        <w:rPr>
          <w:sz w:val="22"/>
        </w:rPr>
      </w:pPr>
      <w:r>
        <w:rPr>
          <w:sz w:val="22"/>
        </w:rPr>
        <w:t>Die filling – This is achieved by gravitational flow of the powder form a hopper via the</w:t>
      </w:r>
      <w:r>
        <w:rPr>
          <w:spacing w:val="40"/>
          <w:sz w:val="22"/>
        </w:rPr>
        <w:t> </w:t>
      </w:r>
      <w:r>
        <w:rPr>
          <w:sz w:val="22"/>
        </w:rPr>
        <w:t>die</w:t>
      </w:r>
      <w:r>
        <w:rPr>
          <w:spacing w:val="40"/>
          <w:sz w:val="22"/>
        </w:rPr>
        <w:t> </w:t>
      </w:r>
      <w:r>
        <w:rPr>
          <w:sz w:val="22"/>
        </w:rPr>
        <w:t>table</w:t>
      </w:r>
      <w:r>
        <w:rPr>
          <w:spacing w:val="40"/>
          <w:sz w:val="22"/>
        </w:rPr>
        <w:t> </w:t>
      </w:r>
      <w:r>
        <w:rPr>
          <w:sz w:val="22"/>
        </w:rPr>
        <w:t>into</w:t>
      </w:r>
      <w:r>
        <w:rPr>
          <w:spacing w:val="40"/>
          <w:sz w:val="22"/>
        </w:rPr>
        <w:t> </w:t>
      </w:r>
      <w:r>
        <w:rPr>
          <w:sz w:val="22"/>
        </w:rPr>
        <w:t>the die.</w:t>
      </w:r>
      <w:r>
        <w:rPr>
          <w:spacing w:val="40"/>
          <w:sz w:val="22"/>
        </w:rPr>
        <w:t> </w:t>
      </w:r>
      <w:r>
        <w:rPr>
          <w:sz w:val="22"/>
        </w:rPr>
        <w:t>The</w:t>
      </w:r>
      <w:r>
        <w:rPr>
          <w:spacing w:val="40"/>
          <w:sz w:val="22"/>
        </w:rPr>
        <w:t> </w:t>
      </w:r>
      <w:r>
        <w:rPr>
          <w:sz w:val="22"/>
        </w:rPr>
        <w:t>die</w:t>
      </w:r>
      <w:r>
        <w:rPr>
          <w:spacing w:val="40"/>
          <w:sz w:val="22"/>
        </w:rPr>
        <w:t> </w:t>
      </w:r>
      <w:r>
        <w:rPr>
          <w:sz w:val="22"/>
        </w:rPr>
        <w:t>is</w:t>
      </w:r>
      <w:r>
        <w:rPr>
          <w:spacing w:val="39"/>
          <w:sz w:val="22"/>
        </w:rPr>
        <w:t> </w:t>
      </w:r>
      <w:r>
        <w:rPr>
          <w:sz w:val="22"/>
        </w:rPr>
        <w:t>closed</w:t>
      </w:r>
      <w:r>
        <w:rPr>
          <w:spacing w:val="40"/>
          <w:sz w:val="22"/>
        </w:rPr>
        <w:t> </w:t>
      </w:r>
      <w:r>
        <w:rPr>
          <w:sz w:val="22"/>
        </w:rPr>
        <w:t>at</w:t>
      </w:r>
      <w:r>
        <w:rPr>
          <w:spacing w:val="39"/>
          <w:sz w:val="22"/>
        </w:rPr>
        <w:t> </w:t>
      </w:r>
      <w:r>
        <w:rPr>
          <w:sz w:val="22"/>
        </w:rPr>
        <w:t>its</w:t>
      </w:r>
      <w:r>
        <w:rPr>
          <w:spacing w:val="39"/>
          <w:sz w:val="22"/>
        </w:rPr>
        <w:t> </w:t>
      </w:r>
      <w:r>
        <w:rPr>
          <w:sz w:val="22"/>
        </w:rPr>
        <w:t>lower</w:t>
      </w:r>
      <w:r>
        <w:rPr>
          <w:spacing w:val="40"/>
          <w:sz w:val="22"/>
        </w:rPr>
        <w:t> </w:t>
      </w:r>
      <w:r>
        <w:rPr>
          <w:sz w:val="22"/>
        </w:rPr>
        <w:t>end</w:t>
      </w:r>
      <w:r>
        <w:rPr>
          <w:spacing w:val="40"/>
          <w:sz w:val="22"/>
        </w:rPr>
        <w:t> </w:t>
      </w:r>
      <w:r>
        <w:rPr>
          <w:sz w:val="22"/>
        </w:rPr>
        <w:t>by the</w:t>
      </w:r>
      <w:r>
        <w:rPr>
          <w:spacing w:val="40"/>
          <w:sz w:val="22"/>
        </w:rPr>
        <w:t> </w:t>
      </w:r>
      <w:r>
        <w:rPr>
          <w:sz w:val="22"/>
        </w:rPr>
        <w:t>lower </w:t>
      </w:r>
      <w:r>
        <w:rPr>
          <w:spacing w:val="-2"/>
          <w:sz w:val="22"/>
        </w:rPr>
        <w:t>punch.</w:t>
      </w:r>
    </w:p>
    <w:p>
      <w:pPr>
        <w:pStyle w:val="ListParagraph"/>
        <w:numPr>
          <w:ilvl w:val="0"/>
          <w:numId w:val="27"/>
        </w:numPr>
        <w:tabs>
          <w:tab w:pos="1342" w:val="left" w:leader="none"/>
        </w:tabs>
        <w:spacing w:line="487" w:lineRule="auto" w:before="11" w:after="0"/>
        <w:ind w:left="1342" w:right="1859" w:hanging="336"/>
        <w:jc w:val="both"/>
        <w:rPr>
          <w:sz w:val="22"/>
        </w:rPr>
      </w:pPr>
      <w:r>
        <w:rPr>
          <w:sz w:val="22"/>
        </w:rPr>
        <w:t>Tablet</w:t>
      </w:r>
      <w:r>
        <w:rPr>
          <w:spacing w:val="20"/>
          <w:sz w:val="22"/>
        </w:rPr>
        <w:t> </w:t>
      </w:r>
      <w:r>
        <w:rPr>
          <w:sz w:val="22"/>
        </w:rPr>
        <w:t>formation –</w:t>
      </w:r>
      <w:r>
        <w:rPr>
          <w:spacing w:val="19"/>
          <w:sz w:val="22"/>
        </w:rPr>
        <w:t> </w:t>
      </w:r>
      <w:r>
        <w:rPr>
          <w:sz w:val="22"/>
        </w:rPr>
        <w:t>The</w:t>
      </w:r>
      <w:r>
        <w:rPr>
          <w:spacing w:val="17"/>
          <w:sz w:val="22"/>
        </w:rPr>
        <w:t> </w:t>
      </w:r>
      <w:r>
        <w:rPr>
          <w:sz w:val="22"/>
        </w:rPr>
        <w:t>upper</w:t>
      </w:r>
      <w:r>
        <w:rPr>
          <w:spacing w:val="18"/>
          <w:sz w:val="22"/>
        </w:rPr>
        <w:t> </w:t>
      </w:r>
      <w:r>
        <w:rPr>
          <w:sz w:val="22"/>
        </w:rPr>
        <w:t>punch descends and</w:t>
      </w:r>
      <w:r>
        <w:rPr>
          <w:spacing w:val="24"/>
          <w:sz w:val="22"/>
        </w:rPr>
        <w:t> </w:t>
      </w:r>
      <w:r>
        <w:rPr>
          <w:sz w:val="22"/>
        </w:rPr>
        <w:t>enters the</w:t>
      </w:r>
      <w:r>
        <w:rPr>
          <w:spacing w:val="17"/>
          <w:sz w:val="22"/>
        </w:rPr>
        <w:t> </w:t>
      </w:r>
      <w:r>
        <w:rPr>
          <w:sz w:val="22"/>
        </w:rPr>
        <w:t>die</w:t>
      </w:r>
      <w:r>
        <w:rPr>
          <w:spacing w:val="17"/>
          <w:sz w:val="22"/>
        </w:rPr>
        <w:t> </w:t>
      </w:r>
      <w:r>
        <w:rPr>
          <w:sz w:val="22"/>
        </w:rPr>
        <w:t>and</w:t>
      </w:r>
      <w:r>
        <w:rPr>
          <w:spacing w:val="18"/>
          <w:sz w:val="22"/>
        </w:rPr>
        <w:t> </w:t>
      </w:r>
      <w:r>
        <w:rPr>
          <w:sz w:val="22"/>
        </w:rPr>
        <w:t>the</w:t>
      </w:r>
      <w:r>
        <w:rPr>
          <w:spacing w:val="17"/>
          <w:sz w:val="22"/>
        </w:rPr>
        <w:t> </w:t>
      </w:r>
      <w:r>
        <w:rPr>
          <w:sz w:val="22"/>
        </w:rPr>
        <w:t>powder is compressed until a tablet is formed. During this phase, the lower punch can be stationary or can move upwards in the die. After maximum applied force is reached, the upper punch leaves the powder.</w:t>
      </w:r>
    </w:p>
    <w:p>
      <w:pPr>
        <w:pStyle w:val="ListParagraph"/>
        <w:numPr>
          <w:ilvl w:val="0"/>
          <w:numId w:val="27"/>
        </w:numPr>
        <w:tabs>
          <w:tab w:pos="1342" w:val="left" w:leader="none"/>
        </w:tabs>
        <w:spacing w:line="482" w:lineRule="auto" w:before="5" w:after="0"/>
        <w:ind w:left="1342" w:right="1863" w:hanging="336"/>
        <w:jc w:val="both"/>
        <w:rPr>
          <w:sz w:val="22"/>
        </w:rPr>
      </w:pPr>
      <w:r>
        <w:rPr>
          <w:sz w:val="22"/>
        </w:rPr>
        <w:t>Tablet</w:t>
      </w:r>
      <w:r>
        <w:rPr>
          <w:spacing w:val="29"/>
          <w:sz w:val="22"/>
        </w:rPr>
        <w:t> </w:t>
      </w:r>
      <w:r>
        <w:rPr>
          <w:sz w:val="22"/>
        </w:rPr>
        <w:t>ejection</w:t>
      </w:r>
      <w:r>
        <w:rPr>
          <w:spacing w:val="17"/>
          <w:sz w:val="22"/>
        </w:rPr>
        <w:t> </w:t>
      </w:r>
      <w:r>
        <w:rPr>
          <w:sz w:val="22"/>
        </w:rPr>
        <w:t>–</w:t>
      </w:r>
      <w:r>
        <w:rPr>
          <w:spacing w:val="33"/>
          <w:sz w:val="22"/>
        </w:rPr>
        <w:t> </w:t>
      </w:r>
      <w:r>
        <w:rPr>
          <w:sz w:val="22"/>
        </w:rPr>
        <w:t>The</w:t>
      </w:r>
      <w:r>
        <w:rPr>
          <w:spacing w:val="25"/>
          <w:sz w:val="22"/>
        </w:rPr>
        <w:t> </w:t>
      </w:r>
      <w:r>
        <w:rPr>
          <w:sz w:val="22"/>
        </w:rPr>
        <w:t>lower</w:t>
      </w:r>
      <w:r>
        <w:rPr>
          <w:spacing w:val="26"/>
          <w:sz w:val="22"/>
        </w:rPr>
        <w:t> </w:t>
      </w:r>
      <w:r>
        <w:rPr>
          <w:sz w:val="22"/>
        </w:rPr>
        <w:t>punch</w:t>
      </w:r>
      <w:r>
        <w:rPr>
          <w:spacing w:val="21"/>
          <w:sz w:val="22"/>
        </w:rPr>
        <w:t> </w:t>
      </w:r>
      <w:r>
        <w:rPr>
          <w:sz w:val="22"/>
        </w:rPr>
        <w:t>rises</w:t>
      </w:r>
      <w:r>
        <w:rPr>
          <w:spacing w:val="23"/>
          <w:sz w:val="22"/>
        </w:rPr>
        <w:t> </w:t>
      </w:r>
      <w:r>
        <w:rPr>
          <w:sz w:val="22"/>
        </w:rPr>
        <w:t>until</w:t>
      </w:r>
      <w:r>
        <w:rPr>
          <w:spacing w:val="24"/>
          <w:sz w:val="22"/>
        </w:rPr>
        <w:t> </w:t>
      </w:r>
      <w:r>
        <w:rPr>
          <w:sz w:val="22"/>
        </w:rPr>
        <w:t>its</w:t>
      </w:r>
      <w:r>
        <w:rPr>
          <w:spacing w:val="23"/>
          <w:sz w:val="22"/>
        </w:rPr>
        <w:t> </w:t>
      </w:r>
      <w:r>
        <w:rPr>
          <w:sz w:val="22"/>
        </w:rPr>
        <w:t>tip</w:t>
      </w:r>
      <w:r>
        <w:rPr>
          <w:spacing w:val="27"/>
          <w:sz w:val="22"/>
        </w:rPr>
        <w:t> </w:t>
      </w:r>
      <w:r>
        <w:rPr>
          <w:sz w:val="22"/>
        </w:rPr>
        <w:t>reaches</w:t>
      </w:r>
      <w:r>
        <w:rPr>
          <w:spacing w:val="23"/>
          <w:sz w:val="22"/>
        </w:rPr>
        <w:t> </w:t>
      </w:r>
      <w:r>
        <w:rPr>
          <w:sz w:val="22"/>
        </w:rPr>
        <w:t>the</w:t>
      </w:r>
      <w:r>
        <w:rPr>
          <w:spacing w:val="25"/>
          <w:sz w:val="22"/>
        </w:rPr>
        <w:t> </w:t>
      </w:r>
      <w:r>
        <w:rPr>
          <w:sz w:val="22"/>
        </w:rPr>
        <w:t>level</w:t>
      </w:r>
      <w:r>
        <w:rPr>
          <w:spacing w:val="18"/>
          <w:sz w:val="22"/>
        </w:rPr>
        <w:t> </w:t>
      </w:r>
      <w:r>
        <w:rPr>
          <w:sz w:val="22"/>
        </w:rPr>
        <w:t>of</w:t>
      </w:r>
      <w:r>
        <w:rPr>
          <w:spacing w:val="20"/>
          <w:sz w:val="22"/>
        </w:rPr>
        <w:t> </w:t>
      </w:r>
      <w:r>
        <w:rPr>
          <w:sz w:val="22"/>
        </w:rPr>
        <w:t>the</w:t>
      </w:r>
      <w:r>
        <w:rPr>
          <w:spacing w:val="25"/>
          <w:sz w:val="22"/>
        </w:rPr>
        <w:t> </w:t>
      </w:r>
      <w:r>
        <w:rPr>
          <w:sz w:val="22"/>
        </w:rPr>
        <w:t>top of the die, in this phase. The tablet in subsequently removed from the die and die table by a pushing device.</w:t>
      </w:r>
    </w:p>
    <w:p>
      <w:pPr>
        <w:spacing w:after="0" w:line="482" w:lineRule="auto"/>
        <w:jc w:val="both"/>
        <w:rPr>
          <w:sz w:val="22"/>
        </w:rPr>
        <w:sectPr>
          <w:pgSz w:w="12240" w:h="15840"/>
          <w:pgMar w:header="0" w:footer="999" w:top="1260" w:bottom="1180" w:left="1720" w:right="0"/>
        </w:sectPr>
      </w:pPr>
    </w:p>
    <w:p>
      <w:pPr>
        <w:pStyle w:val="Heading2"/>
        <w:numPr>
          <w:ilvl w:val="1"/>
          <w:numId w:val="25"/>
        </w:numPr>
        <w:tabs>
          <w:tab w:pos="1342" w:val="left" w:leader="none"/>
        </w:tabs>
        <w:spacing w:line="240" w:lineRule="auto" w:before="80" w:after="0"/>
        <w:ind w:left="1342" w:right="0" w:hanging="677"/>
        <w:jc w:val="left"/>
      </w:pPr>
      <w:bookmarkStart w:name="_TOC_250098" w:id="63"/>
      <w:r>
        <w:rPr/>
        <w:t>Stages</w:t>
      </w:r>
      <w:r>
        <w:rPr>
          <w:spacing w:val="10"/>
        </w:rPr>
        <w:t> </w:t>
      </w:r>
      <w:r>
        <w:rPr/>
        <w:t>in</w:t>
      </w:r>
      <w:r>
        <w:rPr>
          <w:spacing w:val="12"/>
        </w:rPr>
        <w:t> </w:t>
      </w:r>
      <w:r>
        <w:rPr/>
        <w:t>tablet</w:t>
      </w:r>
      <w:r>
        <w:rPr>
          <w:spacing w:val="9"/>
        </w:rPr>
        <w:t> </w:t>
      </w:r>
      <w:bookmarkEnd w:id="63"/>
      <w:r>
        <w:rPr>
          <w:spacing w:val="-2"/>
        </w:rPr>
        <w:t>compaction</w:t>
      </w:r>
    </w:p>
    <w:p>
      <w:pPr>
        <w:pStyle w:val="BodyText"/>
        <w:spacing w:line="491" w:lineRule="auto" w:before="246"/>
        <w:ind w:left="665" w:right="1859" w:firstLine="676"/>
        <w:jc w:val="both"/>
      </w:pPr>
      <w:r>
        <w:rPr/>
        <w:t>Bonds are formed between particles which provides coherency to the powder (compact) due to increased proximity of particle surfaces accomplished during </w:t>
      </w:r>
      <w:r>
        <w:rPr>
          <w:spacing w:val="-2"/>
        </w:rPr>
        <w:t>compression.</w:t>
      </w:r>
    </w:p>
    <w:p>
      <w:pPr>
        <w:pStyle w:val="BodyText"/>
        <w:spacing w:line="491" w:lineRule="auto"/>
        <w:ind w:left="665" w:right="1868" w:firstLine="676"/>
        <w:jc w:val="both"/>
      </w:pPr>
      <w:r>
        <w:rPr/>
        <w:t>Compaction</w:t>
      </w:r>
      <w:r>
        <w:rPr>
          <w:spacing w:val="40"/>
        </w:rPr>
        <w:t> </w:t>
      </w:r>
      <w:r>
        <w:rPr/>
        <w:t>is</w:t>
      </w:r>
      <w:r>
        <w:rPr>
          <w:spacing w:val="40"/>
        </w:rPr>
        <w:t> </w:t>
      </w:r>
      <w:r>
        <w:rPr/>
        <w:t>defined</w:t>
      </w:r>
      <w:r>
        <w:rPr>
          <w:spacing w:val="40"/>
        </w:rPr>
        <w:t> </w:t>
      </w:r>
      <w:r>
        <w:rPr/>
        <w:t>as</w:t>
      </w:r>
      <w:r>
        <w:rPr>
          <w:spacing w:val="40"/>
        </w:rPr>
        <w:t> </w:t>
      </w:r>
      <w:r>
        <w:rPr/>
        <w:t>the</w:t>
      </w:r>
      <w:r>
        <w:rPr>
          <w:spacing w:val="40"/>
        </w:rPr>
        <w:t> </w:t>
      </w:r>
      <w:r>
        <w:rPr/>
        <w:t>formation</w:t>
      </w:r>
      <w:r>
        <w:rPr>
          <w:spacing w:val="40"/>
        </w:rPr>
        <w:t> </w:t>
      </w:r>
      <w:r>
        <w:rPr/>
        <w:t>of</w:t>
      </w:r>
      <w:r>
        <w:rPr>
          <w:spacing w:val="40"/>
        </w:rPr>
        <w:t> </w:t>
      </w:r>
      <w:r>
        <w:rPr/>
        <w:t>a porous</w:t>
      </w:r>
      <w:r>
        <w:rPr>
          <w:spacing w:val="40"/>
        </w:rPr>
        <w:t> </w:t>
      </w:r>
      <w:r>
        <w:rPr/>
        <w:t>specimen</w:t>
      </w:r>
      <w:r>
        <w:rPr>
          <w:spacing w:val="40"/>
        </w:rPr>
        <w:t> </w:t>
      </w:r>
      <w:r>
        <w:rPr/>
        <w:t>of</w:t>
      </w:r>
      <w:r>
        <w:rPr>
          <w:spacing w:val="40"/>
        </w:rPr>
        <w:t> </w:t>
      </w:r>
      <w:r>
        <w:rPr/>
        <w:t>defined geometry by powder compression (Aulton, 2002).</w:t>
      </w:r>
    </w:p>
    <w:p>
      <w:pPr>
        <w:pStyle w:val="Heading2"/>
        <w:numPr>
          <w:ilvl w:val="1"/>
          <w:numId w:val="25"/>
        </w:numPr>
        <w:tabs>
          <w:tab w:pos="1342" w:val="left" w:leader="none"/>
        </w:tabs>
        <w:spacing w:line="240" w:lineRule="auto" w:before="230" w:after="0"/>
        <w:ind w:left="1342" w:right="0" w:hanging="677"/>
        <w:jc w:val="left"/>
      </w:pPr>
      <w:bookmarkStart w:name="_TOC_250097" w:id="64"/>
      <w:r>
        <w:rPr/>
        <w:t>Sequence</w:t>
      </w:r>
      <w:r>
        <w:rPr>
          <w:spacing w:val="4"/>
        </w:rPr>
        <w:t> </w:t>
      </w:r>
      <w:r>
        <w:rPr/>
        <w:t>of</w:t>
      </w:r>
      <w:r>
        <w:rPr>
          <w:spacing w:val="16"/>
        </w:rPr>
        <w:t> </w:t>
      </w:r>
      <w:r>
        <w:rPr/>
        <w:t>events</w:t>
      </w:r>
      <w:r>
        <w:rPr>
          <w:spacing w:val="12"/>
        </w:rPr>
        <w:t> </w:t>
      </w:r>
      <w:r>
        <w:rPr/>
        <w:t>in</w:t>
      </w:r>
      <w:r>
        <w:rPr>
          <w:spacing w:val="14"/>
        </w:rPr>
        <w:t> </w:t>
      </w:r>
      <w:r>
        <w:rPr/>
        <w:t>compaction</w:t>
      </w:r>
      <w:r>
        <w:rPr>
          <w:spacing w:val="8"/>
        </w:rPr>
        <w:t> </w:t>
      </w:r>
      <w:r>
        <w:rPr/>
        <w:t>of</w:t>
      </w:r>
      <w:r>
        <w:rPr>
          <w:spacing w:val="10"/>
        </w:rPr>
        <w:t> </w:t>
      </w:r>
      <w:bookmarkEnd w:id="64"/>
      <w:r>
        <w:rPr>
          <w:spacing w:val="-2"/>
        </w:rPr>
        <w:t>powders</w:t>
      </w:r>
    </w:p>
    <w:p>
      <w:pPr>
        <w:pStyle w:val="BodyText"/>
        <w:spacing w:line="491" w:lineRule="auto" w:before="246"/>
        <w:ind w:left="665" w:right="1861" w:firstLine="676"/>
        <w:jc w:val="both"/>
      </w:pPr>
      <w:r>
        <w:rPr/>
        <w:t>Granules enhance compactibility of tableting materials due to their porosity and</w:t>
      </w:r>
      <w:r>
        <w:rPr>
          <w:spacing w:val="40"/>
        </w:rPr>
        <w:t> </w:t>
      </w:r>
      <w:r>
        <w:rPr/>
        <w:t>the</w:t>
      </w:r>
      <w:r>
        <w:rPr>
          <w:spacing w:val="27"/>
        </w:rPr>
        <w:t> </w:t>
      </w:r>
      <w:r>
        <w:rPr/>
        <w:t>presence</w:t>
      </w:r>
      <w:r>
        <w:rPr>
          <w:spacing w:val="27"/>
        </w:rPr>
        <w:t> </w:t>
      </w:r>
      <w:r>
        <w:rPr/>
        <w:t>of</w:t>
      </w:r>
      <w:r>
        <w:rPr>
          <w:spacing w:val="30"/>
        </w:rPr>
        <w:t> </w:t>
      </w:r>
      <w:r>
        <w:rPr/>
        <w:t>inter</w:t>
      </w:r>
      <w:r>
        <w:rPr>
          <w:spacing w:val="28"/>
        </w:rPr>
        <w:t> </w:t>
      </w:r>
      <w:r>
        <w:rPr/>
        <w:t>and</w:t>
      </w:r>
      <w:r>
        <w:rPr>
          <w:spacing w:val="35"/>
        </w:rPr>
        <w:t> </w:t>
      </w:r>
      <w:r>
        <w:rPr/>
        <w:t>intra-granular</w:t>
      </w:r>
      <w:r>
        <w:rPr>
          <w:spacing w:val="28"/>
        </w:rPr>
        <w:t> </w:t>
      </w:r>
      <w:r>
        <w:rPr/>
        <w:t>pores.</w:t>
      </w:r>
      <w:r>
        <w:rPr>
          <w:spacing w:val="27"/>
        </w:rPr>
        <w:t> </w:t>
      </w:r>
      <w:r>
        <w:rPr/>
        <w:t>According</w:t>
      </w:r>
      <w:r>
        <w:rPr>
          <w:spacing w:val="24"/>
        </w:rPr>
        <w:t> </w:t>
      </w:r>
      <w:r>
        <w:rPr/>
        <w:t>to</w:t>
      </w:r>
      <w:r>
        <w:rPr>
          <w:spacing w:val="30"/>
        </w:rPr>
        <w:t> </w:t>
      </w:r>
      <w:r>
        <w:rPr/>
        <w:t>Muazu</w:t>
      </w:r>
      <w:r>
        <w:rPr>
          <w:spacing w:val="37"/>
        </w:rPr>
        <w:t> </w:t>
      </w:r>
      <w:r>
        <w:rPr/>
        <w:t>(2008),</w:t>
      </w:r>
      <w:r>
        <w:rPr>
          <w:spacing w:val="27"/>
        </w:rPr>
        <w:t> </w:t>
      </w:r>
      <w:r>
        <w:rPr/>
        <w:t>a</w:t>
      </w:r>
      <w:r>
        <w:rPr>
          <w:spacing w:val="27"/>
        </w:rPr>
        <w:t> </w:t>
      </w:r>
      <w:r>
        <w:rPr/>
        <w:t>sequence of events occurs during compaction in tableting:</w:t>
      </w:r>
    </w:p>
    <w:p>
      <w:pPr>
        <w:pStyle w:val="BodyText"/>
        <w:spacing w:line="491" w:lineRule="auto"/>
        <w:ind w:left="665" w:right="1853"/>
        <w:jc w:val="both"/>
      </w:pPr>
      <w:r>
        <w:rPr/>
        <w:t>(1) transition or particles rearrangement; (2) deformation at the point of contact; (3) fragmentation; (4) bonding; (5) deformation of solid body; (6) decompression; and (7) ejection of tablet.</w:t>
      </w:r>
    </w:p>
    <w:p>
      <w:pPr>
        <w:pStyle w:val="BodyText"/>
        <w:spacing w:line="252" w:lineRule="exact"/>
        <w:ind w:left="1289"/>
      </w:pPr>
      <w:r>
        <w:rPr/>
        <w:t>Compaction</w:t>
      </w:r>
      <w:r>
        <w:rPr>
          <w:spacing w:val="5"/>
        </w:rPr>
        <w:t> </w:t>
      </w:r>
      <w:r>
        <w:rPr/>
        <w:t>of</w:t>
      </w:r>
      <w:r>
        <w:rPr>
          <w:spacing w:val="4"/>
        </w:rPr>
        <w:t> </w:t>
      </w:r>
      <w:r>
        <w:rPr/>
        <w:t>powder</w:t>
      </w:r>
      <w:r>
        <w:rPr>
          <w:spacing w:val="16"/>
        </w:rPr>
        <w:t> </w:t>
      </w:r>
      <w:r>
        <w:rPr/>
        <w:t>follows</w:t>
      </w:r>
      <w:r>
        <w:rPr>
          <w:spacing w:val="12"/>
        </w:rPr>
        <w:t> </w:t>
      </w:r>
      <w:r>
        <w:rPr/>
        <w:t>this</w:t>
      </w:r>
      <w:r>
        <w:rPr>
          <w:spacing w:val="12"/>
        </w:rPr>
        <w:t> </w:t>
      </w:r>
      <w:r>
        <w:rPr/>
        <w:t>sequence</w:t>
      </w:r>
      <w:r>
        <w:rPr>
          <w:spacing w:val="15"/>
        </w:rPr>
        <w:t> </w:t>
      </w:r>
      <w:r>
        <w:rPr/>
        <w:t>as</w:t>
      </w:r>
      <w:r>
        <w:rPr>
          <w:spacing w:val="12"/>
        </w:rPr>
        <w:t> </w:t>
      </w:r>
      <w:r>
        <w:rPr/>
        <w:t>detailed</w:t>
      </w:r>
      <w:r>
        <w:rPr>
          <w:spacing w:val="16"/>
        </w:rPr>
        <w:t> </w:t>
      </w:r>
      <w:r>
        <w:rPr/>
        <w:t>below</w:t>
      </w:r>
      <w:r>
        <w:rPr>
          <w:spacing w:val="9"/>
        </w:rPr>
        <w:t> </w:t>
      </w:r>
      <w:r>
        <w:rPr/>
        <w:t>(Muazu,</w:t>
      </w:r>
      <w:r>
        <w:rPr>
          <w:spacing w:val="15"/>
        </w:rPr>
        <w:t> </w:t>
      </w:r>
      <w:r>
        <w:rPr>
          <w:spacing w:val="-2"/>
        </w:rPr>
        <w:t>2008).</w:t>
      </w:r>
    </w:p>
    <w:p>
      <w:pPr>
        <w:pStyle w:val="BodyText"/>
        <w:spacing w:before="16"/>
      </w:pPr>
    </w:p>
    <w:p>
      <w:pPr>
        <w:pStyle w:val="Heading2"/>
        <w:numPr>
          <w:ilvl w:val="0"/>
          <w:numId w:val="28"/>
        </w:numPr>
        <w:tabs>
          <w:tab w:pos="1342" w:val="left" w:leader="none"/>
        </w:tabs>
        <w:spacing w:line="240" w:lineRule="auto" w:before="0" w:after="0"/>
        <w:ind w:left="1342" w:right="0" w:hanging="677"/>
        <w:jc w:val="left"/>
      </w:pPr>
      <w:r>
        <w:rPr/>
        <w:t>Transition</w:t>
      </w:r>
      <w:r>
        <w:rPr>
          <w:spacing w:val="17"/>
        </w:rPr>
        <w:t> </w:t>
      </w:r>
      <w:r>
        <w:rPr/>
        <w:t>or</w:t>
      </w:r>
      <w:r>
        <w:rPr>
          <w:spacing w:val="12"/>
        </w:rPr>
        <w:t> </w:t>
      </w:r>
      <w:r>
        <w:rPr/>
        <w:t>particle</w:t>
      </w:r>
      <w:r>
        <w:rPr>
          <w:spacing w:val="12"/>
        </w:rPr>
        <w:t> </w:t>
      </w:r>
      <w:r>
        <w:rPr>
          <w:spacing w:val="-2"/>
        </w:rPr>
        <w:t>rearrangement</w:t>
      </w:r>
    </w:p>
    <w:p>
      <w:pPr>
        <w:pStyle w:val="BodyText"/>
        <w:spacing w:before="8"/>
        <w:rPr>
          <w:b/>
        </w:rPr>
      </w:pPr>
    </w:p>
    <w:p>
      <w:pPr>
        <w:pStyle w:val="BodyText"/>
        <w:spacing w:line="494" w:lineRule="auto"/>
        <w:ind w:left="665" w:right="1863" w:firstLine="676"/>
        <w:jc w:val="both"/>
      </w:pPr>
      <w:r>
        <w:rPr/>
        <w:t>Particles get rearranged under pressure such that smaller ones fill the space</w:t>
      </w:r>
      <w:r>
        <w:rPr>
          <w:spacing w:val="80"/>
        </w:rPr>
        <w:t> </w:t>
      </w:r>
      <w:r>
        <w:rPr/>
        <w:t>created</w:t>
      </w:r>
      <w:r>
        <w:rPr>
          <w:spacing w:val="40"/>
        </w:rPr>
        <w:t> </w:t>
      </w:r>
      <w:r>
        <w:rPr/>
        <w:t>by larger</w:t>
      </w:r>
      <w:r>
        <w:rPr>
          <w:spacing w:val="40"/>
        </w:rPr>
        <w:t> </w:t>
      </w:r>
      <w:r>
        <w:rPr/>
        <w:t>particles.</w:t>
      </w:r>
      <w:r>
        <w:rPr>
          <w:spacing w:val="40"/>
        </w:rPr>
        <w:t> </w:t>
      </w:r>
      <w:r>
        <w:rPr/>
        <w:t>As</w:t>
      </w:r>
      <w:r>
        <w:rPr>
          <w:spacing w:val="40"/>
        </w:rPr>
        <w:t> </w:t>
      </w:r>
      <w:r>
        <w:rPr/>
        <w:t>a</w:t>
      </w:r>
      <w:r>
        <w:rPr>
          <w:spacing w:val="40"/>
        </w:rPr>
        <w:t> </w:t>
      </w:r>
      <w:r>
        <w:rPr/>
        <w:t>result,</w:t>
      </w:r>
      <w:r>
        <w:rPr>
          <w:spacing w:val="40"/>
        </w:rPr>
        <w:t> </w:t>
      </w:r>
      <w:r>
        <w:rPr/>
        <w:t>a</w:t>
      </w:r>
      <w:r>
        <w:rPr>
          <w:spacing w:val="40"/>
        </w:rPr>
        <w:t> </w:t>
      </w:r>
      <w:r>
        <w:rPr/>
        <w:t>closer</w:t>
      </w:r>
      <w:r>
        <w:rPr>
          <w:spacing w:val="40"/>
        </w:rPr>
        <w:t> </w:t>
      </w:r>
      <w:r>
        <w:rPr/>
        <w:t>packing</w:t>
      </w:r>
      <w:r>
        <w:rPr>
          <w:spacing w:val="40"/>
        </w:rPr>
        <w:t> </w:t>
      </w:r>
      <w:r>
        <w:rPr/>
        <w:t>and</w:t>
      </w:r>
      <w:r>
        <w:rPr>
          <w:spacing w:val="40"/>
        </w:rPr>
        <w:t> </w:t>
      </w:r>
      <w:r>
        <w:rPr/>
        <w:t>a</w:t>
      </w:r>
      <w:r>
        <w:rPr>
          <w:spacing w:val="40"/>
        </w:rPr>
        <w:t> </w:t>
      </w:r>
      <w:r>
        <w:rPr/>
        <w:t>decrease</w:t>
      </w:r>
      <w:r>
        <w:rPr>
          <w:spacing w:val="40"/>
        </w:rPr>
        <w:t> </w:t>
      </w:r>
      <w:r>
        <w:rPr/>
        <w:t>in</w:t>
      </w:r>
      <w:r>
        <w:rPr>
          <w:spacing w:val="40"/>
        </w:rPr>
        <w:t> </w:t>
      </w:r>
      <w:r>
        <w:rPr/>
        <w:t>relative volume is obtained, thereby increasing the density of the powder bed. The shape of the particle influences such a rearrangement.</w:t>
      </w:r>
    </w:p>
    <w:p>
      <w:pPr>
        <w:pStyle w:val="Heading2"/>
        <w:numPr>
          <w:ilvl w:val="0"/>
          <w:numId w:val="28"/>
        </w:numPr>
        <w:tabs>
          <w:tab w:pos="1339" w:val="left" w:leader="none"/>
        </w:tabs>
        <w:spacing w:line="252" w:lineRule="exact" w:before="0" w:after="0"/>
        <w:ind w:left="1339" w:right="0" w:hanging="674"/>
        <w:jc w:val="both"/>
      </w:pPr>
      <w:r>
        <w:rPr/>
        <w:t>Deformation</w:t>
      </w:r>
      <w:r>
        <w:rPr>
          <w:spacing w:val="5"/>
        </w:rPr>
        <w:t> </w:t>
      </w:r>
      <w:r>
        <w:rPr/>
        <w:t>at</w:t>
      </w:r>
      <w:r>
        <w:rPr>
          <w:spacing w:val="7"/>
        </w:rPr>
        <w:t> </w:t>
      </w:r>
      <w:r>
        <w:rPr/>
        <w:t>the</w:t>
      </w:r>
      <w:r>
        <w:rPr>
          <w:spacing w:val="12"/>
        </w:rPr>
        <w:t> </w:t>
      </w:r>
      <w:r>
        <w:rPr/>
        <w:t>point</w:t>
      </w:r>
      <w:r>
        <w:rPr>
          <w:spacing w:val="13"/>
        </w:rPr>
        <w:t> </w:t>
      </w:r>
      <w:r>
        <w:rPr/>
        <w:t>of</w:t>
      </w:r>
      <w:r>
        <w:rPr>
          <w:spacing w:val="13"/>
        </w:rPr>
        <w:t> </w:t>
      </w:r>
      <w:r>
        <w:rPr>
          <w:spacing w:val="-2"/>
        </w:rPr>
        <w:t>contact</w:t>
      </w:r>
    </w:p>
    <w:p>
      <w:pPr>
        <w:pStyle w:val="BodyText"/>
        <w:spacing w:before="7"/>
        <w:rPr>
          <w:b/>
        </w:rPr>
      </w:pPr>
    </w:p>
    <w:p>
      <w:pPr>
        <w:pStyle w:val="BodyText"/>
        <w:spacing w:line="491" w:lineRule="auto" w:before="1"/>
        <w:ind w:left="665" w:right="1859" w:firstLine="676"/>
        <w:jc w:val="both"/>
      </w:pPr>
      <w:r>
        <w:rPr/>
        <w:t>Increase in the applied pressure results in deformation of particles at the point of contact. The type of deformation that occurs depends on the nature of particle being compressed. The deformation can either be elastic or plastic in nature.</w:t>
      </w:r>
    </w:p>
    <w:p>
      <w:pPr>
        <w:spacing w:after="0" w:line="491" w:lineRule="auto"/>
        <w:jc w:val="both"/>
        <w:sectPr>
          <w:pgSz w:w="12240" w:h="15840"/>
          <w:pgMar w:header="0" w:footer="999" w:top="1260" w:bottom="1180" w:left="1720" w:right="0"/>
        </w:sectPr>
      </w:pPr>
    </w:p>
    <w:p>
      <w:pPr>
        <w:pStyle w:val="Heading2"/>
        <w:numPr>
          <w:ilvl w:val="0"/>
          <w:numId w:val="28"/>
        </w:numPr>
        <w:tabs>
          <w:tab w:pos="1342" w:val="left" w:leader="none"/>
        </w:tabs>
        <w:spacing w:line="240" w:lineRule="auto" w:before="80" w:after="0"/>
        <w:ind w:left="1342" w:right="0" w:hanging="677"/>
        <w:jc w:val="left"/>
      </w:pPr>
      <w:r>
        <w:rPr>
          <w:spacing w:val="-2"/>
        </w:rPr>
        <w:t>Fragmentation</w:t>
      </w:r>
    </w:p>
    <w:p>
      <w:pPr>
        <w:pStyle w:val="BodyText"/>
        <w:spacing w:before="7"/>
        <w:rPr>
          <w:b/>
        </w:rPr>
      </w:pPr>
    </w:p>
    <w:p>
      <w:pPr>
        <w:pStyle w:val="BodyText"/>
        <w:spacing w:line="491" w:lineRule="auto" w:before="1"/>
        <w:ind w:left="665" w:right="1858" w:firstLine="676"/>
        <w:jc w:val="both"/>
      </w:pPr>
      <w:r>
        <w:rPr/>
        <w:t>This is the breaking of the particles into smaller parts especially bigger granules. When the applied pressure is high, particles crack and the new cracks expose fresh surfaces which yield potential bonding areas.</w:t>
      </w:r>
    </w:p>
    <w:p>
      <w:pPr>
        <w:pStyle w:val="Heading2"/>
        <w:numPr>
          <w:ilvl w:val="0"/>
          <w:numId w:val="28"/>
        </w:numPr>
        <w:tabs>
          <w:tab w:pos="1342" w:val="left" w:leader="none"/>
        </w:tabs>
        <w:spacing w:line="240" w:lineRule="auto" w:before="4" w:after="0"/>
        <w:ind w:left="1342" w:right="0" w:hanging="677"/>
        <w:jc w:val="left"/>
      </w:pPr>
      <w:r>
        <w:rPr>
          <w:spacing w:val="-2"/>
        </w:rPr>
        <w:t>Bonding</w:t>
      </w:r>
    </w:p>
    <w:p>
      <w:pPr>
        <w:pStyle w:val="BodyText"/>
        <w:spacing w:before="7"/>
        <w:rPr>
          <w:b/>
        </w:rPr>
      </w:pPr>
    </w:p>
    <w:p>
      <w:pPr>
        <w:pStyle w:val="BodyText"/>
        <w:spacing w:line="491" w:lineRule="auto"/>
        <w:ind w:left="665" w:right="1857" w:firstLine="676"/>
        <w:jc w:val="both"/>
      </w:pPr>
      <w:r>
        <w:rPr/>
        <w:t>This is the permanent attachment of particles to each other resulting from close proximity; the closer the distance between the two particles the higher the attachment.</w:t>
      </w:r>
    </w:p>
    <w:p>
      <w:pPr>
        <w:pStyle w:val="Heading2"/>
        <w:numPr>
          <w:ilvl w:val="0"/>
          <w:numId w:val="28"/>
        </w:numPr>
        <w:tabs>
          <w:tab w:pos="1342" w:val="left" w:leader="none"/>
        </w:tabs>
        <w:spacing w:line="240" w:lineRule="auto" w:before="5" w:after="0"/>
        <w:ind w:left="1342" w:right="0" w:hanging="677"/>
        <w:jc w:val="left"/>
      </w:pPr>
      <w:r>
        <w:rPr/>
        <w:t>Deformation</w:t>
      </w:r>
      <w:r>
        <w:rPr>
          <w:spacing w:val="7"/>
        </w:rPr>
        <w:t> </w:t>
      </w:r>
      <w:r>
        <w:rPr/>
        <w:t>of</w:t>
      </w:r>
      <w:r>
        <w:rPr>
          <w:spacing w:val="17"/>
        </w:rPr>
        <w:t> </w:t>
      </w:r>
      <w:r>
        <w:rPr/>
        <w:t>solid</w:t>
      </w:r>
      <w:r>
        <w:rPr>
          <w:spacing w:val="14"/>
        </w:rPr>
        <w:t> </w:t>
      </w:r>
      <w:r>
        <w:rPr>
          <w:spacing w:val="-4"/>
        </w:rPr>
        <w:t>body</w:t>
      </w:r>
    </w:p>
    <w:p>
      <w:pPr>
        <w:pStyle w:val="BodyText"/>
        <w:spacing w:before="7"/>
        <w:rPr>
          <w:b/>
        </w:rPr>
      </w:pPr>
    </w:p>
    <w:p>
      <w:pPr>
        <w:pStyle w:val="BodyText"/>
        <w:spacing w:line="494" w:lineRule="auto"/>
        <w:ind w:left="665" w:right="1859" w:firstLine="676"/>
        <w:jc w:val="both"/>
      </w:pPr>
      <w:r>
        <w:rPr/>
        <w:t>Bonded solids consolidate as applied pressure increases. Deformation can either</w:t>
      </w:r>
      <w:r>
        <w:rPr>
          <w:spacing w:val="80"/>
        </w:rPr>
        <w:t> </w:t>
      </w:r>
      <w:r>
        <w:rPr/>
        <w:t>be</w:t>
      </w:r>
      <w:r>
        <w:rPr>
          <w:spacing w:val="40"/>
        </w:rPr>
        <w:t> </w:t>
      </w:r>
      <w:r>
        <w:rPr/>
        <w:t>elastic</w:t>
      </w:r>
      <w:r>
        <w:rPr>
          <w:spacing w:val="40"/>
        </w:rPr>
        <w:t> </w:t>
      </w:r>
      <w:r>
        <w:rPr/>
        <w:t>or</w:t>
      </w:r>
      <w:r>
        <w:rPr>
          <w:spacing w:val="40"/>
        </w:rPr>
        <w:t> </w:t>
      </w:r>
      <w:r>
        <w:rPr/>
        <w:t>plastic;</w:t>
      </w:r>
      <w:r>
        <w:rPr>
          <w:spacing w:val="40"/>
        </w:rPr>
        <w:t> </w:t>
      </w:r>
      <w:r>
        <w:rPr/>
        <w:t>the</w:t>
      </w:r>
      <w:r>
        <w:rPr>
          <w:spacing w:val="40"/>
        </w:rPr>
        <w:t> </w:t>
      </w:r>
      <w:r>
        <w:rPr/>
        <w:t>ability of</w:t>
      </w:r>
      <w:r>
        <w:rPr>
          <w:spacing w:val="40"/>
        </w:rPr>
        <w:t> </w:t>
      </w:r>
      <w:r>
        <w:rPr/>
        <w:t>formulated</w:t>
      </w:r>
      <w:r>
        <w:rPr>
          <w:spacing w:val="40"/>
        </w:rPr>
        <w:t> </w:t>
      </w:r>
      <w:r>
        <w:rPr/>
        <w:t>powder</w:t>
      </w:r>
      <w:r>
        <w:rPr>
          <w:spacing w:val="40"/>
        </w:rPr>
        <w:t> </w:t>
      </w:r>
      <w:r>
        <w:rPr/>
        <w:t>to</w:t>
      </w:r>
      <w:r>
        <w:rPr>
          <w:spacing w:val="40"/>
        </w:rPr>
        <w:t> </w:t>
      </w:r>
      <w:r>
        <w:rPr/>
        <w:t>form</w:t>
      </w:r>
      <w:r>
        <w:rPr>
          <w:spacing w:val="40"/>
        </w:rPr>
        <w:t> </w:t>
      </w:r>
      <w:r>
        <w:rPr/>
        <w:t>a</w:t>
      </w:r>
      <w:r>
        <w:rPr>
          <w:spacing w:val="40"/>
        </w:rPr>
        <w:t> </w:t>
      </w:r>
      <w:r>
        <w:rPr/>
        <w:t>satisfactory tablet depends on its plastic deformation during compression and elastic recovery during</w:t>
      </w:r>
      <w:r>
        <w:rPr>
          <w:spacing w:val="40"/>
        </w:rPr>
        <w:t> </w:t>
      </w:r>
      <w:r>
        <w:rPr/>
        <w:t>ejection (decompression).</w:t>
      </w:r>
    </w:p>
    <w:p>
      <w:pPr>
        <w:pStyle w:val="Heading2"/>
        <w:numPr>
          <w:ilvl w:val="0"/>
          <w:numId w:val="28"/>
        </w:numPr>
        <w:tabs>
          <w:tab w:pos="1342" w:val="left" w:leader="none"/>
        </w:tabs>
        <w:spacing w:line="252" w:lineRule="exact" w:before="0" w:after="0"/>
        <w:ind w:left="1342" w:right="0" w:hanging="677"/>
        <w:jc w:val="left"/>
      </w:pPr>
      <w:r>
        <w:rPr>
          <w:spacing w:val="-2"/>
        </w:rPr>
        <w:t>Decompression</w:t>
      </w:r>
    </w:p>
    <w:p>
      <w:pPr>
        <w:pStyle w:val="BodyText"/>
        <w:spacing w:before="8"/>
        <w:rPr>
          <w:b/>
        </w:rPr>
      </w:pPr>
    </w:p>
    <w:p>
      <w:pPr>
        <w:pStyle w:val="BodyText"/>
        <w:spacing w:line="491" w:lineRule="auto"/>
        <w:ind w:left="665" w:right="1858" w:firstLine="676"/>
        <w:jc w:val="both"/>
      </w:pPr>
      <w:r>
        <w:rPr/>
        <w:t>This is a series of events that occur after applied pressure is removed from the upper punch. The residual pressure confines the tablet as the upper punch</w:t>
      </w:r>
      <w:r>
        <w:rPr>
          <w:spacing w:val="40"/>
        </w:rPr>
        <w:t> </w:t>
      </w:r>
      <w:r>
        <w:rPr/>
        <w:t>is removed</w:t>
      </w:r>
      <w:r>
        <w:rPr>
          <w:spacing w:val="40"/>
        </w:rPr>
        <w:t> </w:t>
      </w:r>
      <w:r>
        <w:rPr/>
        <w:t>from</w:t>
      </w:r>
      <w:r>
        <w:rPr>
          <w:spacing w:val="40"/>
        </w:rPr>
        <w:t> </w:t>
      </w:r>
      <w:r>
        <w:rPr/>
        <w:t>the die</w:t>
      </w:r>
      <w:r>
        <w:rPr>
          <w:spacing w:val="40"/>
        </w:rPr>
        <w:t> </w:t>
      </w:r>
      <w:r>
        <w:rPr/>
        <w:t>cavity.</w:t>
      </w:r>
      <w:r>
        <w:rPr>
          <w:spacing w:val="40"/>
        </w:rPr>
        <w:t> </w:t>
      </w:r>
      <w:r>
        <w:rPr/>
        <w:t>The</w:t>
      </w:r>
      <w:r>
        <w:rPr>
          <w:spacing w:val="40"/>
        </w:rPr>
        <w:t> </w:t>
      </w:r>
      <w:r>
        <w:rPr/>
        <w:t>ability to</w:t>
      </w:r>
      <w:r>
        <w:rPr>
          <w:spacing w:val="40"/>
        </w:rPr>
        <w:t> </w:t>
      </w:r>
      <w:r>
        <w:rPr/>
        <w:t>produce</w:t>
      </w:r>
      <w:r>
        <w:rPr>
          <w:spacing w:val="40"/>
        </w:rPr>
        <w:t> </w:t>
      </w:r>
      <w:r>
        <w:rPr/>
        <w:t>an intact</w:t>
      </w:r>
      <w:r>
        <w:rPr>
          <w:spacing w:val="40"/>
        </w:rPr>
        <w:t> </w:t>
      </w:r>
      <w:r>
        <w:rPr/>
        <w:t>tablet</w:t>
      </w:r>
      <w:r>
        <w:rPr>
          <w:spacing w:val="40"/>
        </w:rPr>
        <w:t> </w:t>
      </w:r>
      <w:r>
        <w:rPr/>
        <w:t>depends on the</w:t>
      </w:r>
      <w:r>
        <w:rPr>
          <w:spacing w:val="40"/>
        </w:rPr>
        <w:t> </w:t>
      </w:r>
      <w:r>
        <w:rPr/>
        <w:t>pressure exerted</w:t>
      </w:r>
      <w:r>
        <w:rPr>
          <w:spacing w:val="40"/>
        </w:rPr>
        <w:t> </w:t>
      </w:r>
      <w:r>
        <w:rPr/>
        <w:t>by</w:t>
      </w:r>
      <w:r>
        <w:rPr>
          <w:spacing w:val="40"/>
        </w:rPr>
        <w:t> </w:t>
      </w:r>
      <w:r>
        <w:rPr/>
        <w:t>elastic</w:t>
      </w:r>
      <w:r>
        <w:rPr>
          <w:spacing w:val="40"/>
        </w:rPr>
        <w:t> </w:t>
      </w:r>
      <w:r>
        <w:rPr/>
        <w:t>rebound</w:t>
      </w:r>
      <w:r>
        <w:rPr>
          <w:spacing w:val="40"/>
        </w:rPr>
        <w:t> </w:t>
      </w:r>
      <w:r>
        <w:rPr/>
        <w:t>and</w:t>
      </w:r>
      <w:r>
        <w:rPr>
          <w:spacing w:val="40"/>
        </w:rPr>
        <w:t> </w:t>
      </w:r>
      <w:r>
        <w:rPr/>
        <w:t>the</w:t>
      </w:r>
      <w:r>
        <w:rPr>
          <w:spacing w:val="40"/>
        </w:rPr>
        <w:t> </w:t>
      </w:r>
      <w:r>
        <w:rPr/>
        <w:t>associated</w:t>
      </w:r>
      <w:r>
        <w:rPr>
          <w:spacing w:val="40"/>
        </w:rPr>
        <w:t> </w:t>
      </w:r>
      <w:r>
        <w:rPr/>
        <w:t>deformation</w:t>
      </w:r>
      <w:r>
        <w:rPr>
          <w:spacing w:val="40"/>
        </w:rPr>
        <w:t> </w:t>
      </w:r>
      <w:r>
        <w:rPr/>
        <w:t>process</w:t>
      </w:r>
      <w:r>
        <w:rPr>
          <w:spacing w:val="40"/>
        </w:rPr>
        <w:t> </w:t>
      </w:r>
      <w:r>
        <w:rPr/>
        <w:t>during decompression or ejection.</w:t>
      </w:r>
    </w:p>
    <w:p>
      <w:pPr>
        <w:pStyle w:val="Heading2"/>
        <w:numPr>
          <w:ilvl w:val="0"/>
          <w:numId w:val="28"/>
        </w:numPr>
        <w:tabs>
          <w:tab w:pos="1342" w:val="left" w:leader="none"/>
        </w:tabs>
        <w:spacing w:line="240" w:lineRule="auto" w:before="4" w:after="0"/>
        <w:ind w:left="1342" w:right="0" w:hanging="677"/>
        <w:jc w:val="left"/>
      </w:pPr>
      <w:r>
        <w:rPr>
          <w:spacing w:val="-2"/>
        </w:rPr>
        <w:t>Ejection</w:t>
      </w:r>
    </w:p>
    <w:p>
      <w:pPr>
        <w:pStyle w:val="BodyText"/>
        <w:spacing w:before="7"/>
        <w:rPr>
          <w:b/>
        </w:rPr>
      </w:pPr>
    </w:p>
    <w:p>
      <w:pPr>
        <w:pStyle w:val="BodyText"/>
        <w:spacing w:line="494" w:lineRule="auto"/>
        <w:ind w:left="665" w:right="1861" w:firstLine="676"/>
        <w:jc w:val="both"/>
      </w:pPr>
      <w:r>
        <w:rPr/>
        <w:t>Compressed</w:t>
      </w:r>
      <w:r>
        <w:rPr>
          <w:spacing w:val="40"/>
        </w:rPr>
        <w:t> </w:t>
      </w:r>
      <w:r>
        <w:rPr/>
        <w:t>tablets</w:t>
      </w:r>
      <w:r>
        <w:rPr>
          <w:spacing w:val="40"/>
        </w:rPr>
        <w:t> </w:t>
      </w:r>
      <w:r>
        <w:rPr/>
        <w:t>are</w:t>
      </w:r>
      <w:r>
        <w:rPr>
          <w:spacing w:val="40"/>
        </w:rPr>
        <w:t> </w:t>
      </w:r>
      <w:r>
        <w:rPr/>
        <w:t>removed</w:t>
      </w:r>
      <w:r>
        <w:rPr>
          <w:spacing w:val="40"/>
        </w:rPr>
        <w:t> </w:t>
      </w:r>
      <w:r>
        <w:rPr/>
        <w:t>from</w:t>
      </w:r>
      <w:r>
        <w:rPr>
          <w:spacing w:val="40"/>
        </w:rPr>
        <w:t> </w:t>
      </w:r>
      <w:r>
        <w:rPr/>
        <w:t>the</w:t>
      </w:r>
      <w:r>
        <w:rPr>
          <w:spacing w:val="40"/>
        </w:rPr>
        <w:t> </w:t>
      </w:r>
      <w:r>
        <w:rPr/>
        <w:t>die</w:t>
      </w:r>
      <w:r>
        <w:rPr>
          <w:spacing w:val="40"/>
        </w:rPr>
        <w:t> </w:t>
      </w:r>
      <w:r>
        <w:rPr/>
        <w:t>as</w:t>
      </w:r>
      <w:r>
        <w:rPr>
          <w:spacing w:val="40"/>
        </w:rPr>
        <w:t> </w:t>
      </w:r>
      <w:r>
        <w:rPr/>
        <w:t>the</w:t>
      </w:r>
      <w:r>
        <w:rPr>
          <w:spacing w:val="40"/>
        </w:rPr>
        <w:t> </w:t>
      </w:r>
      <w:r>
        <w:rPr/>
        <w:t>lower</w:t>
      </w:r>
      <w:r>
        <w:rPr>
          <w:spacing w:val="40"/>
        </w:rPr>
        <w:t> </w:t>
      </w:r>
      <w:r>
        <w:rPr/>
        <w:t>punch</w:t>
      </w:r>
      <w:r>
        <w:rPr>
          <w:spacing w:val="40"/>
        </w:rPr>
        <w:t> </w:t>
      </w:r>
      <w:r>
        <w:rPr/>
        <w:t>rises</w:t>
      </w:r>
      <w:r>
        <w:rPr>
          <w:spacing w:val="40"/>
        </w:rPr>
        <w:t> </w:t>
      </w:r>
      <w:r>
        <w:rPr/>
        <w:t>and pushes the tablet upward. The tablet undergoes plastic recovery with an increase in</w:t>
      </w:r>
      <w:r>
        <w:rPr>
          <w:spacing w:val="40"/>
        </w:rPr>
        <w:t> </w:t>
      </w:r>
      <w:r>
        <w:rPr/>
        <w:t>volume of that portion of the tablet removed</w:t>
      </w:r>
      <w:r>
        <w:rPr>
          <w:spacing w:val="23"/>
        </w:rPr>
        <w:t> </w:t>
      </w:r>
      <w:r>
        <w:rPr/>
        <w:t>from the die as lateral pressure is removed.</w:t>
      </w:r>
    </w:p>
    <w:p>
      <w:pPr>
        <w:spacing w:after="0" w:line="494" w:lineRule="auto"/>
        <w:jc w:val="both"/>
        <w:sectPr>
          <w:pgSz w:w="12240" w:h="15840"/>
          <w:pgMar w:header="0" w:footer="999" w:top="1260" w:bottom="1180" w:left="1720" w:right="0"/>
        </w:sectPr>
      </w:pPr>
    </w:p>
    <w:p>
      <w:pPr>
        <w:pStyle w:val="Heading2"/>
        <w:numPr>
          <w:ilvl w:val="1"/>
          <w:numId w:val="25"/>
        </w:numPr>
        <w:tabs>
          <w:tab w:pos="1342" w:val="left" w:leader="none"/>
        </w:tabs>
        <w:spacing w:line="240" w:lineRule="auto" w:before="80" w:after="0"/>
        <w:ind w:left="1342" w:right="0" w:hanging="677"/>
        <w:jc w:val="left"/>
      </w:pPr>
      <w:bookmarkStart w:name="_TOC_250096" w:id="65"/>
      <w:r>
        <w:rPr/>
        <w:t>Models</w:t>
      </w:r>
      <w:r>
        <w:rPr>
          <w:spacing w:val="12"/>
        </w:rPr>
        <w:t> </w:t>
      </w:r>
      <w:r>
        <w:rPr/>
        <w:t>describing</w:t>
      </w:r>
      <w:r>
        <w:rPr>
          <w:spacing w:val="23"/>
        </w:rPr>
        <w:t> </w:t>
      </w:r>
      <w:r>
        <w:rPr/>
        <w:t>compression</w:t>
      </w:r>
      <w:r>
        <w:rPr>
          <w:spacing w:val="8"/>
        </w:rPr>
        <w:t> </w:t>
      </w:r>
      <w:r>
        <w:rPr/>
        <w:t>of</w:t>
      </w:r>
      <w:r>
        <w:rPr>
          <w:spacing w:val="17"/>
        </w:rPr>
        <w:t> </w:t>
      </w:r>
      <w:bookmarkEnd w:id="65"/>
      <w:r>
        <w:rPr>
          <w:spacing w:val="-2"/>
        </w:rPr>
        <w:t>powders</w:t>
      </w:r>
    </w:p>
    <w:p>
      <w:pPr>
        <w:pStyle w:val="BodyText"/>
        <w:spacing w:before="108"/>
        <w:rPr>
          <w:b/>
        </w:rPr>
      </w:pPr>
    </w:p>
    <w:p>
      <w:pPr>
        <w:pStyle w:val="Heading2"/>
        <w:numPr>
          <w:ilvl w:val="2"/>
          <w:numId w:val="25"/>
        </w:numPr>
        <w:tabs>
          <w:tab w:pos="1337" w:val="left" w:leader="none"/>
        </w:tabs>
        <w:spacing w:line="240" w:lineRule="auto" w:before="0" w:after="0"/>
        <w:ind w:left="1337" w:right="0" w:hanging="672"/>
        <w:jc w:val="left"/>
      </w:pPr>
      <w:bookmarkStart w:name="_TOC_250095" w:id="66"/>
      <w:r>
        <w:rPr/>
        <w:t>Heckel</w:t>
      </w:r>
      <w:r>
        <w:rPr>
          <w:spacing w:val="21"/>
        </w:rPr>
        <w:t> </w:t>
      </w:r>
      <w:bookmarkEnd w:id="66"/>
      <w:r>
        <w:rPr>
          <w:spacing w:val="-2"/>
        </w:rPr>
        <w:t>equation</w:t>
      </w:r>
    </w:p>
    <w:p>
      <w:pPr>
        <w:pStyle w:val="BodyText"/>
        <w:spacing w:line="491" w:lineRule="auto" w:before="247"/>
        <w:ind w:left="1006" w:right="1855" w:firstLine="388"/>
        <w:jc w:val="both"/>
      </w:pPr>
      <w:r>
        <w:rPr/>
        <w:t>Heckel equation is one of the most widely used equations for describing the compression properties of powders (Odeku, 2005; Oladapo</w:t>
      </w:r>
      <w:r>
        <w:rPr>
          <w:spacing w:val="34"/>
        </w:rPr>
        <w:t> </w:t>
      </w:r>
      <w:r>
        <w:rPr>
          <w:i/>
        </w:rPr>
        <w:t>et</w:t>
      </w:r>
      <w:r>
        <w:rPr>
          <w:i/>
          <w:spacing w:val="30"/>
        </w:rPr>
        <w:t> </w:t>
      </w:r>
      <w:r>
        <w:rPr>
          <w:i/>
        </w:rPr>
        <w:t>al</w:t>
      </w:r>
      <w:r>
        <w:rPr/>
        <w:t>, 2006; Ravindra </w:t>
      </w:r>
      <w:r>
        <w:rPr>
          <w:i/>
        </w:rPr>
        <w:t>et</w:t>
      </w:r>
      <w:r>
        <w:rPr>
          <w:i/>
          <w:spacing w:val="40"/>
        </w:rPr>
        <w:t> </w:t>
      </w:r>
      <w:r>
        <w:rPr>
          <w:i/>
        </w:rPr>
        <w:t>al</w:t>
      </w:r>
      <w:r>
        <w:rPr/>
        <w:t>, 2006; Ohwoavworhua, 2007).</w:t>
      </w:r>
    </w:p>
    <w:p>
      <w:pPr>
        <w:pStyle w:val="BodyText"/>
        <w:spacing w:line="491" w:lineRule="auto"/>
        <w:ind w:left="665" w:right="1855" w:firstLine="676"/>
        <w:jc w:val="both"/>
      </w:pPr>
      <w:r>
        <w:rPr/>
        <w:t>The Heckel plot is used</w:t>
      </w:r>
      <w:r>
        <w:rPr>
          <w:spacing w:val="39"/>
        </w:rPr>
        <w:t> </w:t>
      </w:r>
      <w:r>
        <w:rPr/>
        <w:t>to classify the compaction behaviour of materials.</w:t>
      </w:r>
      <w:r>
        <w:rPr>
          <w:spacing w:val="38"/>
        </w:rPr>
        <w:t> </w:t>
      </w:r>
      <w:r>
        <w:rPr/>
        <w:t>The plot usually has a linear part, but it is curved at the low and high pressure ends. The</w:t>
      </w:r>
      <w:r>
        <w:rPr>
          <w:spacing w:val="40"/>
        </w:rPr>
        <w:t> </w:t>
      </w:r>
      <w:r>
        <w:rPr/>
        <w:t>Heckel plot relates the density of the compact to the applied pressure. According to the Heckel equation, powder compression follows first – order kinetics, where the pores are the reactant and the densification of the product. Based on this assumption, the Heckel equation can be rendered as:</w:t>
      </w:r>
    </w:p>
    <w:p>
      <w:pPr>
        <w:pStyle w:val="BodyText"/>
        <w:spacing w:line="182" w:lineRule="exact"/>
        <w:ind w:left="3156"/>
        <w:rPr>
          <w:rFonts w:ascii="Cambria Math"/>
        </w:rPr>
      </w:pPr>
      <w:r>
        <w:rPr>
          <w:rFonts w:ascii="Cambria Math"/>
          <w:spacing w:val="-10"/>
        </w:rPr>
        <w:t>1</w:t>
      </w:r>
    </w:p>
    <w:p>
      <w:pPr>
        <w:pStyle w:val="BodyText"/>
        <w:spacing w:line="189" w:lineRule="auto"/>
        <w:ind w:left="2609"/>
        <w:rPr>
          <w:rFonts w:ascii="Cambria Math" w:hAnsi="Cambria Math" w:eastAsia="Cambria Math"/>
        </w:rPr>
      </w:pPr>
      <w:r>
        <w:rPr/>
        <mc:AlternateContent>
          <mc:Choice Requires="wps">
            <w:drawing>
              <wp:anchor distT="0" distB="0" distL="0" distR="0" allowOverlap="1" layoutInCell="1" locked="0" behindDoc="1" simplePos="0" relativeHeight="481983488">
                <wp:simplePos x="0" y="0"/>
                <wp:positionH relativeFrom="page">
                  <wp:posOffset>2962655</wp:posOffset>
                </wp:positionH>
                <wp:positionV relativeFrom="paragraph">
                  <wp:posOffset>59523</wp:posOffset>
                </wp:positionV>
                <wp:extent cx="350520" cy="635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50520" cy="6350"/>
                        </a:xfrm>
                        <a:custGeom>
                          <a:avLst/>
                          <a:gdLst/>
                          <a:ahLst/>
                          <a:cxnLst/>
                          <a:rect l="l" t="t" r="r" b="b"/>
                          <a:pathLst>
                            <a:path w="350520" h="6350">
                              <a:moveTo>
                                <a:pt x="350519" y="0"/>
                              </a:moveTo>
                              <a:lnTo>
                                <a:pt x="0" y="0"/>
                              </a:lnTo>
                              <a:lnTo>
                                <a:pt x="0" y="6096"/>
                              </a:lnTo>
                              <a:lnTo>
                                <a:pt x="350519" y="6096"/>
                              </a:lnTo>
                              <a:lnTo>
                                <a:pt x="3505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3.279999pt;margin-top:4.686924pt;width:27.6pt;height:.48pt;mso-position-horizontal-relative:page;mso-position-vertical-relative:paragraph;z-index:-21332992" id="docshape11" filled="true" fillcolor="#000000" stroked="false">
                <v:fill type="solid"/>
                <w10:wrap type="none"/>
              </v:rect>
            </w:pict>
          </mc:Fallback>
        </mc:AlternateContent>
      </w:r>
      <w:r>
        <w:rPr>
          <w:rFonts w:ascii="Cambria Math" w:hAnsi="Cambria Math" w:eastAsia="Cambria Math"/>
        </w:rPr>
        <w:t>𝑙</w:t>
      </w:r>
      <w:r>
        <w:rPr>
          <w:rFonts w:ascii="Cambria Math" w:hAnsi="Cambria Math" w:eastAsia="Cambria Math"/>
          <w:vertAlign w:val="subscript"/>
        </w:rPr>
        <w:t>𝑛</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position w:val="-14"/>
          <w:vertAlign w:val="baseline"/>
        </w:rPr>
        <w:t>1</w:t>
      </w:r>
      <w:r>
        <w:rPr>
          <w:rFonts w:ascii="Cambria Math" w:hAnsi="Cambria Math" w:eastAsia="Cambria Math"/>
          <w:spacing w:val="6"/>
          <w:position w:val="-14"/>
          <w:vertAlign w:val="baseline"/>
        </w:rPr>
        <w:t> </w:t>
      </w:r>
      <w:r>
        <w:rPr>
          <w:rFonts w:ascii="Cambria Math" w:hAnsi="Cambria Math" w:eastAsia="Cambria Math"/>
          <w:position w:val="-14"/>
          <w:vertAlign w:val="baseline"/>
        </w:rPr>
        <w:t>−</w:t>
      </w:r>
      <w:r>
        <w:rPr>
          <w:rFonts w:ascii="Cambria Math" w:hAnsi="Cambria Math" w:eastAsia="Cambria Math"/>
          <w:spacing w:val="6"/>
          <w:position w:val="-14"/>
          <w:vertAlign w:val="baseline"/>
        </w:rPr>
        <w:t> </w:t>
      </w:r>
      <w:r>
        <w:rPr>
          <w:rFonts w:ascii="Cambria Math" w:hAnsi="Cambria Math" w:eastAsia="Cambria Math"/>
          <w:position w:val="-14"/>
          <w:vertAlign w:val="baseline"/>
        </w:rPr>
        <w:t>𝐷</w:t>
      </w:r>
      <w:r>
        <w:rPr>
          <w:rFonts w:ascii="Cambria Math" w:hAnsi="Cambria Math" w:eastAsia="Cambria Math"/>
          <w:vertAlign w:val="baseline"/>
        </w:rPr>
        <w:t>)</w:t>
      </w:r>
      <w:r>
        <w:rPr>
          <w:rFonts w:ascii="Cambria Math" w:hAnsi="Cambria Math" w:eastAsia="Cambria Math"/>
          <w:spacing w:val="16"/>
          <w:vertAlign w:val="baseline"/>
        </w:rPr>
        <w:t> </w:t>
      </w:r>
      <w:r>
        <w:rPr>
          <w:rFonts w:ascii="Cambria Math" w:hAnsi="Cambria Math" w:eastAsia="Cambria Math"/>
          <w:vertAlign w:val="baseline"/>
        </w:rPr>
        <w:t>=</w:t>
      </w:r>
      <w:r>
        <w:rPr>
          <w:rFonts w:ascii="Cambria Math" w:hAnsi="Cambria Math" w:eastAsia="Cambria Math"/>
          <w:spacing w:val="59"/>
          <w:vertAlign w:val="baseline"/>
        </w:rPr>
        <w:t> </w:t>
      </w:r>
      <w:r>
        <w:rPr>
          <w:rFonts w:ascii="Cambria Math" w:hAnsi="Cambria Math" w:eastAsia="Cambria Math"/>
          <w:vertAlign w:val="baseline"/>
        </w:rPr>
        <w:t>𝐾𝑃</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45"/>
          <w:vertAlign w:val="baseline"/>
        </w:rPr>
        <w:t> </w:t>
      </w:r>
      <w:r>
        <w:rPr>
          <w:rFonts w:ascii="Cambria Math" w:hAnsi="Cambria Math" w:eastAsia="Cambria Math"/>
          <w:vertAlign w:val="baseline"/>
        </w:rPr>
        <w:t>𝐴</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8"/>
          <w:vertAlign w:val="baseline"/>
        </w:rPr>
        <w:t> </w:t>
      </w:r>
      <w:r>
        <w:rPr>
          <w:rFonts w:ascii="Cambria Math" w:hAnsi="Cambria Math" w:eastAsia="Cambria Math"/>
          <w:spacing w:val="-5"/>
          <w:vertAlign w:val="baseline"/>
        </w:rPr>
        <w:t>(1)</w:t>
      </w:r>
    </w:p>
    <w:p>
      <w:pPr>
        <w:pStyle w:val="BodyText"/>
        <w:spacing w:line="491" w:lineRule="auto" w:before="237"/>
        <w:ind w:left="665" w:right="1855" w:firstLine="676"/>
        <w:jc w:val="both"/>
      </w:pPr>
      <w:r>
        <w:rPr/>
        <w:t>Where </w:t>
      </w:r>
      <w:r>
        <w:rPr>
          <w:b/>
        </w:rPr>
        <w:t>D </w:t>
      </w:r>
      <w:r>
        <w:rPr/>
        <w:t>is the relative density and </w:t>
      </w:r>
      <w:r>
        <w:rPr>
          <w:b/>
        </w:rPr>
        <w:t>(1 – D) </w:t>
      </w:r>
      <w:r>
        <w:rPr/>
        <w:t>denotes the pore fraction or tablet porosity; </w:t>
      </w:r>
      <w:r>
        <w:rPr>
          <w:b/>
        </w:rPr>
        <w:t>P </w:t>
      </w:r>
      <w:r>
        <w:rPr/>
        <w:t>the applied</w:t>
      </w:r>
      <w:r>
        <w:rPr>
          <w:spacing w:val="40"/>
        </w:rPr>
        <w:t> </w:t>
      </w:r>
      <w:r>
        <w:rPr/>
        <w:t>pressure, </w:t>
      </w:r>
      <w:r>
        <w:rPr>
          <w:b/>
        </w:rPr>
        <w:t>K </w:t>
      </w:r>
      <w:r>
        <w:rPr/>
        <w:t>the slope of the straight linear portion of the plot</w:t>
      </w:r>
      <w:r>
        <w:rPr>
          <w:spacing w:val="40"/>
        </w:rPr>
        <w:t> </w:t>
      </w:r>
      <w:r>
        <w:rPr/>
        <w:t>which is suggested to reflect the deformation of particles during compression. The reciprocal</w:t>
      </w:r>
      <w:r>
        <w:rPr>
          <w:spacing w:val="40"/>
        </w:rPr>
        <w:t> </w:t>
      </w:r>
      <w:r>
        <w:rPr/>
        <w:t>of</w:t>
      </w:r>
      <w:r>
        <w:rPr>
          <w:spacing w:val="40"/>
        </w:rPr>
        <w:t> </w:t>
      </w:r>
      <w:r>
        <w:rPr>
          <w:b/>
        </w:rPr>
        <w:t>K</w:t>
      </w:r>
      <w:r>
        <w:rPr>
          <w:b/>
          <w:spacing w:val="40"/>
        </w:rPr>
        <w:t> </w:t>
      </w:r>
      <w:r>
        <w:rPr/>
        <w:t>is</w:t>
      </w:r>
      <w:r>
        <w:rPr>
          <w:spacing w:val="40"/>
        </w:rPr>
        <w:t> </w:t>
      </w:r>
      <w:r>
        <w:rPr/>
        <w:t>the</w:t>
      </w:r>
      <w:r>
        <w:rPr>
          <w:spacing w:val="40"/>
        </w:rPr>
        <w:t> </w:t>
      </w:r>
      <w:r>
        <w:rPr/>
        <w:t>yield</w:t>
      </w:r>
      <w:r>
        <w:rPr>
          <w:spacing w:val="40"/>
        </w:rPr>
        <w:t> </w:t>
      </w:r>
      <w:r>
        <w:rPr/>
        <w:t>pressure</w:t>
      </w:r>
      <w:r>
        <w:rPr>
          <w:spacing w:val="40"/>
        </w:rPr>
        <w:t> </w:t>
      </w:r>
      <w:r>
        <w:rPr/>
        <w:t>(P</w:t>
      </w:r>
      <w:r>
        <w:rPr>
          <w:vertAlign w:val="subscript"/>
        </w:rPr>
        <w:t>Y</w:t>
      </w:r>
      <w:r>
        <w:rPr>
          <w:vertAlign w:val="baseline"/>
        </w:rPr>
        <w:t>).</w:t>
      </w:r>
      <w:r>
        <w:rPr>
          <w:spacing w:val="40"/>
          <w:vertAlign w:val="baseline"/>
        </w:rPr>
        <w:t> </w:t>
      </w:r>
      <w:r>
        <w:rPr>
          <w:b/>
          <w:i/>
          <w:vertAlign w:val="baseline"/>
        </w:rPr>
        <w:t>A</w:t>
      </w:r>
      <w:r>
        <w:rPr>
          <w:b/>
          <w:i/>
          <w:spacing w:val="40"/>
          <w:vertAlign w:val="baseline"/>
        </w:rPr>
        <w:t> </w:t>
      </w:r>
      <w:r>
        <w:rPr>
          <w:vertAlign w:val="baseline"/>
        </w:rPr>
        <w:t>is</w:t>
      </w:r>
      <w:r>
        <w:rPr>
          <w:spacing w:val="40"/>
          <w:vertAlign w:val="baseline"/>
        </w:rPr>
        <w:t> </w:t>
      </w:r>
      <w:r>
        <w:rPr>
          <w:vertAlign w:val="baseline"/>
        </w:rPr>
        <w:t>a</w:t>
      </w:r>
      <w:r>
        <w:rPr>
          <w:spacing w:val="40"/>
          <w:vertAlign w:val="baseline"/>
        </w:rPr>
        <w:t> </w:t>
      </w:r>
      <w:r>
        <w:rPr>
          <w:vertAlign w:val="baseline"/>
        </w:rPr>
        <w:t>constant</w:t>
      </w:r>
      <w:r>
        <w:rPr>
          <w:spacing w:val="40"/>
          <w:vertAlign w:val="baseline"/>
        </w:rPr>
        <w:t> </w:t>
      </w:r>
      <w:r>
        <w:rPr>
          <w:vertAlign w:val="baseline"/>
        </w:rPr>
        <w:t>is</w:t>
      </w:r>
      <w:r>
        <w:rPr>
          <w:spacing w:val="40"/>
          <w:vertAlign w:val="baseline"/>
        </w:rPr>
        <w:t> </w:t>
      </w:r>
      <w:r>
        <w:rPr>
          <w:vertAlign w:val="baseline"/>
        </w:rPr>
        <w:t>the</w:t>
      </w:r>
      <w:r>
        <w:rPr>
          <w:spacing w:val="40"/>
          <w:vertAlign w:val="baseline"/>
        </w:rPr>
        <w:t> </w:t>
      </w:r>
      <w:r>
        <w:rPr>
          <w:vertAlign w:val="baseline"/>
        </w:rPr>
        <w:t>intercept</w:t>
      </w:r>
      <w:r>
        <w:rPr>
          <w:spacing w:val="40"/>
          <w:vertAlign w:val="baseline"/>
        </w:rPr>
        <w:t> </w:t>
      </w:r>
      <w:r>
        <w:rPr>
          <w:vertAlign w:val="baseline"/>
        </w:rPr>
        <w:t>of</w:t>
      </w:r>
      <w:r>
        <w:rPr>
          <w:spacing w:val="40"/>
          <w:vertAlign w:val="baseline"/>
        </w:rPr>
        <w:t> </w:t>
      </w:r>
      <w:r>
        <w:rPr>
          <w:vertAlign w:val="baseline"/>
        </w:rPr>
        <w:t>the prolonged</w:t>
      </w:r>
      <w:r>
        <w:rPr>
          <w:spacing w:val="40"/>
          <w:vertAlign w:val="baseline"/>
        </w:rPr>
        <w:t> </w:t>
      </w:r>
      <w:r>
        <w:rPr>
          <w:vertAlign w:val="baseline"/>
        </w:rPr>
        <w:t>linear</w:t>
      </w:r>
      <w:r>
        <w:rPr>
          <w:spacing w:val="40"/>
          <w:vertAlign w:val="baseline"/>
        </w:rPr>
        <w:t> </w:t>
      </w:r>
      <w:r>
        <w:rPr>
          <w:vertAlign w:val="baseline"/>
        </w:rPr>
        <w:t>portion</w:t>
      </w:r>
      <w:r>
        <w:rPr>
          <w:spacing w:val="35"/>
          <w:vertAlign w:val="baseline"/>
        </w:rPr>
        <w:t> </w:t>
      </w:r>
      <w:r>
        <w:rPr>
          <w:vertAlign w:val="baseline"/>
        </w:rPr>
        <w:t>of</w:t>
      </w:r>
      <w:r>
        <w:rPr>
          <w:spacing w:val="34"/>
          <w:vertAlign w:val="baseline"/>
        </w:rPr>
        <w:t> </w:t>
      </w:r>
      <w:r>
        <w:rPr>
          <w:vertAlign w:val="baseline"/>
        </w:rPr>
        <w:t>the</w:t>
      </w:r>
      <w:r>
        <w:rPr>
          <w:spacing w:val="40"/>
          <w:vertAlign w:val="baseline"/>
        </w:rPr>
        <w:t> </w:t>
      </w:r>
      <w:r>
        <w:rPr>
          <w:vertAlign w:val="baseline"/>
        </w:rPr>
        <w:t>plot</w:t>
      </w:r>
      <w:r>
        <w:rPr>
          <w:spacing w:val="40"/>
          <w:vertAlign w:val="baseline"/>
        </w:rPr>
        <w:t> </w:t>
      </w:r>
      <w:r>
        <w:rPr>
          <w:vertAlign w:val="baseline"/>
        </w:rPr>
        <w:t>with</w:t>
      </w:r>
      <w:r>
        <w:rPr>
          <w:spacing w:val="35"/>
          <w:vertAlign w:val="baseline"/>
        </w:rPr>
        <w:t> </w:t>
      </w:r>
      <w:r>
        <w:rPr>
          <w:vertAlign w:val="baseline"/>
        </w:rPr>
        <w:t>the</w:t>
      </w:r>
      <w:r>
        <w:rPr>
          <w:spacing w:val="40"/>
          <w:vertAlign w:val="baseline"/>
        </w:rPr>
        <w:t> </w:t>
      </w:r>
      <w:r>
        <w:rPr>
          <w:vertAlign w:val="baseline"/>
        </w:rPr>
        <w:t>y</w:t>
      </w:r>
      <w:r>
        <w:rPr>
          <w:spacing w:val="29"/>
          <w:vertAlign w:val="baseline"/>
        </w:rPr>
        <w:t> </w:t>
      </w:r>
      <w:r>
        <w:rPr>
          <w:vertAlign w:val="baseline"/>
        </w:rPr>
        <w:t>axis.</w:t>
      </w:r>
      <w:r>
        <w:rPr>
          <w:spacing w:val="40"/>
          <w:vertAlign w:val="baseline"/>
        </w:rPr>
        <w:t> </w:t>
      </w:r>
      <w:r>
        <w:rPr>
          <w:vertAlign w:val="baseline"/>
        </w:rPr>
        <w:t>It</w:t>
      </w:r>
      <w:r>
        <w:rPr>
          <w:spacing w:val="40"/>
          <w:vertAlign w:val="baseline"/>
        </w:rPr>
        <w:t> </w:t>
      </w:r>
      <w:r>
        <w:rPr>
          <w:vertAlign w:val="baseline"/>
        </w:rPr>
        <w:t>reflects</w:t>
      </w:r>
      <w:r>
        <w:rPr>
          <w:spacing w:val="36"/>
          <w:vertAlign w:val="baseline"/>
        </w:rPr>
        <w:t> </w:t>
      </w:r>
      <w:r>
        <w:rPr>
          <w:vertAlign w:val="baseline"/>
        </w:rPr>
        <w:t>particle</w:t>
      </w:r>
      <w:r>
        <w:rPr>
          <w:spacing w:val="38"/>
          <w:vertAlign w:val="baseline"/>
        </w:rPr>
        <w:t> </w:t>
      </w:r>
      <w:r>
        <w:rPr>
          <w:vertAlign w:val="baseline"/>
        </w:rPr>
        <w:t>rearrangement and fragmentation.</w:t>
      </w:r>
    </w:p>
    <w:p>
      <w:pPr>
        <w:pStyle w:val="BodyText"/>
        <w:spacing w:line="491" w:lineRule="auto" w:before="4"/>
        <w:ind w:left="665" w:right="1856" w:firstLine="676"/>
        <w:jc w:val="both"/>
      </w:pPr>
      <w:r>
        <w:rPr/>
        <w:t>Alderborn (2002), defined the yield pressure as the stress at which plastic deformation of the particles is initiated which can be derived from the linear part of the Heckel plot. The non-linear parts of the curve has an initial curvature at low pressure which reflects particle fragmentation and rearrangement, while the deviation</w:t>
      </w:r>
      <w:r>
        <w:rPr>
          <w:spacing w:val="40"/>
        </w:rPr>
        <w:t> </w:t>
      </w:r>
      <w:r>
        <w:rPr/>
        <w:t>from a straight</w:t>
      </w:r>
      <w:r>
        <w:rPr>
          <w:spacing w:val="40"/>
        </w:rPr>
        <w:t> </w:t>
      </w:r>
      <w:r>
        <w:rPr/>
        <w:t>line at</w:t>
      </w:r>
      <w:r>
        <w:rPr>
          <w:spacing w:val="40"/>
        </w:rPr>
        <w:t> </w:t>
      </w:r>
      <w:r>
        <w:rPr/>
        <w:t>higher pressure may be as a result of capping and</w:t>
      </w:r>
      <w:r>
        <w:rPr>
          <w:spacing w:val="40"/>
        </w:rPr>
        <w:t> </w:t>
      </w:r>
      <w:r>
        <w:rPr/>
        <w:t>lamination of the </w:t>
      </w:r>
      <w:r>
        <w:rPr>
          <w:spacing w:val="-2"/>
        </w:rPr>
        <w:t>powder.</w:t>
      </w:r>
    </w:p>
    <w:p>
      <w:pPr>
        <w:spacing w:after="0" w:line="491" w:lineRule="auto"/>
        <w:jc w:val="both"/>
        <w:sectPr>
          <w:pgSz w:w="12240" w:h="15840"/>
          <w:pgMar w:header="0" w:footer="999" w:top="1260" w:bottom="1180" w:left="1720" w:right="0"/>
        </w:sectPr>
      </w:pPr>
    </w:p>
    <w:p>
      <w:pPr>
        <w:pStyle w:val="BodyText"/>
        <w:spacing w:line="491" w:lineRule="auto" w:before="75"/>
        <w:ind w:left="665" w:right="1860" w:firstLine="676"/>
        <w:jc w:val="both"/>
      </w:pPr>
      <w:r>
        <w:rPr/>
        <w:t>The</w:t>
      </w:r>
      <w:r>
        <w:rPr>
          <w:spacing w:val="36"/>
        </w:rPr>
        <w:t> </w:t>
      </w:r>
      <w:r>
        <w:rPr/>
        <w:t>Heckel</w:t>
      </w:r>
      <w:r>
        <w:rPr>
          <w:spacing w:val="35"/>
        </w:rPr>
        <w:t> </w:t>
      </w:r>
      <w:r>
        <w:rPr/>
        <w:t>plot</w:t>
      </w:r>
      <w:r>
        <w:rPr>
          <w:spacing w:val="40"/>
        </w:rPr>
        <w:t> </w:t>
      </w:r>
      <w:r>
        <w:rPr/>
        <w:t>and</w:t>
      </w:r>
      <w:r>
        <w:rPr>
          <w:spacing w:val="40"/>
        </w:rPr>
        <w:t> </w:t>
      </w:r>
      <w:r>
        <w:rPr/>
        <w:t>the</w:t>
      </w:r>
      <w:r>
        <w:rPr>
          <w:spacing w:val="40"/>
        </w:rPr>
        <w:t> </w:t>
      </w:r>
      <w:r>
        <w:rPr/>
        <w:t>derived</w:t>
      </w:r>
      <w:r>
        <w:rPr>
          <w:spacing w:val="40"/>
        </w:rPr>
        <w:t> </w:t>
      </w:r>
      <w:r>
        <w:rPr/>
        <w:t>parameters</w:t>
      </w:r>
      <w:r>
        <w:rPr>
          <w:spacing w:val="34"/>
        </w:rPr>
        <w:t> </w:t>
      </w:r>
      <w:r>
        <w:rPr/>
        <w:t>are</w:t>
      </w:r>
      <w:r>
        <w:rPr>
          <w:spacing w:val="36"/>
        </w:rPr>
        <w:t> </w:t>
      </w:r>
      <w:r>
        <w:rPr/>
        <w:t>very</w:t>
      </w:r>
      <w:r>
        <w:rPr>
          <w:spacing w:val="27"/>
        </w:rPr>
        <w:t> </w:t>
      </w:r>
      <w:r>
        <w:rPr/>
        <w:t>sensitive</w:t>
      </w:r>
      <w:r>
        <w:rPr>
          <w:spacing w:val="40"/>
        </w:rPr>
        <w:t> </w:t>
      </w:r>
      <w:r>
        <w:rPr/>
        <w:t>to</w:t>
      </w:r>
      <w:r>
        <w:rPr>
          <w:spacing w:val="40"/>
        </w:rPr>
        <w:t> </w:t>
      </w:r>
      <w:r>
        <w:rPr/>
        <w:t>variations</w:t>
      </w:r>
      <w:r>
        <w:rPr>
          <w:spacing w:val="39"/>
        </w:rPr>
        <w:t> </w:t>
      </w:r>
      <w:r>
        <w:rPr/>
        <w:t>in the experimental conditions, such as the maximum compression pressure applied (Sonnergaard, 1999).</w:t>
      </w:r>
    </w:p>
    <w:p>
      <w:pPr>
        <w:pStyle w:val="Heading2"/>
        <w:numPr>
          <w:ilvl w:val="2"/>
          <w:numId w:val="25"/>
        </w:numPr>
        <w:tabs>
          <w:tab w:pos="1337" w:val="left" w:leader="none"/>
        </w:tabs>
        <w:spacing w:line="240" w:lineRule="auto" w:before="230" w:after="0"/>
        <w:ind w:left="1337" w:right="0" w:hanging="672"/>
        <w:jc w:val="left"/>
      </w:pPr>
      <w:bookmarkStart w:name="_TOC_250094" w:id="67"/>
      <w:r>
        <w:rPr/>
        <w:t>The</w:t>
      </w:r>
      <w:r>
        <w:rPr>
          <w:spacing w:val="9"/>
        </w:rPr>
        <w:t> </w:t>
      </w:r>
      <w:r>
        <w:rPr/>
        <w:t>Kawakita</w:t>
      </w:r>
      <w:r>
        <w:rPr>
          <w:spacing w:val="23"/>
        </w:rPr>
        <w:t> </w:t>
      </w:r>
      <w:bookmarkEnd w:id="67"/>
      <w:r>
        <w:rPr>
          <w:spacing w:val="-2"/>
        </w:rPr>
        <w:t>equation</w:t>
      </w:r>
    </w:p>
    <w:p>
      <w:pPr>
        <w:pStyle w:val="BodyText"/>
        <w:spacing w:line="491" w:lineRule="auto" w:before="213"/>
        <w:ind w:left="665" w:right="1861" w:firstLine="676"/>
        <w:jc w:val="both"/>
      </w:pPr>
      <w:r>
        <w:rPr/>
        <w:t>Kawakita and Ludde, 1971 described the relationship between the compression pressure and the relative volume reduction as expressed</w:t>
      </w:r>
      <w:r>
        <w:rPr>
          <w:spacing w:val="40"/>
        </w:rPr>
        <w:t> </w:t>
      </w:r>
      <w:r>
        <w:rPr/>
        <w:t>by the equation:</w:t>
      </w:r>
    </w:p>
    <w:p>
      <w:pPr>
        <w:spacing w:after="0" w:line="491" w:lineRule="auto"/>
        <w:jc w:val="both"/>
        <w:sectPr>
          <w:pgSz w:w="12240" w:h="15840"/>
          <w:pgMar w:header="0" w:footer="999" w:top="1260" w:bottom="1180" w:left="1720" w:right="0"/>
        </w:sectPr>
      </w:pPr>
    </w:p>
    <w:p>
      <w:pPr>
        <w:pStyle w:val="BodyText"/>
        <w:spacing w:line="153" w:lineRule="auto" w:before="18"/>
        <w:jc w:val="right"/>
        <w:rPr>
          <w:rFonts w:ascii="Cambria Math" w:eastAsia="Cambria Math"/>
        </w:rPr>
      </w:pPr>
      <w:r>
        <w:rPr/>
        <mc:AlternateContent>
          <mc:Choice Requires="wps">
            <w:drawing>
              <wp:anchor distT="0" distB="0" distL="0" distR="0" allowOverlap="1" layoutInCell="1" locked="0" behindDoc="1" simplePos="0" relativeHeight="481984512">
                <wp:simplePos x="0" y="0"/>
                <wp:positionH relativeFrom="page">
                  <wp:posOffset>2880360</wp:posOffset>
                </wp:positionH>
                <wp:positionV relativeFrom="paragraph">
                  <wp:posOffset>197098</wp:posOffset>
                </wp:positionV>
                <wp:extent cx="91440" cy="95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1440" cy="9525"/>
                        </a:xfrm>
                        <a:custGeom>
                          <a:avLst/>
                          <a:gdLst/>
                          <a:ahLst/>
                          <a:cxnLst/>
                          <a:rect l="l" t="t" r="r" b="b"/>
                          <a:pathLst>
                            <a:path w="91440" h="9525">
                              <a:moveTo>
                                <a:pt x="91439" y="0"/>
                              </a:moveTo>
                              <a:lnTo>
                                <a:pt x="0" y="0"/>
                              </a:lnTo>
                              <a:lnTo>
                                <a:pt x="0" y="9144"/>
                              </a:lnTo>
                              <a:lnTo>
                                <a:pt x="91439" y="9144"/>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800003pt;margin-top:15.519585pt;width:7.2pt;height:.72pt;mso-position-horizontal-relative:page;mso-position-vertical-relative:paragraph;z-index:-21331968" id="docshape1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1985024">
                <wp:simplePos x="0" y="0"/>
                <wp:positionH relativeFrom="page">
                  <wp:posOffset>3160776</wp:posOffset>
                </wp:positionH>
                <wp:positionV relativeFrom="paragraph">
                  <wp:posOffset>197098</wp:posOffset>
                </wp:positionV>
                <wp:extent cx="158750" cy="952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58750" cy="9525"/>
                        </a:xfrm>
                        <a:custGeom>
                          <a:avLst/>
                          <a:gdLst/>
                          <a:ahLst/>
                          <a:cxnLst/>
                          <a:rect l="l" t="t" r="r" b="b"/>
                          <a:pathLst>
                            <a:path w="158750" h="9525">
                              <a:moveTo>
                                <a:pt x="158496" y="0"/>
                              </a:moveTo>
                              <a:lnTo>
                                <a:pt x="0" y="0"/>
                              </a:lnTo>
                              <a:lnTo>
                                <a:pt x="0" y="9144"/>
                              </a:lnTo>
                              <a:lnTo>
                                <a:pt x="158496" y="9144"/>
                              </a:lnTo>
                              <a:lnTo>
                                <a:pt x="158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8.880005pt;margin-top:15.519585pt;width:12.48pt;height:.72pt;mso-position-horizontal-relative:page;mso-position-vertical-relative:paragraph;z-index:-21331456" id="docshape13" filled="true" fillcolor="#000000" stroked="false">
                <v:fill type="solid"/>
                <w10:wrap type="none"/>
              </v:rect>
            </w:pict>
          </mc:Fallback>
        </mc:AlternateContent>
      </w:r>
      <w:r>
        <w:rPr>
          <w:rFonts w:ascii="Cambria Math" w:eastAsia="Cambria Math"/>
        </w:rPr>
        <w:t>𝑃</w:t>
      </w:r>
      <w:r>
        <w:rPr>
          <w:rFonts w:ascii="Cambria Math" w:eastAsia="Cambria Math"/>
          <w:spacing w:val="7"/>
        </w:rPr>
        <w:t> </w:t>
      </w:r>
      <w:r>
        <w:rPr>
          <w:rFonts w:ascii="Cambria Math" w:eastAsia="Cambria Math"/>
          <w:position w:val="-16"/>
        </w:rPr>
        <w:t>=</w:t>
      </w:r>
      <w:r>
        <w:rPr>
          <w:rFonts w:ascii="Cambria Math" w:eastAsia="Cambria Math"/>
          <w:spacing w:val="72"/>
          <w:w w:val="150"/>
          <w:position w:val="-16"/>
        </w:rPr>
        <w:t> </w:t>
      </w:r>
      <w:r>
        <w:rPr>
          <w:rFonts w:ascii="Cambria Math" w:eastAsia="Cambria Math"/>
          <w:spacing w:val="-10"/>
        </w:rPr>
        <w:t>1</w:t>
      </w:r>
    </w:p>
    <w:p>
      <w:pPr>
        <w:pStyle w:val="BodyText"/>
        <w:spacing w:line="352" w:lineRule="exact" w:before="3"/>
        <w:ind w:left="75"/>
        <w:rPr>
          <w:rFonts w:ascii="Cambria Math" w:hAnsi="Cambria Math" w:eastAsia="Cambria Math"/>
        </w:rPr>
      </w:pPr>
      <w:r>
        <w:rPr/>
        <w:br w:type="column"/>
      </w:r>
      <w:r>
        <w:rPr>
          <w:rFonts w:ascii="Cambria Math" w:hAnsi="Cambria Math" w:eastAsia="Cambria Math"/>
        </w:rPr>
        <w:t>+</w:t>
      </w:r>
      <w:r>
        <w:rPr>
          <w:rFonts w:ascii="Cambria Math" w:hAnsi="Cambria Math" w:eastAsia="Cambria Math"/>
          <w:spacing w:val="40"/>
        </w:rPr>
        <w:t> </w:t>
      </w:r>
      <w:r>
        <w:rPr>
          <w:rFonts w:ascii="Cambria Math" w:hAnsi="Cambria Math" w:eastAsia="Cambria Math"/>
          <w:position w:val="17"/>
        </w:rPr>
        <w:t>𝑃</w:t>
      </w:r>
      <w:r>
        <w:rPr>
          <w:rFonts w:ascii="Cambria Math" w:hAnsi="Cambria Math" w:eastAsia="Cambria Math"/>
          <w:spacing w:val="-6"/>
          <w:position w:val="17"/>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7"/>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spacing w:val="-5"/>
        </w:rPr>
        <w:t>(2)</w:t>
      </w:r>
    </w:p>
    <w:p>
      <w:pPr>
        <w:spacing w:after="0" w:line="352" w:lineRule="exact"/>
        <w:rPr>
          <w:rFonts w:ascii="Cambria Math" w:hAnsi="Cambria Math" w:eastAsia="Cambria Math"/>
        </w:rPr>
        <w:sectPr>
          <w:type w:val="continuous"/>
          <w:pgSz w:w="12240" w:h="15840"/>
          <w:pgMar w:header="0" w:footer="999" w:top="1780" w:bottom="1180" w:left="1720" w:right="0"/>
          <w:cols w:num="2" w:equalWidth="0">
            <w:col w:w="3445" w:space="40"/>
            <w:col w:w="7035"/>
          </w:cols>
        </w:sectPr>
      </w:pPr>
    </w:p>
    <w:p>
      <w:pPr>
        <w:tabs>
          <w:tab w:pos="3257" w:val="left" w:leader="none"/>
          <w:tab w:pos="3780" w:val="left" w:leader="none"/>
        </w:tabs>
        <w:spacing w:line="224" w:lineRule="exact" w:before="0"/>
        <w:ind w:left="2816" w:right="0" w:firstLine="0"/>
        <w:jc w:val="left"/>
        <w:rPr>
          <w:rFonts w:ascii="Cambria Math" w:eastAsia="Cambria Math"/>
          <w:sz w:val="22"/>
        </w:rPr>
      </w:pPr>
      <w:r>
        <w:rPr/>
        <mc:AlternateContent>
          <mc:Choice Requires="wps">
            <w:drawing>
              <wp:anchor distT="0" distB="0" distL="0" distR="0" allowOverlap="1" layoutInCell="1" locked="0" behindDoc="1" simplePos="0" relativeHeight="481985536">
                <wp:simplePos x="0" y="0"/>
                <wp:positionH relativeFrom="page">
                  <wp:posOffset>3489959</wp:posOffset>
                </wp:positionH>
                <wp:positionV relativeFrom="paragraph">
                  <wp:posOffset>-28737</wp:posOffset>
                </wp:positionV>
                <wp:extent cx="91440" cy="95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1440" cy="9525"/>
                        </a:xfrm>
                        <a:custGeom>
                          <a:avLst/>
                          <a:gdLst/>
                          <a:ahLst/>
                          <a:cxnLst/>
                          <a:rect l="l" t="t" r="r" b="b"/>
                          <a:pathLst>
                            <a:path w="91440" h="9525">
                              <a:moveTo>
                                <a:pt x="91439" y="0"/>
                              </a:moveTo>
                              <a:lnTo>
                                <a:pt x="0" y="0"/>
                              </a:lnTo>
                              <a:lnTo>
                                <a:pt x="0" y="9144"/>
                              </a:lnTo>
                              <a:lnTo>
                                <a:pt x="91439" y="9144"/>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799988pt;margin-top:-2.262813pt;width:7.2pt;height:.72pt;mso-position-horizontal-relative:page;mso-position-vertical-relative:paragraph;z-index:-21330944" id="docshape14" filled="true" fillcolor="#000000" stroked="false">
                <v:fill type="solid"/>
                <w10:wrap type="none"/>
              </v:rect>
            </w:pict>
          </mc:Fallback>
        </mc:AlternateContent>
      </w:r>
      <w:r>
        <w:rPr>
          <w:rFonts w:ascii="Cambria Math" w:eastAsia="Cambria Math"/>
          <w:spacing w:val="-10"/>
          <w:sz w:val="22"/>
        </w:rPr>
        <w:t>𝐶</w:t>
      </w:r>
      <w:r>
        <w:rPr>
          <w:rFonts w:ascii="Cambria Math" w:eastAsia="Cambria Math"/>
          <w:sz w:val="22"/>
        </w:rPr>
        <w:tab/>
      </w:r>
      <w:r>
        <w:rPr>
          <w:rFonts w:ascii="Cambria Math" w:eastAsia="Cambria Math"/>
          <w:spacing w:val="-5"/>
          <w:sz w:val="22"/>
        </w:rPr>
        <w:t>𝑎𝑏</w:t>
      </w:r>
      <w:r>
        <w:rPr>
          <w:rFonts w:ascii="Cambria Math" w:eastAsia="Cambria Math"/>
          <w:sz w:val="22"/>
        </w:rPr>
        <w:tab/>
      </w:r>
      <w:r>
        <w:rPr>
          <w:rFonts w:ascii="Cambria Math" w:eastAsia="Cambria Math"/>
          <w:spacing w:val="-10"/>
          <w:sz w:val="22"/>
        </w:rPr>
        <w:t>𝑎</w:t>
      </w:r>
    </w:p>
    <w:p>
      <w:pPr>
        <w:pStyle w:val="BodyText"/>
        <w:spacing w:line="491" w:lineRule="auto" w:before="225"/>
        <w:ind w:left="665" w:right="1858"/>
        <w:jc w:val="both"/>
      </w:pPr>
      <w:r>
        <w:rPr/>
        <w:t>Where C is the degree of reduction in volume (i.e., the ratio between the change in volume, which is the difference in the initial volume (V</w:t>
      </w:r>
      <w:r>
        <w:rPr>
          <w:vertAlign w:val="subscript"/>
        </w:rPr>
        <w:t>O</w:t>
      </w:r>
      <w:r>
        <w:rPr>
          <w:vertAlign w:val="baseline"/>
        </w:rPr>
        <w:t>) and the volume at applied pressure (V), and the initial volume). Particular attention has to be paid to the determination</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initial</w:t>
      </w:r>
      <w:r>
        <w:rPr>
          <w:spacing w:val="40"/>
          <w:vertAlign w:val="baseline"/>
        </w:rPr>
        <w:t> </w:t>
      </w:r>
      <w:r>
        <w:rPr>
          <w:vertAlign w:val="baseline"/>
        </w:rPr>
        <w:t>volume</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powder</w:t>
      </w:r>
      <w:r>
        <w:rPr>
          <w:spacing w:val="40"/>
          <w:vertAlign w:val="baseline"/>
        </w:rPr>
        <w:t> </w:t>
      </w:r>
      <w:r>
        <w:rPr>
          <w:vertAlign w:val="baseline"/>
        </w:rPr>
        <w:t>to</w:t>
      </w:r>
      <w:r>
        <w:rPr>
          <w:spacing w:val="40"/>
          <w:vertAlign w:val="baseline"/>
        </w:rPr>
        <w:t> </w:t>
      </w:r>
      <w:r>
        <w:rPr>
          <w:vertAlign w:val="baseline"/>
        </w:rPr>
        <w:t>prevent</w:t>
      </w:r>
      <w:r>
        <w:rPr>
          <w:spacing w:val="40"/>
          <w:vertAlign w:val="baseline"/>
        </w:rPr>
        <w:t> </w:t>
      </w:r>
      <w:r>
        <w:rPr>
          <w:vertAlign w:val="baseline"/>
        </w:rPr>
        <w:t>deviation</w:t>
      </w:r>
      <w:r>
        <w:rPr>
          <w:spacing w:val="40"/>
          <w:vertAlign w:val="baseline"/>
        </w:rPr>
        <w:t> </w:t>
      </w:r>
      <w:r>
        <w:rPr>
          <w:vertAlign w:val="baseline"/>
        </w:rPr>
        <w:t>from</w:t>
      </w:r>
      <w:r>
        <w:rPr>
          <w:spacing w:val="40"/>
          <w:vertAlign w:val="baseline"/>
        </w:rPr>
        <w:t> </w:t>
      </w:r>
      <w:r>
        <w:rPr>
          <w:vertAlign w:val="baseline"/>
        </w:rPr>
        <w:t>the </w:t>
      </w:r>
      <w:r>
        <w:rPr>
          <w:spacing w:val="-2"/>
          <w:vertAlign w:val="baseline"/>
        </w:rPr>
        <w:t>equation.</w:t>
      </w:r>
    </w:p>
    <w:p>
      <w:pPr>
        <w:spacing w:after="0" w:line="491" w:lineRule="auto"/>
        <w:jc w:val="both"/>
        <w:sectPr>
          <w:type w:val="continuous"/>
          <w:pgSz w:w="12240" w:h="15840"/>
          <w:pgMar w:header="0" w:footer="999" w:top="1780" w:bottom="1180" w:left="1720" w:right="0"/>
        </w:sectPr>
      </w:pPr>
    </w:p>
    <w:p>
      <w:pPr>
        <w:spacing w:before="140"/>
        <w:ind w:left="0" w:right="0" w:firstLine="0"/>
        <w:jc w:val="right"/>
        <w:rPr>
          <w:rFonts w:ascii="Cambria Math" w:eastAsia="Cambria Math"/>
          <w:sz w:val="22"/>
        </w:rPr>
      </w:pPr>
      <w:r>
        <w:rPr>
          <w:rFonts w:ascii="Cambria Math" w:eastAsia="Cambria Math"/>
          <w:sz w:val="22"/>
        </w:rPr>
        <w:t>𝐶</w:t>
      </w:r>
      <w:r>
        <w:rPr>
          <w:rFonts w:ascii="Cambria Math" w:eastAsia="Cambria Math"/>
          <w:spacing w:val="25"/>
          <w:sz w:val="22"/>
        </w:rPr>
        <w:t> </w:t>
      </w:r>
      <w:r>
        <w:rPr>
          <w:rFonts w:ascii="Cambria Math" w:eastAsia="Cambria Math"/>
          <w:spacing w:val="-10"/>
          <w:sz w:val="22"/>
        </w:rPr>
        <w:t>=</w:t>
      </w:r>
    </w:p>
    <w:p>
      <w:pPr>
        <w:pStyle w:val="BodyText"/>
        <w:spacing w:line="225" w:lineRule="exact"/>
        <w:ind w:left="118"/>
        <w:jc w:val="center"/>
        <w:rPr>
          <w:rFonts w:ascii="Cambria Math" w:hAnsi="Cambria Math" w:eastAsia="Cambria Math"/>
        </w:rPr>
      </w:pPr>
      <w:r>
        <w:rPr/>
        <w:br w:type="column"/>
      </w:r>
      <w:r>
        <w:rPr>
          <w:rFonts w:ascii="Cambria Math" w:hAnsi="Cambria Math" w:eastAsia="Cambria Math"/>
          <w:spacing w:val="-7"/>
          <w:w w:val="110"/>
        </w:rPr>
        <w:t>𝑉</w:t>
      </w:r>
      <w:r>
        <w:rPr>
          <w:rFonts w:ascii="Cambria Math" w:hAnsi="Cambria Math" w:eastAsia="Cambria Math"/>
          <w:spacing w:val="-7"/>
          <w:w w:val="110"/>
          <w:vertAlign w:val="subscript"/>
        </w:rPr>
        <w:t>0−</w:t>
      </w:r>
      <w:r>
        <w:rPr>
          <w:rFonts w:ascii="Cambria Math" w:hAnsi="Cambria Math" w:eastAsia="Cambria Math"/>
          <w:spacing w:val="-7"/>
          <w:w w:val="110"/>
          <w:vertAlign w:val="baseline"/>
        </w:rPr>
        <w:t>𝑉</w:t>
      </w:r>
    </w:p>
    <w:p>
      <w:pPr>
        <w:pStyle w:val="BodyText"/>
        <w:spacing w:before="5"/>
        <w:rPr>
          <w:rFonts w:ascii="Cambria Math"/>
          <w:sz w:val="4"/>
        </w:rPr>
      </w:pPr>
    </w:p>
    <w:p>
      <w:pPr>
        <w:pStyle w:val="BodyText"/>
        <w:spacing w:line="20" w:lineRule="exact"/>
        <w:ind w:left="118" w:right="-72"/>
        <w:rPr>
          <w:rFonts w:ascii="Cambria Math"/>
          <w:sz w:val="2"/>
        </w:rPr>
      </w:pPr>
      <w:r>
        <w:rPr>
          <w:rFonts w:ascii="Cambria Math"/>
          <w:sz w:val="2"/>
        </w:rPr>
        <mc:AlternateContent>
          <mc:Choice Requires="wps">
            <w:drawing>
              <wp:inline distT="0" distB="0" distL="0" distR="0">
                <wp:extent cx="317500" cy="6350"/>
                <wp:effectExtent l="0" t="0" r="0" b="0"/>
                <wp:docPr id="17" name="Group 17"/>
                <wp:cNvGraphicFramePr>
                  <a:graphicFrameLocks/>
                </wp:cNvGraphicFramePr>
                <a:graphic>
                  <a:graphicData uri="http://schemas.microsoft.com/office/word/2010/wordprocessingGroup">
                    <wpg:wgp>
                      <wpg:cNvPr id="17" name="Group 17"/>
                      <wpg:cNvGrpSpPr/>
                      <wpg:grpSpPr>
                        <a:xfrm>
                          <a:off x="0" y="0"/>
                          <a:ext cx="317500" cy="6350"/>
                          <a:chExt cx="317500" cy="6350"/>
                        </a:xfrm>
                      </wpg:grpSpPr>
                      <wps:wsp>
                        <wps:cNvPr id="18" name="Graphic 18"/>
                        <wps:cNvSpPr/>
                        <wps:spPr>
                          <a:xfrm>
                            <a:off x="0" y="0"/>
                            <a:ext cx="317500" cy="6350"/>
                          </a:xfrm>
                          <a:custGeom>
                            <a:avLst/>
                            <a:gdLst/>
                            <a:ahLst/>
                            <a:cxnLst/>
                            <a:rect l="l" t="t" r="r" b="b"/>
                            <a:pathLst>
                              <a:path w="317500" h="6350">
                                <a:moveTo>
                                  <a:pt x="316992" y="0"/>
                                </a:moveTo>
                                <a:lnTo>
                                  <a:pt x="0" y="0"/>
                                </a:lnTo>
                                <a:lnTo>
                                  <a:pt x="0" y="6096"/>
                                </a:lnTo>
                                <a:lnTo>
                                  <a:pt x="316992" y="6096"/>
                                </a:lnTo>
                                <a:lnTo>
                                  <a:pt x="3169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pt;height:.5pt;mso-position-horizontal-relative:char;mso-position-vertical-relative:line" id="docshapegroup15" coordorigin="0,0" coordsize="500,10">
                <v:rect style="position:absolute;left:0;top:0;width:500;height:10" id="docshape16" filled="true" fillcolor="#000000" stroked="false">
                  <v:fill type="solid"/>
                </v:rect>
              </v:group>
            </w:pict>
          </mc:Fallback>
        </mc:AlternateContent>
      </w:r>
      <w:r>
        <w:rPr>
          <w:rFonts w:ascii="Cambria Math"/>
          <w:sz w:val="2"/>
        </w:rPr>
      </w:r>
    </w:p>
    <w:p>
      <w:pPr>
        <w:pStyle w:val="BodyText"/>
        <w:ind w:left="106"/>
        <w:jc w:val="center"/>
        <w:rPr>
          <w:rFonts w:ascii="Cambria Math" w:eastAsia="Cambria Math"/>
        </w:rPr>
      </w:pPr>
      <w:r>
        <w:rPr>
          <w:rFonts w:ascii="Cambria Math" w:eastAsia="Cambria Math"/>
          <w:spacing w:val="-5"/>
          <w:w w:val="125"/>
        </w:rPr>
        <w:t>𝑉</w:t>
      </w:r>
      <w:r>
        <w:rPr>
          <w:rFonts w:ascii="Cambria Math" w:eastAsia="Cambria Math"/>
          <w:spacing w:val="-5"/>
          <w:w w:val="125"/>
          <w:vertAlign w:val="subscript"/>
        </w:rPr>
        <w:t>0</w:t>
      </w:r>
    </w:p>
    <w:p>
      <w:pPr>
        <w:pStyle w:val="BodyText"/>
        <w:spacing w:before="140"/>
        <w:ind w:left="6"/>
        <w:rPr>
          <w:rFonts w:ascii="Cambria Math" w:hAnsi="Cambria Math"/>
        </w:rPr>
      </w:pPr>
      <w:r>
        <w:rPr/>
        <w:br w:type="column"/>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3"/>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8"/>
        </w:rPr>
        <w:t> </w:t>
      </w:r>
      <w:r>
        <w:rPr>
          <w:rFonts w:ascii="Cambria Math" w:hAnsi="Cambria Math"/>
        </w:rPr>
        <w:t>…</w:t>
      </w:r>
      <w:r>
        <w:rPr>
          <w:rFonts w:ascii="Cambria Math" w:hAnsi="Cambria Math"/>
          <w:spacing w:val="-4"/>
        </w:rPr>
        <w:t> </w:t>
      </w:r>
      <w:r>
        <w:rPr>
          <w:rFonts w:ascii="Cambria Math" w:hAnsi="Cambria Math"/>
        </w:rPr>
        <w:t>…</w:t>
      </w:r>
      <w:r>
        <w:rPr>
          <w:rFonts w:ascii="Cambria Math" w:hAnsi="Cambria Math"/>
          <w:spacing w:val="-8"/>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9"/>
        </w:rPr>
        <w:t> </w:t>
      </w:r>
      <w:r>
        <w:rPr>
          <w:rFonts w:ascii="Cambria Math" w:hAnsi="Cambria Math"/>
        </w:rPr>
        <w:t>…</w:t>
      </w:r>
      <w:r>
        <w:rPr>
          <w:rFonts w:ascii="Cambria Math" w:hAnsi="Cambria Math"/>
          <w:spacing w:val="-3"/>
        </w:rPr>
        <w:t> </w:t>
      </w:r>
      <w:r>
        <w:rPr>
          <w:rFonts w:ascii="Cambria Math" w:hAnsi="Cambria Math"/>
        </w:rPr>
        <w:t>…</w:t>
      </w:r>
      <w:r>
        <w:rPr>
          <w:rFonts w:ascii="Cambria Math" w:hAnsi="Cambria Math"/>
          <w:spacing w:val="-14"/>
        </w:rPr>
        <w:t> </w:t>
      </w:r>
      <w:r>
        <w:rPr>
          <w:rFonts w:ascii="Cambria Math" w:hAnsi="Cambria Math"/>
          <w:spacing w:val="-5"/>
        </w:rPr>
        <w:t>(3)</w:t>
      </w:r>
    </w:p>
    <w:p>
      <w:pPr>
        <w:spacing w:after="0"/>
        <w:rPr>
          <w:rFonts w:ascii="Cambria Math" w:hAnsi="Cambria Math"/>
        </w:rPr>
        <w:sectPr>
          <w:type w:val="continuous"/>
          <w:pgSz w:w="12240" w:h="15840"/>
          <w:pgMar w:header="0" w:footer="999" w:top="1780" w:bottom="1180" w:left="1720" w:right="0"/>
          <w:cols w:num="3" w:equalWidth="0">
            <w:col w:w="2874" w:space="40"/>
            <w:col w:w="610" w:space="39"/>
            <w:col w:w="6957"/>
          </w:cols>
        </w:sectPr>
      </w:pPr>
    </w:p>
    <w:p>
      <w:pPr>
        <w:pStyle w:val="BodyText"/>
        <w:rPr>
          <w:rFonts w:ascii="Cambria Math"/>
        </w:rPr>
      </w:pPr>
    </w:p>
    <w:p>
      <w:pPr>
        <w:pStyle w:val="BodyText"/>
        <w:rPr>
          <w:rFonts w:ascii="Cambria Math"/>
        </w:rPr>
      </w:pPr>
    </w:p>
    <w:p>
      <w:pPr>
        <w:pStyle w:val="BodyText"/>
        <w:spacing w:before="10"/>
        <w:rPr>
          <w:rFonts w:ascii="Cambria Math"/>
        </w:rPr>
      </w:pPr>
    </w:p>
    <w:p>
      <w:pPr>
        <w:pStyle w:val="BodyText"/>
        <w:spacing w:line="491" w:lineRule="auto"/>
        <w:ind w:left="665" w:right="1862"/>
        <w:jc w:val="both"/>
      </w:pPr>
      <w:r>
        <w:rPr/>
        <w:t>P is the applied compression pressure, </w:t>
      </w:r>
      <w:r>
        <w:rPr>
          <w:b/>
        </w:rPr>
        <w:t>(a) </w:t>
      </w:r>
      <w:r>
        <w:rPr/>
        <w:t>and (</w:t>
      </w:r>
      <w:r>
        <w:rPr>
          <w:b/>
        </w:rPr>
        <w:t>b) </w:t>
      </w:r>
      <w:r>
        <w:rPr/>
        <w:t>are constants characterizing the compression behaviour of the powder.</w:t>
      </w:r>
    </w:p>
    <w:p>
      <w:pPr>
        <w:pStyle w:val="BodyText"/>
        <w:spacing w:line="491" w:lineRule="auto"/>
        <w:ind w:left="665" w:right="1858" w:firstLine="676"/>
        <w:jc w:val="both"/>
      </w:pPr>
      <w:r>
        <w:rPr/>
        <w:t>The linear relationship P/C and P makes it possible to derive values for the constants </w:t>
      </w:r>
      <w:r>
        <w:rPr>
          <w:b/>
        </w:rPr>
        <w:t>(a) </w:t>
      </w:r>
      <w:r>
        <w:rPr/>
        <w:t>and </w:t>
      </w:r>
      <w:r>
        <w:rPr>
          <w:b/>
        </w:rPr>
        <w:t>(b) </w:t>
      </w:r>
      <w:r>
        <w:rPr/>
        <w:t>by linear regression. The compression parameter </w:t>
      </w:r>
      <w:r>
        <w:rPr>
          <w:b/>
        </w:rPr>
        <w:t>(a)</w:t>
      </w:r>
      <w:r>
        <w:rPr>
          <w:b/>
          <w:spacing w:val="80"/>
        </w:rPr>
        <w:t> </w:t>
      </w:r>
      <w:r>
        <w:rPr/>
        <w:t>reflects the</w:t>
      </w:r>
      <w:r>
        <w:rPr>
          <w:spacing w:val="40"/>
        </w:rPr>
        <w:t> </w:t>
      </w:r>
      <w:r>
        <w:rPr/>
        <w:t>total degree of compression at infinite pressure and the reciprocal of the compression parameter </w:t>
      </w:r>
      <w:r>
        <w:rPr>
          <w:b/>
        </w:rPr>
        <w:t>(b)</w:t>
      </w:r>
      <w:r>
        <w:rPr/>
        <w:t>, 1/b, is considered to provide an indicator of the deformation or failure</w:t>
      </w:r>
      <w:r>
        <w:rPr>
          <w:spacing w:val="40"/>
        </w:rPr>
        <w:t> </w:t>
      </w:r>
      <w:r>
        <w:rPr/>
        <w:t>stress of the particle</w:t>
      </w:r>
      <w:r>
        <w:rPr>
          <w:spacing w:val="80"/>
        </w:rPr>
        <w:t>  </w:t>
      </w:r>
      <w:r>
        <w:rPr/>
        <w:t>(Kawakita </w:t>
      </w:r>
      <w:r>
        <w:rPr>
          <w:i/>
        </w:rPr>
        <w:t>et al., </w:t>
      </w:r>
      <w:r>
        <w:rPr/>
        <w:t>1977; Adams and McKeown, 1996; Nicklasson and</w:t>
      </w:r>
      <w:r>
        <w:rPr>
          <w:spacing w:val="40"/>
        </w:rPr>
        <w:t> </w:t>
      </w:r>
      <w:r>
        <w:rPr/>
        <w:t>Alderborn,</w:t>
      </w:r>
      <w:r>
        <w:rPr>
          <w:spacing w:val="40"/>
        </w:rPr>
        <w:t> </w:t>
      </w:r>
      <w:r>
        <w:rPr/>
        <w:t>2000).</w:t>
      </w:r>
      <w:r>
        <w:rPr>
          <w:spacing w:val="40"/>
        </w:rPr>
        <w:t> </w:t>
      </w:r>
      <w:r>
        <w:rPr/>
        <w:t>Mathematically,</w:t>
      </w:r>
      <w:r>
        <w:rPr>
          <w:spacing w:val="40"/>
        </w:rPr>
        <w:t> </w:t>
      </w:r>
      <w:r>
        <w:rPr/>
        <w:t>1/b</w:t>
      </w:r>
      <w:r>
        <w:rPr>
          <w:spacing w:val="40"/>
        </w:rPr>
        <w:t> </w:t>
      </w:r>
      <w:r>
        <w:rPr/>
        <w:t>is</w:t>
      </w:r>
      <w:r>
        <w:rPr>
          <w:spacing w:val="40"/>
        </w:rPr>
        <w:t> </w:t>
      </w:r>
      <w:r>
        <w:rPr/>
        <w:t>the</w:t>
      </w:r>
      <w:r>
        <w:rPr>
          <w:spacing w:val="40"/>
        </w:rPr>
        <w:t> </w:t>
      </w:r>
      <w:r>
        <w:rPr/>
        <w:t>pressure</w:t>
      </w:r>
      <w:r>
        <w:rPr>
          <w:spacing w:val="40"/>
        </w:rPr>
        <w:t> </w:t>
      </w:r>
      <w:r>
        <w:rPr/>
        <w:t>needed</w:t>
      </w:r>
      <w:r>
        <w:rPr>
          <w:spacing w:val="40"/>
        </w:rPr>
        <w:t> </w:t>
      </w:r>
      <w:r>
        <w:rPr/>
        <w:t>to</w:t>
      </w:r>
      <w:r>
        <w:rPr>
          <w:spacing w:val="40"/>
        </w:rPr>
        <w:t> </w:t>
      </w:r>
      <w:r>
        <w:rPr/>
        <w:t>compress</w:t>
      </w:r>
      <w:r>
        <w:rPr>
          <w:spacing w:val="40"/>
        </w:rPr>
        <w:t> </w:t>
      </w:r>
      <w:r>
        <w:rPr/>
        <w:t>the powder to one half of the total volume reduction, predicted as </w:t>
      </w:r>
      <w:r>
        <w:rPr>
          <w:b/>
        </w:rPr>
        <w:t>(a)</w:t>
      </w:r>
      <w:r>
        <w:rPr/>
        <w:t>.</w:t>
      </w:r>
    </w:p>
    <w:p>
      <w:pPr>
        <w:spacing w:after="0" w:line="491" w:lineRule="auto"/>
        <w:jc w:val="both"/>
        <w:sectPr>
          <w:type w:val="continuous"/>
          <w:pgSz w:w="12240" w:h="15840"/>
          <w:pgMar w:header="0" w:footer="999" w:top="1780" w:bottom="1180" w:left="1720" w:right="0"/>
        </w:sectPr>
      </w:pPr>
    </w:p>
    <w:p>
      <w:pPr>
        <w:pStyle w:val="BodyText"/>
        <w:spacing w:line="491" w:lineRule="auto" w:before="75"/>
        <w:ind w:left="665" w:right="1854" w:firstLine="676"/>
        <w:jc w:val="both"/>
      </w:pPr>
      <w:r>
        <w:rPr/>
        <w:t>The Kawakita equation is best used for soft and fluffy powders compressed into high porosity powder beds under a</w:t>
      </w:r>
      <w:r>
        <w:rPr>
          <w:spacing w:val="40"/>
        </w:rPr>
        <w:t> </w:t>
      </w:r>
      <w:r>
        <w:rPr/>
        <w:t>low compression pressure</w:t>
      </w:r>
      <w:r>
        <w:rPr>
          <w:spacing w:val="40"/>
        </w:rPr>
        <w:t> </w:t>
      </w:r>
      <w:r>
        <w:rPr/>
        <w:t>(Kawakita</w:t>
      </w:r>
      <w:r>
        <w:rPr>
          <w:spacing w:val="40"/>
        </w:rPr>
        <w:t> </w:t>
      </w:r>
      <w:r>
        <w:rPr/>
        <w:t>and</w:t>
      </w:r>
      <w:r>
        <w:rPr>
          <w:spacing w:val="40"/>
        </w:rPr>
        <w:t> </w:t>
      </w:r>
      <w:r>
        <w:rPr/>
        <w:t>Ludde, 1971; Denny, 2002).</w:t>
      </w:r>
    </w:p>
    <w:p>
      <w:pPr>
        <w:pStyle w:val="BodyText"/>
        <w:spacing w:line="491" w:lineRule="auto"/>
        <w:ind w:left="665" w:right="1859" w:firstLine="504"/>
        <w:jc w:val="both"/>
      </w:pPr>
      <w:r>
        <w:rPr/>
        <w:t>Kawakita equation is used frequently for investigation of pharmaceutical powders. Kawakita equation provides a promising means of assessing the compression mechanics</w:t>
      </w:r>
      <w:r>
        <w:rPr>
          <w:spacing w:val="40"/>
        </w:rPr>
        <w:t> </w:t>
      </w:r>
      <w:r>
        <w:rPr/>
        <w:t>of granules (Alderborn, 2002).</w:t>
      </w:r>
    </w:p>
    <w:p>
      <w:pPr>
        <w:pStyle w:val="Heading2"/>
        <w:numPr>
          <w:ilvl w:val="2"/>
          <w:numId w:val="25"/>
        </w:numPr>
        <w:tabs>
          <w:tab w:pos="1285" w:val="left" w:leader="none"/>
        </w:tabs>
        <w:spacing w:line="240" w:lineRule="auto" w:before="4" w:after="0"/>
        <w:ind w:left="1285" w:right="0" w:hanging="620"/>
        <w:jc w:val="left"/>
      </w:pPr>
      <w:bookmarkStart w:name="_TOC_250093" w:id="68"/>
      <w:r>
        <w:rPr/>
        <w:t>Adams</w:t>
      </w:r>
      <w:r>
        <w:rPr>
          <w:spacing w:val="10"/>
        </w:rPr>
        <w:t> </w:t>
      </w:r>
      <w:bookmarkEnd w:id="68"/>
      <w:r>
        <w:rPr>
          <w:spacing w:val="-2"/>
        </w:rPr>
        <w:t>Equation</w:t>
      </w:r>
    </w:p>
    <w:p>
      <w:pPr>
        <w:pStyle w:val="BodyText"/>
        <w:spacing w:before="7"/>
        <w:rPr>
          <w:b/>
        </w:rPr>
      </w:pPr>
    </w:p>
    <w:p>
      <w:pPr>
        <w:pStyle w:val="BodyText"/>
        <w:spacing w:line="491" w:lineRule="auto"/>
        <w:ind w:left="665" w:right="1854"/>
        <w:jc w:val="both"/>
      </w:pPr>
      <w:r>
        <w:rPr/>
        <w:t>The Adams equation was derived in order to estimate the fracture strength of single granules</w:t>
      </w:r>
      <w:r>
        <w:rPr>
          <w:spacing w:val="24"/>
        </w:rPr>
        <w:t> </w:t>
      </w:r>
      <w:r>
        <w:rPr/>
        <w:t>from</w:t>
      </w:r>
      <w:r>
        <w:rPr>
          <w:spacing w:val="17"/>
        </w:rPr>
        <w:t> </w:t>
      </w:r>
      <w:r>
        <w:rPr/>
        <w:t>in-die</w:t>
      </w:r>
      <w:r>
        <w:rPr>
          <w:spacing w:val="22"/>
        </w:rPr>
        <w:t> </w:t>
      </w:r>
      <w:r>
        <w:rPr/>
        <w:t>compression</w:t>
      </w:r>
      <w:r>
        <w:rPr>
          <w:spacing w:val="17"/>
        </w:rPr>
        <w:t> </w:t>
      </w:r>
      <w:r>
        <w:rPr/>
        <w:t>data.</w:t>
      </w:r>
      <w:r>
        <w:rPr>
          <w:spacing w:val="27"/>
        </w:rPr>
        <w:t> </w:t>
      </w:r>
      <w:r>
        <w:rPr/>
        <w:t>It</w:t>
      </w:r>
      <w:r>
        <w:rPr>
          <w:spacing w:val="21"/>
        </w:rPr>
        <w:t> </w:t>
      </w:r>
      <w:r>
        <w:rPr/>
        <w:t>models</w:t>
      </w:r>
      <w:r>
        <w:rPr>
          <w:spacing w:val="24"/>
        </w:rPr>
        <w:t> </w:t>
      </w:r>
      <w:r>
        <w:rPr/>
        <w:t>the</w:t>
      </w:r>
      <w:r>
        <w:rPr>
          <w:spacing w:val="21"/>
        </w:rPr>
        <w:t> </w:t>
      </w:r>
      <w:r>
        <w:rPr/>
        <w:t>bed</w:t>
      </w:r>
      <w:r>
        <w:rPr>
          <w:spacing w:val="28"/>
        </w:rPr>
        <w:t> </w:t>
      </w:r>
      <w:r>
        <w:rPr/>
        <w:t>granules</w:t>
      </w:r>
      <w:r>
        <w:rPr>
          <w:spacing w:val="24"/>
        </w:rPr>
        <w:t> </w:t>
      </w:r>
      <w:r>
        <w:rPr/>
        <w:t>in</w:t>
      </w:r>
      <w:r>
        <w:rPr>
          <w:spacing w:val="17"/>
        </w:rPr>
        <w:t> </w:t>
      </w:r>
      <w:r>
        <w:rPr/>
        <w:t>the</w:t>
      </w:r>
      <w:r>
        <w:rPr>
          <w:spacing w:val="21"/>
        </w:rPr>
        <w:t> </w:t>
      </w:r>
      <w:r>
        <w:rPr/>
        <w:t>die</w:t>
      </w:r>
      <w:r>
        <w:rPr>
          <w:spacing w:val="16"/>
        </w:rPr>
        <w:t> </w:t>
      </w:r>
      <w:r>
        <w:rPr/>
        <w:t>as</w:t>
      </w:r>
      <w:r>
        <w:rPr>
          <w:spacing w:val="18"/>
        </w:rPr>
        <w:t> </w:t>
      </w:r>
      <w:r>
        <w:rPr/>
        <w:t>a</w:t>
      </w:r>
      <w:r>
        <w:rPr>
          <w:spacing w:val="21"/>
        </w:rPr>
        <w:t> </w:t>
      </w:r>
      <w:r>
        <w:rPr/>
        <w:t>series of</w:t>
      </w:r>
      <w:r>
        <w:rPr>
          <w:spacing w:val="14"/>
        </w:rPr>
        <w:t> </w:t>
      </w:r>
      <w:r>
        <w:rPr/>
        <w:t>parallel</w:t>
      </w:r>
      <w:r>
        <w:rPr>
          <w:spacing w:val="18"/>
        </w:rPr>
        <w:t> </w:t>
      </w:r>
      <w:r>
        <w:rPr/>
        <w:t>load</w:t>
      </w:r>
      <w:r>
        <w:rPr>
          <w:spacing w:val="26"/>
        </w:rPr>
        <w:t> </w:t>
      </w:r>
      <w:r>
        <w:rPr/>
        <w:t>bearing</w:t>
      </w:r>
      <w:r>
        <w:rPr>
          <w:spacing w:val="16"/>
        </w:rPr>
        <w:t> </w:t>
      </w:r>
      <w:r>
        <w:rPr/>
        <w:t>columns</w:t>
      </w:r>
      <w:r>
        <w:rPr>
          <w:spacing w:val="21"/>
        </w:rPr>
        <w:t> </w:t>
      </w:r>
      <w:r>
        <w:rPr/>
        <w:t>(Adams</w:t>
      </w:r>
      <w:r>
        <w:rPr>
          <w:spacing w:val="17"/>
        </w:rPr>
        <w:t> </w:t>
      </w:r>
      <w:r>
        <w:rPr/>
        <w:t>and</w:t>
      </w:r>
      <w:r>
        <w:rPr>
          <w:spacing w:val="30"/>
        </w:rPr>
        <w:t> </w:t>
      </w:r>
      <w:r>
        <w:rPr/>
        <w:t>Mckeown,</w:t>
      </w:r>
      <w:r>
        <w:rPr>
          <w:spacing w:val="19"/>
        </w:rPr>
        <w:t> </w:t>
      </w:r>
      <w:r>
        <w:rPr/>
        <w:t>1996).</w:t>
      </w:r>
      <w:r>
        <w:rPr>
          <w:spacing w:val="19"/>
        </w:rPr>
        <w:t> </w:t>
      </w:r>
      <w:r>
        <w:rPr/>
        <w:t>The</w:t>
      </w:r>
      <w:r>
        <w:rPr>
          <w:spacing w:val="20"/>
        </w:rPr>
        <w:t> </w:t>
      </w:r>
      <w:r>
        <w:rPr/>
        <w:t>following</w:t>
      </w:r>
      <w:r>
        <w:rPr>
          <w:spacing w:val="15"/>
        </w:rPr>
        <w:t> </w:t>
      </w:r>
      <w:r>
        <w:rPr>
          <w:spacing w:val="-2"/>
        </w:rPr>
        <w:t>equation</w:t>
      </w:r>
    </w:p>
    <w:p>
      <w:pPr>
        <w:spacing w:after="0" w:line="491" w:lineRule="auto"/>
        <w:jc w:val="both"/>
        <w:sectPr>
          <w:pgSz w:w="12240" w:h="15840"/>
          <w:pgMar w:header="0" w:footer="999" w:top="1260" w:bottom="1180" w:left="1720" w:right="0"/>
        </w:sectPr>
      </w:pPr>
    </w:p>
    <w:p>
      <w:pPr>
        <w:pStyle w:val="BodyText"/>
        <w:spacing w:before="4"/>
        <w:ind w:left="665"/>
      </w:pPr>
      <w:r>
        <w:rPr/>
        <w:t>was</w:t>
      </w:r>
      <w:r>
        <w:rPr>
          <w:spacing w:val="7"/>
        </w:rPr>
        <w:t> </w:t>
      </w:r>
      <w:r>
        <w:rPr>
          <w:spacing w:val="-2"/>
        </w:rPr>
        <w:t>derived:</w:t>
      </w:r>
    </w:p>
    <w:p>
      <w:pPr>
        <w:pStyle w:val="BodyText"/>
        <w:spacing w:before="148"/>
      </w:pPr>
    </w:p>
    <w:p>
      <w:pPr>
        <w:pStyle w:val="BodyText"/>
        <w:ind w:left="1116"/>
        <w:rPr>
          <w:rFonts w:ascii="Cambria Math" w:eastAsia="Cambria Math"/>
        </w:rPr>
      </w:pPr>
      <w:r>
        <w:rPr>
          <w:rFonts w:ascii="Cambria Math" w:eastAsia="Cambria Math"/>
        </w:rPr>
        <w:t>𝑙𝑛𝑃</w:t>
      </w:r>
      <w:r>
        <w:rPr>
          <w:rFonts w:ascii="Cambria Math" w:eastAsia="Cambria Math"/>
          <w:spacing w:val="6"/>
        </w:rPr>
        <w:t> </w:t>
      </w:r>
      <w:r>
        <w:rPr>
          <w:rFonts w:ascii="Cambria Math" w:eastAsia="Cambria Math"/>
        </w:rPr>
        <w:t>=</w:t>
      </w:r>
      <w:r>
        <w:rPr>
          <w:rFonts w:ascii="Cambria Math" w:eastAsia="Cambria Math"/>
          <w:spacing w:val="38"/>
        </w:rPr>
        <w:t> </w:t>
      </w:r>
      <w:r>
        <w:rPr>
          <w:rFonts w:ascii="Cambria Math" w:eastAsia="Cambria Math"/>
          <w:spacing w:val="-5"/>
        </w:rPr>
        <w:t>ln</w:t>
      </w:r>
    </w:p>
    <w:p>
      <w:pPr>
        <w:spacing w:line="240" w:lineRule="auto" w:before="0"/>
        <w:rPr>
          <w:rFonts w:ascii="Cambria Math"/>
          <w:sz w:val="22"/>
        </w:rPr>
      </w:pPr>
      <w:r>
        <w:rPr/>
        <w:br w:type="column"/>
      </w:r>
      <w:r>
        <w:rPr>
          <w:rFonts w:ascii="Cambria Math"/>
          <w:sz w:val="22"/>
        </w:rPr>
      </w:r>
    </w:p>
    <w:p>
      <w:pPr>
        <w:pStyle w:val="BodyText"/>
        <w:spacing w:before="39"/>
        <w:rPr>
          <w:rFonts w:ascii="Cambria Math"/>
        </w:rPr>
      </w:pPr>
    </w:p>
    <w:p>
      <w:pPr>
        <w:spacing w:line="160" w:lineRule="auto" w:before="0"/>
        <w:ind w:left="0" w:right="0" w:firstLine="86"/>
        <w:jc w:val="left"/>
        <w:rPr>
          <w:rFonts w:ascii="Cambria Math" w:eastAsia="Cambria Math"/>
          <w:sz w:val="22"/>
        </w:rPr>
      </w:pPr>
      <w:r>
        <w:rPr>
          <w:rFonts w:ascii="Cambria Math" w:eastAsia="Cambria Math"/>
          <w:spacing w:val="-6"/>
          <w:w w:val="115"/>
          <w:sz w:val="22"/>
          <w:u w:val="single"/>
        </w:rPr>
        <w:t>𝑇</w:t>
      </w:r>
      <w:r>
        <w:rPr>
          <w:rFonts w:ascii="Cambria Math" w:eastAsia="Cambria Math"/>
          <w:spacing w:val="-6"/>
          <w:w w:val="115"/>
          <w:sz w:val="22"/>
          <w:u w:val="single"/>
          <w:vertAlign w:val="subscript"/>
        </w:rPr>
        <w:t>𝑜</w:t>
      </w:r>
      <w:r>
        <w:rPr>
          <w:rFonts w:ascii="Cambria Math" w:eastAsia="Cambria Math"/>
          <w:spacing w:val="-6"/>
          <w:w w:val="115"/>
          <w:sz w:val="22"/>
          <w:vertAlign w:val="baseline"/>
        </w:rPr>
        <w:t> </w:t>
      </w:r>
      <w:r>
        <w:rPr>
          <w:rFonts w:ascii="Cambria Math" w:eastAsia="Cambria Math"/>
          <w:sz w:val="22"/>
          <w:vertAlign w:val="baseline"/>
        </w:rPr>
        <w:t>[</w:t>
      </w:r>
      <w:r>
        <w:rPr>
          <w:rFonts w:ascii="Cambria Math" w:eastAsia="Cambria Math"/>
          <w:spacing w:val="-10"/>
          <w:sz w:val="22"/>
          <w:vertAlign w:val="baseline"/>
        </w:rPr>
        <w:t> </w:t>
      </w:r>
      <w:r>
        <w:rPr>
          <w:rFonts w:ascii="Cambria Math" w:eastAsia="Cambria Math"/>
          <w:position w:val="-14"/>
          <w:sz w:val="22"/>
          <w:vertAlign w:val="baseline"/>
        </w:rPr>
        <w:t>𝛼 </w:t>
      </w:r>
      <w:r>
        <w:rPr>
          <w:rFonts w:ascii="Cambria Math" w:eastAsia="Cambria Math"/>
          <w:spacing w:val="-10"/>
          <w:sz w:val="22"/>
          <w:vertAlign w:val="baseline"/>
        </w:rPr>
        <w:t>]</w:t>
      </w:r>
    </w:p>
    <w:p>
      <w:pPr>
        <w:spacing w:line="240" w:lineRule="auto" w:before="0"/>
        <w:rPr>
          <w:rFonts w:ascii="Cambria Math"/>
          <w:sz w:val="22"/>
        </w:rPr>
      </w:pPr>
      <w:r>
        <w:rPr/>
        <w:br w:type="column"/>
      </w:r>
      <w:r>
        <w:rPr>
          <w:rFonts w:ascii="Cambria Math"/>
          <w:sz w:val="22"/>
        </w:rPr>
      </w:r>
    </w:p>
    <w:p>
      <w:pPr>
        <w:pStyle w:val="BodyText"/>
        <w:spacing w:before="142"/>
        <w:rPr>
          <w:rFonts w:ascii="Cambria Math"/>
        </w:rPr>
      </w:pPr>
    </w:p>
    <w:p>
      <w:pPr>
        <w:pStyle w:val="BodyText"/>
        <w:tabs>
          <w:tab w:pos="5485" w:val="left" w:leader="dot"/>
        </w:tabs>
        <w:spacing w:before="1"/>
        <w:ind w:left="4"/>
        <w:rPr>
          <w:rFonts w:ascii="Cambria Math" w:hAnsi="Cambria Math" w:eastAsia="Cambria Math"/>
        </w:rPr>
      </w:pPr>
      <w:r>
        <w:rPr>
          <w:rFonts w:ascii="Cambria Math" w:hAnsi="Cambria Math" w:eastAsia="Cambria Math"/>
        </w:rPr>
        <w:t>+</w:t>
      </w:r>
      <w:r>
        <w:rPr>
          <w:rFonts w:ascii="Cambria Math" w:hAnsi="Cambria Math" w:eastAsia="Cambria Math"/>
          <w:spacing w:val="32"/>
        </w:rPr>
        <w:t> </w:t>
      </w:r>
      <w:r>
        <w:rPr>
          <w:rFonts w:ascii="Cambria Math" w:hAnsi="Cambria Math" w:eastAsia="Cambria Math"/>
        </w:rPr>
        <w:t>𝛼</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20"/>
        </w:rPr>
        <w:t> </w:t>
      </w:r>
      <w:r>
        <w:rPr>
          <w:rFonts w:ascii="Cambria Math" w:hAnsi="Cambria Math" w:eastAsia="Cambria Math"/>
        </w:rPr>
        <w:t>ln[1</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spacing w:val="-2"/>
        </w:rPr>
        <w:t>𝑒</w:t>
      </w:r>
      <w:r>
        <w:rPr>
          <w:rFonts w:ascii="Cambria Math" w:hAnsi="Cambria Math" w:eastAsia="Cambria Math"/>
          <w:spacing w:val="-2"/>
          <w:vertAlign w:val="superscript"/>
        </w:rPr>
        <w:t>(−𝛼∈)</w:t>
      </w:r>
      <w:r>
        <w:rPr>
          <w:rFonts w:ascii="Cambria Math" w:hAnsi="Cambria Math" w:eastAsia="Cambria Math"/>
          <w:spacing w:val="-2"/>
          <w:vertAlign w:val="baseline"/>
        </w:rPr>
        <w:t>]</w:t>
      </w:r>
      <w:r>
        <w:rPr>
          <w:vertAlign w:val="baseline"/>
        </w:rPr>
        <w:tab/>
      </w:r>
      <w:r>
        <w:rPr>
          <w:rFonts w:ascii="Cambria Math" w:hAnsi="Cambria Math" w:eastAsia="Cambria Math"/>
          <w:spacing w:val="-5"/>
          <w:vertAlign w:val="baseline"/>
        </w:rPr>
        <w:t>(4)</w:t>
      </w:r>
    </w:p>
    <w:p>
      <w:pPr>
        <w:spacing w:after="0"/>
        <w:rPr>
          <w:rFonts w:ascii="Cambria Math" w:hAnsi="Cambria Math" w:eastAsia="Cambria Math"/>
        </w:rPr>
        <w:sectPr>
          <w:type w:val="continuous"/>
          <w:pgSz w:w="12240" w:h="15840"/>
          <w:pgMar w:header="0" w:footer="999" w:top="1780" w:bottom="1180" w:left="1720" w:right="0"/>
          <w:cols w:num="3" w:equalWidth="0">
            <w:col w:w="1949" w:space="37"/>
            <w:col w:w="383" w:space="39"/>
            <w:col w:w="8112"/>
          </w:cols>
        </w:sectPr>
      </w:pPr>
    </w:p>
    <w:p>
      <w:pPr>
        <w:pStyle w:val="BodyText"/>
        <w:spacing w:before="250"/>
        <w:ind w:left="665"/>
        <w:jc w:val="both"/>
      </w:pPr>
      <w:r>
        <w:rPr/>
        <w:t>Where</w:t>
      </w:r>
      <w:r>
        <w:rPr>
          <w:spacing w:val="9"/>
        </w:rPr>
        <w:t> </w:t>
      </w:r>
      <w:r>
        <w:rPr/>
        <w:t>P</w:t>
      </w:r>
      <w:r>
        <w:rPr>
          <w:spacing w:val="8"/>
        </w:rPr>
        <w:t> </w:t>
      </w:r>
      <w:r>
        <w:rPr/>
        <w:t>is</w:t>
      </w:r>
      <w:r>
        <w:rPr>
          <w:spacing w:val="6"/>
        </w:rPr>
        <w:t> </w:t>
      </w:r>
      <w:r>
        <w:rPr/>
        <w:t>the</w:t>
      </w:r>
      <w:r>
        <w:rPr>
          <w:spacing w:val="9"/>
        </w:rPr>
        <w:t> </w:t>
      </w:r>
      <w:r>
        <w:rPr/>
        <w:t>applied</w:t>
      </w:r>
      <w:r>
        <w:rPr>
          <w:spacing w:val="6"/>
        </w:rPr>
        <w:t> </w:t>
      </w:r>
      <w:r>
        <w:rPr/>
        <w:t>pressure</w:t>
      </w:r>
      <w:r>
        <w:rPr>
          <w:spacing w:val="9"/>
        </w:rPr>
        <w:t> </w:t>
      </w:r>
      <w:r>
        <w:rPr/>
        <w:t>and</w:t>
      </w:r>
      <w:r>
        <w:rPr>
          <w:spacing w:val="6"/>
        </w:rPr>
        <w:t> </w:t>
      </w:r>
      <w:r>
        <w:rPr/>
        <w:t>E</w:t>
      </w:r>
      <w:r>
        <w:rPr>
          <w:spacing w:val="15"/>
        </w:rPr>
        <w:t> </w:t>
      </w:r>
      <w:r>
        <w:rPr/>
        <w:t>is</w:t>
      </w:r>
      <w:r>
        <w:rPr>
          <w:spacing w:val="6"/>
        </w:rPr>
        <w:t> </w:t>
      </w:r>
      <w:r>
        <w:rPr/>
        <w:t>the</w:t>
      </w:r>
      <w:r>
        <w:rPr>
          <w:spacing w:val="9"/>
        </w:rPr>
        <w:t> </w:t>
      </w:r>
      <w:r>
        <w:rPr/>
        <w:t>natural</w:t>
      </w:r>
      <w:r>
        <w:rPr>
          <w:spacing w:val="8"/>
        </w:rPr>
        <w:t> </w:t>
      </w:r>
      <w:r>
        <w:rPr/>
        <w:t>strain</w:t>
      </w:r>
      <w:r>
        <w:rPr>
          <w:spacing w:val="1"/>
        </w:rPr>
        <w:t> </w:t>
      </w:r>
      <w:r>
        <w:rPr/>
        <w:t>which</w:t>
      </w:r>
      <w:r>
        <w:rPr>
          <w:spacing w:val="11"/>
        </w:rPr>
        <w:t> </w:t>
      </w:r>
      <w:r>
        <w:rPr/>
        <w:t>is</w:t>
      </w:r>
      <w:r>
        <w:rPr>
          <w:spacing w:val="7"/>
        </w:rPr>
        <w:t> </w:t>
      </w:r>
      <w:r>
        <w:rPr/>
        <w:t>given</w:t>
      </w:r>
      <w:r>
        <w:rPr>
          <w:spacing w:val="5"/>
        </w:rPr>
        <w:t> </w:t>
      </w:r>
      <w:r>
        <w:rPr>
          <w:spacing w:val="-5"/>
        </w:rPr>
        <w:t>by;</w:t>
      </w:r>
    </w:p>
    <w:p>
      <w:pPr>
        <w:pStyle w:val="BodyText"/>
        <w:spacing w:before="9"/>
      </w:pPr>
    </w:p>
    <w:p>
      <w:pPr>
        <w:pStyle w:val="BodyText"/>
        <w:tabs>
          <w:tab w:pos="5534" w:val="left" w:leader="dot"/>
        </w:tabs>
        <w:ind w:right="1195"/>
        <w:jc w:val="center"/>
        <w:rPr>
          <w:rFonts w:ascii="Cambria Math" w:hAnsi="Cambria Math" w:eastAsia="Cambria Math"/>
        </w:rPr>
      </w:pPr>
      <w:r>
        <w:rPr>
          <w:rFonts w:ascii="Cambria Math" w:hAnsi="Cambria Math" w:eastAsia="Cambria Math"/>
          <w:spacing w:val="-2"/>
        </w:rPr>
        <w:t>∈=</w:t>
      </w:r>
      <w:r>
        <w:rPr>
          <w:rFonts w:ascii="Cambria Math" w:hAnsi="Cambria Math" w:eastAsia="Cambria Math"/>
          <w:spacing w:val="19"/>
        </w:rPr>
        <w:t> </w:t>
      </w:r>
      <w:r>
        <w:rPr>
          <w:rFonts w:ascii="Cambria Math" w:hAnsi="Cambria Math" w:eastAsia="Cambria Math"/>
          <w:spacing w:val="-2"/>
        </w:rPr>
        <w:t>ln[𝐻</w:t>
      </w:r>
      <w:r>
        <w:rPr>
          <w:rFonts w:ascii="Cambria Math" w:hAnsi="Cambria Math" w:eastAsia="Cambria Math"/>
          <w:spacing w:val="-2"/>
          <w:position w:val="-4"/>
          <w:sz w:val="15"/>
        </w:rPr>
        <w:t>𝑜</w:t>
      </w:r>
      <w:r>
        <w:rPr>
          <w:rFonts w:ascii="Cambria Math" w:hAnsi="Cambria Math" w:eastAsia="Cambria Math"/>
          <w:spacing w:val="-2"/>
        </w:rPr>
        <w:t>/𝐻</w:t>
      </w:r>
      <w:r>
        <w:rPr>
          <w:rFonts w:ascii="Cambria Math" w:hAnsi="Cambria Math" w:eastAsia="Cambria Math"/>
          <w:spacing w:val="-2"/>
          <w:position w:val="-4"/>
          <w:sz w:val="15"/>
        </w:rPr>
        <w:t>𝑃</w:t>
      </w:r>
      <w:r>
        <w:rPr>
          <w:rFonts w:ascii="Cambria Math" w:hAnsi="Cambria Math" w:eastAsia="Cambria Math"/>
          <w:spacing w:val="-2"/>
        </w:rPr>
        <w:t>]</w:t>
      </w:r>
      <w:r>
        <w:rPr>
          <w:rFonts w:ascii="Cambria Math" w:hAnsi="Cambria Math" w:eastAsia="Cambria Math"/>
        </w:rPr>
        <w:tab/>
      </w:r>
      <w:r>
        <w:rPr>
          <w:rFonts w:ascii="Cambria Math" w:hAnsi="Cambria Math" w:eastAsia="Cambria Math"/>
          <w:spacing w:val="-5"/>
        </w:rPr>
        <w:t>(5)</w:t>
      </w:r>
    </w:p>
    <w:p>
      <w:pPr>
        <w:pStyle w:val="BodyText"/>
        <w:spacing w:line="494" w:lineRule="auto" w:before="239"/>
        <w:ind w:left="665" w:right="1849"/>
        <w:jc w:val="both"/>
      </w:pPr>
      <w:r>
        <w:rPr/>
        <w:t>where</w:t>
      </w:r>
      <w:r>
        <w:rPr>
          <w:spacing w:val="26"/>
        </w:rPr>
        <w:t> </w:t>
      </w:r>
      <w:r>
        <w:rPr/>
        <w:t>H</w:t>
      </w:r>
      <w:r>
        <w:rPr>
          <w:vertAlign w:val="subscript"/>
        </w:rPr>
        <w:t>o</w:t>
      </w:r>
      <w:r>
        <w:rPr>
          <w:vertAlign w:val="baseline"/>
        </w:rPr>
        <w:t> and</w:t>
      </w:r>
      <w:r>
        <w:rPr>
          <w:spacing w:val="29"/>
          <w:vertAlign w:val="baseline"/>
        </w:rPr>
        <w:t> </w:t>
      </w:r>
      <w:r>
        <w:rPr>
          <w:vertAlign w:val="baseline"/>
        </w:rPr>
        <w:t>H</w:t>
      </w:r>
      <w:r>
        <w:rPr>
          <w:vertAlign w:val="subscript"/>
        </w:rPr>
        <w:t>P</w:t>
      </w:r>
      <w:r>
        <w:rPr>
          <w:vertAlign w:val="baseline"/>
        </w:rPr>
        <w:t> are the</w:t>
      </w:r>
      <w:r>
        <w:rPr>
          <w:spacing w:val="26"/>
          <w:vertAlign w:val="baseline"/>
        </w:rPr>
        <w:t> </w:t>
      </w:r>
      <w:r>
        <w:rPr>
          <w:vertAlign w:val="baseline"/>
        </w:rPr>
        <w:t>initial</w:t>
      </w:r>
      <w:r>
        <w:rPr>
          <w:spacing w:val="20"/>
          <w:vertAlign w:val="baseline"/>
        </w:rPr>
        <w:t> </w:t>
      </w:r>
      <w:r>
        <w:rPr>
          <w:vertAlign w:val="baseline"/>
        </w:rPr>
        <w:t>and</w:t>
      </w:r>
      <w:r>
        <w:rPr>
          <w:spacing w:val="29"/>
          <w:vertAlign w:val="baseline"/>
        </w:rPr>
        <w:t> </w:t>
      </w:r>
      <w:r>
        <w:rPr>
          <w:vertAlign w:val="baseline"/>
        </w:rPr>
        <w:t>current</w:t>
      </w:r>
      <w:r>
        <w:rPr>
          <w:spacing w:val="25"/>
          <w:vertAlign w:val="baseline"/>
        </w:rPr>
        <w:t> </w:t>
      </w:r>
      <w:r>
        <w:rPr>
          <w:vertAlign w:val="baseline"/>
        </w:rPr>
        <w:t>height</w:t>
      </w:r>
      <w:r>
        <w:rPr>
          <w:spacing w:val="25"/>
          <w:vertAlign w:val="baseline"/>
        </w:rPr>
        <w:t> </w:t>
      </w:r>
      <w:r>
        <w:rPr>
          <w:vertAlign w:val="baseline"/>
        </w:rPr>
        <w:t>of</w:t>
      </w:r>
      <w:r>
        <w:rPr>
          <w:spacing w:val="17"/>
          <w:vertAlign w:val="baseline"/>
        </w:rPr>
        <w:t> </w:t>
      </w:r>
      <w:r>
        <w:rPr>
          <w:vertAlign w:val="baseline"/>
        </w:rPr>
        <w:t>the</w:t>
      </w:r>
      <w:r>
        <w:rPr>
          <w:spacing w:val="26"/>
          <w:vertAlign w:val="baseline"/>
        </w:rPr>
        <w:t> </w:t>
      </w:r>
      <w:r>
        <w:rPr>
          <w:vertAlign w:val="baseline"/>
        </w:rPr>
        <w:t>bed</w:t>
      </w:r>
      <w:r>
        <w:rPr>
          <w:spacing w:val="23"/>
          <w:vertAlign w:val="baseline"/>
        </w:rPr>
        <w:t> </w:t>
      </w:r>
      <w:r>
        <w:rPr>
          <w:vertAlign w:val="baseline"/>
        </w:rPr>
        <w:t>respectively.</w:t>
      </w:r>
      <w:r>
        <w:rPr>
          <w:spacing w:val="28"/>
          <w:vertAlign w:val="baseline"/>
        </w:rPr>
        <w:t> </w:t>
      </w:r>
      <w:r>
        <w:rPr>
          <w:vertAlign w:val="baseline"/>
        </w:rPr>
        <w:t>The</w:t>
      </w:r>
      <w:r>
        <w:rPr>
          <w:spacing w:val="26"/>
          <w:vertAlign w:val="baseline"/>
        </w:rPr>
        <w:t> </w:t>
      </w:r>
      <w:r>
        <w:rPr>
          <w:vertAlign w:val="baseline"/>
        </w:rPr>
        <w:t>quantity T</w:t>
      </w:r>
      <w:r>
        <w:rPr>
          <w:vertAlign w:val="subscript"/>
        </w:rPr>
        <w:t>o</w:t>
      </w:r>
      <w:r>
        <w:rPr>
          <w:vertAlign w:val="baseline"/>
        </w:rPr>
        <w:t> is the</w:t>
      </w:r>
      <w:r>
        <w:rPr>
          <w:spacing w:val="24"/>
          <w:vertAlign w:val="baseline"/>
        </w:rPr>
        <w:t> </w:t>
      </w:r>
      <w:r>
        <w:rPr>
          <w:vertAlign w:val="baseline"/>
        </w:rPr>
        <w:t>apparent</w:t>
      </w:r>
      <w:r>
        <w:rPr>
          <w:spacing w:val="24"/>
          <w:vertAlign w:val="baseline"/>
        </w:rPr>
        <w:t> </w:t>
      </w:r>
      <w:r>
        <w:rPr>
          <w:vertAlign w:val="baseline"/>
        </w:rPr>
        <w:t>single</w:t>
      </w:r>
      <w:r>
        <w:rPr>
          <w:spacing w:val="24"/>
          <w:vertAlign w:val="baseline"/>
        </w:rPr>
        <w:t> </w:t>
      </w:r>
      <w:r>
        <w:rPr>
          <w:vertAlign w:val="baseline"/>
        </w:rPr>
        <w:t>agglomerate</w:t>
      </w:r>
      <w:r>
        <w:rPr>
          <w:spacing w:val="24"/>
          <w:vertAlign w:val="baseline"/>
        </w:rPr>
        <w:t> </w:t>
      </w:r>
      <w:r>
        <w:rPr>
          <w:vertAlign w:val="baseline"/>
        </w:rPr>
        <w:t>strength which is related</w:t>
      </w:r>
      <w:r>
        <w:rPr>
          <w:spacing w:val="27"/>
          <w:vertAlign w:val="baseline"/>
        </w:rPr>
        <w:t> </w:t>
      </w:r>
      <w:r>
        <w:rPr>
          <w:vertAlign w:val="baseline"/>
        </w:rPr>
        <w:t>to</w:t>
      </w:r>
      <w:r>
        <w:rPr>
          <w:spacing w:val="27"/>
          <w:vertAlign w:val="baseline"/>
        </w:rPr>
        <w:t> </w:t>
      </w:r>
      <w:r>
        <w:rPr>
          <w:vertAlign w:val="baseline"/>
        </w:rPr>
        <w:t>the</w:t>
      </w:r>
      <w:r>
        <w:rPr>
          <w:spacing w:val="26"/>
          <w:vertAlign w:val="baseline"/>
        </w:rPr>
        <w:t> </w:t>
      </w:r>
      <w:r>
        <w:rPr>
          <w:vertAlign w:val="baseline"/>
        </w:rPr>
        <w:t>actual strength by the following expression:</w:t>
      </w:r>
    </w:p>
    <w:p>
      <w:pPr>
        <w:pStyle w:val="BodyText"/>
        <w:spacing w:line="251" w:lineRule="exact"/>
        <w:ind w:left="1070" w:right="2265"/>
        <w:jc w:val="center"/>
        <w:rPr>
          <w:rFonts w:ascii="Cambria Math" w:hAnsi="Cambria Math" w:eastAsia="Cambria Math"/>
        </w:rPr>
      </w:pPr>
      <w:r>
        <w:rPr>
          <w:rFonts w:ascii="Cambria Math" w:hAnsi="Cambria Math" w:eastAsia="Cambria Math"/>
        </w:rPr>
        <w:t>𝛼</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62"/>
        </w:rPr>
        <w:t> </w:t>
      </w:r>
      <w:r>
        <w:rPr>
          <w:rFonts w:ascii="Cambria Math" w:hAnsi="Cambria Math" w:eastAsia="Cambria Math"/>
        </w:rPr>
        <w:t>𝑘</w:t>
      </w:r>
      <w:r>
        <w:rPr>
          <w:rFonts w:ascii="Cambria Math" w:hAnsi="Cambria Math" w:eastAsia="Cambria Math"/>
          <w:vertAlign w:val="subscript"/>
        </w:rPr>
        <w:t>2</w:t>
      </w:r>
      <w:r>
        <w:rPr>
          <w:rFonts w:ascii="Cambria Math" w:hAnsi="Cambria Math" w:eastAsia="Cambria Math"/>
          <w:vertAlign w:val="baseline"/>
        </w:rPr>
        <w:t>𝑎</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spacing w:val="-5"/>
          <w:vertAlign w:val="baseline"/>
        </w:rPr>
        <w:t>(6)</w:t>
      </w:r>
    </w:p>
    <w:p>
      <w:pPr>
        <w:pStyle w:val="BodyText"/>
        <w:spacing w:before="16"/>
        <w:rPr>
          <w:rFonts w:ascii="Cambria Math"/>
        </w:rPr>
      </w:pPr>
    </w:p>
    <w:p>
      <w:pPr>
        <w:pStyle w:val="BodyText"/>
        <w:ind w:left="665"/>
        <w:jc w:val="both"/>
      </w:pPr>
      <w:r>
        <w:rPr/>
        <w:t>where</w:t>
      </w:r>
      <w:r>
        <w:rPr>
          <w:spacing w:val="6"/>
        </w:rPr>
        <w:t> </w:t>
      </w:r>
      <w:r>
        <w:rPr>
          <w:i/>
        </w:rPr>
        <w:t>K</w:t>
      </w:r>
      <w:r>
        <w:rPr>
          <w:vertAlign w:val="subscript"/>
        </w:rPr>
        <w:t>2</w:t>
      </w:r>
      <w:r>
        <w:rPr>
          <w:spacing w:val="8"/>
          <w:vertAlign w:val="baseline"/>
        </w:rPr>
        <w:t> </w:t>
      </w:r>
      <w:r>
        <w:rPr>
          <w:vertAlign w:val="baseline"/>
        </w:rPr>
        <w:t>is</w:t>
      </w:r>
      <w:r>
        <w:rPr>
          <w:spacing w:val="4"/>
          <w:vertAlign w:val="baseline"/>
        </w:rPr>
        <w:t> </w:t>
      </w:r>
      <w:r>
        <w:rPr>
          <w:vertAlign w:val="baseline"/>
        </w:rPr>
        <w:t>a</w:t>
      </w:r>
      <w:r>
        <w:rPr>
          <w:spacing w:val="7"/>
          <w:vertAlign w:val="baseline"/>
        </w:rPr>
        <w:t> </w:t>
      </w:r>
      <w:r>
        <w:rPr>
          <w:spacing w:val="-2"/>
          <w:vertAlign w:val="baseline"/>
        </w:rPr>
        <w:t>constant.</w:t>
      </w:r>
    </w:p>
    <w:p>
      <w:pPr>
        <w:pStyle w:val="BodyText"/>
        <w:spacing w:before="12"/>
      </w:pPr>
    </w:p>
    <w:p>
      <w:pPr>
        <w:pStyle w:val="BodyText"/>
        <w:spacing w:line="491" w:lineRule="auto"/>
        <w:ind w:left="665" w:right="1854"/>
        <w:jc w:val="both"/>
      </w:pPr>
      <w:r>
        <w:rPr/>
        <w:t>At higher values of the natural strain, the last term of the Adams equation becomes negligible and can be omitted, leaving a linear function. The intercept and slope of this linear</w:t>
      </w:r>
      <w:r>
        <w:rPr>
          <w:spacing w:val="37"/>
        </w:rPr>
        <w:t> </w:t>
      </w:r>
      <w:r>
        <w:rPr/>
        <w:t>part of the profile were used</w:t>
      </w:r>
      <w:r>
        <w:rPr>
          <w:spacing w:val="37"/>
        </w:rPr>
        <w:t> </w:t>
      </w:r>
      <w:r>
        <w:rPr/>
        <w:t>to calculate compression parameter T</w:t>
      </w:r>
      <w:r>
        <w:rPr>
          <w:vertAlign w:val="subscript"/>
        </w:rPr>
        <w:t>o</w:t>
      </w:r>
      <w:r>
        <w:rPr>
          <w:vertAlign w:val="baseline"/>
        </w:rPr>
        <w:t>.</w:t>
      </w:r>
    </w:p>
    <w:p>
      <w:pPr>
        <w:pStyle w:val="Heading2"/>
        <w:numPr>
          <w:ilvl w:val="1"/>
          <w:numId w:val="25"/>
        </w:numPr>
        <w:tabs>
          <w:tab w:pos="1342" w:val="left" w:leader="none"/>
        </w:tabs>
        <w:spacing w:line="240" w:lineRule="auto" w:before="230" w:after="0"/>
        <w:ind w:left="1342" w:right="0" w:hanging="677"/>
        <w:jc w:val="left"/>
      </w:pPr>
      <w:r>
        <w:rPr/>
        <w:t>Tablet</w:t>
      </w:r>
      <w:r>
        <w:rPr>
          <w:spacing w:val="15"/>
        </w:rPr>
        <w:t> </w:t>
      </w:r>
      <w:r>
        <w:rPr>
          <w:spacing w:val="-2"/>
        </w:rPr>
        <w:t>Defects</w:t>
      </w:r>
    </w:p>
    <w:p>
      <w:pPr>
        <w:pStyle w:val="BodyText"/>
        <w:spacing w:before="246"/>
        <w:ind w:left="1137" w:right="2265"/>
        <w:jc w:val="center"/>
      </w:pPr>
      <w:r>
        <w:rPr/>
        <w:t>Some</w:t>
      </w:r>
      <w:r>
        <w:rPr>
          <w:spacing w:val="-2"/>
        </w:rPr>
        <w:t> </w:t>
      </w:r>
      <w:r>
        <w:rPr/>
        <w:t>of</w:t>
      </w:r>
      <w:r>
        <w:rPr>
          <w:spacing w:val="6"/>
        </w:rPr>
        <w:t> </w:t>
      </w:r>
      <w:r>
        <w:rPr/>
        <w:t>the</w:t>
      </w:r>
      <w:r>
        <w:rPr>
          <w:spacing w:val="10"/>
        </w:rPr>
        <w:t> </w:t>
      </w:r>
      <w:r>
        <w:rPr/>
        <w:t>major</w:t>
      </w:r>
      <w:r>
        <w:rPr>
          <w:spacing w:val="12"/>
        </w:rPr>
        <w:t> </w:t>
      </w:r>
      <w:r>
        <w:rPr/>
        <w:t>tablet</w:t>
      </w:r>
      <w:r>
        <w:rPr>
          <w:spacing w:val="13"/>
        </w:rPr>
        <w:t> </w:t>
      </w:r>
      <w:r>
        <w:rPr/>
        <w:t>defects</w:t>
      </w:r>
      <w:r>
        <w:rPr>
          <w:spacing w:val="14"/>
        </w:rPr>
        <w:t> </w:t>
      </w:r>
      <w:r>
        <w:rPr/>
        <w:t>include:</w:t>
      </w:r>
      <w:r>
        <w:rPr>
          <w:spacing w:val="67"/>
        </w:rPr>
        <w:t> </w:t>
      </w:r>
      <w:r>
        <w:rPr/>
        <w:t>Pitting,</w:t>
      </w:r>
      <w:r>
        <w:rPr>
          <w:spacing w:val="17"/>
        </w:rPr>
        <w:t> </w:t>
      </w:r>
      <w:r>
        <w:rPr/>
        <w:t>capping</w:t>
      </w:r>
      <w:r>
        <w:rPr>
          <w:spacing w:val="7"/>
        </w:rPr>
        <w:t> </w:t>
      </w:r>
      <w:r>
        <w:rPr/>
        <w:t>and</w:t>
      </w:r>
      <w:r>
        <w:rPr>
          <w:spacing w:val="18"/>
        </w:rPr>
        <w:t> </w:t>
      </w:r>
      <w:r>
        <w:rPr>
          <w:spacing w:val="-2"/>
        </w:rPr>
        <w:t>lamination.</w:t>
      </w:r>
    </w:p>
    <w:p>
      <w:pPr>
        <w:spacing w:after="0"/>
        <w:jc w:val="center"/>
        <w:sectPr>
          <w:type w:val="continuous"/>
          <w:pgSz w:w="12240" w:h="15840"/>
          <w:pgMar w:header="0" w:footer="999" w:top="1780" w:bottom="1180" w:left="1720" w:right="0"/>
        </w:sectPr>
      </w:pPr>
    </w:p>
    <w:p>
      <w:pPr>
        <w:pStyle w:val="BodyText"/>
        <w:spacing w:line="491" w:lineRule="auto" w:before="75"/>
        <w:ind w:left="665" w:right="1856" w:firstLine="676"/>
        <w:jc w:val="both"/>
      </w:pPr>
      <w:r>
        <w:rPr/>
        <w:t>Pitting refers to the production of pit marks on the surface of the tablet and is attributed to insufficient lubricant at the tablet/punch interface or punches with a roughened surface. This defect may be corrected by increasing the concentration of lubricant</w:t>
      </w:r>
      <w:r>
        <w:rPr>
          <w:spacing w:val="40"/>
        </w:rPr>
        <w:t> </w:t>
      </w:r>
      <w:r>
        <w:rPr/>
        <w:t>in the formulation or by altering the</w:t>
      </w:r>
      <w:r>
        <w:rPr>
          <w:spacing w:val="40"/>
        </w:rPr>
        <w:t> </w:t>
      </w:r>
      <w:r>
        <w:rPr/>
        <w:t>mixing conditions</w:t>
      </w:r>
      <w:r>
        <w:rPr>
          <w:spacing w:val="40"/>
        </w:rPr>
        <w:t> </w:t>
      </w:r>
      <w:r>
        <w:rPr/>
        <w:t>(time and</w:t>
      </w:r>
      <w:r>
        <w:rPr>
          <w:spacing w:val="40"/>
        </w:rPr>
        <w:t> </w:t>
      </w:r>
      <w:r>
        <w:rPr/>
        <w:t>rate of mixing), whereas punches should be polished</w:t>
      </w:r>
      <w:r>
        <w:rPr>
          <w:spacing w:val="40"/>
        </w:rPr>
        <w:t> </w:t>
      </w:r>
      <w:r>
        <w:rPr/>
        <w:t>regularly to prevent such adhesion.</w:t>
      </w:r>
    </w:p>
    <w:p>
      <w:pPr>
        <w:pStyle w:val="BodyText"/>
        <w:spacing w:line="491" w:lineRule="auto"/>
        <w:ind w:left="665" w:right="1856" w:firstLine="676"/>
        <w:jc w:val="both"/>
      </w:pPr>
      <w:r>
        <w:rPr/>
        <w:t>Capping</w:t>
      </w:r>
      <w:r>
        <w:rPr>
          <w:spacing w:val="36"/>
        </w:rPr>
        <w:t> </w:t>
      </w:r>
      <w:r>
        <w:rPr/>
        <w:t>and</w:t>
      </w:r>
      <w:r>
        <w:rPr>
          <w:spacing w:val="40"/>
        </w:rPr>
        <w:t> </w:t>
      </w:r>
      <w:r>
        <w:rPr/>
        <w:t>lamination</w:t>
      </w:r>
      <w:r>
        <w:rPr>
          <w:spacing w:val="40"/>
        </w:rPr>
        <w:t> </w:t>
      </w:r>
      <w:r>
        <w:rPr/>
        <w:t>refer</w:t>
      </w:r>
      <w:r>
        <w:rPr>
          <w:spacing w:val="40"/>
        </w:rPr>
        <w:t> </w:t>
      </w:r>
      <w:r>
        <w:rPr/>
        <w:t>to</w:t>
      </w:r>
      <w:r>
        <w:rPr>
          <w:spacing w:val="40"/>
        </w:rPr>
        <w:t> </w:t>
      </w:r>
      <w:r>
        <w:rPr/>
        <w:t>mechanical</w:t>
      </w:r>
      <w:r>
        <w:rPr>
          <w:spacing w:val="38"/>
        </w:rPr>
        <w:t> </w:t>
      </w:r>
      <w:r>
        <w:rPr/>
        <w:t>splitting</w:t>
      </w:r>
      <w:r>
        <w:rPr>
          <w:spacing w:val="36"/>
        </w:rPr>
        <w:t> </w:t>
      </w:r>
      <w:r>
        <w:rPr/>
        <w:t>of</w:t>
      </w:r>
      <w:r>
        <w:rPr>
          <w:spacing w:val="35"/>
        </w:rPr>
        <w:t> </w:t>
      </w:r>
      <w:r>
        <w:rPr/>
        <w:t>the</w:t>
      </w:r>
      <w:r>
        <w:rPr>
          <w:spacing w:val="40"/>
        </w:rPr>
        <w:t> </w:t>
      </w:r>
      <w:r>
        <w:rPr/>
        <w:t>tablet.</w:t>
      </w:r>
      <w:r>
        <w:rPr>
          <w:spacing w:val="40"/>
        </w:rPr>
        <w:t> </w:t>
      </w:r>
      <w:r>
        <w:rPr/>
        <w:t>In</w:t>
      </w:r>
      <w:r>
        <w:rPr>
          <w:spacing w:val="36"/>
        </w:rPr>
        <w:t> </w:t>
      </w:r>
      <w:r>
        <w:rPr/>
        <w:t>capping, the</w:t>
      </w:r>
      <w:r>
        <w:rPr>
          <w:spacing w:val="40"/>
        </w:rPr>
        <w:t> </w:t>
      </w:r>
      <w:r>
        <w:rPr/>
        <w:t>top</w:t>
      </w:r>
      <w:r>
        <w:rPr>
          <w:spacing w:val="40"/>
        </w:rPr>
        <w:t> </w:t>
      </w:r>
      <w:r>
        <w:rPr/>
        <w:t>(cap) of the</w:t>
      </w:r>
      <w:r>
        <w:rPr>
          <w:spacing w:val="40"/>
        </w:rPr>
        <w:t> </w:t>
      </w:r>
      <w:r>
        <w:rPr/>
        <w:t>tablet</w:t>
      </w:r>
      <w:r>
        <w:rPr>
          <w:spacing w:val="40"/>
        </w:rPr>
        <w:t> </w:t>
      </w:r>
      <w:r>
        <w:rPr/>
        <w:t>is</w:t>
      </w:r>
      <w:r>
        <w:rPr>
          <w:spacing w:val="40"/>
        </w:rPr>
        <w:t> </w:t>
      </w:r>
      <w:r>
        <w:rPr/>
        <w:t>fractured</w:t>
      </w:r>
      <w:r>
        <w:rPr>
          <w:spacing w:val="40"/>
        </w:rPr>
        <w:t> </w:t>
      </w:r>
      <w:r>
        <w:rPr/>
        <w:t>whereas</w:t>
      </w:r>
      <w:r>
        <w:rPr>
          <w:spacing w:val="40"/>
        </w:rPr>
        <w:t> </w:t>
      </w:r>
      <w:r>
        <w:rPr/>
        <w:t>in</w:t>
      </w:r>
      <w:r>
        <w:rPr>
          <w:spacing w:val="40"/>
        </w:rPr>
        <w:t> </w:t>
      </w:r>
      <w:r>
        <w:rPr/>
        <w:t>lamination the</w:t>
      </w:r>
      <w:r>
        <w:rPr>
          <w:spacing w:val="40"/>
        </w:rPr>
        <w:t> </w:t>
      </w:r>
      <w:r>
        <w:rPr/>
        <w:t>fracture</w:t>
      </w:r>
      <w:r>
        <w:rPr>
          <w:spacing w:val="40"/>
        </w:rPr>
        <w:t> </w:t>
      </w:r>
      <w:r>
        <w:rPr/>
        <w:t>may occur within the</w:t>
      </w:r>
      <w:r>
        <w:rPr>
          <w:spacing w:val="40"/>
        </w:rPr>
        <w:t> </w:t>
      </w:r>
      <w:r>
        <w:rPr/>
        <w:t>main body of the tablet.</w:t>
      </w:r>
      <w:r>
        <w:rPr>
          <w:spacing w:val="40"/>
        </w:rPr>
        <w:t> </w:t>
      </w:r>
      <w:r>
        <w:rPr/>
        <w:t>Capping and</w:t>
      </w:r>
      <w:r>
        <w:rPr>
          <w:spacing w:val="40"/>
        </w:rPr>
        <w:t> </w:t>
      </w:r>
      <w:r>
        <w:rPr/>
        <w:t>lamination occur</w:t>
      </w:r>
      <w:r>
        <w:rPr>
          <w:spacing w:val="40"/>
        </w:rPr>
        <w:t> </w:t>
      </w:r>
      <w:r>
        <w:rPr/>
        <w:t>during the ejection stage</w:t>
      </w:r>
      <w:r>
        <w:rPr>
          <w:spacing w:val="40"/>
        </w:rPr>
        <w:t> </w:t>
      </w:r>
      <w:r>
        <w:rPr/>
        <w:t>of</w:t>
      </w:r>
      <w:r>
        <w:rPr>
          <w:spacing w:val="40"/>
        </w:rPr>
        <w:t> </w:t>
      </w:r>
      <w:r>
        <w:rPr/>
        <w:t>the</w:t>
      </w:r>
      <w:r>
        <w:rPr>
          <w:spacing w:val="40"/>
        </w:rPr>
        <w:t> </w:t>
      </w:r>
      <w:r>
        <w:rPr/>
        <w:t>manufacturing</w:t>
      </w:r>
      <w:r>
        <w:rPr>
          <w:spacing w:val="40"/>
        </w:rPr>
        <w:t> </w:t>
      </w:r>
      <w:r>
        <w:rPr/>
        <w:t>process</w:t>
      </w:r>
      <w:r>
        <w:rPr>
          <w:spacing w:val="40"/>
        </w:rPr>
        <w:t> </w:t>
      </w:r>
      <w:r>
        <w:rPr/>
        <w:t>and</w:t>
      </w:r>
      <w:r>
        <w:rPr>
          <w:spacing w:val="40"/>
        </w:rPr>
        <w:t> </w:t>
      </w:r>
      <w:r>
        <w:rPr/>
        <w:t>are</w:t>
      </w:r>
      <w:r>
        <w:rPr>
          <w:spacing w:val="40"/>
        </w:rPr>
        <w:t> </w:t>
      </w:r>
      <w:r>
        <w:rPr/>
        <w:t>attributed</w:t>
      </w:r>
      <w:r>
        <w:rPr>
          <w:spacing w:val="40"/>
        </w:rPr>
        <w:t> </w:t>
      </w:r>
      <w:r>
        <w:rPr/>
        <w:t>to</w:t>
      </w:r>
      <w:r>
        <w:rPr>
          <w:spacing w:val="40"/>
        </w:rPr>
        <w:t> </w:t>
      </w:r>
      <w:r>
        <w:rPr/>
        <w:t>stress-induced</w:t>
      </w:r>
      <w:r>
        <w:rPr>
          <w:spacing w:val="40"/>
        </w:rPr>
        <w:t> </w:t>
      </w:r>
      <w:r>
        <w:rPr/>
        <w:t>fracture/ alteration in the formulation procedure to increase the length of the tablets may resolve these problems. For example, increase in the compression pressure is known to increase the</w:t>
      </w:r>
      <w:r>
        <w:rPr>
          <w:spacing w:val="40"/>
        </w:rPr>
        <w:t> </w:t>
      </w:r>
      <w:r>
        <w:rPr/>
        <w:t>mechanical</w:t>
      </w:r>
      <w:r>
        <w:rPr>
          <w:spacing w:val="40"/>
        </w:rPr>
        <w:t> </w:t>
      </w:r>
      <w:r>
        <w:rPr/>
        <w:t>strength</w:t>
      </w:r>
      <w:r>
        <w:rPr>
          <w:spacing w:val="40"/>
        </w:rPr>
        <w:t> </w:t>
      </w:r>
      <w:r>
        <w:rPr/>
        <w:t>of</w:t>
      </w:r>
      <w:r>
        <w:rPr>
          <w:spacing w:val="40"/>
        </w:rPr>
        <w:t> </w:t>
      </w:r>
      <w:r>
        <w:rPr/>
        <w:t>tablets,</w:t>
      </w:r>
      <w:r>
        <w:rPr>
          <w:spacing w:val="40"/>
        </w:rPr>
        <w:t> </w:t>
      </w:r>
      <w:r>
        <w:rPr/>
        <w:t>but</w:t>
      </w:r>
      <w:r>
        <w:rPr>
          <w:spacing w:val="40"/>
        </w:rPr>
        <w:t> </w:t>
      </w:r>
      <w:r>
        <w:rPr/>
        <w:t>it</w:t>
      </w:r>
      <w:r>
        <w:rPr>
          <w:spacing w:val="40"/>
        </w:rPr>
        <w:t> </w:t>
      </w:r>
      <w:r>
        <w:rPr/>
        <w:t>should</w:t>
      </w:r>
      <w:r>
        <w:rPr>
          <w:spacing w:val="40"/>
        </w:rPr>
        <w:t> </w:t>
      </w:r>
      <w:r>
        <w:rPr/>
        <w:t>be</w:t>
      </w:r>
      <w:r>
        <w:rPr>
          <w:spacing w:val="40"/>
        </w:rPr>
        <w:t> </w:t>
      </w:r>
      <w:r>
        <w:rPr/>
        <w:t>noted</w:t>
      </w:r>
      <w:r>
        <w:rPr>
          <w:spacing w:val="40"/>
        </w:rPr>
        <w:t> </w:t>
      </w:r>
      <w:r>
        <w:rPr/>
        <w:t>that</w:t>
      </w:r>
      <w:r>
        <w:rPr>
          <w:spacing w:val="40"/>
        </w:rPr>
        <w:t> </w:t>
      </w:r>
      <w:r>
        <w:rPr/>
        <w:t>the</w:t>
      </w:r>
      <w:r>
        <w:rPr>
          <w:spacing w:val="40"/>
        </w:rPr>
        <w:t> </w:t>
      </w:r>
      <w:r>
        <w:rPr/>
        <w:t>application</w:t>
      </w:r>
      <w:r>
        <w:rPr>
          <w:spacing w:val="40"/>
        </w:rPr>
        <w:t> </w:t>
      </w:r>
      <w:r>
        <w:rPr/>
        <w:t>of excessive stresses often results in a reduction in the tablet strength, which may result in capping and lamination.</w:t>
      </w:r>
    </w:p>
    <w:p>
      <w:pPr>
        <w:pStyle w:val="Heading2"/>
        <w:numPr>
          <w:ilvl w:val="1"/>
          <w:numId w:val="25"/>
        </w:numPr>
        <w:tabs>
          <w:tab w:pos="1342" w:val="left" w:leader="none"/>
        </w:tabs>
        <w:spacing w:line="240" w:lineRule="auto" w:before="232" w:after="0"/>
        <w:ind w:left="1342" w:right="0" w:hanging="677"/>
        <w:jc w:val="left"/>
      </w:pPr>
      <w:bookmarkStart w:name="_TOC_250092" w:id="69"/>
      <w:r>
        <w:rPr/>
        <w:t>Post</w:t>
      </w:r>
      <w:r>
        <w:rPr>
          <w:spacing w:val="16"/>
        </w:rPr>
        <w:t> </w:t>
      </w:r>
      <w:r>
        <w:rPr/>
        <w:t>processing</w:t>
      </w:r>
      <w:r>
        <w:rPr>
          <w:spacing w:val="16"/>
        </w:rPr>
        <w:t> </w:t>
      </w:r>
      <w:r>
        <w:rPr/>
        <w:t>alteration</w:t>
      </w:r>
      <w:r>
        <w:rPr>
          <w:spacing w:val="3"/>
        </w:rPr>
        <w:t> </w:t>
      </w:r>
      <w:r>
        <w:rPr/>
        <w:t>on</w:t>
      </w:r>
      <w:r>
        <w:rPr>
          <w:spacing w:val="14"/>
        </w:rPr>
        <w:t> </w:t>
      </w:r>
      <w:r>
        <w:rPr/>
        <w:t>tablet</w:t>
      </w:r>
      <w:r>
        <w:rPr>
          <w:spacing w:val="10"/>
        </w:rPr>
        <w:t> </w:t>
      </w:r>
      <w:bookmarkEnd w:id="69"/>
      <w:r>
        <w:rPr>
          <w:spacing w:val="-2"/>
        </w:rPr>
        <w:t>properties</w:t>
      </w:r>
    </w:p>
    <w:p>
      <w:pPr>
        <w:pStyle w:val="BodyText"/>
        <w:spacing w:line="491" w:lineRule="auto" w:before="247"/>
        <w:ind w:left="665" w:right="1857"/>
        <w:jc w:val="both"/>
      </w:pPr>
      <w:r>
        <w:rPr/>
        <w:t>Tablets usually undergo post processing alterations in their physicochemical properties, particularly under</w:t>
      </w:r>
      <w:r>
        <w:rPr>
          <w:spacing w:val="40"/>
        </w:rPr>
        <w:t> </w:t>
      </w:r>
      <w:r>
        <w:rPr/>
        <w:t>defined</w:t>
      </w:r>
      <w:r>
        <w:rPr>
          <w:spacing w:val="40"/>
        </w:rPr>
        <w:t> </w:t>
      </w:r>
      <w:r>
        <w:rPr/>
        <w:t>conditions</w:t>
      </w:r>
      <w:r>
        <w:rPr>
          <w:spacing w:val="36"/>
        </w:rPr>
        <w:t> </w:t>
      </w:r>
      <w:r>
        <w:rPr/>
        <w:t>of</w:t>
      </w:r>
      <w:r>
        <w:rPr>
          <w:spacing w:val="40"/>
        </w:rPr>
        <w:t> </w:t>
      </w:r>
      <w:r>
        <w:rPr/>
        <w:t>humidity</w:t>
      </w:r>
      <w:r>
        <w:rPr>
          <w:spacing w:val="35"/>
        </w:rPr>
        <w:t> </w:t>
      </w:r>
      <w:r>
        <w:rPr/>
        <w:t>and</w:t>
      </w:r>
      <w:r>
        <w:rPr>
          <w:spacing w:val="40"/>
        </w:rPr>
        <w:t> </w:t>
      </w:r>
      <w:r>
        <w:rPr/>
        <w:t>temperature.</w:t>
      </w:r>
      <w:r>
        <w:rPr>
          <w:spacing w:val="32"/>
        </w:rPr>
        <w:t> </w:t>
      </w:r>
      <w:r>
        <w:rPr/>
        <w:t>Storage</w:t>
      </w:r>
      <w:r>
        <w:rPr>
          <w:spacing w:val="38"/>
        </w:rPr>
        <w:t> </w:t>
      </w:r>
      <w:r>
        <w:rPr/>
        <w:t>may affect the mechanical properties of the tablet due to the following processes:</w:t>
      </w:r>
    </w:p>
    <w:p>
      <w:pPr>
        <w:pStyle w:val="ListParagraph"/>
        <w:numPr>
          <w:ilvl w:val="0"/>
          <w:numId w:val="29"/>
        </w:numPr>
        <w:tabs>
          <w:tab w:pos="1342" w:val="left" w:leader="none"/>
        </w:tabs>
        <w:spacing w:line="487" w:lineRule="auto" w:before="0" w:after="0"/>
        <w:ind w:left="1342" w:right="1855" w:hanging="336"/>
        <w:jc w:val="both"/>
        <w:rPr>
          <w:sz w:val="22"/>
        </w:rPr>
      </w:pPr>
      <w:r>
        <w:rPr>
          <w:sz w:val="22"/>
        </w:rPr>
        <w:t>Adsorption of water on to the tablet surface and within the pores of the tablet leading</w:t>
      </w:r>
      <w:r>
        <w:rPr>
          <w:spacing w:val="40"/>
          <w:sz w:val="22"/>
        </w:rPr>
        <w:t> </w:t>
      </w:r>
      <w:r>
        <w:rPr>
          <w:sz w:val="22"/>
        </w:rPr>
        <w:t>to</w:t>
      </w:r>
      <w:r>
        <w:rPr>
          <w:spacing w:val="40"/>
          <w:sz w:val="22"/>
        </w:rPr>
        <w:t> </w:t>
      </w:r>
      <w:r>
        <w:rPr>
          <w:sz w:val="22"/>
        </w:rPr>
        <w:t>dissolution</w:t>
      </w:r>
      <w:r>
        <w:rPr>
          <w:spacing w:val="40"/>
          <w:sz w:val="22"/>
        </w:rPr>
        <w:t> </w:t>
      </w:r>
      <w:r>
        <w:rPr>
          <w:sz w:val="22"/>
        </w:rPr>
        <w:t>and</w:t>
      </w:r>
      <w:r>
        <w:rPr>
          <w:spacing w:val="40"/>
          <w:sz w:val="22"/>
        </w:rPr>
        <w:t> </w:t>
      </w:r>
      <w:r>
        <w:rPr>
          <w:sz w:val="22"/>
        </w:rPr>
        <w:t>then</w:t>
      </w:r>
      <w:r>
        <w:rPr>
          <w:spacing w:val="40"/>
          <w:sz w:val="22"/>
        </w:rPr>
        <w:t> </w:t>
      </w:r>
      <w:r>
        <w:rPr>
          <w:sz w:val="22"/>
        </w:rPr>
        <w:t>crystallization</w:t>
      </w:r>
      <w:r>
        <w:rPr>
          <w:spacing w:val="40"/>
          <w:sz w:val="22"/>
        </w:rPr>
        <w:t> </w:t>
      </w:r>
      <w:r>
        <w:rPr>
          <w:sz w:val="22"/>
        </w:rPr>
        <w:t>of</w:t>
      </w:r>
      <w:r>
        <w:rPr>
          <w:spacing w:val="40"/>
          <w:sz w:val="22"/>
        </w:rPr>
        <w:t> </w:t>
      </w:r>
      <w:r>
        <w:rPr>
          <w:sz w:val="22"/>
        </w:rPr>
        <w:t>tablet</w:t>
      </w:r>
      <w:r>
        <w:rPr>
          <w:spacing w:val="40"/>
          <w:sz w:val="22"/>
        </w:rPr>
        <w:t> </w:t>
      </w:r>
      <w:r>
        <w:rPr>
          <w:sz w:val="22"/>
        </w:rPr>
        <w:t>components,</w:t>
      </w:r>
      <w:r>
        <w:rPr>
          <w:spacing w:val="40"/>
          <w:sz w:val="22"/>
        </w:rPr>
        <w:t> </w:t>
      </w:r>
      <w:r>
        <w:rPr>
          <w:sz w:val="22"/>
        </w:rPr>
        <w:t>which</w:t>
      </w:r>
      <w:r>
        <w:rPr>
          <w:spacing w:val="40"/>
          <w:sz w:val="22"/>
        </w:rPr>
        <w:t> </w:t>
      </w:r>
      <w:r>
        <w:rPr>
          <w:sz w:val="22"/>
        </w:rPr>
        <w:t>in turn</w:t>
      </w:r>
      <w:r>
        <w:rPr>
          <w:spacing w:val="40"/>
          <w:sz w:val="22"/>
        </w:rPr>
        <w:t> </w:t>
      </w:r>
      <w:r>
        <w:rPr>
          <w:sz w:val="22"/>
        </w:rPr>
        <w:t>act</w:t>
      </w:r>
      <w:r>
        <w:rPr>
          <w:spacing w:val="40"/>
          <w:sz w:val="22"/>
        </w:rPr>
        <w:t> </w:t>
      </w:r>
      <w:r>
        <w:rPr>
          <w:sz w:val="22"/>
        </w:rPr>
        <w:t>as</w:t>
      </w:r>
      <w:r>
        <w:rPr>
          <w:spacing w:val="40"/>
          <w:sz w:val="22"/>
        </w:rPr>
        <w:t> </w:t>
      </w:r>
      <w:r>
        <w:rPr>
          <w:sz w:val="22"/>
        </w:rPr>
        <w:t>solid</w:t>
      </w:r>
      <w:r>
        <w:rPr>
          <w:spacing w:val="40"/>
          <w:sz w:val="22"/>
        </w:rPr>
        <w:t> </w:t>
      </w:r>
      <w:r>
        <w:rPr>
          <w:sz w:val="22"/>
        </w:rPr>
        <w:t>bridges</w:t>
      </w:r>
      <w:r>
        <w:rPr>
          <w:spacing w:val="40"/>
          <w:sz w:val="22"/>
        </w:rPr>
        <w:t> </w:t>
      </w:r>
      <w:r>
        <w:rPr>
          <w:sz w:val="22"/>
        </w:rPr>
        <w:t>and</w:t>
      </w:r>
      <w:r>
        <w:rPr>
          <w:spacing w:val="40"/>
          <w:sz w:val="22"/>
        </w:rPr>
        <w:t> </w:t>
      </w:r>
      <w:r>
        <w:rPr>
          <w:sz w:val="22"/>
        </w:rPr>
        <w:t>hence</w:t>
      </w:r>
      <w:r>
        <w:rPr>
          <w:spacing w:val="40"/>
          <w:sz w:val="22"/>
        </w:rPr>
        <w:t> </w:t>
      </w:r>
      <w:r>
        <w:rPr>
          <w:sz w:val="22"/>
        </w:rPr>
        <w:t>increase</w:t>
      </w:r>
      <w:r>
        <w:rPr>
          <w:spacing w:val="40"/>
          <w:sz w:val="22"/>
        </w:rPr>
        <w:t> </w:t>
      </w:r>
      <w:r>
        <w:rPr>
          <w:sz w:val="22"/>
        </w:rPr>
        <w:t>the</w:t>
      </w:r>
      <w:r>
        <w:rPr>
          <w:spacing w:val="40"/>
          <w:sz w:val="22"/>
        </w:rPr>
        <w:t> </w:t>
      </w:r>
      <w:r>
        <w:rPr>
          <w:sz w:val="22"/>
        </w:rPr>
        <w:t>powder/powder</w:t>
      </w:r>
      <w:r>
        <w:rPr>
          <w:spacing w:val="40"/>
          <w:sz w:val="22"/>
        </w:rPr>
        <w:t> </w:t>
      </w:r>
      <w:r>
        <w:rPr>
          <w:sz w:val="22"/>
        </w:rPr>
        <w:t>or granule/granule interaction.</w:t>
      </w:r>
    </w:p>
    <w:p>
      <w:pPr>
        <w:pStyle w:val="ListParagraph"/>
        <w:numPr>
          <w:ilvl w:val="0"/>
          <w:numId w:val="29"/>
        </w:numPr>
        <w:tabs>
          <w:tab w:pos="1342" w:val="left" w:leader="none"/>
        </w:tabs>
        <w:spacing w:line="484" w:lineRule="auto" w:before="7" w:after="0"/>
        <w:ind w:left="1342" w:right="1862" w:hanging="336"/>
        <w:jc w:val="both"/>
        <w:rPr>
          <w:sz w:val="22"/>
        </w:rPr>
      </w:pPr>
      <w:r>
        <w:rPr>
          <w:sz w:val="22"/>
        </w:rPr>
        <w:t>Adsorption</w:t>
      </w:r>
      <w:r>
        <w:rPr>
          <w:spacing w:val="33"/>
          <w:sz w:val="22"/>
        </w:rPr>
        <w:t> </w:t>
      </w:r>
      <w:r>
        <w:rPr>
          <w:sz w:val="22"/>
        </w:rPr>
        <w:t>of</w:t>
      </w:r>
      <w:r>
        <w:rPr>
          <w:spacing w:val="32"/>
          <w:sz w:val="22"/>
        </w:rPr>
        <w:t> </w:t>
      </w:r>
      <w:r>
        <w:rPr>
          <w:sz w:val="22"/>
        </w:rPr>
        <w:t>water</w:t>
      </w:r>
      <w:r>
        <w:rPr>
          <w:spacing w:val="37"/>
          <w:sz w:val="22"/>
        </w:rPr>
        <w:t> </w:t>
      </w:r>
      <w:r>
        <w:rPr>
          <w:sz w:val="22"/>
        </w:rPr>
        <w:t>on to</w:t>
      </w:r>
      <w:r>
        <w:rPr>
          <w:spacing w:val="40"/>
          <w:sz w:val="22"/>
        </w:rPr>
        <w:t> </w:t>
      </w:r>
      <w:r>
        <w:rPr>
          <w:sz w:val="22"/>
        </w:rPr>
        <w:t>the</w:t>
      </w:r>
      <w:r>
        <w:rPr>
          <w:spacing w:val="36"/>
          <w:sz w:val="22"/>
        </w:rPr>
        <w:t> </w:t>
      </w:r>
      <w:r>
        <w:rPr>
          <w:sz w:val="22"/>
        </w:rPr>
        <w:t>tablet</w:t>
      </w:r>
      <w:r>
        <w:rPr>
          <w:spacing w:val="40"/>
          <w:sz w:val="22"/>
        </w:rPr>
        <w:t> </w:t>
      </w:r>
      <w:r>
        <w:rPr>
          <w:sz w:val="22"/>
        </w:rPr>
        <w:t>surface</w:t>
      </w:r>
      <w:r>
        <w:rPr>
          <w:spacing w:val="36"/>
          <w:sz w:val="22"/>
        </w:rPr>
        <w:t> </w:t>
      </w:r>
      <w:r>
        <w:rPr>
          <w:sz w:val="22"/>
        </w:rPr>
        <w:t>and</w:t>
      </w:r>
      <w:r>
        <w:rPr>
          <w:spacing w:val="37"/>
          <w:sz w:val="22"/>
        </w:rPr>
        <w:t> </w:t>
      </w:r>
      <w:r>
        <w:rPr>
          <w:sz w:val="22"/>
        </w:rPr>
        <w:t>within the</w:t>
      </w:r>
      <w:r>
        <w:rPr>
          <w:spacing w:val="36"/>
          <w:sz w:val="22"/>
        </w:rPr>
        <w:t> </w:t>
      </w:r>
      <w:r>
        <w:rPr>
          <w:sz w:val="22"/>
        </w:rPr>
        <w:t>pores</w:t>
      </w:r>
      <w:r>
        <w:rPr>
          <w:spacing w:val="34"/>
          <w:sz w:val="22"/>
        </w:rPr>
        <w:t> </w:t>
      </w:r>
      <w:r>
        <w:rPr>
          <w:sz w:val="22"/>
        </w:rPr>
        <w:t>of</w:t>
      </w:r>
      <w:r>
        <w:rPr>
          <w:spacing w:val="32"/>
          <w:sz w:val="22"/>
        </w:rPr>
        <w:t> </w:t>
      </w:r>
      <w:r>
        <w:rPr>
          <w:sz w:val="22"/>
        </w:rPr>
        <w:t>the</w:t>
      </w:r>
      <w:r>
        <w:rPr>
          <w:spacing w:val="36"/>
          <w:sz w:val="22"/>
        </w:rPr>
        <w:t> </w:t>
      </w:r>
      <w:r>
        <w:rPr>
          <w:sz w:val="22"/>
        </w:rPr>
        <w:t>tablet may induce crystallization of amorphous excipients or change the polymorphic state of components within the tablet.</w:t>
      </w:r>
    </w:p>
    <w:p>
      <w:pPr>
        <w:spacing w:after="0" w:line="484" w:lineRule="auto"/>
        <w:jc w:val="both"/>
        <w:rPr>
          <w:sz w:val="22"/>
        </w:rPr>
        <w:sectPr>
          <w:pgSz w:w="12240" w:h="15840"/>
          <w:pgMar w:header="0" w:footer="999" w:top="1260" w:bottom="1180" w:left="1720" w:right="0"/>
        </w:sectPr>
      </w:pPr>
    </w:p>
    <w:p>
      <w:pPr>
        <w:pStyle w:val="BodyText"/>
        <w:spacing w:before="75"/>
        <w:ind w:left="665"/>
        <w:jc w:val="both"/>
      </w:pPr>
      <w:r>
        <w:rPr/>
        <w:t>Conversely,</w:t>
      </w:r>
      <w:r>
        <w:rPr>
          <w:spacing w:val="18"/>
        </w:rPr>
        <w:t> </w:t>
      </w:r>
      <w:r>
        <w:rPr/>
        <w:t>in</w:t>
      </w:r>
      <w:r>
        <w:rPr>
          <w:spacing w:val="9"/>
        </w:rPr>
        <w:t> </w:t>
      </w:r>
      <w:r>
        <w:rPr/>
        <w:t>the</w:t>
      </w:r>
      <w:r>
        <w:rPr>
          <w:spacing w:val="13"/>
        </w:rPr>
        <w:t> </w:t>
      </w:r>
      <w:r>
        <w:rPr/>
        <w:t>presence</w:t>
      </w:r>
      <w:r>
        <w:rPr>
          <w:spacing w:val="13"/>
        </w:rPr>
        <w:t> </w:t>
      </w:r>
      <w:r>
        <w:rPr/>
        <w:t>of</w:t>
      </w:r>
      <w:r>
        <w:rPr>
          <w:spacing w:val="8"/>
        </w:rPr>
        <w:t> </w:t>
      </w:r>
      <w:r>
        <w:rPr/>
        <w:t>moisture,</w:t>
      </w:r>
      <w:r>
        <w:rPr>
          <w:spacing w:val="8"/>
        </w:rPr>
        <w:t> </w:t>
      </w:r>
      <w:r>
        <w:rPr/>
        <w:t>tablet</w:t>
      </w:r>
      <w:r>
        <w:rPr>
          <w:spacing w:val="18"/>
        </w:rPr>
        <w:t> </w:t>
      </w:r>
      <w:r>
        <w:rPr/>
        <w:t>strength</w:t>
      </w:r>
      <w:r>
        <w:rPr>
          <w:spacing w:val="9"/>
        </w:rPr>
        <w:t> </w:t>
      </w:r>
      <w:r>
        <w:rPr/>
        <w:t>may</w:t>
      </w:r>
      <w:r>
        <w:rPr>
          <w:spacing w:val="-2"/>
        </w:rPr>
        <w:t> </w:t>
      </w:r>
      <w:r>
        <w:rPr/>
        <w:t>be</w:t>
      </w:r>
      <w:r>
        <w:rPr>
          <w:spacing w:val="12"/>
        </w:rPr>
        <w:t> </w:t>
      </w:r>
      <w:r>
        <w:rPr/>
        <w:t>decreased</w:t>
      </w:r>
      <w:r>
        <w:rPr>
          <w:spacing w:val="10"/>
        </w:rPr>
        <w:t> </w:t>
      </w:r>
      <w:r>
        <w:rPr/>
        <w:t>due</w:t>
      </w:r>
      <w:r>
        <w:rPr>
          <w:spacing w:val="12"/>
        </w:rPr>
        <w:t> </w:t>
      </w:r>
      <w:r>
        <w:rPr>
          <w:spacing w:val="-5"/>
        </w:rPr>
        <w:t>to:</w:t>
      </w:r>
    </w:p>
    <w:p>
      <w:pPr>
        <w:pStyle w:val="BodyText"/>
        <w:spacing w:before="11"/>
      </w:pPr>
    </w:p>
    <w:p>
      <w:pPr>
        <w:pStyle w:val="ListParagraph"/>
        <w:numPr>
          <w:ilvl w:val="0"/>
          <w:numId w:val="29"/>
        </w:numPr>
        <w:tabs>
          <w:tab w:pos="1342" w:val="left" w:leader="none"/>
        </w:tabs>
        <w:spacing w:line="480" w:lineRule="auto" w:before="0" w:after="0"/>
        <w:ind w:left="1342" w:right="1853" w:hanging="336"/>
        <w:jc w:val="both"/>
        <w:rPr>
          <w:sz w:val="22"/>
        </w:rPr>
      </w:pPr>
      <w:r>
        <w:rPr>
          <w:sz w:val="22"/>
        </w:rPr>
        <w:t>Disruption of the granule-granule or powder-powder bonds due to dissolution of formulation components.</w:t>
      </w:r>
    </w:p>
    <w:p>
      <w:pPr>
        <w:pStyle w:val="ListParagraph"/>
        <w:numPr>
          <w:ilvl w:val="0"/>
          <w:numId w:val="29"/>
        </w:numPr>
        <w:tabs>
          <w:tab w:pos="1342" w:val="left" w:leader="none"/>
        </w:tabs>
        <w:spacing w:line="489" w:lineRule="auto" w:before="11" w:after="0"/>
        <w:ind w:left="1342" w:right="1857" w:hanging="336"/>
        <w:jc w:val="both"/>
        <w:rPr>
          <w:sz w:val="22"/>
        </w:rPr>
      </w:pPr>
      <w:r>
        <w:rPr>
          <w:sz w:val="22"/>
        </w:rPr>
        <w:t>Stress relaxation of visco-elastic components. Polymers possess visco-elastic properties and, as such, will undergo relaxation as a function of time following removal of the compression stress. As a result, there is movement/rearrangement</w:t>
      </w:r>
      <w:r>
        <w:rPr>
          <w:spacing w:val="40"/>
          <w:sz w:val="22"/>
        </w:rPr>
        <w:t> </w:t>
      </w:r>
      <w:r>
        <w:rPr>
          <w:sz w:val="22"/>
        </w:rPr>
        <w:t>of the polymeric chains, which may, in turn, compromise the mechanical</w:t>
      </w:r>
      <w:r>
        <w:rPr>
          <w:spacing w:val="40"/>
          <w:sz w:val="22"/>
        </w:rPr>
        <w:t> </w:t>
      </w:r>
      <w:r>
        <w:rPr>
          <w:sz w:val="22"/>
        </w:rPr>
        <w:t>properties of the tablet.</w:t>
      </w:r>
    </w:p>
    <w:p>
      <w:pPr>
        <w:pStyle w:val="Heading2"/>
        <w:numPr>
          <w:ilvl w:val="1"/>
          <w:numId w:val="25"/>
        </w:numPr>
        <w:tabs>
          <w:tab w:pos="1342" w:val="left" w:leader="none"/>
        </w:tabs>
        <w:spacing w:line="240" w:lineRule="auto" w:before="229" w:after="0"/>
        <w:ind w:left="1342" w:right="0" w:hanging="677"/>
        <w:jc w:val="left"/>
      </w:pPr>
      <w:bookmarkStart w:name="_TOC_250091" w:id="70"/>
      <w:r>
        <w:rPr/>
        <w:t>Quality</w:t>
      </w:r>
      <w:r>
        <w:rPr>
          <w:spacing w:val="14"/>
        </w:rPr>
        <w:t> </w:t>
      </w:r>
      <w:r>
        <w:rPr/>
        <w:t>standards</w:t>
      </w:r>
      <w:r>
        <w:rPr>
          <w:spacing w:val="10"/>
        </w:rPr>
        <w:t> </w:t>
      </w:r>
      <w:r>
        <w:rPr/>
        <w:t>of</w:t>
      </w:r>
      <w:r>
        <w:rPr>
          <w:spacing w:val="13"/>
        </w:rPr>
        <w:t> </w:t>
      </w:r>
      <w:bookmarkEnd w:id="70"/>
      <w:r>
        <w:rPr>
          <w:spacing w:val="-2"/>
        </w:rPr>
        <w:t>tablets</w:t>
      </w:r>
    </w:p>
    <w:p>
      <w:pPr>
        <w:pStyle w:val="BodyText"/>
        <w:spacing w:line="491" w:lineRule="auto" w:before="241"/>
        <w:ind w:left="665" w:right="1855"/>
        <w:jc w:val="both"/>
      </w:pPr>
      <w:r>
        <w:rPr/>
        <w:t>According to the British Pharmacopoeia (B.P. , 1980); to ensure that tablets meet some physical specification that would guarantee the quality of such tablets, appropriate test methods and specification have been developed. Some of these quality tests are official while</w:t>
      </w:r>
      <w:r>
        <w:rPr>
          <w:spacing w:val="40"/>
        </w:rPr>
        <w:t> </w:t>
      </w:r>
      <w:r>
        <w:rPr/>
        <w:t>others</w:t>
      </w:r>
      <w:r>
        <w:rPr>
          <w:spacing w:val="40"/>
        </w:rPr>
        <w:t> </w:t>
      </w:r>
      <w:r>
        <w:rPr/>
        <w:t>are</w:t>
      </w:r>
      <w:r>
        <w:rPr>
          <w:spacing w:val="40"/>
        </w:rPr>
        <w:t> </w:t>
      </w:r>
      <w:r>
        <w:rPr/>
        <w:t>unofficial</w:t>
      </w:r>
      <w:r>
        <w:rPr>
          <w:spacing w:val="40"/>
        </w:rPr>
        <w:t> </w:t>
      </w:r>
      <w:r>
        <w:rPr/>
        <w:t>and</w:t>
      </w:r>
      <w:r>
        <w:rPr>
          <w:spacing w:val="40"/>
        </w:rPr>
        <w:t> </w:t>
      </w:r>
      <w:r>
        <w:rPr/>
        <w:t>have</w:t>
      </w:r>
      <w:r>
        <w:rPr>
          <w:spacing w:val="40"/>
        </w:rPr>
        <w:t> </w:t>
      </w:r>
      <w:r>
        <w:rPr/>
        <w:t>only</w:t>
      </w:r>
      <w:r>
        <w:rPr>
          <w:spacing w:val="40"/>
        </w:rPr>
        <w:t> </w:t>
      </w:r>
      <w:r>
        <w:rPr/>
        <w:t>been</w:t>
      </w:r>
      <w:r>
        <w:rPr>
          <w:spacing w:val="40"/>
        </w:rPr>
        <w:t> </w:t>
      </w:r>
      <w:r>
        <w:rPr/>
        <w:t>added</w:t>
      </w:r>
      <w:r>
        <w:rPr>
          <w:spacing w:val="40"/>
        </w:rPr>
        <w:t> </w:t>
      </w:r>
      <w:r>
        <w:rPr/>
        <w:t>by</w:t>
      </w:r>
      <w:r>
        <w:rPr>
          <w:spacing w:val="40"/>
        </w:rPr>
        <w:t> </w:t>
      </w:r>
      <w:r>
        <w:rPr/>
        <w:t>various</w:t>
      </w:r>
      <w:r>
        <w:rPr>
          <w:spacing w:val="40"/>
        </w:rPr>
        <w:t> </w:t>
      </w:r>
      <w:r>
        <w:rPr/>
        <w:t>manufacturers</w:t>
      </w:r>
      <w:r>
        <w:rPr>
          <w:spacing w:val="40"/>
        </w:rPr>
        <w:t> </w:t>
      </w:r>
      <w:r>
        <w:rPr/>
        <w:t>to ensure that their tablets are of very high quality.</w:t>
      </w:r>
    </w:p>
    <w:p>
      <w:pPr>
        <w:pStyle w:val="Heading2"/>
        <w:numPr>
          <w:ilvl w:val="2"/>
          <w:numId w:val="25"/>
        </w:numPr>
        <w:tabs>
          <w:tab w:pos="1337" w:val="left" w:leader="none"/>
        </w:tabs>
        <w:spacing w:line="240" w:lineRule="auto" w:before="235" w:after="0"/>
        <w:ind w:left="1337" w:right="0" w:hanging="672"/>
        <w:jc w:val="left"/>
      </w:pPr>
      <w:bookmarkStart w:name="_TOC_250090" w:id="71"/>
      <w:r>
        <w:rPr/>
        <w:t>Pharmacopoeial</w:t>
      </w:r>
      <w:r>
        <w:rPr>
          <w:spacing w:val="25"/>
        </w:rPr>
        <w:t> </w:t>
      </w:r>
      <w:r>
        <w:rPr/>
        <w:t>(Official)</w:t>
      </w:r>
      <w:r>
        <w:rPr>
          <w:spacing w:val="21"/>
        </w:rPr>
        <w:t> </w:t>
      </w:r>
      <w:bookmarkEnd w:id="71"/>
      <w:r>
        <w:rPr>
          <w:spacing w:val="-4"/>
        </w:rPr>
        <w:t>tests</w:t>
      </w:r>
    </w:p>
    <w:p>
      <w:pPr>
        <w:pStyle w:val="BodyText"/>
        <w:spacing w:line="491" w:lineRule="auto" w:before="241"/>
        <w:ind w:left="665" w:right="1858" w:firstLine="676"/>
      </w:pPr>
      <w:r>
        <w:rPr/>
        <w:t>The</w:t>
      </w:r>
      <w:r>
        <w:rPr>
          <w:spacing w:val="79"/>
        </w:rPr>
        <w:t> </w:t>
      </w:r>
      <w:r>
        <w:rPr/>
        <w:t>B.P.</w:t>
      </w:r>
      <w:r>
        <w:rPr>
          <w:spacing w:val="79"/>
        </w:rPr>
        <w:t> </w:t>
      </w:r>
      <w:r>
        <w:rPr/>
        <w:t>1993</w:t>
      </w:r>
      <w:r>
        <w:rPr>
          <w:spacing w:val="80"/>
        </w:rPr>
        <w:t> </w:t>
      </w:r>
      <w:r>
        <w:rPr/>
        <w:t>contains</w:t>
      </w:r>
      <w:r>
        <w:rPr>
          <w:spacing w:val="80"/>
        </w:rPr>
        <w:t> </w:t>
      </w:r>
      <w:r>
        <w:rPr/>
        <w:t>standard</w:t>
      </w:r>
      <w:r>
        <w:rPr>
          <w:spacing w:val="80"/>
        </w:rPr>
        <w:t> </w:t>
      </w:r>
      <w:r>
        <w:rPr/>
        <w:t>test</w:t>
      </w:r>
      <w:r>
        <w:rPr>
          <w:spacing w:val="73"/>
        </w:rPr>
        <w:t> </w:t>
      </w:r>
      <w:r>
        <w:rPr/>
        <w:t>procedures</w:t>
      </w:r>
      <w:r>
        <w:rPr>
          <w:spacing w:val="80"/>
        </w:rPr>
        <w:t> </w:t>
      </w:r>
      <w:r>
        <w:rPr/>
        <w:t>for</w:t>
      </w:r>
      <w:r>
        <w:rPr>
          <w:spacing w:val="80"/>
        </w:rPr>
        <w:t> </w:t>
      </w:r>
      <w:r>
        <w:rPr/>
        <w:t>confirming</w:t>
      </w:r>
      <w:r>
        <w:rPr>
          <w:spacing w:val="75"/>
        </w:rPr>
        <w:t> </w:t>
      </w:r>
      <w:r>
        <w:rPr/>
        <w:t>quality</w:t>
      </w:r>
      <w:r>
        <w:rPr>
          <w:spacing w:val="70"/>
        </w:rPr>
        <w:t> </w:t>
      </w:r>
      <w:r>
        <w:rPr/>
        <w:t>of manufactured tablets. These include;</w:t>
      </w:r>
    </w:p>
    <w:p>
      <w:pPr>
        <w:pStyle w:val="BodyText"/>
        <w:spacing w:line="491" w:lineRule="auto"/>
        <w:ind w:left="665" w:right="1858"/>
      </w:pPr>
      <w:r>
        <w:rPr/>
        <w:t>(i)</w:t>
      </w:r>
      <w:r>
        <w:rPr>
          <w:spacing w:val="80"/>
          <w:w w:val="150"/>
        </w:rPr>
        <w:t> </w:t>
      </w:r>
      <w:r>
        <w:rPr/>
        <w:t>Uniformity</w:t>
      </w:r>
      <w:r>
        <w:rPr>
          <w:spacing w:val="79"/>
          <w:w w:val="150"/>
        </w:rPr>
        <w:t> </w:t>
      </w:r>
      <w:r>
        <w:rPr/>
        <w:t>of</w:t>
      </w:r>
      <w:r>
        <w:rPr>
          <w:spacing w:val="80"/>
          <w:w w:val="150"/>
        </w:rPr>
        <w:t> </w:t>
      </w:r>
      <w:r>
        <w:rPr/>
        <w:t>weight;</w:t>
      </w:r>
      <w:r>
        <w:rPr>
          <w:spacing w:val="80"/>
          <w:w w:val="150"/>
        </w:rPr>
        <w:t> </w:t>
      </w:r>
      <w:r>
        <w:rPr/>
        <w:t>(ii)</w:t>
      </w:r>
      <w:r>
        <w:rPr>
          <w:spacing w:val="80"/>
          <w:w w:val="150"/>
        </w:rPr>
        <w:t> </w:t>
      </w:r>
      <w:r>
        <w:rPr/>
        <w:t>uniformity</w:t>
      </w:r>
      <w:r>
        <w:rPr>
          <w:spacing w:val="80"/>
        </w:rPr>
        <w:t> </w:t>
      </w:r>
      <w:r>
        <w:rPr/>
        <w:t>of</w:t>
      </w:r>
      <w:r>
        <w:rPr>
          <w:spacing w:val="80"/>
          <w:w w:val="150"/>
        </w:rPr>
        <w:t> </w:t>
      </w:r>
      <w:r>
        <w:rPr/>
        <w:t>content</w:t>
      </w:r>
      <w:r>
        <w:rPr>
          <w:spacing w:val="80"/>
          <w:w w:val="150"/>
        </w:rPr>
        <w:t> </w:t>
      </w:r>
      <w:r>
        <w:rPr/>
        <w:t>of</w:t>
      </w:r>
      <w:r>
        <w:rPr>
          <w:spacing w:val="80"/>
          <w:w w:val="150"/>
        </w:rPr>
        <w:t> </w:t>
      </w:r>
      <w:r>
        <w:rPr/>
        <w:t>active</w:t>
      </w:r>
      <w:r>
        <w:rPr>
          <w:spacing w:val="80"/>
          <w:w w:val="150"/>
        </w:rPr>
        <w:t> </w:t>
      </w:r>
      <w:r>
        <w:rPr/>
        <w:t>ingredient;</w:t>
      </w:r>
      <w:r>
        <w:rPr>
          <w:spacing w:val="80"/>
          <w:w w:val="150"/>
        </w:rPr>
        <w:t> </w:t>
      </w:r>
      <w:r>
        <w:rPr/>
        <w:t>(iii) disintegration test; and (iv) dissolution test.</w:t>
      </w:r>
    </w:p>
    <w:p>
      <w:pPr>
        <w:pStyle w:val="Heading2"/>
        <w:numPr>
          <w:ilvl w:val="3"/>
          <w:numId w:val="25"/>
        </w:numPr>
        <w:tabs>
          <w:tab w:pos="2019" w:val="left" w:leader="none"/>
        </w:tabs>
        <w:spacing w:line="240" w:lineRule="auto" w:before="230" w:after="0"/>
        <w:ind w:left="2019" w:right="0" w:hanging="1354"/>
        <w:jc w:val="left"/>
      </w:pPr>
      <w:bookmarkStart w:name="_TOC_250089" w:id="72"/>
      <w:r>
        <w:rPr/>
        <w:t>Uniformity</w:t>
      </w:r>
      <w:r>
        <w:rPr>
          <w:spacing w:val="14"/>
        </w:rPr>
        <w:t> </w:t>
      </w:r>
      <w:r>
        <w:rPr/>
        <w:t>of</w:t>
      </w:r>
      <w:r>
        <w:rPr>
          <w:spacing w:val="14"/>
        </w:rPr>
        <w:t> </w:t>
      </w:r>
      <w:bookmarkEnd w:id="72"/>
      <w:r>
        <w:rPr>
          <w:spacing w:val="-2"/>
        </w:rPr>
        <w:t>weight</w:t>
      </w:r>
    </w:p>
    <w:p>
      <w:pPr>
        <w:pStyle w:val="BodyText"/>
        <w:spacing w:line="491" w:lineRule="auto" w:before="246"/>
        <w:ind w:left="665" w:right="1859"/>
        <w:jc w:val="both"/>
      </w:pPr>
      <w:r>
        <w:rPr/>
        <w:t>In order to minimize dose variations in tablets, testing for the uniformity of weight is essential. Tablet weight is adjusted to give the quality of granulation that will contain a unit dose of the mediation, thus any variation in weight will result in dose variation assuming</w:t>
      </w:r>
      <w:r>
        <w:rPr>
          <w:spacing w:val="8"/>
        </w:rPr>
        <w:t> </w:t>
      </w:r>
      <w:r>
        <w:rPr/>
        <w:t>uniform</w:t>
      </w:r>
      <w:r>
        <w:rPr>
          <w:spacing w:val="9"/>
        </w:rPr>
        <w:t> </w:t>
      </w:r>
      <w:r>
        <w:rPr/>
        <w:t>dispersion</w:t>
      </w:r>
      <w:r>
        <w:rPr>
          <w:spacing w:val="9"/>
        </w:rPr>
        <w:t> </w:t>
      </w:r>
      <w:r>
        <w:rPr/>
        <w:t>of</w:t>
      </w:r>
      <w:r>
        <w:rPr>
          <w:spacing w:val="8"/>
        </w:rPr>
        <w:t> </w:t>
      </w:r>
      <w:r>
        <w:rPr/>
        <w:t>the</w:t>
      </w:r>
      <w:r>
        <w:rPr>
          <w:spacing w:val="13"/>
        </w:rPr>
        <w:t> </w:t>
      </w:r>
      <w:r>
        <w:rPr/>
        <w:t>active</w:t>
      </w:r>
      <w:r>
        <w:rPr>
          <w:spacing w:val="18"/>
        </w:rPr>
        <w:t> </w:t>
      </w:r>
      <w:r>
        <w:rPr/>
        <w:t>ingredient</w:t>
      </w:r>
      <w:r>
        <w:rPr>
          <w:spacing w:val="17"/>
        </w:rPr>
        <w:t> </w:t>
      </w:r>
      <w:r>
        <w:rPr/>
        <w:t>in</w:t>
      </w:r>
      <w:r>
        <w:rPr>
          <w:spacing w:val="9"/>
        </w:rPr>
        <w:t> </w:t>
      </w:r>
      <w:r>
        <w:rPr/>
        <w:t>the</w:t>
      </w:r>
      <w:r>
        <w:rPr>
          <w:spacing w:val="12"/>
        </w:rPr>
        <w:t> </w:t>
      </w:r>
      <w:r>
        <w:rPr/>
        <w:t>tablet</w:t>
      </w:r>
      <w:r>
        <w:rPr>
          <w:spacing w:val="12"/>
        </w:rPr>
        <w:t> </w:t>
      </w:r>
      <w:r>
        <w:rPr/>
        <w:t>mix.</w:t>
      </w:r>
      <w:r>
        <w:rPr>
          <w:spacing w:val="18"/>
        </w:rPr>
        <w:t> </w:t>
      </w:r>
      <w:r>
        <w:rPr/>
        <w:t>This</w:t>
      </w:r>
      <w:r>
        <w:rPr>
          <w:spacing w:val="10"/>
        </w:rPr>
        <w:t> </w:t>
      </w:r>
      <w:r>
        <w:rPr/>
        <w:t>test</w:t>
      </w:r>
      <w:r>
        <w:rPr>
          <w:spacing w:val="17"/>
        </w:rPr>
        <w:t> </w:t>
      </w:r>
      <w:r>
        <w:rPr>
          <w:spacing w:val="-2"/>
        </w:rPr>
        <w:t>requires</w:t>
      </w:r>
    </w:p>
    <w:p>
      <w:pPr>
        <w:spacing w:after="0" w:line="491" w:lineRule="auto"/>
        <w:jc w:val="both"/>
        <w:sectPr>
          <w:pgSz w:w="12240" w:h="15840"/>
          <w:pgMar w:header="0" w:footer="999" w:top="1260" w:bottom="1180" w:left="1720" w:right="0"/>
        </w:sectPr>
      </w:pPr>
    </w:p>
    <w:p>
      <w:pPr>
        <w:pStyle w:val="BodyText"/>
        <w:spacing w:line="491" w:lineRule="auto" w:before="75"/>
        <w:ind w:left="665" w:right="1852"/>
        <w:jc w:val="both"/>
      </w:pPr>
      <w:r>
        <w:rPr/>
        <w:t>weighing twenty tablets individually and then calculating the average weight. Not more than two of the tablets must differ from the average weight by not more than the percentages stated in the Table below. Coated tablets are exempted from these requirements but must conform to the test for content uniformity if necessary.</w:t>
      </w:r>
    </w:p>
    <w:p>
      <w:pPr>
        <w:pStyle w:val="Heading2"/>
        <w:spacing w:before="230"/>
        <w:ind w:left="665" w:firstLine="0"/>
        <w:jc w:val="both"/>
      </w:pPr>
      <w:r>
        <w:rPr/>
        <w:t>Table</w:t>
      </w:r>
      <w:r>
        <w:rPr>
          <w:spacing w:val="6"/>
        </w:rPr>
        <w:t> </w:t>
      </w:r>
      <w:r>
        <w:rPr/>
        <w:t>2.1:</w:t>
      </w:r>
      <w:r>
        <w:rPr>
          <w:spacing w:val="14"/>
        </w:rPr>
        <w:t> </w:t>
      </w:r>
      <w:r>
        <w:rPr/>
        <w:t>Tablet</w:t>
      </w:r>
      <w:r>
        <w:rPr>
          <w:spacing w:val="14"/>
        </w:rPr>
        <w:t> </w:t>
      </w:r>
      <w:r>
        <w:rPr/>
        <w:t>weight</w:t>
      </w:r>
      <w:r>
        <w:rPr>
          <w:spacing w:val="13"/>
        </w:rPr>
        <w:t> </w:t>
      </w:r>
      <w:r>
        <w:rPr/>
        <w:t>variation</w:t>
      </w:r>
      <w:r>
        <w:rPr>
          <w:spacing w:val="17"/>
        </w:rPr>
        <w:t> </w:t>
      </w:r>
      <w:r>
        <w:rPr/>
        <w:t>requirements</w:t>
      </w:r>
      <w:r>
        <w:rPr>
          <w:spacing w:val="10"/>
        </w:rPr>
        <w:t> </w:t>
      </w:r>
      <w:r>
        <w:rPr/>
        <w:t>(BP,</w:t>
      </w:r>
      <w:r>
        <w:rPr>
          <w:spacing w:val="12"/>
        </w:rPr>
        <w:t> </w:t>
      </w:r>
      <w:r>
        <w:rPr>
          <w:spacing w:val="-2"/>
        </w:rPr>
        <w:t>2002)</w:t>
      </w:r>
    </w:p>
    <w:p>
      <w:pPr>
        <w:pStyle w:val="BodyText"/>
        <w:spacing w:before="116"/>
        <w:rPr>
          <w:b/>
          <w:sz w:val="20"/>
        </w:rPr>
      </w:pPr>
      <w:r>
        <w:rPr/>
        <mc:AlternateContent>
          <mc:Choice Requires="wps">
            <w:drawing>
              <wp:anchor distT="0" distB="0" distL="0" distR="0" allowOverlap="1" layoutInCell="1" locked="0" behindDoc="1" simplePos="0" relativeHeight="487594496">
                <wp:simplePos x="0" y="0"/>
                <wp:positionH relativeFrom="page">
                  <wp:posOffset>1450848</wp:posOffset>
                </wp:positionH>
                <wp:positionV relativeFrom="paragraph">
                  <wp:posOffset>234948</wp:posOffset>
                </wp:positionV>
                <wp:extent cx="509016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090160" cy="6350"/>
                        </a:xfrm>
                        <a:custGeom>
                          <a:avLst/>
                          <a:gdLst/>
                          <a:ahLst/>
                          <a:cxnLst/>
                          <a:rect l="l" t="t" r="r" b="b"/>
                          <a:pathLst>
                            <a:path w="5090160" h="6350">
                              <a:moveTo>
                                <a:pt x="5090147" y="0"/>
                              </a:moveTo>
                              <a:lnTo>
                                <a:pt x="2548128" y="0"/>
                              </a:lnTo>
                              <a:lnTo>
                                <a:pt x="2542032" y="0"/>
                              </a:lnTo>
                              <a:lnTo>
                                <a:pt x="0" y="0"/>
                              </a:lnTo>
                              <a:lnTo>
                                <a:pt x="0" y="6096"/>
                              </a:lnTo>
                              <a:lnTo>
                                <a:pt x="2542032" y="6096"/>
                              </a:lnTo>
                              <a:lnTo>
                                <a:pt x="2548128" y="6096"/>
                              </a:lnTo>
                              <a:lnTo>
                                <a:pt x="5090147" y="6096"/>
                              </a:lnTo>
                              <a:lnTo>
                                <a:pt x="5090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240005pt;margin-top:18.499855pt;width:400.8pt;height:.5pt;mso-position-horizontal-relative:page;mso-position-vertical-relative:paragraph;z-index:-15721984;mso-wrap-distance-left:0;mso-wrap-distance-right:0" id="docshape17" coordorigin="2285,370" coordsize="8016,10" path="m10301,370l6298,370,6288,370,2285,370,2285,380,6288,380,6298,380,10301,380,10301,370xe" filled="true" fillcolor="#000000" stroked="false">
                <v:path arrowok="t"/>
                <v:fill type="solid"/>
                <w10:wrap type="topAndBottom"/>
              </v:shape>
            </w:pict>
          </mc:Fallback>
        </mc:AlternateContent>
      </w:r>
    </w:p>
    <w:p>
      <w:pPr>
        <w:tabs>
          <w:tab w:pos="4668" w:val="left" w:leader="none"/>
        </w:tabs>
        <w:spacing w:before="6"/>
        <w:ind w:left="665" w:right="0" w:firstLine="0"/>
        <w:jc w:val="both"/>
        <w:rPr>
          <w:b/>
          <w:sz w:val="22"/>
        </w:rPr>
      </w:pPr>
      <w:r>
        <w:rPr>
          <w:b/>
          <w:sz w:val="22"/>
        </w:rPr>
        <w:t>Average</w:t>
      </w:r>
      <w:r>
        <w:rPr>
          <w:b/>
          <w:spacing w:val="20"/>
          <w:sz w:val="22"/>
        </w:rPr>
        <w:t> </w:t>
      </w:r>
      <w:r>
        <w:rPr>
          <w:b/>
          <w:spacing w:val="-2"/>
          <w:sz w:val="22"/>
        </w:rPr>
        <w:t>weight</w:t>
      </w:r>
      <w:r>
        <w:rPr>
          <w:b/>
          <w:sz w:val="22"/>
        </w:rPr>
        <w:tab/>
        <w:t>Percentage</w:t>
      </w:r>
      <w:r>
        <w:rPr>
          <w:b/>
          <w:spacing w:val="19"/>
          <w:sz w:val="22"/>
        </w:rPr>
        <w:t> </w:t>
      </w:r>
      <w:r>
        <w:rPr>
          <w:b/>
          <w:spacing w:val="-2"/>
          <w:sz w:val="22"/>
        </w:rPr>
        <w:t>difference</w:t>
      </w:r>
    </w:p>
    <w:p>
      <w:pPr>
        <w:pStyle w:val="BodyText"/>
        <w:tabs>
          <w:tab w:pos="6681" w:val="right" w:leader="none"/>
        </w:tabs>
        <w:spacing w:before="275"/>
        <w:ind w:left="665"/>
      </w:pPr>
      <w:r>
        <w:rPr/>
        <mc:AlternateContent>
          <mc:Choice Requires="wps">
            <w:drawing>
              <wp:anchor distT="0" distB="0" distL="0" distR="0" allowOverlap="1" layoutInCell="1" locked="0" behindDoc="0" simplePos="0" relativeHeight="15736320">
                <wp:simplePos x="0" y="0"/>
                <wp:positionH relativeFrom="page">
                  <wp:posOffset>1450848</wp:posOffset>
                </wp:positionH>
                <wp:positionV relativeFrom="paragraph">
                  <wp:posOffset>164732</wp:posOffset>
                </wp:positionV>
                <wp:extent cx="5090160" cy="63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090160" cy="6350"/>
                        </a:xfrm>
                        <a:custGeom>
                          <a:avLst/>
                          <a:gdLst/>
                          <a:ahLst/>
                          <a:cxnLst/>
                          <a:rect l="l" t="t" r="r" b="b"/>
                          <a:pathLst>
                            <a:path w="5090160" h="6350">
                              <a:moveTo>
                                <a:pt x="5090147" y="0"/>
                              </a:moveTo>
                              <a:lnTo>
                                <a:pt x="2548128" y="0"/>
                              </a:lnTo>
                              <a:lnTo>
                                <a:pt x="2542032" y="0"/>
                              </a:lnTo>
                              <a:lnTo>
                                <a:pt x="0" y="0"/>
                              </a:lnTo>
                              <a:lnTo>
                                <a:pt x="0" y="6096"/>
                              </a:lnTo>
                              <a:lnTo>
                                <a:pt x="2542032" y="6096"/>
                              </a:lnTo>
                              <a:lnTo>
                                <a:pt x="2548128" y="6096"/>
                              </a:lnTo>
                              <a:lnTo>
                                <a:pt x="5090147" y="6096"/>
                              </a:lnTo>
                              <a:lnTo>
                                <a:pt x="5090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240005pt;margin-top:12.971048pt;width:400.8pt;height:.5pt;mso-position-horizontal-relative:page;mso-position-vertical-relative:paragraph;z-index:15736320" id="docshape18" coordorigin="2285,259" coordsize="8016,10" path="m10301,259l6298,259,6288,259,2285,259,2285,269,6288,269,6298,269,10301,269,10301,259xe" filled="true" fillcolor="#000000" stroked="false">
                <v:path arrowok="t"/>
                <v:fill type="solid"/>
                <w10:wrap type="none"/>
              </v:shape>
            </w:pict>
          </mc:Fallback>
        </mc:AlternateContent>
      </w:r>
      <w:r>
        <w:rPr/>
        <w:t>130</w:t>
      </w:r>
      <w:r>
        <w:rPr>
          <w:spacing w:val="13"/>
        </w:rPr>
        <w:t> </w:t>
      </w:r>
      <w:r>
        <w:rPr/>
        <w:t>mg</w:t>
      </w:r>
      <w:r>
        <w:rPr>
          <w:spacing w:val="3"/>
        </w:rPr>
        <w:t> </w:t>
      </w:r>
      <w:r>
        <w:rPr/>
        <w:t>or</w:t>
      </w:r>
      <w:r>
        <w:rPr>
          <w:spacing w:val="6"/>
        </w:rPr>
        <w:t> </w:t>
      </w:r>
      <w:r>
        <w:rPr>
          <w:spacing w:val="-4"/>
        </w:rPr>
        <w:t>less</w:t>
      </w:r>
      <w:r>
        <w:rPr/>
        <w:tab/>
      </w:r>
      <w:r>
        <w:rPr>
          <w:spacing w:val="-5"/>
        </w:rPr>
        <w:t>10</w:t>
      </w:r>
    </w:p>
    <w:p>
      <w:pPr>
        <w:pStyle w:val="BodyText"/>
        <w:tabs>
          <w:tab w:pos="6706" w:val="right" w:leader="none"/>
        </w:tabs>
        <w:spacing w:before="265"/>
        <w:ind w:left="665"/>
      </w:pPr>
      <w:r>
        <w:rPr/>
        <w:t>&gt;</w:t>
      </w:r>
      <w:r>
        <w:rPr>
          <w:spacing w:val="8"/>
        </w:rPr>
        <w:t> </w:t>
      </w:r>
      <w:r>
        <w:rPr/>
        <w:t>130</w:t>
      </w:r>
      <w:r>
        <w:rPr>
          <w:spacing w:val="5"/>
        </w:rPr>
        <w:t> </w:t>
      </w:r>
      <w:r>
        <w:rPr/>
        <w:t>mg</w:t>
      </w:r>
      <w:r>
        <w:rPr>
          <w:spacing w:val="5"/>
        </w:rPr>
        <w:t> </w:t>
      </w:r>
      <w:r>
        <w:rPr/>
        <w:t>–</w:t>
      </w:r>
      <w:r>
        <w:rPr>
          <w:spacing w:val="4"/>
        </w:rPr>
        <w:t> </w:t>
      </w:r>
      <w:r>
        <w:rPr/>
        <w:t>324</w:t>
      </w:r>
      <w:r>
        <w:rPr>
          <w:spacing w:val="5"/>
        </w:rPr>
        <w:t> </w:t>
      </w:r>
      <w:r>
        <w:rPr>
          <w:spacing w:val="-5"/>
        </w:rPr>
        <w:t>mg</w:t>
      </w:r>
      <w:r>
        <w:rPr/>
        <w:tab/>
      </w:r>
      <w:r>
        <w:rPr>
          <w:spacing w:val="-5"/>
        </w:rPr>
        <w:t>7.5</w:t>
      </w:r>
    </w:p>
    <w:p>
      <w:pPr>
        <w:pStyle w:val="BodyText"/>
        <w:tabs>
          <w:tab w:pos="6624" w:val="right" w:leader="none"/>
        </w:tabs>
        <w:spacing w:before="270"/>
        <w:ind w:left="665"/>
      </w:pPr>
      <w:r>
        <w:rPr/>
        <w:t>More</w:t>
      </w:r>
      <w:r>
        <w:rPr>
          <w:spacing w:val="9"/>
        </w:rPr>
        <w:t> </w:t>
      </w:r>
      <w:r>
        <w:rPr/>
        <w:t>than</w:t>
      </w:r>
      <w:r>
        <w:rPr>
          <w:spacing w:val="6"/>
        </w:rPr>
        <w:t> </w:t>
      </w:r>
      <w:r>
        <w:rPr/>
        <w:t>324</w:t>
      </w:r>
      <w:r>
        <w:rPr>
          <w:spacing w:val="17"/>
        </w:rPr>
        <w:t> </w:t>
      </w:r>
      <w:r>
        <w:rPr>
          <w:spacing w:val="-5"/>
        </w:rPr>
        <w:t>mg</w:t>
      </w:r>
      <w:r>
        <w:rPr/>
        <w:tab/>
      </w:r>
      <w:r>
        <w:rPr>
          <w:spacing w:val="-10"/>
        </w:rPr>
        <w:t>5</w:t>
      </w:r>
    </w:p>
    <w:p>
      <w:pPr>
        <w:pStyle w:val="BodyText"/>
        <w:spacing w:before="6"/>
        <w:rPr>
          <w:sz w:val="20"/>
        </w:rPr>
      </w:pPr>
      <w:r>
        <w:rPr/>
        <mc:AlternateContent>
          <mc:Choice Requires="wps">
            <w:drawing>
              <wp:anchor distT="0" distB="0" distL="0" distR="0" allowOverlap="1" layoutInCell="1" locked="0" behindDoc="1" simplePos="0" relativeHeight="487595008">
                <wp:simplePos x="0" y="0"/>
                <wp:positionH relativeFrom="page">
                  <wp:posOffset>1441704</wp:posOffset>
                </wp:positionH>
                <wp:positionV relativeFrom="paragraph">
                  <wp:posOffset>165154</wp:posOffset>
                </wp:positionV>
                <wp:extent cx="5099685"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099685" cy="6350"/>
                        </a:xfrm>
                        <a:custGeom>
                          <a:avLst/>
                          <a:gdLst/>
                          <a:ahLst/>
                          <a:cxnLst/>
                          <a:rect l="l" t="t" r="r" b="b"/>
                          <a:pathLst>
                            <a:path w="5099685" h="6350">
                              <a:moveTo>
                                <a:pt x="5099291" y="0"/>
                              </a:moveTo>
                              <a:lnTo>
                                <a:pt x="2551176" y="0"/>
                              </a:lnTo>
                              <a:lnTo>
                                <a:pt x="2548128" y="0"/>
                              </a:lnTo>
                              <a:lnTo>
                                <a:pt x="2542032" y="0"/>
                              </a:lnTo>
                              <a:lnTo>
                                <a:pt x="0" y="0"/>
                              </a:lnTo>
                              <a:lnTo>
                                <a:pt x="0" y="6096"/>
                              </a:lnTo>
                              <a:lnTo>
                                <a:pt x="2542032" y="6096"/>
                              </a:lnTo>
                              <a:lnTo>
                                <a:pt x="2548128" y="6096"/>
                              </a:lnTo>
                              <a:lnTo>
                                <a:pt x="2551176" y="6096"/>
                              </a:lnTo>
                              <a:lnTo>
                                <a:pt x="5099291" y="6096"/>
                              </a:lnTo>
                              <a:lnTo>
                                <a:pt x="5099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520004pt;margin-top:13.004274pt;width:401.55pt;height:.5pt;mso-position-horizontal-relative:page;mso-position-vertical-relative:paragraph;z-index:-15721472;mso-wrap-distance-left:0;mso-wrap-distance-right:0" id="docshape19" coordorigin="2270,260" coordsize="8031,10" path="m10301,260l6288,260,6283,260,6274,260,2270,260,2270,270,6274,270,6283,270,6288,270,10301,270,10301,260xe" filled="true" fillcolor="#000000" stroked="false">
                <v:path arrowok="t"/>
                <v:fill type="solid"/>
                <w10:wrap type="topAndBottom"/>
              </v:shape>
            </w:pict>
          </mc:Fallback>
        </mc:AlternateContent>
      </w:r>
    </w:p>
    <w:p>
      <w:pPr>
        <w:pStyle w:val="BodyText"/>
      </w:pPr>
    </w:p>
    <w:p>
      <w:pPr>
        <w:pStyle w:val="BodyText"/>
        <w:spacing w:before="23"/>
      </w:pPr>
    </w:p>
    <w:p>
      <w:pPr>
        <w:pStyle w:val="Heading2"/>
        <w:numPr>
          <w:ilvl w:val="3"/>
          <w:numId w:val="25"/>
        </w:numPr>
        <w:tabs>
          <w:tab w:pos="2019" w:val="left" w:leader="none"/>
        </w:tabs>
        <w:spacing w:line="240" w:lineRule="auto" w:before="0" w:after="0"/>
        <w:ind w:left="2019" w:right="0" w:hanging="1354"/>
        <w:jc w:val="left"/>
      </w:pPr>
      <w:r>
        <w:rPr/>
        <w:t>Uniformity</w:t>
      </w:r>
      <w:r>
        <w:rPr>
          <w:spacing w:val="11"/>
        </w:rPr>
        <w:t> </w:t>
      </w:r>
      <w:r>
        <w:rPr/>
        <w:t>of</w:t>
      </w:r>
      <w:r>
        <w:rPr>
          <w:spacing w:val="11"/>
        </w:rPr>
        <w:t> </w:t>
      </w:r>
      <w:r>
        <w:rPr/>
        <w:t>content</w:t>
      </w:r>
      <w:r>
        <w:rPr>
          <w:spacing w:val="10"/>
        </w:rPr>
        <w:t> </w:t>
      </w:r>
      <w:r>
        <w:rPr/>
        <w:t>of</w:t>
      </w:r>
      <w:r>
        <w:rPr>
          <w:spacing w:val="6"/>
        </w:rPr>
        <w:t> </w:t>
      </w:r>
      <w:r>
        <w:rPr/>
        <w:t>active</w:t>
      </w:r>
      <w:r>
        <w:rPr>
          <w:spacing w:val="15"/>
        </w:rPr>
        <w:t> </w:t>
      </w:r>
      <w:r>
        <w:rPr>
          <w:spacing w:val="-2"/>
        </w:rPr>
        <w:t>ingredient</w:t>
      </w:r>
    </w:p>
    <w:p>
      <w:pPr>
        <w:pStyle w:val="BodyText"/>
        <w:spacing w:before="7"/>
        <w:rPr>
          <w:b/>
        </w:rPr>
      </w:pPr>
    </w:p>
    <w:p>
      <w:pPr>
        <w:pStyle w:val="BodyText"/>
        <w:spacing w:line="491" w:lineRule="auto"/>
        <w:ind w:left="665" w:right="1857"/>
        <w:jc w:val="both"/>
      </w:pPr>
      <w:r>
        <w:rPr/>
        <w:t>This test ensures that every tablet contains the amount of drug substance intended with little</w:t>
      </w:r>
      <w:r>
        <w:rPr>
          <w:spacing w:val="29"/>
        </w:rPr>
        <w:t> </w:t>
      </w:r>
      <w:r>
        <w:rPr/>
        <w:t>variation among tablets within a batch. Twenty tablets are to</w:t>
      </w:r>
      <w:r>
        <w:rPr>
          <w:spacing w:val="32"/>
        </w:rPr>
        <w:t> </w:t>
      </w:r>
      <w:r>
        <w:rPr/>
        <w:t>be used for this test. The limits of the deviation in content from the stated amount are also given in the B.P. </w:t>
      </w:r>
      <w:r>
        <w:rPr>
          <w:spacing w:val="-2"/>
        </w:rPr>
        <w:t>(2002).</w:t>
      </w:r>
    </w:p>
    <w:p>
      <w:pPr>
        <w:pStyle w:val="Heading2"/>
        <w:numPr>
          <w:ilvl w:val="3"/>
          <w:numId w:val="25"/>
        </w:numPr>
        <w:tabs>
          <w:tab w:pos="2019" w:val="left" w:leader="none"/>
        </w:tabs>
        <w:spacing w:line="240" w:lineRule="auto" w:before="230" w:after="0"/>
        <w:ind w:left="2019" w:right="0" w:hanging="1354"/>
        <w:jc w:val="left"/>
      </w:pPr>
      <w:bookmarkStart w:name="_TOC_250088" w:id="73"/>
      <w:r>
        <w:rPr/>
        <w:t>Disintegration</w:t>
      </w:r>
      <w:r>
        <w:rPr>
          <w:spacing w:val="28"/>
        </w:rPr>
        <w:t> </w:t>
      </w:r>
      <w:bookmarkEnd w:id="73"/>
      <w:r>
        <w:rPr>
          <w:spacing w:val="-4"/>
        </w:rPr>
        <w:t>test</w:t>
      </w:r>
    </w:p>
    <w:p>
      <w:pPr>
        <w:pStyle w:val="BodyText"/>
        <w:spacing w:line="496" w:lineRule="auto" w:before="241"/>
        <w:ind w:left="665" w:right="1855" w:firstLine="676"/>
        <w:jc w:val="both"/>
      </w:pPr>
      <w:r>
        <w:rPr/>
        <w:t>Until recently, the only pharmacopoeial standard</w:t>
      </w:r>
      <w:r>
        <w:rPr>
          <w:spacing w:val="40"/>
        </w:rPr>
        <w:t> </w:t>
      </w:r>
      <w:r>
        <w:rPr/>
        <w:t>test relating to</w:t>
      </w:r>
      <w:r>
        <w:rPr>
          <w:spacing w:val="40"/>
        </w:rPr>
        <w:t> </w:t>
      </w:r>
      <w:r>
        <w:rPr/>
        <w:t>the release of drug from a tablet was a simple tablet disintegration test.</w:t>
      </w:r>
    </w:p>
    <w:p>
      <w:pPr>
        <w:pStyle w:val="BodyText"/>
        <w:spacing w:line="491" w:lineRule="auto"/>
        <w:ind w:left="665" w:right="1858" w:firstLine="676"/>
        <w:jc w:val="both"/>
      </w:pPr>
      <w:r>
        <w:rPr/>
        <w:t>It is generally recognized that in vitro tablet disintegration test does not</w:t>
      </w:r>
      <w:r>
        <w:rPr>
          <w:spacing w:val="80"/>
        </w:rPr>
        <w:t> </w:t>
      </w:r>
      <w:r>
        <w:rPr/>
        <w:t>necessarily bear a relationship with the in vivo action of the solid dosage form. To be absorbed,</w:t>
      </w:r>
      <w:r>
        <w:rPr>
          <w:spacing w:val="34"/>
        </w:rPr>
        <w:t> </w:t>
      </w:r>
      <w:r>
        <w:rPr/>
        <w:t>a</w:t>
      </w:r>
      <w:r>
        <w:rPr>
          <w:spacing w:val="18"/>
        </w:rPr>
        <w:t> </w:t>
      </w:r>
      <w:r>
        <w:rPr/>
        <w:t>drug</w:t>
      </w:r>
      <w:r>
        <w:rPr>
          <w:spacing w:val="25"/>
        </w:rPr>
        <w:t> </w:t>
      </w:r>
      <w:r>
        <w:rPr/>
        <w:t>substance</w:t>
      </w:r>
      <w:r>
        <w:rPr>
          <w:spacing w:val="24"/>
        </w:rPr>
        <w:t> </w:t>
      </w:r>
      <w:r>
        <w:rPr/>
        <w:t>must</w:t>
      </w:r>
      <w:r>
        <w:rPr>
          <w:spacing w:val="27"/>
        </w:rPr>
        <w:t> </w:t>
      </w:r>
      <w:r>
        <w:rPr/>
        <w:t>be</w:t>
      </w:r>
      <w:r>
        <w:rPr>
          <w:spacing w:val="29"/>
        </w:rPr>
        <w:t> </w:t>
      </w:r>
      <w:r>
        <w:rPr/>
        <w:t>in</w:t>
      </w:r>
      <w:r>
        <w:rPr>
          <w:spacing w:val="25"/>
        </w:rPr>
        <w:t> </w:t>
      </w:r>
      <w:r>
        <w:rPr/>
        <w:t>solution</w:t>
      </w:r>
      <w:r>
        <w:rPr>
          <w:spacing w:val="25"/>
        </w:rPr>
        <w:t> </w:t>
      </w:r>
      <w:r>
        <w:rPr/>
        <w:t>and</w:t>
      </w:r>
      <w:r>
        <w:rPr>
          <w:spacing w:val="31"/>
        </w:rPr>
        <w:t> </w:t>
      </w:r>
      <w:r>
        <w:rPr/>
        <w:t>the</w:t>
      </w:r>
      <w:r>
        <w:rPr>
          <w:spacing w:val="29"/>
        </w:rPr>
        <w:t> </w:t>
      </w:r>
      <w:r>
        <w:rPr/>
        <w:t>disintegration</w:t>
      </w:r>
      <w:r>
        <w:rPr>
          <w:spacing w:val="19"/>
        </w:rPr>
        <w:t> </w:t>
      </w:r>
      <w:r>
        <w:rPr/>
        <w:t>test</w:t>
      </w:r>
      <w:r>
        <w:rPr>
          <w:spacing w:val="33"/>
        </w:rPr>
        <w:t> </w:t>
      </w:r>
      <w:r>
        <w:rPr/>
        <w:t>is</w:t>
      </w:r>
      <w:r>
        <w:rPr>
          <w:spacing w:val="32"/>
        </w:rPr>
        <w:t> </w:t>
      </w:r>
      <w:r>
        <w:rPr/>
        <w:t>a</w:t>
      </w:r>
      <w:r>
        <w:rPr>
          <w:spacing w:val="29"/>
        </w:rPr>
        <w:t> </w:t>
      </w:r>
      <w:r>
        <w:rPr/>
        <w:t>measure of</w:t>
      </w:r>
      <w:r>
        <w:rPr>
          <w:spacing w:val="39"/>
        </w:rPr>
        <w:t> </w:t>
      </w:r>
      <w:r>
        <w:rPr/>
        <w:t>the</w:t>
      </w:r>
      <w:r>
        <w:rPr>
          <w:spacing w:val="40"/>
        </w:rPr>
        <w:t> </w:t>
      </w:r>
      <w:r>
        <w:rPr/>
        <w:t>time</w:t>
      </w:r>
      <w:r>
        <w:rPr>
          <w:spacing w:val="38"/>
        </w:rPr>
        <w:t> </w:t>
      </w:r>
      <w:r>
        <w:rPr/>
        <w:t>required,</w:t>
      </w:r>
      <w:r>
        <w:rPr>
          <w:spacing w:val="38"/>
        </w:rPr>
        <w:t> </w:t>
      </w:r>
      <w:r>
        <w:rPr/>
        <w:t>under</w:t>
      </w:r>
      <w:r>
        <w:rPr>
          <w:spacing w:val="33"/>
        </w:rPr>
        <w:t> </w:t>
      </w:r>
      <w:r>
        <w:rPr/>
        <w:t>specified</w:t>
      </w:r>
      <w:r>
        <w:rPr>
          <w:spacing w:val="40"/>
        </w:rPr>
        <w:t> </w:t>
      </w:r>
      <w:r>
        <w:rPr/>
        <w:t>conditions,</w:t>
      </w:r>
      <w:r>
        <w:rPr>
          <w:spacing w:val="40"/>
        </w:rPr>
        <w:t> </w:t>
      </w:r>
      <w:r>
        <w:rPr/>
        <w:t>for</w:t>
      </w:r>
      <w:r>
        <w:rPr>
          <w:spacing w:val="39"/>
        </w:rPr>
        <w:t> </w:t>
      </w:r>
      <w:r>
        <w:rPr/>
        <w:t>a</w:t>
      </w:r>
      <w:r>
        <w:rPr>
          <w:spacing w:val="40"/>
        </w:rPr>
        <w:t> </w:t>
      </w:r>
      <w:r>
        <w:rPr/>
        <w:t>group</w:t>
      </w:r>
      <w:r>
        <w:rPr>
          <w:spacing w:val="39"/>
        </w:rPr>
        <w:t> </w:t>
      </w:r>
      <w:r>
        <w:rPr/>
        <w:t>of</w:t>
      </w:r>
      <w:r>
        <w:rPr>
          <w:spacing w:val="39"/>
        </w:rPr>
        <w:t> </w:t>
      </w:r>
      <w:r>
        <w:rPr/>
        <w:t>tablets</w:t>
      </w:r>
      <w:r>
        <w:rPr>
          <w:spacing w:val="35"/>
        </w:rPr>
        <w:t> </w:t>
      </w:r>
      <w:r>
        <w:rPr/>
        <w:t>to</w:t>
      </w:r>
      <w:r>
        <w:rPr>
          <w:spacing w:val="39"/>
        </w:rPr>
        <w:t> </w:t>
      </w:r>
      <w:r>
        <w:rPr/>
        <w:t>disintegrate into particles.</w:t>
      </w:r>
    </w:p>
    <w:p>
      <w:pPr>
        <w:spacing w:after="0" w:line="491" w:lineRule="auto"/>
        <w:jc w:val="both"/>
        <w:sectPr>
          <w:pgSz w:w="12240" w:h="15840"/>
          <w:pgMar w:header="0" w:footer="999" w:top="1260" w:bottom="1180" w:left="1720" w:right="0"/>
        </w:sectPr>
      </w:pPr>
    </w:p>
    <w:p>
      <w:pPr>
        <w:pStyle w:val="BodyText"/>
        <w:spacing w:line="491" w:lineRule="auto" w:before="75"/>
        <w:ind w:left="665" w:right="1852" w:firstLine="676"/>
        <w:jc w:val="both"/>
      </w:pPr>
      <w:r>
        <w:rPr/>
        <w:t>This procedure is done using the disintegration tester which consists of a basket rack holding six plastic tubes, open at the top with the bottom covered by a ten-mesh screen.</w:t>
      </w:r>
      <w:r>
        <w:rPr>
          <w:spacing w:val="56"/>
        </w:rPr>
        <w:t> </w:t>
      </w:r>
      <w:r>
        <w:rPr/>
        <w:t>The</w:t>
      </w:r>
      <w:r>
        <w:rPr>
          <w:spacing w:val="57"/>
        </w:rPr>
        <w:t> </w:t>
      </w:r>
      <w:r>
        <w:rPr/>
        <w:t>basket</w:t>
      </w:r>
      <w:r>
        <w:rPr>
          <w:spacing w:val="66"/>
        </w:rPr>
        <w:t> </w:t>
      </w:r>
      <w:r>
        <w:rPr/>
        <w:t>is</w:t>
      </w:r>
      <w:r>
        <w:rPr>
          <w:spacing w:val="64"/>
        </w:rPr>
        <w:t> </w:t>
      </w:r>
      <w:r>
        <w:rPr/>
        <w:t>submerged</w:t>
      </w:r>
      <w:r>
        <w:rPr>
          <w:spacing w:val="63"/>
        </w:rPr>
        <w:t> </w:t>
      </w:r>
      <w:r>
        <w:rPr/>
        <w:t>in</w:t>
      </w:r>
      <w:r>
        <w:rPr>
          <w:spacing w:val="54"/>
        </w:rPr>
        <w:t> </w:t>
      </w:r>
      <w:r>
        <w:rPr/>
        <w:t>a</w:t>
      </w:r>
      <w:r>
        <w:rPr>
          <w:spacing w:val="61"/>
        </w:rPr>
        <w:t> </w:t>
      </w:r>
      <w:r>
        <w:rPr/>
        <w:t>bath</w:t>
      </w:r>
      <w:r>
        <w:rPr>
          <w:spacing w:val="54"/>
        </w:rPr>
        <w:t> </w:t>
      </w:r>
      <w:r>
        <w:rPr/>
        <w:t>of</w:t>
      </w:r>
      <w:r>
        <w:rPr>
          <w:spacing w:val="63"/>
        </w:rPr>
        <w:t> </w:t>
      </w:r>
      <w:r>
        <w:rPr/>
        <w:t>suitable</w:t>
      </w:r>
      <w:r>
        <w:rPr>
          <w:spacing w:val="63"/>
        </w:rPr>
        <w:t> </w:t>
      </w:r>
      <w:r>
        <w:rPr/>
        <w:t>liquid</w:t>
      </w:r>
      <w:r>
        <w:rPr>
          <w:spacing w:val="63"/>
        </w:rPr>
        <w:t> </w:t>
      </w:r>
      <w:r>
        <w:rPr/>
        <w:t>held</w:t>
      </w:r>
      <w:r>
        <w:rPr>
          <w:spacing w:val="63"/>
        </w:rPr>
        <w:t> </w:t>
      </w:r>
      <w:r>
        <w:rPr/>
        <w:t>at</w:t>
      </w:r>
      <w:r>
        <w:rPr>
          <w:spacing w:val="56"/>
        </w:rPr>
        <w:t> </w:t>
      </w:r>
      <w:r>
        <w:rPr/>
        <w:t>37</w:t>
      </w:r>
      <w:r>
        <w:rPr>
          <w:spacing w:val="61"/>
        </w:rPr>
        <w:t> </w:t>
      </w:r>
      <w:r>
        <w:rPr>
          <w:u w:val="single"/>
        </w:rPr>
        <w:t>+</w:t>
      </w:r>
      <w:r>
        <w:rPr>
          <w:spacing w:val="65"/>
        </w:rPr>
        <w:t> </w:t>
      </w:r>
      <w:r>
        <w:rPr/>
        <w:t>0.5</w:t>
      </w:r>
      <w:r>
        <w:rPr>
          <w:spacing w:val="64"/>
        </w:rPr>
        <w:t> </w:t>
      </w:r>
      <w:r>
        <w:rPr>
          <w:spacing w:val="-5"/>
          <w:vertAlign w:val="superscript"/>
        </w:rPr>
        <w:t>0</w:t>
      </w:r>
      <w:r>
        <w:rPr>
          <w:spacing w:val="-5"/>
          <w:vertAlign w:val="baseline"/>
        </w:rPr>
        <w:t>C,</w:t>
      </w:r>
    </w:p>
    <w:p>
      <w:pPr>
        <w:pStyle w:val="BodyText"/>
        <w:spacing w:line="491" w:lineRule="auto"/>
        <w:ind w:left="665" w:right="1860"/>
        <w:jc w:val="both"/>
      </w:pPr>
      <w:r>
        <w:rPr/>
        <w:t>preferably</w:t>
      </w:r>
      <w:r>
        <w:rPr>
          <w:spacing w:val="40"/>
        </w:rPr>
        <w:t> </w:t>
      </w:r>
      <w:r>
        <w:rPr/>
        <w:t>in</w:t>
      </w:r>
      <w:r>
        <w:rPr>
          <w:spacing w:val="40"/>
        </w:rPr>
        <w:t> </w:t>
      </w:r>
      <w:r>
        <w:rPr/>
        <w:t>a</w:t>
      </w:r>
      <w:r>
        <w:rPr>
          <w:spacing w:val="40"/>
        </w:rPr>
        <w:t> </w:t>
      </w:r>
      <w:r>
        <w:rPr/>
        <w:t>1</w:t>
      </w:r>
      <w:r>
        <w:rPr>
          <w:spacing w:val="40"/>
        </w:rPr>
        <w:t> </w:t>
      </w:r>
      <w:r>
        <w:rPr/>
        <w:t>litre</w:t>
      </w:r>
      <w:r>
        <w:rPr>
          <w:spacing w:val="40"/>
        </w:rPr>
        <w:t> </w:t>
      </w:r>
      <w:r>
        <w:rPr/>
        <w:t>beaker.</w:t>
      </w:r>
      <w:r>
        <w:rPr>
          <w:spacing w:val="40"/>
        </w:rPr>
        <w:t> </w:t>
      </w:r>
      <w:r>
        <w:rPr/>
        <w:t>For</w:t>
      </w:r>
      <w:r>
        <w:rPr>
          <w:spacing w:val="40"/>
        </w:rPr>
        <w:t> </w:t>
      </w:r>
      <w:r>
        <w:rPr/>
        <w:t>compressed</w:t>
      </w:r>
      <w:r>
        <w:rPr>
          <w:spacing w:val="40"/>
        </w:rPr>
        <w:t> </w:t>
      </w:r>
      <w:r>
        <w:rPr/>
        <w:t>uncoated</w:t>
      </w:r>
      <w:r>
        <w:rPr>
          <w:spacing w:val="40"/>
        </w:rPr>
        <w:t> </w:t>
      </w:r>
      <w:r>
        <w:rPr/>
        <w:t>tablets,</w:t>
      </w:r>
      <w:r>
        <w:rPr>
          <w:spacing w:val="40"/>
        </w:rPr>
        <w:t> </w:t>
      </w:r>
      <w:r>
        <w:rPr/>
        <w:t>the</w:t>
      </w:r>
      <w:r>
        <w:rPr>
          <w:spacing w:val="40"/>
        </w:rPr>
        <w:t> </w:t>
      </w:r>
      <w:r>
        <w:rPr/>
        <w:t>testing</w:t>
      </w:r>
      <w:r>
        <w:rPr>
          <w:spacing w:val="40"/>
        </w:rPr>
        <w:t> </w:t>
      </w:r>
      <w:r>
        <w:rPr/>
        <w:t>fluid</w:t>
      </w:r>
      <w:r>
        <w:rPr>
          <w:spacing w:val="40"/>
        </w:rPr>
        <w:t> </w:t>
      </w:r>
      <w:r>
        <w:rPr/>
        <w:t>is usually water at 37 </w:t>
      </w:r>
      <w:r>
        <w:rPr>
          <w:vertAlign w:val="superscript"/>
        </w:rPr>
        <w:t>0</w:t>
      </w:r>
      <w:r>
        <w:rPr>
          <w:vertAlign w:val="baseline"/>
        </w:rPr>
        <w:t>C. If one or two tablets fail to</w:t>
      </w:r>
      <w:r>
        <w:rPr>
          <w:spacing w:val="19"/>
          <w:vertAlign w:val="baseline"/>
        </w:rPr>
        <w:t> </w:t>
      </w:r>
      <w:r>
        <w:rPr>
          <w:vertAlign w:val="baseline"/>
        </w:rPr>
        <w:t>disintegrate, the test is repeated using 12 tablets. For most uncoated tablets, the BP requires that the tablet disintegrate in 15 minutes (although it varies for some uncoated tablets) while for coated tablets, up to 2 hours may be required (B.P., 1980).</w:t>
      </w:r>
    </w:p>
    <w:p>
      <w:pPr>
        <w:pStyle w:val="Heading2"/>
        <w:numPr>
          <w:ilvl w:val="3"/>
          <w:numId w:val="25"/>
        </w:numPr>
        <w:tabs>
          <w:tab w:pos="2019" w:val="left" w:leader="none"/>
        </w:tabs>
        <w:spacing w:line="240" w:lineRule="auto" w:before="229" w:after="0"/>
        <w:ind w:left="2019" w:right="0" w:hanging="1354"/>
        <w:jc w:val="left"/>
      </w:pPr>
      <w:bookmarkStart w:name="_TOC_250087" w:id="74"/>
      <w:r>
        <w:rPr/>
        <w:t>Dissolution</w:t>
      </w:r>
      <w:r>
        <w:rPr>
          <w:spacing w:val="21"/>
        </w:rPr>
        <w:t> </w:t>
      </w:r>
      <w:bookmarkEnd w:id="74"/>
      <w:r>
        <w:rPr>
          <w:spacing w:val="-4"/>
        </w:rPr>
        <w:t>test</w:t>
      </w:r>
    </w:p>
    <w:p>
      <w:pPr>
        <w:pStyle w:val="BodyText"/>
        <w:spacing w:line="491" w:lineRule="auto" w:before="251"/>
        <w:ind w:left="665" w:right="1862" w:firstLine="676"/>
        <w:jc w:val="both"/>
      </w:pPr>
      <w:r>
        <w:rPr/>
        <w:t>Dissolution can be defined as a process by which the drug substance in a formulation dissolves into solution (Wong and Collins, 2002).</w:t>
      </w:r>
    </w:p>
    <w:p>
      <w:pPr>
        <w:pStyle w:val="BodyText"/>
        <w:spacing w:line="491" w:lineRule="auto"/>
        <w:ind w:left="665" w:right="1854" w:firstLine="676"/>
        <w:jc w:val="both"/>
      </w:pPr>
      <w:r>
        <w:rPr/>
        <w:t>Since the first publication on the mathematical treatment of dissolution authored</w:t>
      </w:r>
      <w:r>
        <w:rPr>
          <w:spacing w:val="40"/>
        </w:rPr>
        <w:t> </w:t>
      </w:r>
      <w:r>
        <w:rPr/>
        <w:t>by</w:t>
      </w:r>
      <w:r>
        <w:rPr>
          <w:spacing w:val="-4"/>
        </w:rPr>
        <w:t> </w:t>
      </w:r>
      <w:r>
        <w:rPr/>
        <w:t>Noyes and Whitney (1897); modeling of dissolution rates from various dosage forms has continued to evolve and has become the research interest of many pharmaceutical scientists. One of the challenges of conducting a dissolution test that is different from many other analytical tests is that dissolution profiles may change significantly upon a slight</w:t>
      </w:r>
      <w:r>
        <w:rPr>
          <w:spacing w:val="40"/>
        </w:rPr>
        <w:t> </w:t>
      </w:r>
      <w:r>
        <w:rPr/>
        <w:t>modification</w:t>
      </w:r>
      <w:r>
        <w:rPr>
          <w:spacing w:val="32"/>
        </w:rPr>
        <w:t> </w:t>
      </w:r>
      <w:r>
        <w:rPr/>
        <w:t>of</w:t>
      </w:r>
      <w:r>
        <w:rPr>
          <w:spacing w:val="36"/>
        </w:rPr>
        <w:t> </w:t>
      </w:r>
      <w:r>
        <w:rPr/>
        <w:t>one</w:t>
      </w:r>
      <w:r>
        <w:rPr>
          <w:spacing w:val="35"/>
        </w:rPr>
        <w:t> </w:t>
      </w:r>
      <w:r>
        <w:rPr/>
        <w:t>of</w:t>
      </w:r>
      <w:r>
        <w:rPr>
          <w:spacing w:val="36"/>
        </w:rPr>
        <w:t> </w:t>
      </w:r>
      <w:r>
        <w:rPr/>
        <w:t>the</w:t>
      </w:r>
      <w:r>
        <w:rPr>
          <w:spacing w:val="40"/>
        </w:rPr>
        <w:t> </w:t>
      </w:r>
      <w:r>
        <w:rPr/>
        <w:t>dissolution</w:t>
      </w:r>
      <w:r>
        <w:rPr>
          <w:spacing w:val="38"/>
        </w:rPr>
        <w:t> </w:t>
      </w:r>
      <w:r>
        <w:rPr/>
        <w:t>parameters.</w:t>
      </w:r>
      <w:r>
        <w:rPr>
          <w:spacing w:val="40"/>
        </w:rPr>
        <w:t> </w:t>
      </w:r>
      <w:r>
        <w:rPr/>
        <w:t>A</w:t>
      </w:r>
      <w:r>
        <w:rPr>
          <w:spacing w:val="35"/>
        </w:rPr>
        <w:t> </w:t>
      </w:r>
      <w:r>
        <w:rPr/>
        <w:t>thorough</w:t>
      </w:r>
      <w:r>
        <w:rPr>
          <w:spacing w:val="38"/>
        </w:rPr>
        <w:t> </w:t>
      </w:r>
      <w:r>
        <w:rPr/>
        <w:t>understanding</w:t>
      </w:r>
      <w:r>
        <w:rPr>
          <w:spacing w:val="32"/>
        </w:rPr>
        <w:t> </w:t>
      </w:r>
      <w:r>
        <w:rPr/>
        <w:t>of the physical process of dissolution has been found to be critical in predicting dissolution </w:t>
      </w:r>
      <w:r>
        <w:rPr>
          <w:spacing w:val="-2"/>
        </w:rPr>
        <w:t>rates.</w:t>
      </w:r>
    </w:p>
    <w:p>
      <w:pPr>
        <w:pStyle w:val="BodyText"/>
        <w:spacing w:line="491" w:lineRule="auto"/>
        <w:ind w:left="665" w:right="1859" w:firstLine="676"/>
        <w:jc w:val="both"/>
      </w:pPr>
      <w:r>
        <w:rPr/>
        <w:t>In 1897, Noyes and Whitney developed an equation to describe dissolution rates. Later, Brunner and Tolloczko (1900) incorporated other variables into the Noyes and Whitney equation. The additional parameters included are: surface area, diffusion coefficient, the thickness of the diffusion layer, and the volume of the dissolution</w:t>
      </w:r>
      <w:r>
        <w:rPr>
          <w:spacing w:val="80"/>
        </w:rPr>
        <w:t> </w:t>
      </w:r>
      <w:r>
        <w:rPr/>
        <w:t>medium. This theory has remained the basic principle adopted by most pharmaceutical scientists in describing the phenomenon of dissolution.</w:t>
      </w:r>
    </w:p>
    <w:p>
      <w:pPr>
        <w:spacing w:after="0" w:line="491" w:lineRule="auto"/>
        <w:jc w:val="both"/>
        <w:sectPr>
          <w:pgSz w:w="12240" w:h="15840"/>
          <w:pgMar w:header="0" w:footer="999" w:top="1260" w:bottom="1180" w:left="1720" w:right="0"/>
        </w:sectPr>
      </w:pPr>
    </w:p>
    <w:p>
      <w:pPr>
        <w:pStyle w:val="BodyText"/>
        <w:spacing w:line="491" w:lineRule="auto" w:before="75"/>
        <w:ind w:left="665" w:right="1865" w:firstLine="676"/>
        <w:jc w:val="both"/>
      </w:pPr>
      <w:r>
        <w:rPr/>
        <w:t>Up to the early 1970’s, scientists have developed other dissolution models and started to standardize the instruments used in dissolution testing.</w:t>
      </w:r>
    </w:p>
    <w:p>
      <w:pPr>
        <w:pStyle w:val="BodyText"/>
        <w:spacing w:line="491" w:lineRule="auto"/>
        <w:ind w:left="665" w:right="1850" w:firstLine="676"/>
        <w:jc w:val="both"/>
      </w:pPr>
      <w:r>
        <w:rPr/>
        <w:t>In</w:t>
      </w:r>
      <w:r>
        <w:rPr>
          <w:spacing w:val="40"/>
        </w:rPr>
        <w:t> </w:t>
      </w:r>
      <w:r>
        <w:rPr/>
        <w:t>1931,</w:t>
      </w:r>
      <w:r>
        <w:rPr>
          <w:spacing w:val="40"/>
        </w:rPr>
        <w:t> </w:t>
      </w:r>
      <w:r>
        <w:rPr/>
        <w:t>Hixson</w:t>
      </w:r>
      <w:r>
        <w:rPr>
          <w:spacing w:val="40"/>
        </w:rPr>
        <w:t> </w:t>
      </w:r>
      <w:r>
        <w:rPr/>
        <w:t>and</w:t>
      </w:r>
      <w:r>
        <w:rPr>
          <w:spacing w:val="40"/>
        </w:rPr>
        <w:t> </w:t>
      </w:r>
      <w:r>
        <w:rPr/>
        <w:t>Crowell</w:t>
      </w:r>
      <w:r>
        <w:rPr>
          <w:spacing w:val="40"/>
        </w:rPr>
        <w:t> </w:t>
      </w:r>
      <w:r>
        <w:rPr/>
        <w:t>developed</w:t>
      </w:r>
      <w:r>
        <w:rPr>
          <w:spacing w:val="40"/>
        </w:rPr>
        <w:t> </w:t>
      </w:r>
      <w:r>
        <w:rPr/>
        <w:t>the</w:t>
      </w:r>
      <w:r>
        <w:rPr>
          <w:spacing w:val="40"/>
        </w:rPr>
        <w:t> </w:t>
      </w:r>
      <w:r>
        <w:rPr/>
        <w:t>“cube</w:t>
      </w:r>
      <w:r>
        <w:rPr>
          <w:spacing w:val="40"/>
        </w:rPr>
        <w:t> </w:t>
      </w:r>
      <w:r>
        <w:rPr/>
        <w:t>root</w:t>
      </w:r>
      <w:r>
        <w:rPr>
          <w:spacing w:val="40"/>
        </w:rPr>
        <w:t> </w:t>
      </w:r>
      <w:r>
        <w:rPr/>
        <w:t>law”</w:t>
      </w:r>
      <w:r>
        <w:rPr>
          <w:spacing w:val="40"/>
        </w:rPr>
        <w:t> </w:t>
      </w:r>
      <w:r>
        <w:rPr/>
        <w:t>of</w:t>
      </w:r>
      <w:r>
        <w:rPr>
          <w:spacing w:val="40"/>
        </w:rPr>
        <w:t> </w:t>
      </w:r>
      <w:r>
        <w:rPr/>
        <w:t>dissolution, which describes the appearance of a solute in solution. The cube root law describes the weight increase of the solute in solution upon its dissolution, instead of considering the rate of change in concentration as the predicted variable. In the pharmaceutical industry and in academia, researchers have attempted to understand the source of variability in dissolution.</w:t>
      </w:r>
      <w:r>
        <w:rPr>
          <w:spacing w:val="40"/>
        </w:rPr>
        <w:t> </w:t>
      </w:r>
      <w:r>
        <w:rPr/>
        <w:t>Instead</w:t>
      </w:r>
      <w:r>
        <w:rPr>
          <w:spacing w:val="40"/>
        </w:rPr>
        <w:t> </w:t>
      </w:r>
      <w:r>
        <w:rPr/>
        <w:t>of assuming</w:t>
      </w:r>
      <w:r>
        <w:rPr>
          <w:spacing w:val="40"/>
        </w:rPr>
        <w:t> </w:t>
      </w:r>
      <w:r>
        <w:rPr/>
        <w:t>the</w:t>
      </w:r>
      <w:r>
        <w:rPr>
          <w:spacing w:val="40"/>
        </w:rPr>
        <w:t> </w:t>
      </w:r>
      <w:r>
        <w:rPr/>
        <w:t>existence of</w:t>
      </w:r>
      <w:r>
        <w:rPr>
          <w:spacing w:val="40"/>
        </w:rPr>
        <w:t> </w:t>
      </w:r>
      <w:r>
        <w:rPr/>
        <w:t>a stagnant</w:t>
      </w:r>
      <w:r>
        <w:rPr>
          <w:spacing w:val="40"/>
        </w:rPr>
        <w:t> </w:t>
      </w:r>
      <w:r>
        <w:rPr/>
        <w:t>layer</w:t>
      </w:r>
      <w:r>
        <w:rPr>
          <w:spacing w:val="40"/>
        </w:rPr>
        <w:t> </w:t>
      </w:r>
      <w:r>
        <w:rPr/>
        <w:t>and</w:t>
      </w:r>
      <w:r>
        <w:rPr>
          <w:spacing w:val="40"/>
        </w:rPr>
        <w:t> </w:t>
      </w:r>
      <w:r>
        <w:rPr/>
        <w:t>a steady state during</w:t>
      </w:r>
      <w:r>
        <w:rPr>
          <w:spacing w:val="40"/>
        </w:rPr>
        <w:t> </w:t>
      </w:r>
      <w:r>
        <w:rPr/>
        <w:t>dissolution,</w:t>
      </w:r>
      <w:r>
        <w:rPr>
          <w:spacing w:val="40"/>
        </w:rPr>
        <w:t> </w:t>
      </w:r>
      <w:r>
        <w:rPr/>
        <w:t>some</w:t>
      </w:r>
      <w:r>
        <w:rPr>
          <w:spacing w:val="40"/>
        </w:rPr>
        <w:t> </w:t>
      </w:r>
      <w:r>
        <w:rPr/>
        <w:t>Scientists</w:t>
      </w:r>
      <w:r>
        <w:rPr>
          <w:spacing w:val="40"/>
        </w:rPr>
        <w:t> </w:t>
      </w:r>
      <w:r>
        <w:rPr/>
        <w:t>incorporated</w:t>
      </w:r>
      <w:r>
        <w:rPr>
          <w:spacing w:val="40"/>
        </w:rPr>
        <w:t> </w:t>
      </w:r>
      <w:r>
        <w:rPr/>
        <w:t>the</w:t>
      </w:r>
      <w:r>
        <w:rPr>
          <w:spacing w:val="40"/>
        </w:rPr>
        <w:t> </w:t>
      </w:r>
      <w:r>
        <w:rPr/>
        <w:t>concepts</w:t>
      </w:r>
      <w:r>
        <w:rPr>
          <w:spacing w:val="40"/>
        </w:rPr>
        <w:t> </w:t>
      </w:r>
      <w:r>
        <w:rPr/>
        <w:t>of</w:t>
      </w:r>
      <w:r>
        <w:rPr>
          <w:spacing w:val="40"/>
        </w:rPr>
        <w:t> </w:t>
      </w:r>
      <w:r>
        <w:rPr/>
        <w:t>continual</w:t>
      </w:r>
      <w:r>
        <w:rPr>
          <w:spacing w:val="40"/>
        </w:rPr>
        <w:t> </w:t>
      </w:r>
      <w:r>
        <w:rPr/>
        <w:t>renewal</w:t>
      </w:r>
      <w:r>
        <w:rPr>
          <w:spacing w:val="40"/>
        </w:rPr>
        <w:t> </w:t>
      </w:r>
      <w:r>
        <w:rPr/>
        <w:t>of the interfacial surface, and the existence of variable diffusion coefficients caused by concentration differences (Dankwerts, 1951; Nedich and Kildsig, 1972).</w:t>
      </w:r>
    </w:p>
    <w:p>
      <w:pPr>
        <w:pStyle w:val="BodyText"/>
        <w:spacing w:line="491" w:lineRule="auto" w:before="3"/>
        <w:ind w:left="665" w:right="1862" w:firstLine="676"/>
        <w:jc w:val="both"/>
      </w:pPr>
      <w:r>
        <w:rPr/>
        <w:t>Meanwhile, the design of dissolution apparatus evolved when different</w:t>
      </w:r>
      <w:r>
        <w:rPr>
          <w:spacing w:val="40"/>
        </w:rPr>
        <w:t> </w:t>
      </w:r>
      <w:r>
        <w:rPr/>
        <w:t>instruments were utilized to study theoretical aspects of dissolution. Generally, the principle and hydrodynamics of a dissolution apparatus can fall into any of these three categories: (i) a beaker-like closed system, (ii) a flow-through open system, and (iii) two separate compartments based on dialysis.</w:t>
      </w:r>
    </w:p>
    <w:p>
      <w:pPr>
        <w:pStyle w:val="BodyText"/>
        <w:spacing w:line="491" w:lineRule="auto"/>
        <w:ind w:left="665" w:right="1855" w:firstLine="676"/>
        <w:jc w:val="both"/>
      </w:pPr>
      <w:r>
        <w:rPr/>
        <w:t>Penarowski </w:t>
      </w:r>
      <w:r>
        <w:rPr>
          <w:i/>
        </w:rPr>
        <w:t>et al, </w:t>
      </w:r>
      <w:r>
        <w:rPr/>
        <w:t>1968 developed the rotating basket dissolution apparatus, and shortly after that, Poole, 1969 invented the paddle dissolution method. These two dissolution designs have then become USP apparatus 1 and USP Apparatus 2,</w:t>
      </w:r>
      <w:r>
        <w:rPr>
          <w:spacing w:val="40"/>
        </w:rPr>
        <w:t> </w:t>
      </w:r>
      <w:r>
        <w:rPr/>
        <w:t>respectively; and are still the most commonly used dissolution instruments.</w:t>
      </w:r>
    </w:p>
    <w:p>
      <w:pPr>
        <w:pStyle w:val="Heading2"/>
        <w:numPr>
          <w:ilvl w:val="1"/>
          <w:numId w:val="25"/>
        </w:numPr>
        <w:tabs>
          <w:tab w:pos="1342" w:val="left" w:leader="none"/>
        </w:tabs>
        <w:spacing w:line="240" w:lineRule="auto" w:before="233" w:after="0"/>
        <w:ind w:left="1342" w:right="0" w:hanging="677"/>
        <w:jc w:val="left"/>
      </w:pPr>
      <w:bookmarkStart w:name="_TOC_250086" w:id="75"/>
      <w:r>
        <w:rPr/>
        <w:t>Non-Pharmacopoeial</w:t>
      </w:r>
      <w:r>
        <w:rPr>
          <w:spacing w:val="30"/>
        </w:rPr>
        <w:t> </w:t>
      </w:r>
      <w:r>
        <w:rPr/>
        <w:t>(non-official)</w:t>
      </w:r>
      <w:r>
        <w:rPr>
          <w:spacing w:val="32"/>
        </w:rPr>
        <w:t> </w:t>
      </w:r>
      <w:bookmarkEnd w:id="75"/>
      <w:r>
        <w:rPr>
          <w:spacing w:val="-4"/>
        </w:rPr>
        <w:t>test</w:t>
      </w:r>
    </w:p>
    <w:p>
      <w:pPr>
        <w:pStyle w:val="BodyText"/>
        <w:spacing w:line="491" w:lineRule="auto" w:before="241"/>
        <w:ind w:left="665" w:right="1859" w:firstLine="676"/>
        <w:jc w:val="both"/>
      </w:pPr>
      <w:r>
        <w:rPr/>
        <w:t>A wide range of non-pharmacopoeial tests are conducted on tablets, both as in process control and as part of quality assurance programs.</w:t>
      </w:r>
    </w:p>
    <w:p>
      <w:pPr>
        <w:spacing w:after="0" w:line="491" w:lineRule="auto"/>
        <w:jc w:val="both"/>
        <w:sectPr>
          <w:pgSz w:w="12240" w:h="15840"/>
          <w:pgMar w:header="0" w:footer="999" w:top="1260" w:bottom="1180" w:left="1720" w:right="0"/>
        </w:sectPr>
      </w:pPr>
    </w:p>
    <w:p>
      <w:pPr>
        <w:pStyle w:val="Heading2"/>
        <w:numPr>
          <w:ilvl w:val="2"/>
          <w:numId w:val="25"/>
        </w:numPr>
        <w:tabs>
          <w:tab w:pos="1337" w:val="left" w:leader="none"/>
        </w:tabs>
        <w:spacing w:line="240" w:lineRule="auto" w:before="80" w:after="0"/>
        <w:ind w:left="1337" w:right="0" w:hanging="672"/>
        <w:jc w:val="left"/>
      </w:pPr>
      <w:bookmarkStart w:name="_TOC_250085" w:id="76"/>
      <w:r>
        <w:rPr/>
        <w:t>Uniformity</w:t>
      </w:r>
      <w:r>
        <w:rPr>
          <w:spacing w:val="14"/>
        </w:rPr>
        <w:t> </w:t>
      </w:r>
      <w:r>
        <w:rPr/>
        <w:t>of</w:t>
      </w:r>
      <w:r>
        <w:rPr>
          <w:spacing w:val="14"/>
        </w:rPr>
        <w:t> </w:t>
      </w:r>
      <w:bookmarkEnd w:id="76"/>
      <w:r>
        <w:rPr>
          <w:spacing w:val="-2"/>
        </w:rPr>
        <w:t>thickness</w:t>
      </w:r>
    </w:p>
    <w:p>
      <w:pPr>
        <w:pStyle w:val="BodyText"/>
        <w:spacing w:line="491" w:lineRule="auto" w:before="246"/>
        <w:ind w:left="665" w:right="1861" w:firstLine="676"/>
        <w:jc w:val="both"/>
      </w:pPr>
      <w:r>
        <w:rPr/>
        <w:t>In order to reproduce tablets identical in appearance and also to ensure that there are no problems with packaging, uniformity of tablet thickness is expedient. Tablet thickness is measured by the use of a micrometer screw gauge.</w:t>
      </w:r>
    </w:p>
    <w:p>
      <w:pPr>
        <w:pStyle w:val="BodyText"/>
        <w:spacing w:line="252" w:lineRule="exact"/>
        <w:ind w:left="665"/>
      </w:pPr>
      <w:r>
        <w:rPr/>
        <w:t>The</w:t>
      </w:r>
      <w:r>
        <w:rPr>
          <w:spacing w:val="13"/>
        </w:rPr>
        <w:t> </w:t>
      </w:r>
      <w:r>
        <w:rPr/>
        <w:t>thickness</w:t>
      </w:r>
      <w:r>
        <w:rPr>
          <w:spacing w:val="11"/>
        </w:rPr>
        <w:t> </w:t>
      </w:r>
      <w:r>
        <w:rPr/>
        <w:t>of</w:t>
      </w:r>
      <w:r>
        <w:rPr>
          <w:spacing w:val="14"/>
        </w:rPr>
        <w:t> </w:t>
      </w:r>
      <w:r>
        <w:rPr/>
        <w:t>tablets</w:t>
      </w:r>
      <w:r>
        <w:rPr>
          <w:spacing w:val="11"/>
        </w:rPr>
        <w:t> </w:t>
      </w:r>
      <w:r>
        <w:rPr/>
        <w:t>may</w:t>
      </w:r>
      <w:r>
        <w:rPr>
          <w:spacing w:val="4"/>
        </w:rPr>
        <w:t> </w:t>
      </w:r>
      <w:r>
        <w:rPr/>
        <w:t>vary</w:t>
      </w:r>
      <w:r>
        <w:rPr>
          <w:spacing w:val="3"/>
        </w:rPr>
        <w:t> </w:t>
      </w:r>
      <w:r>
        <w:rPr/>
        <w:t>due</w:t>
      </w:r>
      <w:r>
        <w:rPr>
          <w:spacing w:val="8"/>
        </w:rPr>
        <w:t> </w:t>
      </w:r>
      <w:r>
        <w:rPr>
          <w:spacing w:val="-5"/>
        </w:rPr>
        <w:t>to;</w:t>
      </w:r>
    </w:p>
    <w:p>
      <w:pPr>
        <w:pStyle w:val="BodyText"/>
        <w:spacing w:before="12"/>
      </w:pPr>
    </w:p>
    <w:p>
      <w:pPr>
        <w:pStyle w:val="ListParagraph"/>
        <w:numPr>
          <w:ilvl w:val="0"/>
          <w:numId w:val="30"/>
        </w:numPr>
        <w:tabs>
          <w:tab w:pos="1354" w:val="left" w:leader="none"/>
        </w:tabs>
        <w:spacing w:line="240" w:lineRule="auto" w:before="1" w:after="0"/>
        <w:ind w:left="1354" w:right="0" w:hanging="348"/>
        <w:jc w:val="left"/>
        <w:rPr>
          <w:sz w:val="22"/>
        </w:rPr>
      </w:pPr>
      <w:r>
        <w:rPr>
          <w:sz w:val="22"/>
        </w:rPr>
        <w:t>change</w:t>
      </w:r>
      <w:r>
        <w:rPr>
          <w:spacing w:val="14"/>
          <w:sz w:val="22"/>
        </w:rPr>
        <w:t> </w:t>
      </w:r>
      <w:r>
        <w:rPr>
          <w:sz w:val="22"/>
        </w:rPr>
        <w:t>in</w:t>
      </w:r>
      <w:r>
        <w:rPr>
          <w:spacing w:val="10"/>
          <w:sz w:val="22"/>
        </w:rPr>
        <w:t> </w:t>
      </w:r>
      <w:r>
        <w:rPr>
          <w:sz w:val="22"/>
        </w:rPr>
        <w:t>compression</w:t>
      </w:r>
      <w:r>
        <w:rPr>
          <w:spacing w:val="11"/>
          <w:sz w:val="22"/>
        </w:rPr>
        <w:t> </w:t>
      </w:r>
      <w:r>
        <w:rPr>
          <w:spacing w:val="-2"/>
          <w:sz w:val="22"/>
        </w:rPr>
        <w:t>pressure</w:t>
      </w:r>
    </w:p>
    <w:p>
      <w:pPr>
        <w:pStyle w:val="BodyText"/>
        <w:spacing w:before="12"/>
      </w:pPr>
    </w:p>
    <w:p>
      <w:pPr>
        <w:pStyle w:val="ListParagraph"/>
        <w:numPr>
          <w:ilvl w:val="0"/>
          <w:numId w:val="30"/>
        </w:numPr>
        <w:tabs>
          <w:tab w:pos="1353" w:val="left" w:leader="none"/>
          <w:tab w:pos="1356" w:val="left" w:leader="none"/>
        </w:tabs>
        <w:spacing w:line="494" w:lineRule="auto" w:before="0" w:after="0"/>
        <w:ind w:left="1356" w:right="1859" w:hanging="351"/>
        <w:jc w:val="both"/>
        <w:rPr>
          <w:sz w:val="22"/>
        </w:rPr>
      </w:pPr>
      <w:r>
        <w:rPr>
          <w:sz w:val="22"/>
        </w:rPr>
        <w:t>Size</w:t>
      </w:r>
      <w:r>
        <w:rPr>
          <w:spacing w:val="40"/>
          <w:sz w:val="22"/>
        </w:rPr>
        <w:t> </w:t>
      </w:r>
      <w:r>
        <w:rPr>
          <w:sz w:val="22"/>
        </w:rPr>
        <w:t>segregation</w:t>
      </w:r>
      <w:r>
        <w:rPr>
          <w:spacing w:val="40"/>
          <w:sz w:val="22"/>
        </w:rPr>
        <w:t> </w:t>
      </w:r>
      <w:r>
        <w:rPr>
          <w:sz w:val="22"/>
        </w:rPr>
        <w:t>within</w:t>
      </w:r>
      <w:r>
        <w:rPr>
          <w:spacing w:val="40"/>
          <w:sz w:val="22"/>
        </w:rPr>
        <w:t> </w:t>
      </w:r>
      <w:r>
        <w:rPr>
          <w:sz w:val="22"/>
        </w:rPr>
        <w:t>the</w:t>
      </w:r>
      <w:r>
        <w:rPr>
          <w:spacing w:val="40"/>
          <w:sz w:val="22"/>
        </w:rPr>
        <w:t> </w:t>
      </w:r>
      <w:r>
        <w:rPr>
          <w:sz w:val="22"/>
        </w:rPr>
        <w:t>hopper</w:t>
      </w:r>
      <w:r>
        <w:rPr>
          <w:spacing w:val="40"/>
          <w:sz w:val="22"/>
        </w:rPr>
        <w:t> </w:t>
      </w:r>
      <w:r>
        <w:rPr>
          <w:sz w:val="22"/>
        </w:rPr>
        <w:t>resulting</w:t>
      </w:r>
      <w:r>
        <w:rPr>
          <w:spacing w:val="40"/>
          <w:sz w:val="22"/>
        </w:rPr>
        <w:t> </w:t>
      </w:r>
      <w:r>
        <w:rPr>
          <w:sz w:val="22"/>
        </w:rPr>
        <w:t>in</w:t>
      </w:r>
      <w:r>
        <w:rPr>
          <w:spacing w:val="40"/>
          <w:sz w:val="22"/>
        </w:rPr>
        <w:t> </w:t>
      </w:r>
      <w:r>
        <w:rPr>
          <w:sz w:val="22"/>
        </w:rPr>
        <w:t>weight</w:t>
      </w:r>
      <w:r>
        <w:rPr>
          <w:spacing w:val="40"/>
          <w:sz w:val="22"/>
        </w:rPr>
        <w:t> </w:t>
      </w:r>
      <w:r>
        <w:rPr>
          <w:sz w:val="22"/>
        </w:rPr>
        <w:t>variation</w:t>
      </w:r>
      <w:r>
        <w:rPr>
          <w:spacing w:val="40"/>
          <w:sz w:val="22"/>
        </w:rPr>
        <w:t> </w:t>
      </w:r>
      <w:r>
        <w:rPr>
          <w:sz w:val="22"/>
        </w:rPr>
        <w:t>and consequently difference</w:t>
      </w:r>
      <w:r>
        <w:rPr>
          <w:spacing w:val="26"/>
          <w:sz w:val="22"/>
        </w:rPr>
        <w:t> </w:t>
      </w:r>
      <w:r>
        <w:rPr>
          <w:sz w:val="22"/>
        </w:rPr>
        <w:t>in tablet</w:t>
      </w:r>
      <w:r>
        <w:rPr>
          <w:spacing w:val="30"/>
          <w:sz w:val="22"/>
        </w:rPr>
        <w:t> </w:t>
      </w:r>
      <w:r>
        <w:rPr>
          <w:sz w:val="22"/>
        </w:rPr>
        <w:t>thickness when the</w:t>
      </w:r>
      <w:r>
        <w:rPr>
          <w:spacing w:val="26"/>
          <w:sz w:val="22"/>
        </w:rPr>
        <w:t> </w:t>
      </w:r>
      <w:r>
        <w:rPr>
          <w:sz w:val="22"/>
        </w:rPr>
        <w:t>same</w:t>
      </w:r>
      <w:r>
        <w:rPr>
          <w:spacing w:val="26"/>
          <w:sz w:val="22"/>
        </w:rPr>
        <w:t> </w:t>
      </w:r>
      <w:r>
        <w:rPr>
          <w:sz w:val="22"/>
        </w:rPr>
        <w:t>compression pressure is applied.</w:t>
      </w:r>
    </w:p>
    <w:p>
      <w:pPr>
        <w:pStyle w:val="Heading2"/>
        <w:numPr>
          <w:ilvl w:val="2"/>
          <w:numId w:val="25"/>
        </w:numPr>
        <w:tabs>
          <w:tab w:pos="1337" w:val="left" w:leader="none"/>
        </w:tabs>
        <w:spacing w:line="240" w:lineRule="auto" w:before="227" w:after="0"/>
        <w:ind w:left="1337" w:right="0" w:hanging="672"/>
        <w:jc w:val="left"/>
      </w:pPr>
      <w:bookmarkStart w:name="_TOC_250084" w:id="77"/>
      <w:r>
        <w:rPr/>
        <w:t>Crushing</w:t>
      </w:r>
      <w:r>
        <w:rPr>
          <w:spacing w:val="20"/>
        </w:rPr>
        <w:t> </w:t>
      </w:r>
      <w:bookmarkEnd w:id="77"/>
      <w:r>
        <w:rPr>
          <w:spacing w:val="-2"/>
        </w:rPr>
        <w:t>strength</w:t>
      </w:r>
    </w:p>
    <w:p>
      <w:pPr>
        <w:pStyle w:val="BodyText"/>
        <w:spacing w:line="491" w:lineRule="auto" w:before="241"/>
        <w:ind w:left="665" w:right="1858" w:firstLine="676"/>
        <w:jc w:val="both"/>
      </w:pPr>
      <w:r>
        <w:rPr/>
        <w:t>Crushing strength test is also</w:t>
      </w:r>
      <w:r>
        <w:rPr>
          <w:spacing w:val="21"/>
        </w:rPr>
        <w:t> </w:t>
      </w:r>
      <w:r>
        <w:rPr/>
        <w:t>known as hardness test. The resistance of the tablet</w:t>
      </w:r>
      <w:r>
        <w:rPr>
          <w:spacing w:val="40"/>
        </w:rPr>
        <w:t> </w:t>
      </w:r>
      <w:r>
        <w:rPr/>
        <w:t>to</w:t>
      </w:r>
      <w:r>
        <w:rPr>
          <w:spacing w:val="40"/>
        </w:rPr>
        <w:t> </w:t>
      </w:r>
      <w:r>
        <w:rPr/>
        <w:t>chipping,</w:t>
      </w:r>
      <w:r>
        <w:rPr>
          <w:spacing w:val="40"/>
        </w:rPr>
        <w:t> </w:t>
      </w:r>
      <w:r>
        <w:rPr/>
        <w:t>abrasion</w:t>
      </w:r>
      <w:r>
        <w:rPr>
          <w:spacing w:val="40"/>
        </w:rPr>
        <w:t> </w:t>
      </w:r>
      <w:r>
        <w:rPr/>
        <w:t>or</w:t>
      </w:r>
      <w:r>
        <w:rPr>
          <w:spacing w:val="40"/>
        </w:rPr>
        <w:t> </w:t>
      </w:r>
      <w:r>
        <w:rPr/>
        <w:t>breakage</w:t>
      </w:r>
      <w:r>
        <w:rPr>
          <w:spacing w:val="40"/>
        </w:rPr>
        <w:t> </w:t>
      </w:r>
      <w:r>
        <w:rPr/>
        <w:t>under</w:t>
      </w:r>
      <w:r>
        <w:rPr>
          <w:spacing w:val="40"/>
        </w:rPr>
        <w:t> </w:t>
      </w:r>
      <w:r>
        <w:rPr/>
        <w:t>conditions</w:t>
      </w:r>
      <w:r>
        <w:rPr>
          <w:spacing w:val="40"/>
        </w:rPr>
        <w:t> </w:t>
      </w:r>
      <w:r>
        <w:rPr/>
        <w:t>of</w:t>
      </w:r>
      <w:r>
        <w:rPr>
          <w:spacing w:val="40"/>
        </w:rPr>
        <w:t> </w:t>
      </w:r>
      <w:r>
        <w:rPr/>
        <w:t>storage,</w:t>
      </w:r>
      <w:r>
        <w:rPr>
          <w:spacing w:val="40"/>
        </w:rPr>
        <w:t> </w:t>
      </w:r>
      <w:r>
        <w:rPr/>
        <w:t>transportation</w:t>
      </w:r>
      <w:r>
        <w:rPr>
          <w:spacing w:val="40"/>
        </w:rPr>
        <w:t> </w:t>
      </w:r>
      <w:r>
        <w:rPr/>
        <w:t>before usage</w:t>
      </w:r>
      <w:r>
        <w:rPr>
          <w:spacing w:val="40"/>
        </w:rPr>
        <w:t> </w:t>
      </w:r>
      <w:r>
        <w:rPr/>
        <w:t>depends</w:t>
      </w:r>
      <w:r>
        <w:rPr>
          <w:spacing w:val="40"/>
        </w:rPr>
        <w:t> </w:t>
      </w:r>
      <w:r>
        <w:rPr/>
        <w:t>on</w:t>
      </w:r>
      <w:r>
        <w:rPr>
          <w:spacing w:val="40"/>
        </w:rPr>
        <w:t> </w:t>
      </w:r>
      <w:r>
        <w:rPr/>
        <w:t>its</w:t>
      </w:r>
      <w:r>
        <w:rPr>
          <w:spacing w:val="40"/>
        </w:rPr>
        <w:t> </w:t>
      </w:r>
      <w:r>
        <w:rPr/>
        <w:t>hardness.</w:t>
      </w:r>
      <w:r>
        <w:rPr>
          <w:spacing w:val="40"/>
        </w:rPr>
        <w:t> </w:t>
      </w:r>
      <w:r>
        <w:rPr/>
        <w:t>Crushing</w:t>
      </w:r>
      <w:r>
        <w:rPr>
          <w:spacing w:val="40"/>
        </w:rPr>
        <w:t> </w:t>
      </w:r>
      <w:r>
        <w:rPr/>
        <w:t>strength</w:t>
      </w:r>
      <w:r>
        <w:rPr>
          <w:spacing w:val="40"/>
        </w:rPr>
        <w:t> </w:t>
      </w:r>
      <w:r>
        <w:rPr/>
        <w:t>is</w:t>
      </w:r>
      <w:r>
        <w:rPr>
          <w:spacing w:val="40"/>
        </w:rPr>
        <w:t> </w:t>
      </w:r>
      <w:r>
        <w:rPr/>
        <w:t>the</w:t>
      </w:r>
      <w:r>
        <w:rPr>
          <w:spacing w:val="40"/>
        </w:rPr>
        <w:t> </w:t>
      </w:r>
      <w:r>
        <w:rPr/>
        <w:t>compressional</w:t>
      </w:r>
      <w:r>
        <w:rPr>
          <w:spacing w:val="40"/>
        </w:rPr>
        <w:t> </w:t>
      </w:r>
      <w:r>
        <w:rPr/>
        <w:t>force</w:t>
      </w:r>
      <w:r>
        <w:rPr>
          <w:spacing w:val="40"/>
        </w:rPr>
        <w:t> </w:t>
      </w:r>
      <w:r>
        <w:rPr/>
        <w:t>which, when applied diametrically to</w:t>
      </w:r>
      <w:r>
        <w:rPr>
          <w:spacing w:val="35"/>
        </w:rPr>
        <w:t> </w:t>
      </w:r>
      <w:r>
        <w:rPr/>
        <w:t>the tablet just cause it to</w:t>
      </w:r>
      <w:r>
        <w:rPr>
          <w:spacing w:val="35"/>
        </w:rPr>
        <w:t> </w:t>
      </w:r>
      <w:r>
        <w:rPr/>
        <w:t>fracture (Gambo, 2009).</w:t>
      </w:r>
    </w:p>
    <w:p>
      <w:pPr>
        <w:pStyle w:val="BodyText"/>
        <w:spacing w:line="491" w:lineRule="auto"/>
        <w:ind w:left="665" w:right="1854" w:firstLine="676"/>
        <w:jc w:val="both"/>
      </w:pPr>
      <w:r>
        <w:rPr/>
        <w:t>Monsanto (1930), introduced a small portable hardness tester. It measures the</w:t>
      </w:r>
      <w:r>
        <w:rPr>
          <w:spacing w:val="40"/>
        </w:rPr>
        <w:t> </w:t>
      </w:r>
      <w:r>
        <w:rPr/>
        <w:t>force required to break the tablet when the force generated by the coil spring is applied diametrically to the tablet and the force measured in kilogram force. The Strong-Cobb hardness</w:t>
      </w:r>
      <w:r>
        <w:rPr>
          <w:spacing w:val="40"/>
        </w:rPr>
        <w:t> </w:t>
      </w:r>
      <w:r>
        <w:rPr/>
        <w:t>tester</w:t>
      </w:r>
      <w:r>
        <w:rPr>
          <w:spacing w:val="40"/>
        </w:rPr>
        <w:t> </w:t>
      </w:r>
      <w:r>
        <w:rPr/>
        <w:t>was</w:t>
      </w:r>
      <w:r>
        <w:rPr>
          <w:spacing w:val="40"/>
        </w:rPr>
        <w:t> </w:t>
      </w:r>
      <w:r>
        <w:rPr/>
        <w:t>introduced</w:t>
      </w:r>
      <w:r>
        <w:rPr>
          <w:spacing w:val="40"/>
        </w:rPr>
        <w:t> </w:t>
      </w:r>
      <w:r>
        <w:rPr/>
        <w:t>in 1950,</w:t>
      </w:r>
      <w:r>
        <w:rPr>
          <w:spacing w:val="40"/>
        </w:rPr>
        <w:t> </w:t>
      </w:r>
      <w:r>
        <w:rPr/>
        <w:t>and</w:t>
      </w:r>
      <w:r>
        <w:rPr>
          <w:spacing w:val="40"/>
        </w:rPr>
        <w:t> </w:t>
      </w:r>
      <w:r>
        <w:rPr/>
        <w:t>this</w:t>
      </w:r>
      <w:r>
        <w:rPr>
          <w:spacing w:val="40"/>
        </w:rPr>
        <w:t> </w:t>
      </w:r>
      <w:r>
        <w:rPr/>
        <w:t>also</w:t>
      </w:r>
      <w:r>
        <w:rPr>
          <w:spacing w:val="40"/>
        </w:rPr>
        <w:t> </w:t>
      </w:r>
      <w:r>
        <w:rPr/>
        <w:t>measures</w:t>
      </w:r>
      <w:r>
        <w:rPr>
          <w:spacing w:val="40"/>
        </w:rPr>
        <w:t> </w:t>
      </w:r>
      <w:r>
        <w:rPr/>
        <w:t>diametrically applied force required to break the tablet. Pfizer hardness tester also operates on the same mechanical</w:t>
      </w:r>
      <w:r>
        <w:rPr>
          <w:spacing w:val="40"/>
        </w:rPr>
        <w:t> </w:t>
      </w:r>
      <w:r>
        <w:rPr/>
        <w:t>principle</w:t>
      </w:r>
      <w:r>
        <w:rPr>
          <w:spacing w:val="40"/>
        </w:rPr>
        <w:t> </w:t>
      </w:r>
      <w:r>
        <w:rPr/>
        <w:t>as</w:t>
      </w:r>
      <w:r>
        <w:rPr>
          <w:spacing w:val="40"/>
        </w:rPr>
        <w:t> </w:t>
      </w:r>
      <w:r>
        <w:rPr/>
        <w:t>ordinary</w:t>
      </w:r>
      <w:r>
        <w:rPr>
          <w:spacing w:val="40"/>
        </w:rPr>
        <w:t> </w:t>
      </w:r>
      <w:r>
        <w:rPr/>
        <w:t>pliers.</w:t>
      </w:r>
      <w:r>
        <w:rPr>
          <w:spacing w:val="40"/>
        </w:rPr>
        <w:t> </w:t>
      </w:r>
      <w:r>
        <w:rPr/>
        <w:t>The</w:t>
      </w:r>
      <w:r>
        <w:rPr>
          <w:spacing w:val="40"/>
        </w:rPr>
        <w:t> </w:t>
      </w:r>
      <w:r>
        <w:rPr/>
        <w:t>force</w:t>
      </w:r>
      <w:r>
        <w:rPr>
          <w:spacing w:val="40"/>
        </w:rPr>
        <w:t> </w:t>
      </w:r>
      <w:r>
        <w:rPr/>
        <w:t>required</w:t>
      </w:r>
      <w:r>
        <w:rPr>
          <w:spacing w:val="40"/>
        </w:rPr>
        <w:t> </w:t>
      </w:r>
      <w:r>
        <w:rPr/>
        <w:t>to</w:t>
      </w:r>
      <w:r>
        <w:rPr>
          <w:spacing w:val="40"/>
        </w:rPr>
        <w:t> </w:t>
      </w:r>
      <w:r>
        <w:rPr/>
        <w:t>break</w:t>
      </w:r>
      <w:r>
        <w:rPr>
          <w:spacing w:val="40"/>
        </w:rPr>
        <w:t> </w:t>
      </w:r>
      <w:r>
        <w:rPr/>
        <w:t>the</w:t>
      </w:r>
      <w:r>
        <w:rPr>
          <w:spacing w:val="40"/>
        </w:rPr>
        <w:t> </w:t>
      </w:r>
      <w:r>
        <w:rPr/>
        <w:t>tablet</w:t>
      </w:r>
      <w:r>
        <w:rPr>
          <w:spacing w:val="40"/>
        </w:rPr>
        <w:t> </w:t>
      </w:r>
      <w:r>
        <w:rPr/>
        <w:t>is recorded on a dial and may be expressed</w:t>
      </w:r>
      <w:r>
        <w:rPr>
          <w:spacing w:val="25"/>
        </w:rPr>
        <w:t> </w:t>
      </w:r>
      <w:r>
        <w:rPr/>
        <w:t>as either</w:t>
      </w:r>
      <w:r>
        <w:rPr>
          <w:spacing w:val="24"/>
        </w:rPr>
        <w:t> </w:t>
      </w:r>
      <w:r>
        <w:rPr/>
        <w:t>kilograms or pounds of force. One of the applications of crushing strength measurement throughout the production cycle is to detect any need for pressure adjustment. A tablet that is too hard may not disintegrate within</w:t>
      </w:r>
      <w:r>
        <w:rPr>
          <w:spacing w:val="26"/>
        </w:rPr>
        <w:t> </w:t>
      </w:r>
      <w:r>
        <w:rPr/>
        <w:t>the</w:t>
      </w:r>
      <w:r>
        <w:rPr>
          <w:spacing w:val="35"/>
        </w:rPr>
        <w:t> </w:t>
      </w:r>
      <w:r>
        <w:rPr/>
        <w:t>specified</w:t>
      </w:r>
      <w:r>
        <w:rPr>
          <w:spacing w:val="40"/>
        </w:rPr>
        <w:t> </w:t>
      </w:r>
      <w:r>
        <w:rPr/>
        <w:t>time</w:t>
      </w:r>
      <w:r>
        <w:rPr>
          <w:spacing w:val="30"/>
        </w:rPr>
        <w:t> </w:t>
      </w:r>
      <w:r>
        <w:rPr/>
        <w:t>or</w:t>
      </w:r>
      <w:r>
        <w:rPr>
          <w:spacing w:val="31"/>
        </w:rPr>
        <w:t> </w:t>
      </w:r>
      <w:r>
        <w:rPr/>
        <w:t>meet</w:t>
      </w:r>
      <w:r>
        <w:rPr>
          <w:spacing w:val="34"/>
        </w:rPr>
        <w:t> </w:t>
      </w:r>
      <w:r>
        <w:rPr/>
        <w:t>standard</w:t>
      </w:r>
      <w:r>
        <w:rPr>
          <w:spacing w:val="36"/>
        </w:rPr>
        <w:t> </w:t>
      </w:r>
      <w:r>
        <w:rPr/>
        <w:t>dissolution</w:t>
      </w:r>
      <w:r>
        <w:rPr>
          <w:spacing w:val="26"/>
        </w:rPr>
        <w:t> </w:t>
      </w:r>
      <w:r>
        <w:rPr/>
        <w:t>time.</w:t>
      </w:r>
      <w:r>
        <w:rPr>
          <w:spacing w:val="35"/>
        </w:rPr>
        <w:t> </w:t>
      </w:r>
      <w:r>
        <w:rPr/>
        <w:t>If</w:t>
      </w:r>
      <w:r>
        <w:rPr>
          <w:spacing w:val="31"/>
        </w:rPr>
        <w:t> </w:t>
      </w:r>
      <w:r>
        <w:rPr/>
        <w:t>the</w:t>
      </w:r>
      <w:r>
        <w:rPr>
          <w:spacing w:val="35"/>
        </w:rPr>
        <w:t> </w:t>
      </w:r>
      <w:r>
        <w:rPr/>
        <w:t>tablet</w:t>
      </w:r>
      <w:r>
        <w:rPr>
          <w:spacing w:val="34"/>
        </w:rPr>
        <w:t> </w:t>
      </w:r>
      <w:r>
        <w:rPr/>
        <w:t>is</w:t>
      </w:r>
      <w:r>
        <w:rPr>
          <w:spacing w:val="33"/>
        </w:rPr>
        <w:t> </w:t>
      </w:r>
      <w:r>
        <w:rPr/>
        <w:t>too</w:t>
      </w:r>
      <w:r>
        <w:rPr>
          <w:spacing w:val="40"/>
        </w:rPr>
        <w:t> </w:t>
      </w:r>
      <w:r>
        <w:rPr/>
        <w:t>soft,</w:t>
      </w:r>
      <w:r>
        <w:rPr>
          <w:spacing w:val="35"/>
        </w:rPr>
        <w:t> </w:t>
      </w:r>
      <w:r>
        <w:rPr/>
        <w:t>it</w:t>
      </w:r>
    </w:p>
    <w:p>
      <w:pPr>
        <w:spacing w:after="0" w:line="491" w:lineRule="auto"/>
        <w:jc w:val="both"/>
        <w:sectPr>
          <w:pgSz w:w="12240" w:h="15840"/>
          <w:pgMar w:header="0" w:footer="999" w:top="1260" w:bottom="1180" w:left="1720" w:right="0"/>
        </w:sectPr>
      </w:pPr>
    </w:p>
    <w:p>
      <w:pPr>
        <w:pStyle w:val="BodyText"/>
        <w:spacing w:line="491" w:lineRule="auto" w:before="75"/>
        <w:ind w:left="665" w:right="1858"/>
      </w:pPr>
      <w:r>
        <w:rPr/>
        <w:t>will</w:t>
      </w:r>
      <w:r>
        <w:rPr>
          <w:spacing w:val="80"/>
        </w:rPr>
        <w:t> </w:t>
      </w:r>
      <w:r>
        <w:rPr/>
        <w:t>not</w:t>
      </w:r>
      <w:r>
        <w:rPr>
          <w:spacing w:val="80"/>
        </w:rPr>
        <w:t> </w:t>
      </w:r>
      <w:r>
        <w:rPr/>
        <w:t>withstand</w:t>
      </w:r>
      <w:r>
        <w:rPr>
          <w:spacing w:val="80"/>
        </w:rPr>
        <w:t> </w:t>
      </w:r>
      <w:r>
        <w:rPr/>
        <w:t>the</w:t>
      </w:r>
      <w:r>
        <w:rPr>
          <w:spacing w:val="80"/>
        </w:rPr>
        <w:t> </w:t>
      </w:r>
      <w:r>
        <w:rPr/>
        <w:t>handling</w:t>
      </w:r>
      <w:r>
        <w:rPr>
          <w:spacing w:val="74"/>
        </w:rPr>
        <w:t> </w:t>
      </w:r>
      <w:r>
        <w:rPr/>
        <w:t>during</w:t>
      </w:r>
      <w:r>
        <w:rPr>
          <w:spacing w:val="80"/>
        </w:rPr>
        <w:t> </w:t>
      </w:r>
      <w:r>
        <w:rPr/>
        <w:t>subsequent</w:t>
      </w:r>
      <w:r>
        <w:rPr>
          <w:spacing w:val="80"/>
        </w:rPr>
        <w:t> </w:t>
      </w:r>
      <w:r>
        <w:rPr/>
        <w:t>processing</w:t>
      </w:r>
      <w:r>
        <w:rPr>
          <w:spacing w:val="80"/>
        </w:rPr>
        <w:t> </w:t>
      </w:r>
      <w:r>
        <w:rPr/>
        <w:t>such</w:t>
      </w:r>
      <w:r>
        <w:rPr>
          <w:spacing w:val="80"/>
        </w:rPr>
        <w:t> </w:t>
      </w:r>
      <w:r>
        <w:rPr/>
        <w:t>as</w:t>
      </w:r>
      <w:r>
        <w:rPr>
          <w:spacing w:val="80"/>
        </w:rPr>
        <w:t> </w:t>
      </w:r>
      <w:r>
        <w:rPr/>
        <w:t>coating</w:t>
      </w:r>
      <w:r>
        <w:rPr>
          <w:spacing w:val="80"/>
        </w:rPr>
        <w:t> </w:t>
      </w:r>
      <w:r>
        <w:rPr/>
        <w:t>or packaging and shipping operations (Odeku and Itiola, 2006).</w:t>
      </w:r>
    </w:p>
    <w:p>
      <w:pPr>
        <w:pStyle w:val="Heading2"/>
        <w:numPr>
          <w:ilvl w:val="2"/>
          <w:numId w:val="25"/>
        </w:numPr>
        <w:tabs>
          <w:tab w:pos="1337" w:val="left" w:leader="none"/>
        </w:tabs>
        <w:spacing w:line="240" w:lineRule="auto" w:before="230" w:after="0"/>
        <w:ind w:left="1337" w:right="0" w:hanging="672"/>
        <w:jc w:val="left"/>
      </w:pPr>
      <w:bookmarkStart w:name="_TOC_250083" w:id="78"/>
      <w:bookmarkEnd w:id="78"/>
      <w:r>
        <w:rPr>
          <w:spacing w:val="-2"/>
        </w:rPr>
        <w:t>Friability</w:t>
      </w:r>
    </w:p>
    <w:p>
      <w:pPr>
        <w:pStyle w:val="BodyText"/>
        <w:spacing w:line="491" w:lineRule="auto" w:before="246"/>
        <w:ind w:left="665" w:right="1859" w:firstLine="676"/>
        <w:jc w:val="both"/>
      </w:pPr>
      <w:r>
        <w:rPr/>
        <w:t>Friability is the measure of the ability of a tablet to withstand abrasion in packaging,</w:t>
      </w:r>
      <w:r>
        <w:rPr>
          <w:spacing w:val="40"/>
        </w:rPr>
        <w:t> </w:t>
      </w:r>
      <w:r>
        <w:rPr/>
        <w:t>handling</w:t>
      </w:r>
      <w:r>
        <w:rPr>
          <w:spacing w:val="40"/>
        </w:rPr>
        <w:t> </w:t>
      </w:r>
      <w:r>
        <w:rPr/>
        <w:t>and</w:t>
      </w:r>
      <w:r>
        <w:rPr>
          <w:spacing w:val="40"/>
        </w:rPr>
        <w:t> </w:t>
      </w:r>
      <w:r>
        <w:rPr/>
        <w:t>shipping.</w:t>
      </w:r>
      <w:r>
        <w:rPr>
          <w:spacing w:val="40"/>
        </w:rPr>
        <w:t> </w:t>
      </w:r>
      <w:r>
        <w:rPr/>
        <w:t>Roche</w:t>
      </w:r>
      <w:r>
        <w:rPr>
          <w:spacing w:val="40"/>
        </w:rPr>
        <w:t> </w:t>
      </w:r>
      <w:r>
        <w:rPr/>
        <w:t>Friabilator</w:t>
      </w:r>
      <w:r>
        <w:rPr>
          <w:spacing w:val="40"/>
        </w:rPr>
        <w:t> </w:t>
      </w:r>
      <w:r>
        <w:rPr/>
        <w:t>is the</w:t>
      </w:r>
      <w:r>
        <w:rPr>
          <w:spacing w:val="40"/>
        </w:rPr>
        <w:t> </w:t>
      </w:r>
      <w:r>
        <w:rPr/>
        <w:t>most common</w:t>
      </w:r>
      <w:r>
        <w:rPr>
          <w:spacing w:val="40"/>
        </w:rPr>
        <w:t> </w:t>
      </w:r>
      <w:r>
        <w:rPr/>
        <w:t>instrument used</w:t>
      </w:r>
      <w:r>
        <w:rPr>
          <w:spacing w:val="40"/>
        </w:rPr>
        <w:t> </w:t>
      </w:r>
      <w:r>
        <w:rPr/>
        <w:t>to</w:t>
      </w:r>
      <w:r>
        <w:rPr>
          <w:spacing w:val="40"/>
        </w:rPr>
        <w:t> </w:t>
      </w:r>
      <w:r>
        <w:rPr/>
        <w:t>measure</w:t>
      </w:r>
      <w:r>
        <w:rPr>
          <w:spacing w:val="40"/>
        </w:rPr>
        <w:t> </w:t>
      </w:r>
      <w:r>
        <w:rPr/>
        <w:t>tablet</w:t>
      </w:r>
      <w:r>
        <w:rPr>
          <w:spacing w:val="40"/>
        </w:rPr>
        <w:t> </w:t>
      </w:r>
      <w:r>
        <w:rPr/>
        <w:t>friability.</w:t>
      </w:r>
      <w:r>
        <w:rPr>
          <w:spacing w:val="40"/>
        </w:rPr>
        <w:t> </w:t>
      </w:r>
      <w:r>
        <w:rPr/>
        <w:t>Tablets</w:t>
      </w:r>
      <w:r>
        <w:rPr>
          <w:spacing w:val="40"/>
        </w:rPr>
        <w:t> </w:t>
      </w:r>
      <w:r>
        <w:rPr/>
        <w:t>are</w:t>
      </w:r>
      <w:r>
        <w:rPr>
          <w:spacing w:val="40"/>
        </w:rPr>
        <w:t> </w:t>
      </w:r>
      <w:r>
        <w:rPr/>
        <w:t>subjected</w:t>
      </w:r>
      <w:r>
        <w:rPr>
          <w:spacing w:val="40"/>
        </w:rPr>
        <w:t> </w:t>
      </w:r>
      <w:r>
        <w:rPr/>
        <w:t>to</w:t>
      </w:r>
      <w:r>
        <w:rPr>
          <w:spacing w:val="40"/>
        </w:rPr>
        <w:t> </w:t>
      </w:r>
      <w:r>
        <w:rPr/>
        <w:t>a</w:t>
      </w:r>
      <w:r>
        <w:rPr>
          <w:spacing w:val="40"/>
        </w:rPr>
        <w:t> </w:t>
      </w:r>
      <w:r>
        <w:rPr/>
        <w:t>standardized</w:t>
      </w:r>
      <w:r>
        <w:rPr>
          <w:spacing w:val="40"/>
        </w:rPr>
        <w:t> </w:t>
      </w:r>
      <w:r>
        <w:rPr/>
        <w:t>level</w:t>
      </w:r>
      <w:r>
        <w:rPr>
          <w:spacing w:val="40"/>
        </w:rPr>
        <w:t> </w:t>
      </w:r>
      <w:r>
        <w:rPr/>
        <w:t>of agitation for a given time, and friability is expressed as percentage loss in weight. Friability values are not calculated especially when capping occurs (Odeku and Itiola, </w:t>
      </w:r>
      <w:r>
        <w:rPr>
          <w:spacing w:val="-2"/>
        </w:rPr>
        <w:t>2006).</w:t>
      </w:r>
    </w:p>
    <w:p>
      <w:pPr>
        <w:pStyle w:val="Heading2"/>
        <w:numPr>
          <w:ilvl w:val="1"/>
          <w:numId w:val="25"/>
        </w:numPr>
        <w:tabs>
          <w:tab w:pos="1342" w:val="left" w:leader="none"/>
        </w:tabs>
        <w:spacing w:line="240" w:lineRule="auto" w:before="234" w:after="0"/>
        <w:ind w:left="1342" w:right="0" w:hanging="677"/>
        <w:jc w:val="left"/>
      </w:pPr>
      <w:bookmarkStart w:name="_TOC_250082" w:id="79"/>
      <w:r>
        <w:rPr/>
        <w:t>Pharmaceutical</w:t>
      </w:r>
      <w:r>
        <w:rPr>
          <w:spacing w:val="29"/>
        </w:rPr>
        <w:t> </w:t>
      </w:r>
      <w:bookmarkEnd w:id="79"/>
      <w:r>
        <w:rPr>
          <w:spacing w:val="-2"/>
        </w:rPr>
        <w:t>Excipients</w:t>
      </w:r>
    </w:p>
    <w:p>
      <w:pPr>
        <w:pStyle w:val="BodyText"/>
        <w:spacing w:line="491" w:lineRule="auto" w:before="242"/>
        <w:ind w:left="665" w:right="1856" w:firstLine="676"/>
        <w:jc w:val="both"/>
      </w:pPr>
      <w:r>
        <w:rPr/>
        <w:t>A range of excipient materials are required along with the API in order to give a tablet the desired</w:t>
      </w:r>
      <w:r>
        <w:rPr>
          <w:spacing w:val="25"/>
        </w:rPr>
        <w:t> </w:t>
      </w:r>
      <w:r>
        <w:rPr/>
        <w:t>properties. The choice of excipient required</w:t>
      </w:r>
      <w:r>
        <w:rPr>
          <w:spacing w:val="25"/>
        </w:rPr>
        <w:t> </w:t>
      </w:r>
      <w:r>
        <w:rPr/>
        <w:t>for tableting</w:t>
      </w:r>
      <w:r>
        <w:rPr>
          <w:spacing w:val="25"/>
        </w:rPr>
        <w:t> </w:t>
      </w:r>
      <w:r>
        <w:rPr/>
        <w:t>is dependent on the process employed. Pharmaceutical excipients are substances other than the API which are included in tablet formulation to perform specific functions (Olayemi, 2008). Excipients are usually present in solid dosage forms in levels ranging between 10 % and 99</w:t>
      </w:r>
      <w:r>
        <w:rPr>
          <w:spacing w:val="30"/>
        </w:rPr>
        <w:t> </w:t>
      </w:r>
      <w:r>
        <w:rPr/>
        <w:t>% of the</w:t>
      </w:r>
      <w:r>
        <w:rPr>
          <w:spacing w:val="34"/>
        </w:rPr>
        <w:t> </w:t>
      </w:r>
      <w:r>
        <w:rPr/>
        <w:t>formulation (Adeyeye, 2001). The role of tableting excipients</w:t>
      </w:r>
      <w:r>
        <w:rPr>
          <w:spacing w:val="31"/>
        </w:rPr>
        <w:t> </w:t>
      </w:r>
      <w:r>
        <w:rPr/>
        <w:t>is to</w:t>
      </w:r>
      <w:r>
        <w:rPr>
          <w:spacing w:val="36"/>
        </w:rPr>
        <w:t> </w:t>
      </w:r>
      <w:r>
        <w:rPr/>
        <w:t>ensure that the tableting operation can run satisfactorily and to ensure that tablets of specified quality are prepared (Aulton, 2002).</w:t>
      </w:r>
    </w:p>
    <w:p>
      <w:pPr>
        <w:pStyle w:val="BodyText"/>
        <w:spacing w:line="491" w:lineRule="auto" w:before="3"/>
        <w:ind w:left="665" w:right="1858" w:firstLine="676"/>
        <w:jc w:val="both"/>
      </w:pPr>
      <w:r>
        <w:rPr/>
        <w:t>Typically, the following excipients are used in the manufacture of conventional tablets:</w:t>
      </w:r>
      <w:r>
        <w:rPr>
          <w:spacing w:val="21"/>
        </w:rPr>
        <w:t> </w:t>
      </w:r>
      <w:r>
        <w:rPr/>
        <w:t>(1) diluents/fillers;</w:t>
      </w:r>
      <w:r>
        <w:rPr>
          <w:spacing w:val="22"/>
        </w:rPr>
        <w:t> </w:t>
      </w:r>
      <w:r>
        <w:rPr/>
        <w:t>(2) binders;</w:t>
      </w:r>
      <w:r>
        <w:rPr>
          <w:spacing w:val="21"/>
        </w:rPr>
        <w:t> </w:t>
      </w:r>
      <w:r>
        <w:rPr/>
        <w:t>(3) disintegrants; (4) lubricants;</w:t>
      </w:r>
      <w:r>
        <w:rPr>
          <w:spacing w:val="21"/>
        </w:rPr>
        <w:t> </w:t>
      </w:r>
      <w:r>
        <w:rPr/>
        <w:t>(5) glidants;</w:t>
      </w:r>
      <w:r>
        <w:rPr>
          <w:spacing w:val="21"/>
        </w:rPr>
        <w:t> </w:t>
      </w:r>
      <w:r>
        <w:rPr/>
        <w:t>and</w:t>
      </w:r>
    </w:p>
    <w:p>
      <w:pPr>
        <w:pStyle w:val="BodyText"/>
        <w:spacing w:line="253" w:lineRule="exact"/>
        <w:ind w:left="665"/>
      </w:pPr>
      <w:r>
        <w:rPr/>
        <w:t>(6)</w:t>
      </w:r>
      <w:r>
        <w:rPr>
          <w:spacing w:val="13"/>
        </w:rPr>
        <w:t> </w:t>
      </w:r>
      <w:r>
        <w:rPr/>
        <w:t>adsorbents,</w:t>
      </w:r>
      <w:r>
        <w:rPr>
          <w:spacing w:val="18"/>
        </w:rPr>
        <w:t> </w:t>
      </w:r>
      <w:r>
        <w:rPr/>
        <w:t>sweetening</w:t>
      </w:r>
      <w:r>
        <w:rPr>
          <w:spacing w:val="3"/>
        </w:rPr>
        <w:t> </w:t>
      </w:r>
      <w:r>
        <w:rPr/>
        <w:t>agent,</w:t>
      </w:r>
      <w:r>
        <w:rPr>
          <w:spacing w:val="12"/>
        </w:rPr>
        <w:t> </w:t>
      </w:r>
      <w:r>
        <w:rPr/>
        <w:t>flavourants,</w:t>
      </w:r>
      <w:r>
        <w:rPr>
          <w:spacing w:val="13"/>
        </w:rPr>
        <w:t> </w:t>
      </w:r>
      <w:r>
        <w:rPr/>
        <w:t>colourants</w:t>
      </w:r>
      <w:r>
        <w:rPr>
          <w:spacing w:val="10"/>
        </w:rPr>
        <w:t> </w:t>
      </w:r>
      <w:r>
        <w:rPr/>
        <w:t>and</w:t>
      </w:r>
      <w:r>
        <w:rPr>
          <w:spacing w:val="19"/>
        </w:rPr>
        <w:t> </w:t>
      </w:r>
      <w:r>
        <w:rPr/>
        <w:t>surface</w:t>
      </w:r>
      <w:r>
        <w:rPr>
          <w:spacing w:val="12"/>
        </w:rPr>
        <w:t> </w:t>
      </w:r>
      <w:r>
        <w:rPr/>
        <w:t>active</w:t>
      </w:r>
      <w:r>
        <w:rPr>
          <w:spacing w:val="13"/>
        </w:rPr>
        <w:t> </w:t>
      </w:r>
      <w:r>
        <w:rPr>
          <w:spacing w:val="-2"/>
        </w:rPr>
        <w:t>agents.</w:t>
      </w:r>
    </w:p>
    <w:p>
      <w:pPr>
        <w:pStyle w:val="BodyText"/>
        <w:spacing w:before="243"/>
      </w:pPr>
    </w:p>
    <w:p>
      <w:pPr>
        <w:pStyle w:val="Heading2"/>
        <w:numPr>
          <w:ilvl w:val="2"/>
          <w:numId w:val="25"/>
        </w:numPr>
        <w:tabs>
          <w:tab w:pos="1337" w:val="left" w:leader="none"/>
        </w:tabs>
        <w:spacing w:line="240" w:lineRule="auto" w:before="0" w:after="0"/>
        <w:ind w:left="1337" w:right="0" w:hanging="672"/>
        <w:jc w:val="left"/>
      </w:pPr>
      <w:bookmarkStart w:name="_TOC_250081" w:id="80"/>
      <w:bookmarkEnd w:id="80"/>
      <w:r>
        <w:rPr>
          <w:spacing w:val="-2"/>
        </w:rPr>
        <w:t>Diluents/fillers</w:t>
      </w:r>
    </w:p>
    <w:p>
      <w:pPr>
        <w:pStyle w:val="BodyText"/>
        <w:spacing w:line="496" w:lineRule="auto" w:before="241"/>
        <w:ind w:left="665" w:right="1862" w:firstLine="676"/>
        <w:jc w:val="both"/>
      </w:pPr>
      <w:r>
        <w:rPr/>
        <w:t>They are employed in the formulation of tablets (by</w:t>
      </w:r>
      <w:r>
        <w:rPr>
          <w:spacing w:val="-1"/>
        </w:rPr>
        <w:t> </w:t>
      </w:r>
      <w:r>
        <w:rPr/>
        <w:t>all methods) to increase the mass</w:t>
      </w:r>
      <w:r>
        <w:rPr>
          <w:spacing w:val="52"/>
        </w:rPr>
        <w:t> </w:t>
      </w:r>
      <w:r>
        <w:rPr/>
        <w:t>of</w:t>
      </w:r>
      <w:r>
        <w:rPr>
          <w:spacing w:val="51"/>
        </w:rPr>
        <w:t> </w:t>
      </w:r>
      <w:r>
        <w:rPr/>
        <w:t>the</w:t>
      </w:r>
      <w:r>
        <w:rPr>
          <w:spacing w:val="50"/>
        </w:rPr>
        <w:t> </w:t>
      </w:r>
      <w:r>
        <w:rPr/>
        <w:t>tablets</w:t>
      </w:r>
      <w:r>
        <w:rPr>
          <w:spacing w:val="58"/>
        </w:rPr>
        <w:t> </w:t>
      </w:r>
      <w:r>
        <w:rPr/>
        <w:t>that</w:t>
      </w:r>
      <w:r>
        <w:rPr>
          <w:spacing w:val="54"/>
        </w:rPr>
        <w:t> </w:t>
      </w:r>
      <w:r>
        <w:rPr/>
        <w:t>contain</w:t>
      </w:r>
      <w:r>
        <w:rPr>
          <w:spacing w:val="51"/>
        </w:rPr>
        <w:t> </w:t>
      </w:r>
      <w:r>
        <w:rPr/>
        <w:t>a</w:t>
      </w:r>
      <w:r>
        <w:rPr>
          <w:spacing w:val="55"/>
        </w:rPr>
        <w:t> </w:t>
      </w:r>
      <w:r>
        <w:rPr/>
        <w:t>low</w:t>
      </w:r>
      <w:r>
        <w:rPr>
          <w:spacing w:val="51"/>
        </w:rPr>
        <w:t> </w:t>
      </w:r>
      <w:r>
        <w:rPr/>
        <w:t>concentration</w:t>
      </w:r>
      <w:r>
        <w:rPr>
          <w:spacing w:val="52"/>
        </w:rPr>
        <w:t> </w:t>
      </w:r>
      <w:r>
        <w:rPr/>
        <w:t>of</w:t>
      </w:r>
      <w:r>
        <w:rPr>
          <w:spacing w:val="56"/>
        </w:rPr>
        <w:t> </w:t>
      </w:r>
      <w:r>
        <w:rPr/>
        <w:t>API</w:t>
      </w:r>
      <w:r>
        <w:rPr>
          <w:spacing w:val="56"/>
        </w:rPr>
        <w:t> </w:t>
      </w:r>
      <w:r>
        <w:rPr/>
        <w:t>and</w:t>
      </w:r>
      <w:r>
        <w:rPr>
          <w:spacing w:val="57"/>
        </w:rPr>
        <w:t> </w:t>
      </w:r>
      <w:r>
        <w:rPr/>
        <w:t>thereby</w:t>
      </w:r>
      <w:r>
        <w:rPr>
          <w:spacing w:val="46"/>
        </w:rPr>
        <w:t> </w:t>
      </w:r>
      <w:r>
        <w:rPr/>
        <w:t>render</w:t>
      </w:r>
      <w:r>
        <w:rPr>
          <w:spacing w:val="56"/>
        </w:rPr>
        <w:t> </w:t>
      </w:r>
      <w:r>
        <w:rPr>
          <w:spacing w:val="-5"/>
        </w:rPr>
        <w:t>the</w:t>
      </w:r>
    </w:p>
    <w:p>
      <w:pPr>
        <w:spacing w:after="0" w:line="496" w:lineRule="auto"/>
        <w:jc w:val="both"/>
        <w:sectPr>
          <w:pgSz w:w="12240" w:h="15840"/>
          <w:pgMar w:header="0" w:footer="999" w:top="1260" w:bottom="1180" w:left="1720" w:right="0"/>
        </w:sectPr>
      </w:pPr>
    </w:p>
    <w:p>
      <w:pPr>
        <w:pStyle w:val="BodyText"/>
        <w:spacing w:line="491" w:lineRule="auto" w:before="75"/>
        <w:ind w:left="665" w:right="1861"/>
        <w:jc w:val="both"/>
      </w:pPr>
      <w:r>
        <w:rPr/>
        <w:t>manufacturing process more reliable and reproducible. Diluents must possess good compression properties and be inexpensive (David, 2008).</w:t>
      </w:r>
    </w:p>
    <w:p>
      <w:pPr>
        <w:pStyle w:val="BodyText"/>
        <w:spacing w:line="491" w:lineRule="auto"/>
        <w:ind w:left="665" w:right="1857" w:firstLine="676"/>
        <w:jc w:val="both"/>
      </w:pPr>
      <w:r>
        <w:rPr/>
        <w:t>Fillers that fragment easily may be advantageous, since this counteracts the negative effects of lubricant additions to the formula (de Boer </w:t>
      </w:r>
      <w:r>
        <w:rPr>
          <w:i/>
        </w:rPr>
        <w:t>et al, </w:t>
      </w:r>
      <w:r>
        <w:rPr/>
        <w:t>1978). Examples of diluents for tablets are: (1) anhydrous lactose; (2) lactose monohydrate; (3) spray-dried lactose; (4) starch; (5) dibasic calcium phosphate; (6) microcrystalline cellulose (MCC); and (7) mannitol.</w:t>
      </w:r>
    </w:p>
    <w:p>
      <w:pPr>
        <w:pStyle w:val="Heading2"/>
        <w:numPr>
          <w:ilvl w:val="2"/>
          <w:numId w:val="25"/>
        </w:numPr>
        <w:tabs>
          <w:tab w:pos="1337" w:val="left" w:leader="none"/>
        </w:tabs>
        <w:spacing w:line="240" w:lineRule="auto" w:before="229" w:after="0"/>
        <w:ind w:left="1337" w:right="0" w:hanging="672"/>
        <w:jc w:val="left"/>
      </w:pPr>
      <w:bookmarkStart w:name="_TOC_250080" w:id="81"/>
      <w:bookmarkEnd w:id="81"/>
      <w:r>
        <w:rPr>
          <w:spacing w:val="-2"/>
        </w:rPr>
        <w:t>Binders</w:t>
      </w:r>
    </w:p>
    <w:p>
      <w:pPr>
        <w:pStyle w:val="BodyText"/>
        <w:spacing w:line="491" w:lineRule="auto" w:before="251"/>
        <w:ind w:left="665" w:right="1859" w:firstLine="676"/>
        <w:jc w:val="both"/>
      </w:pPr>
      <w:r>
        <w:rPr/>
        <w:t>Binders are either added as a solution or as a solid into</w:t>
      </w:r>
      <w:r>
        <w:rPr>
          <w:spacing w:val="27"/>
        </w:rPr>
        <w:t> </w:t>
      </w:r>
      <w:r>
        <w:rPr/>
        <w:t>a powder</w:t>
      </w:r>
      <w:r>
        <w:rPr>
          <w:spacing w:val="26"/>
        </w:rPr>
        <w:t> </w:t>
      </w:r>
      <w:r>
        <w:rPr/>
        <w:t>mix to</w:t>
      </w:r>
      <w:r>
        <w:rPr>
          <w:spacing w:val="27"/>
        </w:rPr>
        <w:t> </w:t>
      </w:r>
      <w:r>
        <w:rPr/>
        <w:t>ensure that granules and</w:t>
      </w:r>
      <w:r>
        <w:rPr>
          <w:spacing w:val="36"/>
        </w:rPr>
        <w:t> </w:t>
      </w:r>
      <w:r>
        <w:rPr/>
        <w:t>tablets can be formed with the required mechanical strength.</w:t>
      </w:r>
    </w:p>
    <w:p>
      <w:pPr>
        <w:pStyle w:val="BodyText"/>
        <w:spacing w:line="491" w:lineRule="auto"/>
        <w:ind w:left="665" w:right="1860"/>
        <w:jc w:val="both"/>
      </w:pPr>
      <w:r>
        <w:rPr/>
        <w:t>Binders</w:t>
      </w:r>
      <w:r>
        <w:rPr>
          <w:spacing w:val="40"/>
        </w:rPr>
        <w:t> </w:t>
      </w:r>
      <w:r>
        <w:rPr/>
        <w:t>are</w:t>
      </w:r>
      <w:r>
        <w:rPr>
          <w:spacing w:val="40"/>
        </w:rPr>
        <w:t> </w:t>
      </w:r>
      <w:r>
        <w:rPr/>
        <w:t>ductile</w:t>
      </w:r>
      <w:r>
        <w:rPr>
          <w:spacing w:val="40"/>
        </w:rPr>
        <w:t> </w:t>
      </w:r>
      <w:r>
        <w:rPr/>
        <w:t>materials</w:t>
      </w:r>
      <w:r>
        <w:rPr>
          <w:spacing w:val="40"/>
        </w:rPr>
        <w:t> </w:t>
      </w:r>
      <w:r>
        <w:rPr/>
        <w:t>that</w:t>
      </w:r>
      <w:r>
        <w:rPr>
          <w:spacing w:val="40"/>
        </w:rPr>
        <w:t> </w:t>
      </w:r>
      <w:r>
        <w:rPr/>
        <w:t>are</w:t>
      </w:r>
      <w:r>
        <w:rPr>
          <w:spacing w:val="40"/>
        </w:rPr>
        <w:t> </w:t>
      </w:r>
      <w:r>
        <w:rPr/>
        <w:t>prone</w:t>
      </w:r>
      <w:r>
        <w:rPr>
          <w:spacing w:val="40"/>
        </w:rPr>
        <w:t> </w:t>
      </w:r>
      <w:r>
        <w:rPr/>
        <w:t>to</w:t>
      </w:r>
      <w:r>
        <w:rPr>
          <w:spacing w:val="40"/>
        </w:rPr>
        <w:t> </w:t>
      </w:r>
      <w:r>
        <w:rPr/>
        <w:t>undergo</w:t>
      </w:r>
      <w:r>
        <w:rPr>
          <w:spacing w:val="40"/>
        </w:rPr>
        <w:t> </w:t>
      </w:r>
      <w:r>
        <w:rPr/>
        <w:t>plastic</w:t>
      </w:r>
      <w:r>
        <w:rPr>
          <w:spacing w:val="40"/>
        </w:rPr>
        <w:t> </w:t>
      </w:r>
      <w:r>
        <w:rPr/>
        <w:t>(irreversible) deformation. A choice of a suitable binder for a tablet formulation requires extensive knowledge of the relative importance of binder properties for enhancing the strength of</w:t>
      </w:r>
      <w:r>
        <w:rPr>
          <w:spacing w:val="40"/>
        </w:rPr>
        <w:t> </w:t>
      </w:r>
      <w:r>
        <w:rPr/>
        <w:t>the tablet and also of the interactions between the various materials constituting a tablet (Mattson,</w:t>
      </w:r>
      <w:r>
        <w:rPr>
          <w:spacing w:val="40"/>
        </w:rPr>
        <w:t> </w:t>
      </w:r>
      <w:r>
        <w:rPr/>
        <w:t>2000).</w:t>
      </w:r>
      <w:r>
        <w:rPr>
          <w:spacing w:val="40"/>
        </w:rPr>
        <w:t> </w:t>
      </w:r>
      <w:r>
        <w:rPr/>
        <w:t>The</w:t>
      </w:r>
      <w:r>
        <w:rPr>
          <w:spacing w:val="40"/>
        </w:rPr>
        <w:t> </w:t>
      </w:r>
      <w:r>
        <w:rPr/>
        <w:t>properties</w:t>
      </w:r>
      <w:r>
        <w:rPr>
          <w:spacing w:val="40"/>
        </w:rPr>
        <w:t> </w:t>
      </w:r>
      <w:r>
        <w:rPr/>
        <w:t>of</w:t>
      </w:r>
      <w:r>
        <w:rPr>
          <w:spacing w:val="40"/>
        </w:rPr>
        <w:t> </w:t>
      </w:r>
      <w:r>
        <w:rPr/>
        <w:t>commonly</w:t>
      </w:r>
      <w:r>
        <w:rPr>
          <w:spacing w:val="40"/>
        </w:rPr>
        <w:t> </w:t>
      </w:r>
      <w:r>
        <w:rPr/>
        <w:t>used</w:t>
      </w:r>
      <w:r>
        <w:rPr>
          <w:spacing w:val="40"/>
        </w:rPr>
        <w:t> </w:t>
      </w:r>
      <w:r>
        <w:rPr/>
        <w:t>binders</w:t>
      </w:r>
      <w:r>
        <w:rPr>
          <w:spacing w:val="40"/>
        </w:rPr>
        <w:t> </w:t>
      </w:r>
      <w:r>
        <w:rPr/>
        <w:t>are</w:t>
      </w:r>
      <w:r>
        <w:rPr>
          <w:spacing w:val="40"/>
        </w:rPr>
        <w:t> </w:t>
      </w:r>
      <w:r>
        <w:rPr/>
        <w:t>summarized</w:t>
      </w:r>
      <w:r>
        <w:rPr>
          <w:spacing w:val="40"/>
        </w:rPr>
        <w:t> </w:t>
      </w:r>
      <w:r>
        <w:rPr/>
        <w:t>in</w:t>
      </w:r>
      <w:r>
        <w:rPr>
          <w:spacing w:val="40"/>
        </w:rPr>
        <w:t> </w:t>
      </w:r>
      <w:r>
        <w:rPr/>
        <w:t>Table </w:t>
      </w:r>
      <w:r>
        <w:rPr>
          <w:spacing w:val="-4"/>
        </w:rPr>
        <w:t>2.2.</w:t>
      </w:r>
    </w:p>
    <w:p>
      <w:pPr>
        <w:spacing w:after="0" w:line="491" w:lineRule="auto"/>
        <w:jc w:val="both"/>
        <w:sectPr>
          <w:pgSz w:w="12240" w:h="15840"/>
          <w:pgMar w:header="0" w:footer="999" w:top="1260" w:bottom="1180" w:left="1720" w:right="0"/>
        </w:sectPr>
      </w:pPr>
    </w:p>
    <w:p>
      <w:pPr>
        <w:spacing w:before="80"/>
        <w:ind w:left="665" w:right="0" w:firstLine="0"/>
        <w:jc w:val="left"/>
        <w:rPr>
          <w:b/>
          <w:sz w:val="22"/>
        </w:rPr>
      </w:pPr>
      <w:r>
        <w:rPr>
          <w:b/>
          <w:sz w:val="22"/>
        </w:rPr>
        <w:t>Table</w:t>
      </w:r>
      <w:r>
        <w:rPr>
          <w:b/>
          <w:spacing w:val="7"/>
          <w:sz w:val="22"/>
        </w:rPr>
        <w:t> </w:t>
      </w:r>
      <w:r>
        <w:rPr>
          <w:b/>
          <w:sz w:val="22"/>
        </w:rPr>
        <w:t>2.2:</w:t>
      </w:r>
      <w:r>
        <w:rPr>
          <w:b/>
          <w:spacing w:val="14"/>
          <w:sz w:val="22"/>
        </w:rPr>
        <w:t> </w:t>
      </w:r>
      <w:r>
        <w:rPr>
          <w:b/>
          <w:sz w:val="22"/>
        </w:rPr>
        <w:t>Examples</w:t>
      </w:r>
      <w:r>
        <w:rPr>
          <w:b/>
          <w:spacing w:val="5"/>
          <w:sz w:val="22"/>
        </w:rPr>
        <w:t> </w:t>
      </w:r>
      <w:r>
        <w:rPr>
          <w:b/>
          <w:sz w:val="22"/>
        </w:rPr>
        <w:t>of</w:t>
      </w:r>
      <w:r>
        <w:rPr>
          <w:b/>
          <w:spacing w:val="9"/>
          <w:sz w:val="22"/>
        </w:rPr>
        <w:t> </w:t>
      </w:r>
      <w:r>
        <w:rPr>
          <w:b/>
          <w:sz w:val="22"/>
        </w:rPr>
        <w:t>binders</w:t>
      </w:r>
      <w:r>
        <w:rPr>
          <w:b/>
          <w:spacing w:val="11"/>
          <w:sz w:val="22"/>
        </w:rPr>
        <w:t> </w:t>
      </w:r>
      <w:r>
        <w:rPr>
          <w:b/>
          <w:sz w:val="22"/>
        </w:rPr>
        <w:t>commonly</w:t>
      </w:r>
      <w:r>
        <w:rPr>
          <w:b/>
          <w:spacing w:val="10"/>
          <w:sz w:val="22"/>
        </w:rPr>
        <w:t> </w:t>
      </w:r>
      <w:r>
        <w:rPr>
          <w:b/>
          <w:sz w:val="22"/>
        </w:rPr>
        <w:t>used</w:t>
      </w:r>
      <w:r>
        <w:rPr>
          <w:b/>
          <w:spacing w:val="12"/>
          <w:sz w:val="22"/>
        </w:rPr>
        <w:t> </w:t>
      </w:r>
      <w:r>
        <w:rPr>
          <w:b/>
          <w:sz w:val="22"/>
        </w:rPr>
        <w:t>in</w:t>
      </w:r>
      <w:r>
        <w:rPr>
          <w:b/>
          <w:spacing w:val="17"/>
          <w:sz w:val="22"/>
        </w:rPr>
        <w:t> </w:t>
      </w:r>
      <w:r>
        <w:rPr>
          <w:b/>
          <w:sz w:val="22"/>
        </w:rPr>
        <w:t>tableting</w:t>
      </w:r>
      <w:r>
        <w:rPr>
          <w:b/>
          <w:spacing w:val="14"/>
          <w:sz w:val="22"/>
        </w:rPr>
        <w:t> </w:t>
      </w:r>
      <w:r>
        <w:rPr>
          <w:b/>
          <w:sz w:val="22"/>
        </w:rPr>
        <w:t>(David,</w:t>
      </w:r>
      <w:r>
        <w:rPr>
          <w:b/>
          <w:spacing w:val="14"/>
          <w:sz w:val="22"/>
        </w:rPr>
        <w:t> </w:t>
      </w:r>
      <w:r>
        <w:rPr>
          <w:b/>
          <w:spacing w:val="-2"/>
          <w:sz w:val="22"/>
        </w:rPr>
        <w:t>2008).</w:t>
      </w:r>
    </w:p>
    <w:p>
      <w:pPr>
        <w:pStyle w:val="BodyText"/>
        <w:rPr>
          <w:b/>
          <w:sz w:val="20"/>
        </w:rPr>
      </w:pPr>
    </w:p>
    <w:p>
      <w:pPr>
        <w:pStyle w:val="BodyText"/>
        <w:spacing w:before="59"/>
        <w:rPr>
          <w:b/>
          <w:sz w:val="20"/>
        </w:rPr>
      </w:pPr>
    </w:p>
    <w:p>
      <w:pPr>
        <w:pStyle w:val="BodyText"/>
        <w:spacing w:line="20" w:lineRule="exact"/>
        <w:ind w:left="564"/>
        <w:rPr>
          <w:sz w:val="2"/>
        </w:rPr>
      </w:pPr>
      <w:r>
        <w:rPr>
          <w:sz w:val="2"/>
        </w:rPr>
        <mc:AlternateContent>
          <mc:Choice Requires="wps">
            <w:drawing>
              <wp:inline distT="0" distB="0" distL="0" distR="0">
                <wp:extent cx="5572125" cy="6350"/>
                <wp:effectExtent l="0" t="0" r="0" b="0"/>
                <wp:docPr id="22" name="Group 22"/>
                <wp:cNvGraphicFramePr>
                  <a:graphicFrameLocks/>
                </wp:cNvGraphicFramePr>
                <a:graphic>
                  <a:graphicData uri="http://schemas.microsoft.com/office/word/2010/wordprocessingGroup">
                    <wpg:wgp>
                      <wpg:cNvPr id="22" name="Group 22"/>
                      <wpg:cNvGrpSpPr/>
                      <wpg:grpSpPr>
                        <a:xfrm>
                          <a:off x="0" y="0"/>
                          <a:ext cx="5572125" cy="6350"/>
                          <a:chExt cx="5572125" cy="6350"/>
                        </a:xfrm>
                      </wpg:grpSpPr>
                      <wps:wsp>
                        <wps:cNvPr id="23" name="Graphic 23"/>
                        <wps:cNvSpPr/>
                        <wps:spPr>
                          <a:xfrm>
                            <a:off x="0" y="0"/>
                            <a:ext cx="5572125" cy="6350"/>
                          </a:xfrm>
                          <a:custGeom>
                            <a:avLst/>
                            <a:gdLst/>
                            <a:ahLst/>
                            <a:cxnLst/>
                            <a:rect l="l" t="t" r="r" b="b"/>
                            <a:pathLst>
                              <a:path w="5572125" h="6350">
                                <a:moveTo>
                                  <a:pt x="3294875" y="0"/>
                                </a:moveTo>
                                <a:lnTo>
                                  <a:pt x="2142744" y="0"/>
                                </a:lnTo>
                                <a:lnTo>
                                  <a:pt x="2136648" y="0"/>
                                </a:lnTo>
                                <a:lnTo>
                                  <a:pt x="0" y="0"/>
                                </a:lnTo>
                                <a:lnTo>
                                  <a:pt x="0" y="6096"/>
                                </a:lnTo>
                                <a:lnTo>
                                  <a:pt x="2136648" y="6096"/>
                                </a:lnTo>
                                <a:lnTo>
                                  <a:pt x="2142744" y="6096"/>
                                </a:lnTo>
                                <a:lnTo>
                                  <a:pt x="3294875" y="6096"/>
                                </a:lnTo>
                                <a:lnTo>
                                  <a:pt x="3294875" y="0"/>
                                </a:lnTo>
                                <a:close/>
                              </a:path>
                              <a:path w="5572125" h="6350">
                                <a:moveTo>
                                  <a:pt x="5571744" y="0"/>
                                </a:moveTo>
                                <a:lnTo>
                                  <a:pt x="3297936" y="0"/>
                                </a:lnTo>
                                <a:lnTo>
                                  <a:pt x="3294888" y="0"/>
                                </a:lnTo>
                                <a:lnTo>
                                  <a:pt x="3294888" y="6096"/>
                                </a:lnTo>
                                <a:lnTo>
                                  <a:pt x="3297936" y="6096"/>
                                </a:lnTo>
                                <a:lnTo>
                                  <a:pt x="5571744" y="6096"/>
                                </a:lnTo>
                                <a:lnTo>
                                  <a:pt x="5571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8.75pt;height:.5pt;mso-position-horizontal-relative:char;mso-position-vertical-relative:line" id="docshapegroup20" coordorigin="0,0" coordsize="8775,10">
                <v:shape style="position:absolute;left:0;top:0;width:8775;height:10" id="docshape21" coordorigin="0,0" coordsize="8775,10" path="m5189,0l3374,0,3365,0,0,0,0,10,3365,10,3374,10,5189,10,5189,0xm8774,0l5194,0,5189,0,5189,10,5194,10,8774,10,8774,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260" w:bottom="1180" w:left="1720" w:right="0"/>
        </w:sectPr>
      </w:pPr>
    </w:p>
    <w:p>
      <w:pPr>
        <w:tabs>
          <w:tab w:pos="4025" w:val="left" w:leader="none"/>
        </w:tabs>
        <w:spacing w:line="248" w:lineRule="exact" w:before="0"/>
        <w:ind w:left="665" w:right="0" w:firstLine="0"/>
        <w:jc w:val="left"/>
        <w:rPr>
          <w:b/>
          <w:sz w:val="22"/>
        </w:rPr>
      </w:pPr>
      <w:r>
        <w:rPr>
          <w:b/>
          <w:spacing w:val="-2"/>
          <w:sz w:val="22"/>
        </w:rPr>
        <w:t>Binders</w:t>
      </w:r>
      <w:r>
        <w:rPr>
          <w:b/>
          <w:sz w:val="22"/>
        </w:rPr>
        <w:tab/>
      </w:r>
      <w:r>
        <w:rPr>
          <w:b/>
          <w:spacing w:val="-2"/>
          <w:sz w:val="22"/>
        </w:rPr>
        <w:t>Concentration</w:t>
      </w:r>
    </w:p>
    <w:p>
      <w:pPr>
        <w:spacing w:before="136"/>
        <w:ind w:left="0" w:right="668" w:firstLine="0"/>
        <w:jc w:val="right"/>
        <w:rPr>
          <w:b/>
          <w:sz w:val="22"/>
        </w:rPr>
      </w:pPr>
      <w:r>
        <w:rPr>
          <w:b/>
          <w:sz w:val="22"/>
        </w:rPr>
        <w:t>(%</w:t>
      </w:r>
      <w:r>
        <w:rPr>
          <w:b/>
          <w:spacing w:val="13"/>
          <w:sz w:val="22"/>
        </w:rPr>
        <w:t> </w:t>
      </w:r>
      <w:r>
        <w:rPr>
          <w:b/>
          <w:spacing w:val="-4"/>
          <w:sz w:val="22"/>
        </w:rPr>
        <w:t>w/v)</w:t>
      </w:r>
    </w:p>
    <w:p>
      <w:pPr>
        <w:spacing w:line="248" w:lineRule="exact" w:before="0"/>
        <w:ind w:left="665" w:right="0" w:firstLine="0"/>
        <w:jc w:val="left"/>
        <w:rPr>
          <w:b/>
          <w:sz w:val="22"/>
        </w:rPr>
      </w:pPr>
      <w:r>
        <w:rPr/>
        <w:br w:type="column"/>
      </w:r>
      <w:r>
        <w:rPr>
          <w:b/>
          <w:sz w:val="22"/>
        </w:rPr>
        <w:t>General</w:t>
      </w:r>
      <w:r>
        <w:rPr>
          <w:b/>
          <w:spacing w:val="21"/>
          <w:sz w:val="22"/>
        </w:rPr>
        <w:t> </w:t>
      </w:r>
      <w:r>
        <w:rPr>
          <w:b/>
          <w:spacing w:val="-2"/>
          <w:sz w:val="22"/>
        </w:rPr>
        <w:t>comment</w:t>
      </w:r>
    </w:p>
    <w:p>
      <w:pPr>
        <w:spacing w:after="0" w:line="248" w:lineRule="exact"/>
        <w:jc w:val="left"/>
        <w:rPr>
          <w:sz w:val="22"/>
        </w:rPr>
        <w:sectPr>
          <w:type w:val="continuous"/>
          <w:pgSz w:w="12240" w:h="15840"/>
          <w:pgMar w:header="0" w:footer="999" w:top="1780" w:bottom="1180" w:left="1720" w:right="0"/>
          <w:cols w:num="2" w:equalWidth="0">
            <w:col w:w="5463" w:space="552"/>
            <w:col w:w="4505"/>
          </w:cols>
        </w:sectPr>
      </w:pPr>
    </w:p>
    <w:p>
      <w:pPr>
        <w:pStyle w:val="BodyText"/>
        <w:spacing w:before="10"/>
        <w:rPr>
          <w:b/>
          <w:sz w:val="10"/>
        </w:rPr>
      </w:pPr>
    </w:p>
    <w:p>
      <w:pPr>
        <w:pStyle w:val="BodyText"/>
        <w:spacing w:line="20" w:lineRule="exact"/>
        <w:ind w:left="564"/>
        <w:rPr>
          <w:sz w:val="2"/>
        </w:rPr>
      </w:pPr>
      <w:r>
        <w:rPr>
          <w:sz w:val="2"/>
        </w:rPr>
        <mc:AlternateContent>
          <mc:Choice Requires="wps">
            <w:drawing>
              <wp:inline distT="0" distB="0" distL="0" distR="0">
                <wp:extent cx="5572125" cy="6350"/>
                <wp:effectExtent l="0" t="0" r="0" b="0"/>
                <wp:docPr id="24" name="Group 24"/>
                <wp:cNvGraphicFramePr>
                  <a:graphicFrameLocks/>
                </wp:cNvGraphicFramePr>
                <a:graphic>
                  <a:graphicData uri="http://schemas.microsoft.com/office/word/2010/wordprocessingGroup">
                    <wpg:wgp>
                      <wpg:cNvPr id="24" name="Group 24"/>
                      <wpg:cNvGrpSpPr/>
                      <wpg:grpSpPr>
                        <a:xfrm>
                          <a:off x="0" y="0"/>
                          <a:ext cx="5572125" cy="6350"/>
                          <a:chExt cx="5572125" cy="6350"/>
                        </a:xfrm>
                      </wpg:grpSpPr>
                      <wps:wsp>
                        <wps:cNvPr id="25" name="Graphic 25"/>
                        <wps:cNvSpPr/>
                        <wps:spPr>
                          <a:xfrm>
                            <a:off x="0" y="0"/>
                            <a:ext cx="5572125" cy="6350"/>
                          </a:xfrm>
                          <a:custGeom>
                            <a:avLst/>
                            <a:gdLst/>
                            <a:ahLst/>
                            <a:cxnLst/>
                            <a:rect l="l" t="t" r="r" b="b"/>
                            <a:pathLst>
                              <a:path w="5572125" h="6350">
                                <a:moveTo>
                                  <a:pt x="3294875" y="0"/>
                                </a:moveTo>
                                <a:lnTo>
                                  <a:pt x="2142744" y="0"/>
                                </a:lnTo>
                                <a:lnTo>
                                  <a:pt x="2136648" y="0"/>
                                </a:lnTo>
                                <a:lnTo>
                                  <a:pt x="0" y="0"/>
                                </a:lnTo>
                                <a:lnTo>
                                  <a:pt x="0" y="6096"/>
                                </a:lnTo>
                                <a:lnTo>
                                  <a:pt x="2136648" y="6096"/>
                                </a:lnTo>
                                <a:lnTo>
                                  <a:pt x="2142744" y="6096"/>
                                </a:lnTo>
                                <a:lnTo>
                                  <a:pt x="3294875" y="6096"/>
                                </a:lnTo>
                                <a:lnTo>
                                  <a:pt x="3294875" y="0"/>
                                </a:lnTo>
                                <a:close/>
                              </a:path>
                              <a:path w="5572125" h="6350">
                                <a:moveTo>
                                  <a:pt x="5571744" y="0"/>
                                </a:moveTo>
                                <a:lnTo>
                                  <a:pt x="3297936" y="0"/>
                                </a:lnTo>
                                <a:lnTo>
                                  <a:pt x="3294888" y="0"/>
                                </a:lnTo>
                                <a:lnTo>
                                  <a:pt x="3294888" y="6096"/>
                                </a:lnTo>
                                <a:lnTo>
                                  <a:pt x="3297936" y="6096"/>
                                </a:lnTo>
                                <a:lnTo>
                                  <a:pt x="5571744" y="6096"/>
                                </a:lnTo>
                                <a:lnTo>
                                  <a:pt x="5571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8.75pt;height:.5pt;mso-position-horizontal-relative:char;mso-position-vertical-relative:line" id="docshapegroup22" coordorigin="0,0" coordsize="8775,10">
                <v:shape style="position:absolute;left:0;top:0;width:8775;height:10" id="docshape23" coordorigin="0,0" coordsize="8775,10" path="m5189,0l3374,0,3365,0,0,0,0,10,3365,10,3374,10,5189,10,5189,0xm8774,0l5194,0,5189,0,5189,10,5194,10,8774,10,8774,0xe" filled="true" fillcolor="#000000" stroked="false">
                  <v:path arrowok="t"/>
                  <v:fill type="solid"/>
                </v:shape>
              </v:group>
            </w:pict>
          </mc:Fallback>
        </mc:AlternateContent>
      </w:r>
      <w:r>
        <w:rPr>
          <w:sz w:val="2"/>
        </w:rPr>
      </w:r>
    </w:p>
    <w:p>
      <w:pPr>
        <w:pStyle w:val="BodyText"/>
        <w:tabs>
          <w:tab w:pos="4025" w:val="left" w:leader="none"/>
          <w:tab w:pos="5849" w:val="left" w:leader="none"/>
          <w:tab w:pos="6502" w:val="left" w:leader="none"/>
          <w:tab w:pos="7557" w:val="left" w:leader="none"/>
          <w:tab w:pos="9078" w:val="left" w:leader="none"/>
        </w:tabs>
        <w:ind w:left="665"/>
      </w:pPr>
      <w:r>
        <w:rPr>
          <w:spacing w:val="-2"/>
        </w:rPr>
        <w:t>Hydroxypropylmethlcellulose</w:t>
      </w:r>
      <w:r>
        <w:rPr/>
        <w:tab/>
        <w:t>2</w:t>
      </w:r>
      <w:r>
        <w:rPr>
          <w:spacing w:val="2"/>
        </w:rPr>
        <w:t> </w:t>
      </w:r>
      <w:r>
        <w:rPr/>
        <w:t>–</w:t>
      </w:r>
      <w:r>
        <w:rPr>
          <w:spacing w:val="7"/>
        </w:rPr>
        <w:t> </w:t>
      </w:r>
      <w:r>
        <w:rPr>
          <w:spacing w:val="-10"/>
        </w:rPr>
        <w:t>5</w:t>
      </w:r>
      <w:r>
        <w:rPr/>
        <w:tab/>
      </w:r>
      <w:r>
        <w:rPr>
          <w:spacing w:val="-5"/>
        </w:rPr>
        <w:t>The</w:t>
      </w:r>
      <w:r>
        <w:rPr/>
        <w:tab/>
      </w:r>
      <w:r>
        <w:rPr>
          <w:spacing w:val="-2"/>
        </w:rPr>
        <w:t>required</w:t>
      </w:r>
      <w:r>
        <w:rPr/>
        <w:tab/>
      </w:r>
      <w:r>
        <w:rPr>
          <w:spacing w:val="-2"/>
        </w:rPr>
        <w:t>concentration</w:t>
      </w:r>
      <w:r>
        <w:rPr/>
        <w:tab/>
      </w:r>
      <w:r>
        <w:rPr>
          <w:spacing w:val="-5"/>
        </w:rPr>
        <w:t>is</w:t>
      </w:r>
    </w:p>
    <w:p>
      <w:pPr>
        <w:pStyle w:val="BodyText"/>
        <w:tabs>
          <w:tab w:pos="7015" w:val="left" w:leader="none"/>
          <w:tab w:pos="7481" w:val="left" w:leader="none"/>
          <w:tab w:pos="8618" w:val="left" w:leader="none"/>
        </w:tabs>
        <w:spacing w:line="369" w:lineRule="auto" w:before="131"/>
        <w:ind w:left="5849" w:right="1290"/>
      </w:pPr>
      <w:r>
        <w:rPr>
          <w:spacing w:val="-2"/>
        </w:rPr>
        <w:t>dependent</w:t>
      </w:r>
      <w:r>
        <w:rPr/>
        <w:tab/>
      </w:r>
      <w:r>
        <w:rPr>
          <w:spacing w:val="-6"/>
        </w:rPr>
        <w:t>on</w:t>
      </w:r>
      <w:r>
        <w:rPr/>
        <w:tab/>
      </w:r>
      <w:r>
        <w:rPr>
          <w:spacing w:val="-2"/>
        </w:rPr>
        <w:t>molecular</w:t>
      </w:r>
      <w:r>
        <w:rPr/>
        <w:tab/>
      </w:r>
      <w:r>
        <w:rPr>
          <w:spacing w:val="-2"/>
        </w:rPr>
        <w:t>weight </w:t>
      </w:r>
      <w:r>
        <w:rPr/>
        <w:t>(grade) used</w:t>
      </w:r>
    </w:p>
    <w:p>
      <w:pPr>
        <w:pStyle w:val="BodyText"/>
        <w:tabs>
          <w:tab w:pos="4025" w:val="left" w:leader="none"/>
          <w:tab w:pos="5849" w:val="left" w:leader="none"/>
          <w:tab w:pos="6502" w:val="left" w:leader="none"/>
          <w:tab w:pos="7557" w:val="left" w:leader="none"/>
          <w:tab w:pos="9078" w:val="left" w:leader="none"/>
        </w:tabs>
        <w:spacing w:line="251" w:lineRule="exact"/>
        <w:ind w:left="665"/>
      </w:pPr>
      <w:r>
        <w:rPr>
          <w:spacing w:val="-2"/>
        </w:rPr>
        <w:t>Polyvinylpyrollidone</w:t>
      </w:r>
      <w:r>
        <w:rPr/>
        <w:tab/>
        <w:t>0.5</w:t>
      </w:r>
      <w:r>
        <w:rPr>
          <w:spacing w:val="7"/>
        </w:rPr>
        <w:t> </w:t>
      </w:r>
      <w:r>
        <w:rPr/>
        <w:t>–</w:t>
      </w:r>
      <w:r>
        <w:rPr>
          <w:spacing w:val="3"/>
        </w:rPr>
        <w:t> </w:t>
      </w:r>
      <w:r>
        <w:rPr>
          <w:spacing w:val="-10"/>
        </w:rPr>
        <w:t>5</w:t>
      </w:r>
      <w:r>
        <w:rPr/>
        <w:tab/>
      </w:r>
      <w:r>
        <w:rPr>
          <w:spacing w:val="-5"/>
        </w:rPr>
        <w:t>The</w:t>
      </w:r>
      <w:r>
        <w:rPr/>
        <w:tab/>
      </w:r>
      <w:r>
        <w:rPr>
          <w:spacing w:val="-2"/>
        </w:rPr>
        <w:t>required</w:t>
      </w:r>
      <w:r>
        <w:rPr/>
        <w:tab/>
      </w:r>
      <w:r>
        <w:rPr>
          <w:spacing w:val="-2"/>
        </w:rPr>
        <w:t>concentration</w:t>
      </w:r>
      <w:r>
        <w:rPr/>
        <w:tab/>
      </w:r>
      <w:r>
        <w:rPr>
          <w:spacing w:val="-5"/>
        </w:rPr>
        <w:t>is</w:t>
      </w:r>
    </w:p>
    <w:p>
      <w:pPr>
        <w:pStyle w:val="BodyText"/>
        <w:tabs>
          <w:tab w:pos="7015" w:val="left" w:leader="none"/>
          <w:tab w:pos="7481" w:val="left" w:leader="none"/>
          <w:tab w:pos="8618" w:val="left" w:leader="none"/>
        </w:tabs>
        <w:spacing w:line="369" w:lineRule="auto" w:before="141"/>
        <w:ind w:left="5849" w:right="1290"/>
      </w:pPr>
      <w:r>
        <w:rPr>
          <w:spacing w:val="-2"/>
        </w:rPr>
        <w:t>dependent</w:t>
      </w:r>
      <w:r>
        <w:rPr/>
        <w:tab/>
      </w:r>
      <w:r>
        <w:rPr>
          <w:spacing w:val="-6"/>
        </w:rPr>
        <w:t>on</w:t>
      </w:r>
      <w:r>
        <w:rPr/>
        <w:tab/>
      </w:r>
      <w:r>
        <w:rPr>
          <w:spacing w:val="-2"/>
        </w:rPr>
        <w:t>molecular</w:t>
      </w:r>
      <w:r>
        <w:rPr/>
        <w:tab/>
      </w:r>
      <w:r>
        <w:rPr>
          <w:spacing w:val="-2"/>
        </w:rPr>
        <w:t>weight </w:t>
      </w:r>
      <w:r>
        <w:rPr/>
        <w:t>(grade) used.</w:t>
      </w:r>
    </w:p>
    <w:p>
      <w:pPr>
        <w:pStyle w:val="BodyText"/>
        <w:tabs>
          <w:tab w:pos="4025" w:val="left" w:leader="none"/>
          <w:tab w:pos="5849" w:val="left" w:leader="none"/>
          <w:tab w:pos="6502" w:val="left" w:leader="none"/>
          <w:tab w:pos="7557" w:val="left" w:leader="none"/>
          <w:tab w:pos="9078" w:val="left" w:leader="none"/>
        </w:tabs>
        <w:spacing w:line="251" w:lineRule="exact"/>
        <w:ind w:left="665"/>
      </w:pPr>
      <w:r>
        <w:rPr/>
        <w:t>Hydroxypropyl</w:t>
      </w:r>
      <w:r>
        <w:rPr>
          <w:spacing w:val="23"/>
        </w:rPr>
        <w:t> </w:t>
      </w:r>
      <w:r>
        <w:rPr>
          <w:spacing w:val="-2"/>
        </w:rPr>
        <w:t>cellulose</w:t>
      </w:r>
      <w:r>
        <w:rPr/>
        <w:tab/>
        <w:t>2</w:t>
      </w:r>
      <w:r>
        <w:rPr>
          <w:spacing w:val="2"/>
        </w:rPr>
        <w:t> </w:t>
      </w:r>
      <w:r>
        <w:rPr/>
        <w:t>–</w:t>
      </w:r>
      <w:r>
        <w:rPr>
          <w:spacing w:val="7"/>
        </w:rPr>
        <w:t> </w:t>
      </w:r>
      <w:r>
        <w:rPr>
          <w:spacing w:val="-10"/>
        </w:rPr>
        <w:t>6</w:t>
      </w:r>
      <w:r>
        <w:rPr/>
        <w:tab/>
      </w:r>
      <w:r>
        <w:rPr>
          <w:spacing w:val="-5"/>
        </w:rPr>
        <w:t>The</w:t>
      </w:r>
      <w:r>
        <w:rPr/>
        <w:tab/>
      </w:r>
      <w:r>
        <w:rPr>
          <w:spacing w:val="-2"/>
        </w:rPr>
        <w:t>required</w:t>
      </w:r>
      <w:r>
        <w:rPr/>
        <w:tab/>
      </w:r>
      <w:r>
        <w:rPr>
          <w:spacing w:val="-2"/>
        </w:rPr>
        <w:t>concentration</w:t>
      </w:r>
      <w:r>
        <w:rPr/>
        <w:tab/>
      </w:r>
      <w:r>
        <w:rPr>
          <w:spacing w:val="-5"/>
        </w:rPr>
        <w:t>is</w:t>
      </w:r>
    </w:p>
    <w:p>
      <w:pPr>
        <w:pStyle w:val="BodyText"/>
        <w:tabs>
          <w:tab w:pos="7015" w:val="left" w:leader="none"/>
          <w:tab w:pos="7481" w:val="left" w:leader="none"/>
          <w:tab w:pos="8618" w:val="left" w:leader="none"/>
        </w:tabs>
        <w:spacing w:line="369" w:lineRule="auto" w:before="131" w:after="7"/>
        <w:ind w:left="5849" w:right="1290"/>
      </w:pPr>
      <w:r>
        <w:rPr>
          <w:spacing w:val="-2"/>
        </w:rPr>
        <w:t>dependent</w:t>
      </w:r>
      <w:r>
        <w:rPr/>
        <w:tab/>
      </w:r>
      <w:r>
        <w:rPr>
          <w:spacing w:val="-6"/>
        </w:rPr>
        <w:t>on</w:t>
      </w:r>
      <w:r>
        <w:rPr/>
        <w:tab/>
      </w:r>
      <w:r>
        <w:rPr>
          <w:spacing w:val="-2"/>
        </w:rPr>
        <w:t>molecular</w:t>
      </w:r>
      <w:r>
        <w:rPr/>
        <w:tab/>
      </w:r>
      <w:r>
        <w:rPr>
          <w:spacing w:val="-2"/>
        </w:rPr>
        <w:t>weight </w:t>
      </w:r>
      <w:r>
        <w:rPr/>
        <w:t>(grade) used.</w:t>
      </w: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8"/>
        <w:gridCol w:w="1758"/>
        <w:gridCol w:w="4062"/>
      </w:tblGrid>
      <w:tr>
        <w:trPr>
          <w:trHeight w:val="319" w:hRule="atLeast"/>
        </w:trPr>
        <w:tc>
          <w:tcPr>
            <w:tcW w:w="2968" w:type="dxa"/>
          </w:tcPr>
          <w:p>
            <w:pPr>
              <w:pStyle w:val="TableParagraph"/>
              <w:spacing w:line="249" w:lineRule="exact"/>
              <w:ind w:left="115"/>
              <w:rPr>
                <w:sz w:val="22"/>
              </w:rPr>
            </w:pPr>
            <w:r>
              <w:rPr>
                <w:spacing w:val="-2"/>
                <w:sz w:val="22"/>
              </w:rPr>
              <w:t>Sucrose</w:t>
            </w:r>
          </w:p>
        </w:tc>
        <w:tc>
          <w:tcPr>
            <w:tcW w:w="1758" w:type="dxa"/>
          </w:tcPr>
          <w:p>
            <w:pPr>
              <w:pStyle w:val="TableParagraph"/>
              <w:spacing w:line="249" w:lineRule="exact"/>
              <w:ind w:left="507"/>
              <w:rPr>
                <w:sz w:val="22"/>
              </w:rPr>
            </w:pPr>
            <w:r>
              <w:rPr>
                <w:sz w:val="22"/>
              </w:rPr>
              <w:t>50</w:t>
            </w:r>
            <w:r>
              <w:rPr>
                <w:spacing w:val="4"/>
                <w:sz w:val="22"/>
              </w:rPr>
              <w:t> </w:t>
            </w:r>
            <w:r>
              <w:rPr>
                <w:sz w:val="22"/>
              </w:rPr>
              <w:t>–</w:t>
            </w:r>
            <w:r>
              <w:rPr>
                <w:spacing w:val="4"/>
                <w:sz w:val="22"/>
              </w:rPr>
              <w:t> </w:t>
            </w:r>
            <w:r>
              <w:rPr>
                <w:spacing w:val="-5"/>
                <w:sz w:val="22"/>
              </w:rPr>
              <w:t>67</w:t>
            </w:r>
          </w:p>
        </w:tc>
        <w:tc>
          <w:tcPr>
            <w:tcW w:w="4062" w:type="dxa"/>
          </w:tcPr>
          <w:p>
            <w:pPr>
              <w:pStyle w:val="TableParagraph"/>
              <w:spacing w:line="249" w:lineRule="exact"/>
              <w:ind w:left="573"/>
              <w:rPr>
                <w:sz w:val="22"/>
              </w:rPr>
            </w:pPr>
            <w:r>
              <w:rPr>
                <w:sz w:val="22"/>
              </w:rPr>
              <w:t>Added</w:t>
            </w:r>
            <w:r>
              <w:rPr>
                <w:spacing w:val="26"/>
                <w:sz w:val="22"/>
              </w:rPr>
              <w:t>  </w:t>
            </w:r>
            <w:r>
              <w:rPr>
                <w:sz w:val="22"/>
              </w:rPr>
              <w:t>as</w:t>
            </w:r>
            <w:r>
              <w:rPr>
                <w:spacing w:val="78"/>
                <w:w w:val="150"/>
                <w:sz w:val="22"/>
              </w:rPr>
              <w:t> </w:t>
            </w:r>
            <w:r>
              <w:rPr>
                <w:sz w:val="22"/>
              </w:rPr>
              <w:t>a</w:t>
            </w:r>
            <w:r>
              <w:rPr>
                <w:spacing w:val="79"/>
                <w:w w:val="150"/>
                <w:sz w:val="22"/>
              </w:rPr>
              <w:t> </w:t>
            </w:r>
            <w:r>
              <w:rPr>
                <w:sz w:val="22"/>
              </w:rPr>
              <w:t>syrup</w:t>
            </w:r>
            <w:r>
              <w:rPr>
                <w:spacing w:val="29"/>
                <w:sz w:val="22"/>
              </w:rPr>
              <w:t>  </w:t>
            </w:r>
            <w:r>
              <w:rPr>
                <w:sz w:val="22"/>
              </w:rPr>
              <w:t>produces</w:t>
            </w:r>
            <w:r>
              <w:rPr>
                <w:spacing w:val="27"/>
                <w:sz w:val="22"/>
              </w:rPr>
              <w:t>  </w:t>
            </w:r>
            <w:r>
              <w:rPr>
                <w:spacing w:val="-4"/>
                <w:sz w:val="22"/>
              </w:rPr>
              <w:t>hard</w:t>
            </w:r>
          </w:p>
        </w:tc>
      </w:tr>
      <w:tr>
        <w:trPr>
          <w:trHeight w:val="388" w:hRule="atLeast"/>
        </w:trPr>
        <w:tc>
          <w:tcPr>
            <w:tcW w:w="2968" w:type="dxa"/>
          </w:tcPr>
          <w:p>
            <w:pPr>
              <w:pStyle w:val="TableParagraph"/>
              <w:rPr>
                <w:sz w:val="22"/>
              </w:rPr>
            </w:pPr>
          </w:p>
        </w:tc>
        <w:tc>
          <w:tcPr>
            <w:tcW w:w="1758" w:type="dxa"/>
          </w:tcPr>
          <w:p>
            <w:pPr>
              <w:pStyle w:val="TableParagraph"/>
              <w:rPr>
                <w:sz w:val="22"/>
              </w:rPr>
            </w:pPr>
          </w:p>
        </w:tc>
        <w:tc>
          <w:tcPr>
            <w:tcW w:w="4062" w:type="dxa"/>
          </w:tcPr>
          <w:p>
            <w:pPr>
              <w:pStyle w:val="TableParagraph"/>
              <w:spacing w:before="65"/>
              <w:ind w:left="573"/>
              <w:rPr>
                <w:sz w:val="22"/>
              </w:rPr>
            </w:pPr>
            <w:r>
              <w:rPr>
                <w:sz w:val="22"/>
              </w:rPr>
              <w:t>tablets</w:t>
            </w:r>
            <w:r>
              <w:rPr>
                <w:spacing w:val="25"/>
                <w:sz w:val="22"/>
              </w:rPr>
              <w:t> </w:t>
            </w:r>
            <w:r>
              <w:rPr>
                <w:sz w:val="22"/>
              </w:rPr>
              <w:t>whose</w:t>
            </w:r>
            <w:r>
              <w:rPr>
                <w:spacing w:val="34"/>
                <w:sz w:val="22"/>
              </w:rPr>
              <w:t> </w:t>
            </w:r>
            <w:r>
              <w:rPr>
                <w:sz w:val="22"/>
              </w:rPr>
              <w:t>properties</w:t>
            </w:r>
            <w:r>
              <w:rPr>
                <w:spacing w:val="31"/>
                <w:sz w:val="22"/>
              </w:rPr>
              <w:t> </w:t>
            </w:r>
            <w:r>
              <w:rPr>
                <w:sz w:val="22"/>
              </w:rPr>
              <w:t>are</w:t>
            </w:r>
            <w:r>
              <w:rPr>
                <w:spacing w:val="39"/>
                <w:sz w:val="22"/>
              </w:rPr>
              <w:t> </w:t>
            </w:r>
            <w:r>
              <w:rPr>
                <w:spacing w:val="-2"/>
                <w:sz w:val="22"/>
              </w:rPr>
              <w:t>affected</w:t>
            </w:r>
          </w:p>
        </w:tc>
      </w:tr>
      <w:tr>
        <w:trPr>
          <w:trHeight w:val="388" w:hRule="atLeast"/>
        </w:trPr>
        <w:tc>
          <w:tcPr>
            <w:tcW w:w="2968" w:type="dxa"/>
          </w:tcPr>
          <w:p>
            <w:pPr>
              <w:pStyle w:val="TableParagraph"/>
              <w:rPr>
                <w:sz w:val="22"/>
              </w:rPr>
            </w:pPr>
          </w:p>
        </w:tc>
        <w:tc>
          <w:tcPr>
            <w:tcW w:w="1758" w:type="dxa"/>
          </w:tcPr>
          <w:p>
            <w:pPr>
              <w:pStyle w:val="TableParagraph"/>
              <w:rPr>
                <w:sz w:val="22"/>
              </w:rPr>
            </w:pPr>
          </w:p>
        </w:tc>
        <w:tc>
          <w:tcPr>
            <w:tcW w:w="4062" w:type="dxa"/>
          </w:tcPr>
          <w:p>
            <w:pPr>
              <w:pStyle w:val="TableParagraph"/>
              <w:spacing w:before="65"/>
              <w:ind w:left="573"/>
              <w:rPr>
                <w:sz w:val="22"/>
              </w:rPr>
            </w:pPr>
            <w:r>
              <w:rPr>
                <w:sz w:val="22"/>
              </w:rPr>
              <w:t>by</w:t>
            </w:r>
            <w:r>
              <w:rPr>
                <w:spacing w:val="6"/>
                <w:sz w:val="22"/>
              </w:rPr>
              <w:t> </w:t>
            </w:r>
            <w:r>
              <w:rPr>
                <w:spacing w:val="-2"/>
                <w:sz w:val="22"/>
              </w:rPr>
              <w:t>moisture</w:t>
            </w:r>
          </w:p>
        </w:tc>
      </w:tr>
      <w:tr>
        <w:trPr>
          <w:trHeight w:val="388" w:hRule="atLeast"/>
        </w:trPr>
        <w:tc>
          <w:tcPr>
            <w:tcW w:w="2968" w:type="dxa"/>
          </w:tcPr>
          <w:p>
            <w:pPr>
              <w:pStyle w:val="TableParagraph"/>
              <w:spacing w:before="65"/>
              <w:ind w:left="115"/>
              <w:rPr>
                <w:sz w:val="22"/>
              </w:rPr>
            </w:pPr>
            <w:r>
              <w:rPr>
                <w:sz w:val="22"/>
              </w:rPr>
              <w:t>Microcrystalline</w:t>
            </w:r>
            <w:r>
              <w:rPr>
                <w:spacing w:val="25"/>
                <w:sz w:val="22"/>
              </w:rPr>
              <w:t> </w:t>
            </w:r>
            <w:r>
              <w:rPr>
                <w:spacing w:val="-2"/>
                <w:sz w:val="22"/>
              </w:rPr>
              <w:t>cellulose</w:t>
            </w:r>
          </w:p>
        </w:tc>
        <w:tc>
          <w:tcPr>
            <w:tcW w:w="1758" w:type="dxa"/>
          </w:tcPr>
          <w:p>
            <w:pPr>
              <w:pStyle w:val="TableParagraph"/>
              <w:spacing w:before="65"/>
              <w:ind w:left="507"/>
              <w:rPr>
                <w:sz w:val="22"/>
              </w:rPr>
            </w:pPr>
            <w:r>
              <w:rPr>
                <w:sz w:val="22"/>
              </w:rPr>
              <w:t>20</w:t>
            </w:r>
            <w:r>
              <w:rPr>
                <w:spacing w:val="4"/>
                <w:sz w:val="22"/>
              </w:rPr>
              <w:t> </w:t>
            </w:r>
            <w:r>
              <w:rPr>
                <w:sz w:val="22"/>
              </w:rPr>
              <w:t>–</w:t>
            </w:r>
            <w:r>
              <w:rPr>
                <w:spacing w:val="4"/>
                <w:sz w:val="22"/>
              </w:rPr>
              <w:t> </w:t>
            </w:r>
            <w:r>
              <w:rPr>
                <w:spacing w:val="-5"/>
                <w:sz w:val="22"/>
              </w:rPr>
              <w:t>90</w:t>
            </w:r>
          </w:p>
        </w:tc>
        <w:tc>
          <w:tcPr>
            <w:tcW w:w="4062" w:type="dxa"/>
          </w:tcPr>
          <w:p>
            <w:pPr>
              <w:pStyle w:val="TableParagraph"/>
              <w:spacing w:before="65"/>
              <w:ind w:left="573"/>
              <w:rPr>
                <w:sz w:val="22"/>
              </w:rPr>
            </w:pPr>
            <w:r>
              <w:rPr>
                <w:sz w:val="22"/>
              </w:rPr>
              <w:t>Often</w:t>
            </w:r>
            <w:r>
              <w:rPr>
                <w:spacing w:val="5"/>
                <w:sz w:val="22"/>
              </w:rPr>
              <w:t> </w:t>
            </w:r>
            <w:r>
              <w:rPr>
                <w:sz w:val="22"/>
              </w:rPr>
              <w:t>used</w:t>
            </w:r>
            <w:r>
              <w:rPr>
                <w:spacing w:val="5"/>
                <w:sz w:val="22"/>
              </w:rPr>
              <w:t> </w:t>
            </w:r>
            <w:r>
              <w:rPr>
                <w:sz w:val="22"/>
              </w:rPr>
              <w:t>as</w:t>
            </w:r>
            <w:r>
              <w:rPr>
                <w:spacing w:val="7"/>
                <w:sz w:val="22"/>
              </w:rPr>
              <w:t> </w:t>
            </w:r>
            <w:r>
              <w:rPr>
                <w:sz w:val="22"/>
              </w:rPr>
              <w:t>a</w:t>
            </w:r>
            <w:r>
              <w:rPr>
                <w:spacing w:val="3"/>
                <w:sz w:val="22"/>
              </w:rPr>
              <w:t> </w:t>
            </w:r>
            <w:r>
              <w:rPr>
                <w:sz w:val="22"/>
              </w:rPr>
              <w:t>binder</w:t>
            </w:r>
            <w:r>
              <w:rPr>
                <w:spacing w:val="15"/>
                <w:sz w:val="22"/>
              </w:rPr>
              <w:t> </w:t>
            </w:r>
            <w:r>
              <w:rPr>
                <w:sz w:val="22"/>
              </w:rPr>
              <w:t>and</w:t>
            </w:r>
            <w:r>
              <w:rPr>
                <w:spacing w:val="10"/>
                <w:sz w:val="22"/>
              </w:rPr>
              <w:t> </w:t>
            </w:r>
            <w:r>
              <w:rPr>
                <w:spacing w:val="-2"/>
                <w:sz w:val="22"/>
              </w:rPr>
              <w:t>diluent</w:t>
            </w:r>
          </w:p>
        </w:tc>
      </w:tr>
      <w:tr>
        <w:trPr>
          <w:trHeight w:val="452" w:hRule="atLeast"/>
        </w:trPr>
        <w:tc>
          <w:tcPr>
            <w:tcW w:w="2968" w:type="dxa"/>
            <w:tcBorders>
              <w:bottom w:val="single" w:sz="4" w:space="0" w:color="000000"/>
            </w:tcBorders>
          </w:tcPr>
          <w:p>
            <w:pPr>
              <w:pStyle w:val="TableParagraph"/>
              <w:spacing w:before="65"/>
              <w:ind w:left="115"/>
              <w:rPr>
                <w:sz w:val="22"/>
              </w:rPr>
            </w:pPr>
            <w:r>
              <w:rPr>
                <w:spacing w:val="-2"/>
                <w:sz w:val="22"/>
              </w:rPr>
              <w:t>Acacia</w:t>
            </w:r>
          </w:p>
        </w:tc>
        <w:tc>
          <w:tcPr>
            <w:tcW w:w="1758" w:type="dxa"/>
            <w:tcBorders>
              <w:bottom w:val="single" w:sz="4" w:space="0" w:color="000000"/>
            </w:tcBorders>
          </w:tcPr>
          <w:p>
            <w:pPr>
              <w:pStyle w:val="TableParagraph"/>
              <w:spacing w:before="65"/>
              <w:ind w:left="507"/>
              <w:rPr>
                <w:sz w:val="22"/>
              </w:rPr>
            </w:pPr>
            <w:r>
              <w:rPr>
                <w:sz w:val="22"/>
              </w:rPr>
              <w:t>1</w:t>
            </w:r>
            <w:r>
              <w:rPr>
                <w:spacing w:val="2"/>
                <w:sz w:val="22"/>
              </w:rPr>
              <w:t> </w:t>
            </w:r>
            <w:r>
              <w:rPr>
                <w:sz w:val="22"/>
              </w:rPr>
              <w:t>–</w:t>
            </w:r>
            <w:r>
              <w:rPr>
                <w:spacing w:val="7"/>
                <w:sz w:val="22"/>
              </w:rPr>
              <w:t> </w:t>
            </w:r>
            <w:r>
              <w:rPr>
                <w:spacing w:val="-10"/>
                <w:sz w:val="22"/>
              </w:rPr>
              <w:t>5</w:t>
            </w:r>
          </w:p>
        </w:tc>
        <w:tc>
          <w:tcPr>
            <w:tcW w:w="4062" w:type="dxa"/>
            <w:tcBorders>
              <w:bottom w:val="single" w:sz="4" w:space="0" w:color="000000"/>
            </w:tcBorders>
          </w:tcPr>
          <w:p>
            <w:pPr>
              <w:pStyle w:val="TableParagraph"/>
              <w:spacing w:before="65"/>
              <w:ind w:left="573"/>
              <w:rPr>
                <w:sz w:val="22"/>
              </w:rPr>
            </w:pPr>
            <w:r>
              <w:rPr>
                <w:sz w:val="22"/>
              </w:rPr>
              <w:t>Produces</w:t>
            </w:r>
            <w:r>
              <w:rPr>
                <w:spacing w:val="14"/>
                <w:sz w:val="22"/>
              </w:rPr>
              <w:t> </w:t>
            </w:r>
            <w:r>
              <w:rPr>
                <w:sz w:val="22"/>
              </w:rPr>
              <w:t>hard</w:t>
            </w:r>
            <w:r>
              <w:rPr>
                <w:spacing w:val="11"/>
                <w:sz w:val="22"/>
              </w:rPr>
              <w:t> </w:t>
            </w:r>
            <w:r>
              <w:rPr>
                <w:spacing w:val="-2"/>
                <w:sz w:val="22"/>
              </w:rPr>
              <w:t>tablets</w:t>
            </w:r>
          </w:p>
        </w:tc>
      </w:tr>
    </w:tbl>
    <w:p>
      <w:pPr>
        <w:pStyle w:val="BodyText"/>
      </w:pPr>
    </w:p>
    <w:p>
      <w:pPr>
        <w:pStyle w:val="BodyText"/>
        <w:spacing w:before="247"/>
      </w:pPr>
    </w:p>
    <w:p>
      <w:pPr>
        <w:pStyle w:val="Heading2"/>
        <w:numPr>
          <w:ilvl w:val="2"/>
          <w:numId w:val="25"/>
        </w:numPr>
        <w:tabs>
          <w:tab w:pos="1337" w:val="left" w:leader="none"/>
        </w:tabs>
        <w:spacing w:line="240" w:lineRule="auto" w:before="0" w:after="0"/>
        <w:ind w:left="1337" w:right="0" w:hanging="672"/>
        <w:jc w:val="left"/>
      </w:pPr>
      <w:bookmarkStart w:name="_TOC_250079" w:id="82"/>
      <w:bookmarkEnd w:id="82"/>
      <w:r>
        <w:rPr>
          <w:spacing w:val="-2"/>
        </w:rPr>
        <w:t>Disintegrants</w:t>
      </w:r>
    </w:p>
    <w:p>
      <w:pPr>
        <w:pStyle w:val="BodyText"/>
        <w:spacing w:line="494" w:lineRule="auto" w:before="241"/>
        <w:ind w:left="665" w:right="1857" w:firstLine="676"/>
        <w:jc w:val="both"/>
      </w:pPr>
      <w:r>
        <w:rPr/>
        <w:t>Disintegrants are employed in tablet formulations to enhance the breakdown of tablet into granules upon entry into the stomach. The rate of water uptake into the tablet and</w:t>
      </w:r>
      <w:r>
        <w:rPr>
          <w:spacing w:val="40"/>
        </w:rPr>
        <w:t> </w:t>
      </w:r>
      <w:r>
        <w:rPr/>
        <w:t>the</w:t>
      </w:r>
      <w:r>
        <w:rPr>
          <w:spacing w:val="40"/>
        </w:rPr>
        <w:t> </w:t>
      </w:r>
      <w:r>
        <w:rPr/>
        <w:t>disintegration of a</w:t>
      </w:r>
      <w:r>
        <w:rPr>
          <w:spacing w:val="40"/>
        </w:rPr>
        <w:t> </w:t>
      </w:r>
      <w:r>
        <w:rPr/>
        <w:t>tablet</w:t>
      </w:r>
      <w:r>
        <w:rPr>
          <w:spacing w:val="40"/>
        </w:rPr>
        <w:t> </w:t>
      </w:r>
      <w:r>
        <w:rPr/>
        <w:t>will be low if the</w:t>
      </w:r>
      <w:r>
        <w:rPr>
          <w:spacing w:val="40"/>
        </w:rPr>
        <w:t> </w:t>
      </w:r>
      <w:r>
        <w:rPr/>
        <w:t>formulated</w:t>
      </w:r>
      <w:r>
        <w:rPr>
          <w:spacing w:val="40"/>
        </w:rPr>
        <w:t> </w:t>
      </w:r>
      <w:r>
        <w:rPr/>
        <w:t>tablet</w:t>
      </w:r>
      <w:r>
        <w:rPr>
          <w:spacing w:val="40"/>
        </w:rPr>
        <w:t> </w:t>
      </w:r>
      <w:r>
        <w:rPr/>
        <w:t>is</w:t>
      </w:r>
      <w:r>
        <w:rPr>
          <w:spacing w:val="40"/>
        </w:rPr>
        <w:t> </w:t>
      </w:r>
      <w:r>
        <w:rPr/>
        <w:t>hydrophobic and/or it has been manufactured using a high compression force.</w:t>
      </w:r>
    </w:p>
    <w:p>
      <w:pPr>
        <w:pStyle w:val="BodyText"/>
        <w:spacing w:line="491" w:lineRule="auto"/>
        <w:ind w:left="665" w:right="1855" w:firstLine="676"/>
        <w:jc w:val="both"/>
      </w:pPr>
      <w:r>
        <w:rPr/>
        <w:t>Disintegrants</w:t>
      </w:r>
      <w:r>
        <w:rPr>
          <w:spacing w:val="40"/>
        </w:rPr>
        <w:t> </w:t>
      </w:r>
      <w:r>
        <w:rPr/>
        <w:t>are</w:t>
      </w:r>
      <w:r>
        <w:rPr>
          <w:spacing w:val="40"/>
        </w:rPr>
        <w:t> </w:t>
      </w:r>
      <w:r>
        <w:rPr/>
        <w:t>an</w:t>
      </w:r>
      <w:r>
        <w:rPr>
          <w:spacing w:val="40"/>
        </w:rPr>
        <w:t> </w:t>
      </w:r>
      <w:r>
        <w:rPr/>
        <w:t>essential</w:t>
      </w:r>
      <w:r>
        <w:rPr>
          <w:spacing w:val="39"/>
        </w:rPr>
        <w:t> </w:t>
      </w:r>
      <w:r>
        <w:rPr/>
        <w:t>tableting</w:t>
      </w:r>
      <w:r>
        <w:rPr>
          <w:spacing w:val="36"/>
        </w:rPr>
        <w:t> </w:t>
      </w:r>
      <w:r>
        <w:rPr/>
        <w:t>excipient,</w:t>
      </w:r>
      <w:r>
        <w:rPr>
          <w:spacing w:val="40"/>
        </w:rPr>
        <w:t> </w:t>
      </w:r>
      <w:r>
        <w:rPr/>
        <w:t>enabling</w:t>
      </w:r>
      <w:r>
        <w:rPr>
          <w:spacing w:val="40"/>
        </w:rPr>
        <w:t> </w:t>
      </w:r>
      <w:r>
        <w:rPr/>
        <w:t>tablet</w:t>
      </w:r>
      <w:r>
        <w:rPr>
          <w:spacing w:val="40"/>
        </w:rPr>
        <w:t> </w:t>
      </w:r>
      <w:r>
        <w:rPr/>
        <w:t>disintegration to occur within the specifications defined in the various pharmacopoeias (typically disintegration of conventional tablets must occur within 15 minutes).</w:t>
      </w:r>
    </w:p>
    <w:p>
      <w:pPr>
        <w:pStyle w:val="BodyText"/>
        <w:spacing w:line="252" w:lineRule="exact"/>
        <w:ind w:left="1342"/>
      </w:pPr>
      <w:r>
        <w:rPr/>
        <w:t>Several</w:t>
      </w:r>
      <w:r>
        <w:rPr>
          <w:spacing w:val="7"/>
        </w:rPr>
        <w:t> </w:t>
      </w:r>
      <w:r>
        <w:rPr/>
        <w:t>mechanisms</w:t>
      </w:r>
      <w:r>
        <w:rPr>
          <w:spacing w:val="13"/>
        </w:rPr>
        <w:t> </w:t>
      </w:r>
      <w:r>
        <w:rPr/>
        <w:t>by which</w:t>
      </w:r>
      <w:r>
        <w:rPr>
          <w:spacing w:val="11"/>
        </w:rPr>
        <w:t> </w:t>
      </w:r>
      <w:r>
        <w:rPr/>
        <w:t>disintegrants</w:t>
      </w:r>
      <w:r>
        <w:rPr>
          <w:spacing w:val="13"/>
        </w:rPr>
        <w:t> </w:t>
      </w:r>
      <w:r>
        <w:rPr/>
        <w:t>elicit</w:t>
      </w:r>
      <w:r>
        <w:rPr>
          <w:spacing w:val="14"/>
        </w:rPr>
        <w:t> </w:t>
      </w:r>
      <w:r>
        <w:rPr/>
        <w:t>their</w:t>
      </w:r>
      <w:r>
        <w:rPr>
          <w:spacing w:val="16"/>
        </w:rPr>
        <w:t> </w:t>
      </w:r>
      <w:r>
        <w:rPr/>
        <w:t>effect</w:t>
      </w:r>
      <w:r>
        <w:rPr>
          <w:spacing w:val="14"/>
        </w:rPr>
        <w:t> </w:t>
      </w:r>
      <w:r>
        <w:rPr>
          <w:spacing w:val="-2"/>
        </w:rPr>
        <w:t>include:</w:t>
      </w:r>
    </w:p>
    <w:p>
      <w:pPr>
        <w:spacing w:after="0" w:line="252" w:lineRule="exact"/>
        <w:sectPr>
          <w:type w:val="continuous"/>
          <w:pgSz w:w="12240" w:h="15840"/>
          <w:pgMar w:header="0" w:footer="999" w:top="1780" w:bottom="1180" w:left="1720" w:right="0"/>
        </w:sectPr>
      </w:pPr>
    </w:p>
    <w:p>
      <w:pPr>
        <w:pStyle w:val="ListParagraph"/>
        <w:numPr>
          <w:ilvl w:val="0"/>
          <w:numId w:val="31"/>
        </w:numPr>
        <w:tabs>
          <w:tab w:pos="1342" w:val="left" w:leader="none"/>
        </w:tabs>
        <w:spacing w:line="475" w:lineRule="auto" w:before="94" w:after="0"/>
        <w:ind w:left="1342" w:right="1860" w:hanging="336"/>
        <w:jc w:val="both"/>
        <w:rPr>
          <w:sz w:val="22"/>
        </w:rPr>
      </w:pPr>
      <w:r>
        <w:rPr>
          <w:sz w:val="22"/>
        </w:rPr>
        <w:t>Disintegrants may increase the porosity and wettability of the compressed tablet matrix.</w:t>
      </w:r>
      <w:r>
        <w:rPr>
          <w:spacing w:val="25"/>
          <w:sz w:val="22"/>
        </w:rPr>
        <w:t> </w:t>
      </w:r>
      <w:r>
        <w:rPr>
          <w:sz w:val="22"/>
        </w:rPr>
        <w:t>Examples of disintegrants that</w:t>
      </w:r>
      <w:r>
        <w:rPr>
          <w:spacing w:val="18"/>
          <w:sz w:val="22"/>
        </w:rPr>
        <w:t> </w:t>
      </w:r>
      <w:r>
        <w:rPr>
          <w:sz w:val="22"/>
        </w:rPr>
        <w:t>operate</w:t>
      </w:r>
      <w:r>
        <w:rPr>
          <w:spacing w:val="19"/>
          <w:sz w:val="22"/>
        </w:rPr>
        <w:t> </w:t>
      </w:r>
      <w:r>
        <w:rPr>
          <w:sz w:val="22"/>
        </w:rPr>
        <w:t>in this</w:t>
      </w:r>
      <w:r>
        <w:rPr>
          <w:spacing w:val="21"/>
          <w:sz w:val="22"/>
        </w:rPr>
        <w:t> </w:t>
      </w:r>
      <w:r>
        <w:rPr>
          <w:sz w:val="22"/>
        </w:rPr>
        <w:t>fashion</w:t>
      </w:r>
      <w:r>
        <w:rPr>
          <w:spacing w:val="21"/>
          <w:sz w:val="22"/>
        </w:rPr>
        <w:t> </w:t>
      </w:r>
      <w:r>
        <w:rPr>
          <w:sz w:val="22"/>
        </w:rPr>
        <w:t>include: (1)</w:t>
      </w:r>
      <w:r>
        <w:rPr>
          <w:spacing w:val="20"/>
          <w:sz w:val="22"/>
        </w:rPr>
        <w:t> </w:t>
      </w:r>
      <w:r>
        <w:rPr>
          <w:sz w:val="22"/>
        </w:rPr>
        <w:t>starch;</w:t>
      </w:r>
    </w:p>
    <w:p>
      <w:pPr>
        <w:pStyle w:val="BodyText"/>
        <w:spacing w:before="23"/>
        <w:ind w:left="1342"/>
      </w:pPr>
      <w:r>
        <w:rPr/>
        <w:t>(2)</w:t>
      </w:r>
      <w:r>
        <w:rPr>
          <w:spacing w:val="4"/>
        </w:rPr>
        <w:t> </w:t>
      </w:r>
      <w:r>
        <w:rPr/>
        <w:t>MCC;</w:t>
      </w:r>
      <w:r>
        <w:rPr>
          <w:spacing w:val="12"/>
        </w:rPr>
        <w:t> </w:t>
      </w:r>
      <w:r>
        <w:rPr/>
        <w:t>and</w:t>
      </w:r>
      <w:r>
        <w:rPr>
          <w:spacing w:val="15"/>
        </w:rPr>
        <w:t> </w:t>
      </w:r>
      <w:r>
        <w:rPr/>
        <w:t>(3)</w:t>
      </w:r>
      <w:r>
        <w:rPr>
          <w:spacing w:val="10"/>
        </w:rPr>
        <w:t> </w:t>
      </w:r>
      <w:r>
        <w:rPr/>
        <w:t>sodium</w:t>
      </w:r>
      <w:r>
        <w:rPr>
          <w:spacing w:val="10"/>
        </w:rPr>
        <w:t> </w:t>
      </w:r>
      <w:r>
        <w:rPr/>
        <w:t>starch</w:t>
      </w:r>
      <w:r>
        <w:rPr>
          <w:spacing w:val="6"/>
        </w:rPr>
        <w:t> </w:t>
      </w:r>
      <w:r>
        <w:rPr>
          <w:spacing w:val="-2"/>
        </w:rPr>
        <w:t>glycolate.</w:t>
      </w:r>
    </w:p>
    <w:p>
      <w:pPr>
        <w:pStyle w:val="BodyText"/>
        <w:spacing w:before="10"/>
      </w:pPr>
    </w:p>
    <w:p>
      <w:pPr>
        <w:pStyle w:val="ListParagraph"/>
        <w:numPr>
          <w:ilvl w:val="0"/>
          <w:numId w:val="31"/>
        </w:numPr>
        <w:tabs>
          <w:tab w:pos="1342" w:val="left" w:leader="none"/>
        </w:tabs>
        <w:spacing w:line="487" w:lineRule="auto" w:before="1" w:after="0"/>
        <w:ind w:left="1342" w:right="1848" w:hanging="336"/>
        <w:jc w:val="both"/>
        <w:rPr>
          <w:sz w:val="22"/>
        </w:rPr>
      </w:pPr>
      <w:r>
        <w:rPr>
          <w:sz w:val="22"/>
        </w:rPr>
        <w:t>Disintegrants may operate by swelling in the presence of aqueous fluids, thereby expecting tablet disintegration due to the increase in the internal pressure within</w:t>
      </w:r>
      <w:r>
        <w:rPr>
          <w:spacing w:val="40"/>
          <w:sz w:val="22"/>
        </w:rPr>
        <w:t> </w:t>
      </w:r>
      <w:r>
        <w:rPr>
          <w:sz w:val="22"/>
        </w:rPr>
        <w:t>the tablet matrix. Examples of excipients that facilitate tablet disintegration by swelling in the pressure of aqueous fluids include:</w:t>
      </w:r>
    </w:p>
    <w:p>
      <w:pPr>
        <w:pStyle w:val="ListParagraph"/>
        <w:numPr>
          <w:ilvl w:val="0"/>
          <w:numId w:val="32"/>
        </w:numPr>
        <w:tabs>
          <w:tab w:pos="1006" w:val="left" w:leader="none"/>
        </w:tabs>
        <w:spacing w:line="240" w:lineRule="auto" w:before="6" w:after="0"/>
        <w:ind w:left="1006" w:right="0" w:hanging="341"/>
        <w:jc w:val="left"/>
        <w:rPr>
          <w:sz w:val="22"/>
        </w:rPr>
      </w:pPr>
      <w:r>
        <w:rPr>
          <w:sz w:val="22"/>
        </w:rPr>
        <w:t>sodium</w:t>
      </w:r>
      <w:r>
        <w:rPr>
          <w:spacing w:val="13"/>
          <w:sz w:val="22"/>
        </w:rPr>
        <w:t> </w:t>
      </w:r>
      <w:r>
        <w:rPr>
          <w:sz w:val="22"/>
        </w:rPr>
        <w:t>starch</w:t>
      </w:r>
      <w:r>
        <w:rPr>
          <w:spacing w:val="8"/>
          <w:sz w:val="22"/>
        </w:rPr>
        <w:t> </w:t>
      </w:r>
      <w:r>
        <w:rPr>
          <w:spacing w:val="-2"/>
          <w:sz w:val="22"/>
        </w:rPr>
        <w:t>glycolate</w:t>
      </w:r>
    </w:p>
    <w:p>
      <w:pPr>
        <w:pStyle w:val="BodyText"/>
        <w:spacing w:before="12"/>
      </w:pPr>
    </w:p>
    <w:p>
      <w:pPr>
        <w:pStyle w:val="ListParagraph"/>
        <w:numPr>
          <w:ilvl w:val="0"/>
          <w:numId w:val="32"/>
        </w:numPr>
        <w:tabs>
          <w:tab w:pos="1006" w:val="left" w:leader="none"/>
        </w:tabs>
        <w:spacing w:line="491" w:lineRule="auto" w:before="0" w:after="0"/>
        <w:ind w:left="1006" w:right="1851" w:hanging="341"/>
        <w:jc w:val="left"/>
        <w:rPr>
          <w:sz w:val="22"/>
        </w:rPr>
      </w:pPr>
      <w:r>
        <w:rPr>
          <w:sz w:val="22"/>
        </w:rPr>
        <w:t>croscarmellose</w:t>
      </w:r>
      <w:r>
        <w:rPr>
          <w:spacing w:val="80"/>
          <w:sz w:val="22"/>
        </w:rPr>
        <w:t> </w:t>
      </w:r>
      <w:r>
        <w:rPr>
          <w:sz w:val="22"/>
        </w:rPr>
        <w:t>sodium</w:t>
      </w:r>
      <w:r>
        <w:rPr>
          <w:spacing w:val="80"/>
          <w:sz w:val="22"/>
        </w:rPr>
        <w:t> </w:t>
      </w:r>
      <w:r>
        <w:rPr>
          <w:sz w:val="22"/>
        </w:rPr>
        <w:t>(a</w:t>
      </w:r>
      <w:r>
        <w:rPr>
          <w:spacing w:val="80"/>
          <w:sz w:val="22"/>
        </w:rPr>
        <w:t> </w:t>
      </w:r>
      <w:r>
        <w:rPr>
          <w:sz w:val="22"/>
        </w:rPr>
        <w:t>cross-linked</w:t>
      </w:r>
      <w:r>
        <w:rPr>
          <w:spacing w:val="80"/>
          <w:sz w:val="22"/>
        </w:rPr>
        <w:t> </w:t>
      </w:r>
      <w:r>
        <w:rPr>
          <w:sz w:val="22"/>
        </w:rPr>
        <w:t>sodium</w:t>
      </w:r>
      <w:r>
        <w:rPr>
          <w:spacing w:val="80"/>
          <w:sz w:val="22"/>
        </w:rPr>
        <w:t> </w:t>
      </w:r>
      <w:r>
        <w:rPr>
          <w:sz w:val="22"/>
        </w:rPr>
        <w:t>carboxymethylcellulose)</w:t>
      </w:r>
      <w:r>
        <w:rPr>
          <w:spacing w:val="80"/>
          <w:sz w:val="22"/>
        </w:rPr>
        <w:t> </w:t>
      </w:r>
      <w:r>
        <w:rPr>
          <w:sz w:val="22"/>
        </w:rPr>
        <w:t>(usual</w:t>
      </w:r>
      <w:r>
        <w:rPr>
          <w:spacing w:val="40"/>
          <w:sz w:val="22"/>
        </w:rPr>
        <w:t> </w:t>
      </w:r>
      <w:r>
        <w:rPr>
          <w:sz w:val="22"/>
        </w:rPr>
        <w:t>working range 0.5 – 5.0 % w/w).</w:t>
      </w:r>
    </w:p>
    <w:p>
      <w:pPr>
        <w:pStyle w:val="ListParagraph"/>
        <w:numPr>
          <w:ilvl w:val="0"/>
          <w:numId w:val="32"/>
        </w:numPr>
        <w:tabs>
          <w:tab w:pos="1006" w:val="left" w:leader="none"/>
        </w:tabs>
        <w:spacing w:line="491" w:lineRule="auto" w:before="0" w:after="0"/>
        <w:ind w:left="1006" w:right="1855" w:hanging="341"/>
        <w:jc w:val="left"/>
        <w:rPr>
          <w:sz w:val="22"/>
        </w:rPr>
      </w:pPr>
      <w:r>
        <w:rPr>
          <w:sz w:val="22"/>
        </w:rPr>
        <w:t>Crospovidone</w:t>
      </w:r>
      <w:r>
        <w:rPr>
          <w:spacing w:val="40"/>
          <w:sz w:val="22"/>
        </w:rPr>
        <w:t> </w:t>
      </w:r>
      <w:r>
        <w:rPr>
          <w:sz w:val="22"/>
        </w:rPr>
        <w:t>(a</w:t>
      </w:r>
      <w:r>
        <w:rPr>
          <w:spacing w:val="34"/>
          <w:sz w:val="22"/>
        </w:rPr>
        <w:t> </w:t>
      </w:r>
      <w:r>
        <w:rPr>
          <w:sz w:val="22"/>
        </w:rPr>
        <w:t>cross-linked</w:t>
      </w:r>
      <w:r>
        <w:rPr>
          <w:spacing w:val="40"/>
          <w:sz w:val="22"/>
        </w:rPr>
        <w:t> </w:t>
      </w:r>
      <w:r>
        <w:rPr>
          <w:sz w:val="22"/>
        </w:rPr>
        <w:t>polyvinylpyrollidone);</w:t>
      </w:r>
      <w:r>
        <w:rPr>
          <w:spacing w:val="39"/>
          <w:sz w:val="22"/>
        </w:rPr>
        <w:t> </w:t>
      </w:r>
      <w:r>
        <w:rPr>
          <w:sz w:val="22"/>
        </w:rPr>
        <w:t>usual</w:t>
      </w:r>
      <w:r>
        <w:rPr>
          <w:spacing w:val="33"/>
          <w:sz w:val="22"/>
        </w:rPr>
        <w:t> </w:t>
      </w:r>
      <w:r>
        <w:rPr>
          <w:sz w:val="22"/>
        </w:rPr>
        <w:t>working</w:t>
      </w:r>
      <w:r>
        <w:rPr>
          <w:spacing w:val="37"/>
          <w:sz w:val="22"/>
        </w:rPr>
        <w:t> </w:t>
      </w:r>
      <w:r>
        <w:rPr>
          <w:sz w:val="22"/>
        </w:rPr>
        <w:t>range</w:t>
      </w:r>
      <w:r>
        <w:rPr>
          <w:spacing w:val="34"/>
          <w:sz w:val="22"/>
        </w:rPr>
        <w:t> </w:t>
      </w:r>
      <w:r>
        <w:rPr>
          <w:sz w:val="22"/>
        </w:rPr>
        <w:t>2</w:t>
      </w:r>
      <w:r>
        <w:rPr>
          <w:spacing w:val="40"/>
          <w:sz w:val="22"/>
        </w:rPr>
        <w:t> </w:t>
      </w:r>
      <w:r>
        <w:rPr>
          <w:sz w:val="22"/>
        </w:rPr>
        <w:t>–</w:t>
      </w:r>
      <w:r>
        <w:rPr>
          <w:spacing w:val="37"/>
          <w:sz w:val="22"/>
        </w:rPr>
        <w:t> </w:t>
      </w:r>
      <w:r>
        <w:rPr>
          <w:sz w:val="22"/>
        </w:rPr>
        <w:t>5</w:t>
      </w:r>
      <w:r>
        <w:rPr>
          <w:spacing w:val="40"/>
          <w:sz w:val="22"/>
        </w:rPr>
        <w:t> </w:t>
      </w:r>
      <w:r>
        <w:rPr>
          <w:sz w:val="22"/>
        </w:rPr>
        <w:t>% </w:t>
      </w:r>
      <w:r>
        <w:rPr>
          <w:spacing w:val="-2"/>
          <w:sz w:val="22"/>
        </w:rPr>
        <w:t>w/w).</w:t>
      </w:r>
    </w:p>
    <w:p>
      <w:pPr>
        <w:pStyle w:val="ListParagraph"/>
        <w:numPr>
          <w:ilvl w:val="0"/>
          <w:numId w:val="32"/>
        </w:numPr>
        <w:tabs>
          <w:tab w:pos="1006" w:val="left" w:leader="none"/>
        </w:tabs>
        <w:spacing w:line="253" w:lineRule="exact" w:before="0" w:after="0"/>
        <w:ind w:left="1006" w:right="0" w:hanging="341"/>
        <w:jc w:val="left"/>
        <w:rPr>
          <w:sz w:val="22"/>
        </w:rPr>
      </w:pPr>
      <w:r>
        <w:rPr>
          <w:sz w:val="22"/>
        </w:rPr>
        <w:t>Pregelatinized</w:t>
      </w:r>
      <w:r>
        <w:rPr>
          <w:spacing w:val="19"/>
          <w:sz w:val="22"/>
        </w:rPr>
        <w:t> </w:t>
      </w:r>
      <w:r>
        <w:rPr>
          <w:sz w:val="22"/>
        </w:rPr>
        <w:t>starch</w:t>
      </w:r>
      <w:r>
        <w:rPr>
          <w:spacing w:val="9"/>
          <w:sz w:val="22"/>
        </w:rPr>
        <w:t> </w:t>
      </w:r>
      <w:r>
        <w:rPr>
          <w:sz w:val="22"/>
        </w:rPr>
        <w:t>(usual</w:t>
      </w:r>
      <w:r>
        <w:rPr>
          <w:spacing w:val="11"/>
          <w:sz w:val="22"/>
        </w:rPr>
        <w:t> </w:t>
      </w:r>
      <w:r>
        <w:rPr>
          <w:sz w:val="22"/>
        </w:rPr>
        <w:t>working</w:t>
      </w:r>
      <w:r>
        <w:rPr>
          <w:spacing w:val="9"/>
          <w:sz w:val="22"/>
        </w:rPr>
        <w:t> </w:t>
      </w:r>
      <w:r>
        <w:rPr>
          <w:sz w:val="22"/>
        </w:rPr>
        <w:t>concentration</w:t>
      </w:r>
      <w:r>
        <w:rPr>
          <w:spacing w:val="8"/>
          <w:sz w:val="22"/>
        </w:rPr>
        <w:t> </w:t>
      </w:r>
      <w:r>
        <w:rPr>
          <w:sz w:val="22"/>
        </w:rPr>
        <w:t>of</w:t>
      </w:r>
      <w:r>
        <w:rPr>
          <w:spacing w:val="14"/>
          <w:sz w:val="22"/>
        </w:rPr>
        <w:t> </w:t>
      </w:r>
      <w:r>
        <w:rPr>
          <w:sz w:val="22"/>
        </w:rPr>
        <w:t>5</w:t>
      </w:r>
      <w:r>
        <w:rPr>
          <w:spacing w:val="10"/>
          <w:sz w:val="22"/>
        </w:rPr>
        <w:t> </w:t>
      </w:r>
      <w:r>
        <w:rPr>
          <w:sz w:val="22"/>
        </w:rPr>
        <w:t>%</w:t>
      </w:r>
      <w:r>
        <w:rPr>
          <w:spacing w:val="11"/>
          <w:sz w:val="22"/>
        </w:rPr>
        <w:t> </w:t>
      </w:r>
      <w:r>
        <w:rPr>
          <w:spacing w:val="-2"/>
          <w:sz w:val="22"/>
        </w:rPr>
        <w:t>w/w).</w:t>
      </w:r>
    </w:p>
    <w:p>
      <w:pPr>
        <w:pStyle w:val="BodyText"/>
        <w:spacing w:before="11"/>
      </w:pPr>
    </w:p>
    <w:p>
      <w:pPr>
        <w:pStyle w:val="ListParagraph"/>
        <w:numPr>
          <w:ilvl w:val="1"/>
          <w:numId w:val="32"/>
        </w:numPr>
        <w:tabs>
          <w:tab w:pos="1342" w:val="left" w:leader="none"/>
        </w:tabs>
        <w:spacing w:line="475" w:lineRule="auto" w:before="0" w:after="0"/>
        <w:ind w:left="1342" w:right="1857" w:hanging="336"/>
        <w:jc w:val="both"/>
        <w:rPr>
          <w:sz w:val="22"/>
        </w:rPr>
      </w:pPr>
      <w:r>
        <w:rPr>
          <w:sz w:val="22"/>
        </w:rPr>
        <w:t>Production of gas whenever the tablet contacts aqueous fluids (the mechanism of disintegration of effervescent tablets)</w:t>
      </w:r>
    </w:p>
    <w:p>
      <w:pPr>
        <w:pStyle w:val="ListParagraph"/>
        <w:numPr>
          <w:ilvl w:val="1"/>
          <w:numId w:val="32"/>
        </w:numPr>
        <w:tabs>
          <w:tab w:pos="1342" w:val="left" w:leader="none"/>
        </w:tabs>
        <w:spacing w:line="475" w:lineRule="auto" w:before="22" w:after="0"/>
        <w:ind w:left="1342" w:right="1865" w:hanging="336"/>
        <w:jc w:val="both"/>
        <w:rPr>
          <w:sz w:val="22"/>
        </w:rPr>
      </w:pPr>
      <w:r>
        <w:rPr>
          <w:sz w:val="22"/>
        </w:rPr>
        <w:t>Disintegrants may act by destroying binders by enzymatic action (Rudnic and Kottke, 1999).</w:t>
      </w:r>
    </w:p>
    <w:p>
      <w:pPr>
        <w:pStyle w:val="Heading2"/>
        <w:numPr>
          <w:ilvl w:val="2"/>
          <w:numId w:val="25"/>
        </w:numPr>
        <w:tabs>
          <w:tab w:pos="1337" w:val="left" w:leader="none"/>
        </w:tabs>
        <w:spacing w:line="240" w:lineRule="auto" w:before="248" w:after="0"/>
        <w:ind w:left="1337" w:right="0" w:hanging="672"/>
        <w:jc w:val="left"/>
      </w:pPr>
      <w:bookmarkStart w:name="_TOC_250078" w:id="83"/>
      <w:bookmarkEnd w:id="83"/>
      <w:r>
        <w:rPr>
          <w:spacing w:val="-2"/>
        </w:rPr>
        <w:t>Lubricants</w:t>
      </w:r>
    </w:p>
    <w:p>
      <w:pPr>
        <w:pStyle w:val="BodyText"/>
        <w:spacing w:line="491" w:lineRule="auto" w:before="246"/>
        <w:ind w:left="665" w:right="1858" w:firstLine="676"/>
        <w:jc w:val="both"/>
      </w:pPr>
      <w:r>
        <w:rPr/>
        <w:t>Lubricants act at the interface between the face of the die and the surface of the tablet thereby reducing</w:t>
      </w:r>
      <w:r>
        <w:rPr>
          <w:spacing w:val="40"/>
        </w:rPr>
        <w:t> </w:t>
      </w:r>
      <w:r>
        <w:rPr/>
        <w:t>friction at this</w:t>
      </w:r>
      <w:r>
        <w:rPr>
          <w:spacing w:val="40"/>
        </w:rPr>
        <w:t> </w:t>
      </w:r>
      <w:r>
        <w:rPr/>
        <w:t>interface during ejection of the tablet from the tablet press. Tablets with a pitted surface are produced where lubrication is inadequate; due to the inability of the tablet</w:t>
      </w:r>
      <w:r>
        <w:rPr>
          <w:spacing w:val="26"/>
        </w:rPr>
        <w:t> </w:t>
      </w:r>
      <w:r>
        <w:rPr/>
        <w:t>surface to detach from the surface of the tablet.</w:t>
      </w:r>
    </w:p>
    <w:p>
      <w:pPr>
        <w:pStyle w:val="BodyText"/>
        <w:spacing w:line="491" w:lineRule="auto"/>
        <w:ind w:left="665" w:right="1856" w:firstLine="676"/>
        <w:jc w:val="both"/>
      </w:pPr>
      <w:r>
        <w:rPr/>
        <w:t>Conversely, addition of lubricants can have negative effects on tablet strength, since the lubricant often reduces the creation of inter-particulate bonds (de Boer </w:t>
      </w:r>
      <w:r>
        <w:rPr>
          <w:i/>
        </w:rPr>
        <w:t>et al, </w:t>
      </w:r>
      <w:r>
        <w:rPr>
          <w:spacing w:val="-2"/>
        </w:rPr>
        <w:t>1978).</w:t>
      </w:r>
    </w:p>
    <w:p>
      <w:pPr>
        <w:spacing w:after="0" w:line="491" w:lineRule="auto"/>
        <w:jc w:val="both"/>
        <w:sectPr>
          <w:pgSz w:w="12240" w:h="15840"/>
          <w:pgMar w:header="0" w:footer="999" w:top="1240" w:bottom="1180" w:left="1720" w:right="0"/>
        </w:sectPr>
      </w:pPr>
    </w:p>
    <w:p>
      <w:pPr>
        <w:pStyle w:val="BodyText"/>
        <w:spacing w:line="491" w:lineRule="auto" w:before="75"/>
        <w:ind w:left="665" w:right="1850" w:firstLine="676"/>
        <w:jc w:val="both"/>
      </w:pPr>
      <w:r>
        <w:rPr/>
        <w:t>Lubrication is achieved by mainly two mechanisms: (1) fluid lubrication; and (2) boundary lubrication (Aulton, 2002). In fluid lubrication, a layer of fluid is located between</w:t>
      </w:r>
      <w:r>
        <w:rPr>
          <w:spacing w:val="40"/>
        </w:rPr>
        <w:t> </w:t>
      </w:r>
      <w:r>
        <w:rPr/>
        <w:t>and</w:t>
      </w:r>
      <w:r>
        <w:rPr>
          <w:spacing w:val="40"/>
        </w:rPr>
        <w:t> </w:t>
      </w:r>
      <w:r>
        <w:rPr/>
        <w:t>separates</w:t>
      </w:r>
      <w:r>
        <w:rPr>
          <w:spacing w:val="40"/>
        </w:rPr>
        <w:t> </w:t>
      </w:r>
      <w:r>
        <w:rPr/>
        <w:t>the</w:t>
      </w:r>
      <w:r>
        <w:rPr>
          <w:spacing w:val="40"/>
        </w:rPr>
        <w:t> </w:t>
      </w:r>
      <w:r>
        <w:rPr/>
        <w:t>moving</w:t>
      </w:r>
      <w:r>
        <w:rPr>
          <w:spacing w:val="40"/>
        </w:rPr>
        <w:t> </w:t>
      </w:r>
      <w:r>
        <w:rPr/>
        <w:t>surfaces</w:t>
      </w:r>
      <w:r>
        <w:rPr>
          <w:spacing w:val="40"/>
        </w:rPr>
        <w:t> </w:t>
      </w:r>
      <w:r>
        <w:rPr/>
        <w:t>of</w:t>
      </w:r>
      <w:r>
        <w:rPr>
          <w:spacing w:val="40"/>
        </w:rPr>
        <w:t> </w:t>
      </w:r>
      <w:r>
        <w:rPr/>
        <w:t>the</w:t>
      </w:r>
      <w:r>
        <w:rPr>
          <w:spacing w:val="40"/>
        </w:rPr>
        <w:t> </w:t>
      </w:r>
      <w:r>
        <w:rPr/>
        <w:t>solids</w:t>
      </w:r>
      <w:r>
        <w:rPr>
          <w:spacing w:val="40"/>
        </w:rPr>
        <w:t> </w:t>
      </w:r>
      <w:r>
        <w:rPr/>
        <w:t>from</w:t>
      </w:r>
      <w:r>
        <w:rPr>
          <w:spacing w:val="40"/>
        </w:rPr>
        <w:t> </w:t>
      </w:r>
      <w:r>
        <w:rPr/>
        <w:t>each</w:t>
      </w:r>
      <w:r>
        <w:rPr>
          <w:spacing w:val="40"/>
        </w:rPr>
        <w:t> </w:t>
      </w:r>
      <w:r>
        <w:rPr/>
        <w:t>other</w:t>
      </w:r>
      <w:r>
        <w:rPr>
          <w:spacing w:val="40"/>
        </w:rPr>
        <w:t> </w:t>
      </w:r>
      <w:r>
        <w:rPr/>
        <w:t>thereby reducing friction while in boundary lubrication; sliding surfaces are separated by only a thin film of lubricant.</w:t>
      </w:r>
    </w:p>
    <w:p>
      <w:pPr>
        <w:pStyle w:val="BodyText"/>
        <w:spacing w:line="252" w:lineRule="exact"/>
        <w:ind w:left="1342"/>
      </w:pPr>
      <w:r>
        <w:rPr/>
        <w:t>There</w:t>
      </w:r>
      <w:r>
        <w:rPr>
          <w:spacing w:val="5"/>
        </w:rPr>
        <w:t> </w:t>
      </w:r>
      <w:r>
        <w:rPr/>
        <w:t>are</w:t>
      </w:r>
      <w:r>
        <w:rPr>
          <w:spacing w:val="11"/>
        </w:rPr>
        <w:t> </w:t>
      </w:r>
      <w:r>
        <w:rPr/>
        <w:t>two</w:t>
      </w:r>
      <w:r>
        <w:rPr>
          <w:spacing w:val="12"/>
        </w:rPr>
        <w:t> </w:t>
      </w:r>
      <w:r>
        <w:rPr/>
        <w:t>main</w:t>
      </w:r>
      <w:r>
        <w:rPr>
          <w:spacing w:val="7"/>
        </w:rPr>
        <w:t> </w:t>
      </w:r>
      <w:r>
        <w:rPr/>
        <w:t>categories</w:t>
      </w:r>
      <w:r>
        <w:rPr>
          <w:spacing w:val="9"/>
        </w:rPr>
        <w:t> </w:t>
      </w:r>
      <w:r>
        <w:rPr/>
        <w:t>of</w:t>
      </w:r>
      <w:r>
        <w:rPr>
          <w:spacing w:val="6"/>
        </w:rPr>
        <w:t> </w:t>
      </w:r>
      <w:r>
        <w:rPr>
          <w:spacing w:val="-2"/>
        </w:rPr>
        <w:t>lubricants:</w:t>
      </w:r>
    </w:p>
    <w:p>
      <w:pPr>
        <w:pStyle w:val="BodyText"/>
        <w:spacing w:before="12"/>
      </w:pPr>
    </w:p>
    <w:p>
      <w:pPr>
        <w:pStyle w:val="BodyText"/>
        <w:spacing w:before="1"/>
        <w:ind w:left="665"/>
      </w:pPr>
      <w:r>
        <w:rPr/>
        <w:t>(i)</w:t>
      </w:r>
      <w:r>
        <w:rPr>
          <w:spacing w:val="21"/>
        </w:rPr>
        <w:t> </w:t>
      </w:r>
      <w:r>
        <w:rPr/>
        <w:t>Insoluble</w:t>
      </w:r>
      <w:r>
        <w:rPr>
          <w:spacing w:val="17"/>
        </w:rPr>
        <w:t> </w:t>
      </w:r>
      <w:r>
        <w:rPr/>
        <w:t>lubricants:</w:t>
      </w:r>
      <w:r>
        <w:rPr>
          <w:spacing w:val="9"/>
        </w:rPr>
        <w:t> </w:t>
      </w:r>
      <w:r>
        <w:rPr/>
        <w:t>Are</w:t>
      </w:r>
      <w:r>
        <w:rPr>
          <w:spacing w:val="16"/>
        </w:rPr>
        <w:t> </w:t>
      </w:r>
      <w:r>
        <w:rPr/>
        <w:t>added</w:t>
      </w:r>
      <w:r>
        <w:rPr>
          <w:spacing w:val="23"/>
        </w:rPr>
        <w:t> </w:t>
      </w:r>
      <w:r>
        <w:rPr/>
        <w:t>to</w:t>
      </w:r>
      <w:r>
        <w:rPr>
          <w:spacing w:val="18"/>
        </w:rPr>
        <w:t> </w:t>
      </w:r>
      <w:r>
        <w:rPr/>
        <w:t>the</w:t>
      </w:r>
      <w:r>
        <w:rPr>
          <w:spacing w:val="20"/>
        </w:rPr>
        <w:t> </w:t>
      </w:r>
      <w:r>
        <w:rPr/>
        <w:t>final</w:t>
      </w:r>
      <w:r>
        <w:rPr>
          <w:spacing w:val="15"/>
        </w:rPr>
        <w:t> </w:t>
      </w:r>
      <w:r>
        <w:rPr/>
        <w:t>mixing</w:t>
      </w:r>
      <w:r>
        <w:rPr>
          <w:spacing w:val="13"/>
        </w:rPr>
        <w:t> </w:t>
      </w:r>
      <w:r>
        <w:rPr/>
        <w:t>stage</w:t>
      </w:r>
      <w:r>
        <w:rPr>
          <w:spacing w:val="17"/>
        </w:rPr>
        <w:t> </w:t>
      </w:r>
      <w:r>
        <w:rPr/>
        <w:t>prior</w:t>
      </w:r>
      <w:r>
        <w:rPr>
          <w:spacing w:val="17"/>
        </w:rPr>
        <w:t> </w:t>
      </w:r>
      <w:r>
        <w:rPr/>
        <w:t>to</w:t>
      </w:r>
      <w:r>
        <w:rPr>
          <w:spacing w:val="17"/>
        </w:rPr>
        <w:t> </w:t>
      </w:r>
      <w:r>
        <w:rPr/>
        <w:t>tablet</w:t>
      </w:r>
      <w:r>
        <w:rPr>
          <w:spacing w:val="20"/>
        </w:rPr>
        <w:t> </w:t>
      </w:r>
      <w:r>
        <w:rPr>
          <w:spacing w:val="-2"/>
        </w:rPr>
        <w:t>compression.</w:t>
      </w:r>
    </w:p>
    <w:p>
      <w:pPr>
        <w:pStyle w:val="BodyText"/>
        <w:spacing w:before="12"/>
      </w:pPr>
    </w:p>
    <w:p>
      <w:pPr>
        <w:pStyle w:val="BodyText"/>
        <w:spacing w:line="491" w:lineRule="auto"/>
        <w:ind w:left="665" w:right="1857"/>
        <w:jc w:val="both"/>
      </w:pPr>
      <w:r>
        <w:rPr/>
        <w:t>The</w:t>
      </w:r>
      <w:r>
        <w:rPr>
          <w:spacing w:val="40"/>
        </w:rPr>
        <w:t> </w:t>
      </w:r>
      <w:r>
        <w:rPr/>
        <w:t>concentration</w:t>
      </w:r>
      <w:r>
        <w:rPr>
          <w:spacing w:val="37"/>
        </w:rPr>
        <w:t> </w:t>
      </w:r>
      <w:r>
        <w:rPr/>
        <w:t>used</w:t>
      </w:r>
      <w:r>
        <w:rPr>
          <w:spacing w:val="40"/>
        </w:rPr>
        <w:t> </w:t>
      </w:r>
      <w:r>
        <w:rPr/>
        <w:t>is</w:t>
      </w:r>
      <w:r>
        <w:rPr>
          <w:spacing w:val="40"/>
        </w:rPr>
        <w:t> </w:t>
      </w:r>
      <w:r>
        <w:rPr/>
        <w:t>an</w:t>
      </w:r>
      <w:r>
        <w:rPr>
          <w:spacing w:val="40"/>
        </w:rPr>
        <w:t> </w:t>
      </w:r>
      <w:r>
        <w:rPr/>
        <w:t>important</w:t>
      </w:r>
      <w:r>
        <w:rPr>
          <w:spacing w:val="40"/>
        </w:rPr>
        <w:t> </w:t>
      </w:r>
      <w:r>
        <w:rPr/>
        <w:t>consideration</w:t>
      </w:r>
      <w:r>
        <w:rPr>
          <w:spacing w:val="40"/>
        </w:rPr>
        <w:t> </w:t>
      </w:r>
      <w:r>
        <w:rPr/>
        <w:t>in</w:t>
      </w:r>
      <w:r>
        <w:rPr>
          <w:spacing w:val="40"/>
        </w:rPr>
        <w:t> </w:t>
      </w:r>
      <w:r>
        <w:rPr/>
        <w:t>the</w:t>
      </w:r>
      <w:r>
        <w:rPr>
          <w:spacing w:val="40"/>
        </w:rPr>
        <w:t> </w:t>
      </w:r>
      <w:r>
        <w:rPr/>
        <w:t>subsequent</w:t>
      </w:r>
      <w:r>
        <w:rPr>
          <w:spacing w:val="40"/>
        </w:rPr>
        <w:t> </w:t>
      </w:r>
      <w:r>
        <w:rPr/>
        <w:t>disintegration and dissolution of the API from the tablet. High concentration result in reduced disintegration and dissolution. Conversely, insufficient concentration may lead to</w:t>
      </w:r>
      <w:r>
        <w:rPr>
          <w:spacing w:val="80"/>
        </w:rPr>
        <w:t> </w:t>
      </w:r>
      <w:r>
        <w:rPr/>
        <w:t>tableting defects. Examples of insoluble lubricants that are commonly</w:t>
      </w:r>
      <w:r>
        <w:rPr>
          <w:spacing w:val="-1"/>
        </w:rPr>
        <w:t> </w:t>
      </w:r>
      <w:r>
        <w:rPr/>
        <w:t>used are shown in Table 2.3:</w:t>
      </w:r>
    </w:p>
    <w:p>
      <w:pPr>
        <w:spacing w:before="234"/>
        <w:ind w:left="665" w:right="0" w:firstLine="0"/>
        <w:jc w:val="both"/>
        <w:rPr>
          <w:b/>
          <w:sz w:val="22"/>
        </w:rPr>
      </w:pPr>
      <w:r>
        <w:rPr>
          <w:b/>
          <w:sz w:val="22"/>
        </w:rPr>
        <w:t>Table</w:t>
      </w:r>
      <w:r>
        <w:rPr>
          <w:b/>
          <w:spacing w:val="9"/>
          <w:sz w:val="22"/>
        </w:rPr>
        <w:t> </w:t>
      </w:r>
      <w:r>
        <w:rPr>
          <w:b/>
          <w:sz w:val="22"/>
        </w:rPr>
        <w:t>2.3:</w:t>
      </w:r>
      <w:r>
        <w:rPr>
          <w:b/>
          <w:spacing w:val="17"/>
          <w:sz w:val="22"/>
        </w:rPr>
        <w:t> </w:t>
      </w:r>
      <w:r>
        <w:rPr>
          <w:b/>
          <w:sz w:val="22"/>
        </w:rPr>
        <w:t>Examples</w:t>
      </w:r>
      <w:r>
        <w:rPr>
          <w:b/>
          <w:spacing w:val="8"/>
          <w:sz w:val="22"/>
        </w:rPr>
        <w:t> </w:t>
      </w:r>
      <w:r>
        <w:rPr>
          <w:b/>
          <w:sz w:val="22"/>
        </w:rPr>
        <w:t>of</w:t>
      </w:r>
      <w:r>
        <w:rPr>
          <w:b/>
          <w:spacing w:val="11"/>
          <w:sz w:val="22"/>
        </w:rPr>
        <w:t> </w:t>
      </w:r>
      <w:r>
        <w:rPr>
          <w:b/>
          <w:sz w:val="22"/>
        </w:rPr>
        <w:t>lubricants</w:t>
      </w:r>
      <w:r>
        <w:rPr>
          <w:b/>
          <w:spacing w:val="7"/>
          <w:sz w:val="22"/>
        </w:rPr>
        <w:t> </w:t>
      </w:r>
      <w:r>
        <w:rPr>
          <w:b/>
          <w:sz w:val="22"/>
        </w:rPr>
        <w:t>commonly</w:t>
      </w:r>
      <w:r>
        <w:rPr>
          <w:b/>
          <w:spacing w:val="12"/>
          <w:sz w:val="22"/>
        </w:rPr>
        <w:t> </w:t>
      </w:r>
      <w:r>
        <w:rPr>
          <w:b/>
          <w:sz w:val="22"/>
        </w:rPr>
        <w:t>used</w:t>
      </w:r>
      <w:r>
        <w:rPr>
          <w:b/>
          <w:spacing w:val="21"/>
          <w:sz w:val="22"/>
        </w:rPr>
        <w:t> </w:t>
      </w:r>
      <w:r>
        <w:rPr>
          <w:b/>
          <w:sz w:val="22"/>
        </w:rPr>
        <w:t>in</w:t>
      </w:r>
      <w:r>
        <w:rPr>
          <w:b/>
          <w:spacing w:val="8"/>
          <w:sz w:val="22"/>
        </w:rPr>
        <w:t> </w:t>
      </w:r>
      <w:r>
        <w:rPr>
          <w:b/>
          <w:sz w:val="22"/>
        </w:rPr>
        <w:t>tableting</w:t>
      </w:r>
      <w:r>
        <w:rPr>
          <w:b/>
          <w:spacing w:val="13"/>
          <w:sz w:val="22"/>
        </w:rPr>
        <w:t> </w:t>
      </w:r>
      <w:r>
        <w:rPr>
          <w:b/>
          <w:sz w:val="22"/>
        </w:rPr>
        <w:t>(David,</w:t>
      </w:r>
      <w:r>
        <w:rPr>
          <w:b/>
          <w:spacing w:val="5"/>
          <w:sz w:val="22"/>
        </w:rPr>
        <w:t> </w:t>
      </w:r>
      <w:r>
        <w:rPr>
          <w:b/>
          <w:spacing w:val="-2"/>
          <w:sz w:val="22"/>
        </w:rPr>
        <w:t>2008).</w:t>
      </w:r>
    </w:p>
    <w:p>
      <w:pPr>
        <w:pStyle w:val="BodyText"/>
        <w:spacing w:before="140"/>
        <w:rPr>
          <w:b/>
          <w:sz w:val="20"/>
        </w:rPr>
      </w:pPr>
    </w:p>
    <w:p>
      <w:pPr>
        <w:pStyle w:val="BodyText"/>
        <w:spacing w:line="20" w:lineRule="exact"/>
        <w:ind w:left="564"/>
        <w:rPr>
          <w:sz w:val="2"/>
        </w:rPr>
      </w:pPr>
      <w:r>
        <w:rPr>
          <w:sz w:val="2"/>
        </w:rPr>
        <mc:AlternateContent>
          <mc:Choice Requires="wps">
            <w:drawing>
              <wp:inline distT="0" distB="0" distL="0" distR="0">
                <wp:extent cx="5572125" cy="6350"/>
                <wp:effectExtent l="0" t="0" r="0" b="0"/>
                <wp:docPr id="26" name="Group 26"/>
                <wp:cNvGraphicFramePr>
                  <a:graphicFrameLocks/>
                </wp:cNvGraphicFramePr>
                <a:graphic>
                  <a:graphicData uri="http://schemas.microsoft.com/office/word/2010/wordprocessingGroup">
                    <wpg:wgp>
                      <wpg:cNvPr id="26" name="Group 26"/>
                      <wpg:cNvGrpSpPr/>
                      <wpg:grpSpPr>
                        <a:xfrm>
                          <a:off x="0" y="0"/>
                          <a:ext cx="5572125" cy="6350"/>
                          <a:chExt cx="5572125" cy="6350"/>
                        </a:xfrm>
                      </wpg:grpSpPr>
                      <wps:wsp>
                        <wps:cNvPr id="27" name="Graphic 27"/>
                        <wps:cNvSpPr/>
                        <wps:spPr>
                          <a:xfrm>
                            <a:off x="0" y="0"/>
                            <a:ext cx="5572125" cy="6350"/>
                          </a:xfrm>
                          <a:custGeom>
                            <a:avLst/>
                            <a:gdLst/>
                            <a:ahLst/>
                            <a:cxnLst/>
                            <a:rect l="l" t="t" r="r" b="b"/>
                            <a:pathLst>
                              <a:path w="5572125" h="6350">
                                <a:moveTo>
                                  <a:pt x="3294875" y="0"/>
                                </a:moveTo>
                                <a:lnTo>
                                  <a:pt x="2142744" y="0"/>
                                </a:lnTo>
                                <a:lnTo>
                                  <a:pt x="2136648" y="0"/>
                                </a:lnTo>
                                <a:lnTo>
                                  <a:pt x="0" y="0"/>
                                </a:lnTo>
                                <a:lnTo>
                                  <a:pt x="0" y="6096"/>
                                </a:lnTo>
                                <a:lnTo>
                                  <a:pt x="2136648" y="6096"/>
                                </a:lnTo>
                                <a:lnTo>
                                  <a:pt x="2142744" y="6096"/>
                                </a:lnTo>
                                <a:lnTo>
                                  <a:pt x="3294875" y="6096"/>
                                </a:lnTo>
                                <a:lnTo>
                                  <a:pt x="3294875" y="0"/>
                                </a:lnTo>
                                <a:close/>
                              </a:path>
                              <a:path w="5572125" h="6350">
                                <a:moveTo>
                                  <a:pt x="5571744" y="0"/>
                                </a:moveTo>
                                <a:lnTo>
                                  <a:pt x="3297936" y="0"/>
                                </a:lnTo>
                                <a:lnTo>
                                  <a:pt x="3294888" y="0"/>
                                </a:lnTo>
                                <a:lnTo>
                                  <a:pt x="3294888" y="6096"/>
                                </a:lnTo>
                                <a:lnTo>
                                  <a:pt x="3297936" y="6096"/>
                                </a:lnTo>
                                <a:lnTo>
                                  <a:pt x="5571744" y="6096"/>
                                </a:lnTo>
                                <a:lnTo>
                                  <a:pt x="5571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8.75pt;height:.5pt;mso-position-horizontal-relative:char;mso-position-vertical-relative:line" id="docshapegroup24" coordorigin="0,0" coordsize="8775,10">
                <v:shape style="position:absolute;left:0;top:0;width:8775;height:10" id="docshape25" coordorigin="0,0" coordsize="8775,10" path="m5189,0l3374,0,3365,0,0,0,0,10,3365,10,3374,10,5189,10,5189,0xm8774,0l5194,0,5189,0,5189,10,5194,10,8774,10,8774,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260" w:bottom="1180" w:left="1720" w:right="0"/>
        </w:sectPr>
      </w:pPr>
    </w:p>
    <w:p>
      <w:pPr>
        <w:tabs>
          <w:tab w:pos="4025" w:val="left" w:leader="none"/>
        </w:tabs>
        <w:spacing w:line="374" w:lineRule="auto" w:before="0"/>
        <w:ind w:left="4025" w:right="38" w:hanging="3360"/>
        <w:jc w:val="left"/>
        <w:rPr>
          <w:b/>
          <w:sz w:val="22"/>
        </w:rPr>
      </w:pPr>
      <w:r>
        <w:rPr/>
        <mc:AlternateContent>
          <mc:Choice Requires="wps">
            <w:drawing>
              <wp:anchor distT="0" distB="0" distL="0" distR="0" allowOverlap="1" layoutInCell="1" locked="0" behindDoc="0" simplePos="0" relativeHeight="15738880">
                <wp:simplePos x="0" y="0"/>
                <wp:positionH relativeFrom="page">
                  <wp:posOffset>1450848</wp:posOffset>
                </wp:positionH>
                <wp:positionV relativeFrom="paragraph">
                  <wp:posOffset>490219</wp:posOffset>
                </wp:positionV>
                <wp:extent cx="5572125" cy="317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572125" cy="3175"/>
                        </a:xfrm>
                        <a:custGeom>
                          <a:avLst/>
                          <a:gdLst/>
                          <a:ahLst/>
                          <a:cxnLst/>
                          <a:rect l="l" t="t" r="r" b="b"/>
                          <a:pathLst>
                            <a:path w="5572125" h="3175">
                              <a:moveTo>
                                <a:pt x="3294875" y="0"/>
                              </a:moveTo>
                              <a:lnTo>
                                <a:pt x="2142744" y="0"/>
                              </a:lnTo>
                              <a:lnTo>
                                <a:pt x="2136648" y="0"/>
                              </a:lnTo>
                              <a:lnTo>
                                <a:pt x="0" y="0"/>
                              </a:lnTo>
                              <a:lnTo>
                                <a:pt x="0" y="3048"/>
                              </a:lnTo>
                              <a:lnTo>
                                <a:pt x="2136648" y="3048"/>
                              </a:lnTo>
                              <a:lnTo>
                                <a:pt x="2142744" y="3048"/>
                              </a:lnTo>
                              <a:lnTo>
                                <a:pt x="3294875" y="3048"/>
                              </a:lnTo>
                              <a:lnTo>
                                <a:pt x="3294875" y="0"/>
                              </a:lnTo>
                              <a:close/>
                            </a:path>
                            <a:path w="5572125" h="3175">
                              <a:moveTo>
                                <a:pt x="5571744" y="0"/>
                              </a:moveTo>
                              <a:lnTo>
                                <a:pt x="3297936" y="0"/>
                              </a:lnTo>
                              <a:lnTo>
                                <a:pt x="3294888" y="0"/>
                              </a:lnTo>
                              <a:lnTo>
                                <a:pt x="3294888" y="3048"/>
                              </a:lnTo>
                              <a:lnTo>
                                <a:pt x="3297936" y="3048"/>
                              </a:lnTo>
                              <a:lnTo>
                                <a:pt x="5571744" y="3048"/>
                              </a:lnTo>
                              <a:lnTo>
                                <a:pt x="557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240005pt;margin-top:38.599983pt;width:438.75pt;height:.25pt;mso-position-horizontal-relative:page;mso-position-vertical-relative:paragraph;z-index:15738880" id="docshape26" coordorigin="2285,772" coordsize="8775,5" path="m7474,772l5659,772,5650,772,2285,772,2285,777,5650,777,5659,777,7474,777,7474,772xm11059,772l7478,772,7474,772,7474,777,7478,777,11059,777,11059,772xe" filled="true" fillcolor="#000000" stroked="false">
                <v:path arrowok="t"/>
                <v:fill type="solid"/>
                <w10:wrap type="none"/>
              </v:shape>
            </w:pict>
          </mc:Fallback>
        </mc:AlternateContent>
      </w:r>
      <w:r>
        <w:rPr>
          <w:b/>
          <w:spacing w:val="-2"/>
          <w:sz w:val="22"/>
        </w:rPr>
        <w:t>Lubricants</w:t>
      </w:r>
      <w:r>
        <w:rPr>
          <w:b/>
          <w:sz w:val="22"/>
        </w:rPr>
        <w:tab/>
      </w:r>
      <w:r>
        <w:rPr>
          <w:b/>
          <w:spacing w:val="-2"/>
          <w:sz w:val="22"/>
        </w:rPr>
        <w:t>Concentration </w:t>
      </w:r>
      <w:r>
        <w:rPr>
          <w:b/>
          <w:sz w:val="22"/>
        </w:rPr>
        <w:t>(% w/w)</w:t>
      </w:r>
    </w:p>
    <w:p>
      <w:pPr>
        <w:spacing w:line="248" w:lineRule="exact" w:before="0"/>
        <w:ind w:left="665" w:right="0" w:firstLine="0"/>
        <w:jc w:val="left"/>
        <w:rPr>
          <w:b/>
          <w:sz w:val="22"/>
        </w:rPr>
      </w:pPr>
      <w:r>
        <w:rPr/>
        <w:br w:type="column"/>
      </w:r>
      <w:r>
        <w:rPr>
          <w:b/>
          <w:spacing w:val="-2"/>
          <w:sz w:val="22"/>
        </w:rPr>
        <w:t>Composition</w:t>
      </w:r>
    </w:p>
    <w:p>
      <w:pPr>
        <w:spacing w:after="0" w:line="248" w:lineRule="exact"/>
        <w:jc w:val="left"/>
        <w:rPr>
          <w:sz w:val="22"/>
        </w:rPr>
        <w:sectPr>
          <w:type w:val="continuous"/>
          <w:pgSz w:w="12240" w:h="15840"/>
          <w:pgMar w:header="0" w:footer="999" w:top="1780" w:bottom="1180" w:left="1720" w:right="0"/>
          <w:cols w:num="2" w:equalWidth="0">
            <w:col w:w="5463" w:space="801"/>
            <w:col w:w="4256"/>
          </w:cols>
        </w:sectPr>
      </w:pPr>
    </w:p>
    <w:p>
      <w:pPr>
        <w:pStyle w:val="BodyText"/>
        <w:tabs>
          <w:tab w:pos="4025" w:val="left" w:leader="none"/>
          <w:tab w:pos="5849" w:val="left" w:leader="none"/>
        </w:tabs>
        <w:spacing w:line="246" w:lineRule="exact"/>
        <w:ind w:left="665"/>
      </w:pPr>
      <w:r>
        <w:rPr/>
        <w:t>Magnesium</w:t>
      </w:r>
      <w:r>
        <w:rPr>
          <w:spacing w:val="21"/>
        </w:rPr>
        <w:t> </w:t>
      </w:r>
      <w:r>
        <w:rPr>
          <w:spacing w:val="-2"/>
        </w:rPr>
        <w:t>stearate</w:t>
      </w:r>
      <w:r>
        <w:rPr/>
        <w:tab/>
        <w:t>0.2</w:t>
      </w:r>
      <w:r>
        <w:rPr>
          <w:spacing w:val="7"/>
        </w:rPr>
        <w:t> </w:t>
      </w:r>
      <w:r>
        <w:rPr/>
        <w:t>–</w:t>
      </w:r>
      <w:r>
        <w:rPr>
          <w:spacing w:val="3"/>
        </w:rPr>
        <w:t> </w:t>
      </w:r>
      <w:r>
        <w:rPr>
          <w:spacing w:val="-5"/>
        </w:rPr>
        <w:t>5.0</w:t>
      </w:r>
      <w:r>
        <w:rPr/>
        <w:tab/>
        <w:t>Not</w:t>
      </w:r>
      <w:r>
        <w:rPr>
          <w:spacing w:val="34"/>
        </w:rPr>
        <w:t> </w:t>
      </w:r>
      <w:r>
        <w:rPr/>
        <w:t>a</w:t>
      </w:r>
      <w:r>
        <w:rPr>
          <w:spacing w:val="25"/>
        </w:rPr>
        <w:t> </w:t>
      </w:r>
      <w:r>
        <w:rPr/>
        <w:t>pure</w:t>
      </w:r>
      <w:r>
        <w:rPr>
          <w:spacing w:val="36"/>
        </w:rPr>
        <w:t> </w:t>
      </w:r>
      <w:r>
        <w:rPr/>
        <w:t>compound.</w:t>
      </w:r>
      <w:r>
        <w:rPr>
          <w:spacing w:val="35"/>
        </w:rPr>
        <w:t> </w:t>
      </w:r>
      <w:r>
        <w:rPr/>
        <w:t>A</w:t>
      </w:r>
      <w:r>
        <w:rPr>
          <w:spacing w:val="31"/>
        </w:rPr>
        <w:t> </w:t>
      </w:r>
      <w:r>
        <w:rPr/>
        <w:t>mixture</w:t>
      </w:r>
      <w:r>
        <w:rPr>
          <w:spacing w:val="35"/>
        </w:rPr>
        <w:t> </w:t>
      </w:r>
      <w:r>
        <w:rPr>
          <w:spacing w:val="-5"/>
        </w:rPr>
        <w:t>of</w:t>
      </w:r>
    </w:p>
    <w:p>
      <w:pPr>
        <w:pStyle w:val="BodyText"/>
        <w:spacing w:line="364" w:lineRule="auto" w:before="136"/>
        <w:ind w:left="5849" w:right="1290"/>
      </w:pPr>
      <w:r>
        <w:rPr/>
        <w:t>magnesium</w:t>
      </w:r>
      <w:r>
        <w:rPr>
          <w:spacing w:val="40"/>
        </w:rPr>
        <w:t> </w:t>
      </w:r>
      <w:r>
        <w:rPr/>
        <w:t>salts</w:t>
      </w:r>
      <w:r>
        <w:rPr>
          <w:spacing w:val="40"/>
        </w:rPr>
        <w:t> </w:t>
      </w:r>
      <w:r>
        <w:rPr/>
        <w:t>of</w:t>
      </w:r>
      <w:r>
        <w:rPr>
          <w:spacing w:val="40"/>
        </w:rPr>
        <w:t> </w:t>
      </w:r>
      <w:r>
        <w:rPr/>
        <w:t>a</w:t>
      </w:r>
      <w:r>
        <w:rPr>
          <w:spacing w:val="40"/>
        </w:rPr>
        <w:t> </w:t>
      </w:r>
      <w:r>
        <w:rPr/>
        <w:t>range</w:t>
      </w:r>
      <w:r>
        <w:rPr>
          <w:spacing w:val="40"/>
        </w:rPr>
        <w:t> </w:t>
      </w:r>
      <w:r>
        <w:rPr/>
        <w:t>of</w:t>
      </w:r>
      <w:r>
        <w:rPr>
          <w:spacing w:val="40"/>
        </w:rPr>
        <w:t> </w:t>
      </w:r>
      <w:r>
        <w:rPr/>
        <w:t>fatty acids (stearic and palmitic acid</w:t>
      </w:r>
    </w:p>
    <w:p>
      <w:pPr>
        <w:pStyle w:val="BodyText"/>
        <w:tabs>
          <w:tab w:pos="4025" w:val="left" w:leader="none"/>
          <w:tab w:pos="5849" w:val="left" w:leader="none"/>
        </w:tabs>
        <w:spacing w:line="369" w:lineRule="auto" w:before="8"/>
        <w:ind w:left="5849" w:right="1290" w:hanging="5184"/>
      </w:pPr>
      <w:r>
        <w:rPr/>
        <w:t>Stearic acid</w:t>
        <w:tab/>
        <w:t>1.0 – 3.0</w:t>
        <w:tab/>
        <w:t>Similar</w:t>
      </w:r>
      <w:r>
        <w:rPr>
          <w:spacing w:val="80"/>
        </w:rPr>
        <w:t> </w:t>
      </w:r>
      <w:r>
        <w:rPr/>
        <w:t>to</w:t>
      </w:r>
      <w:r>
        <w:rPr>
          <w:spacing w:val="80"/>
        </w:rPr>
        <w:t> </w:t>
      </w:r>
      <w:r>
        <w:rPr/>
        <w:t>magnesium</w:t>
      </w:r>
      <w:r>
        <w:rPr>
          <w:spacing w:val="40"/>
        </w:rPr>
        <w:t> </w:t>
      </w:r>
      <w:r>
        <w:rPr/>
        <w:t>stearate.</w:t>
      </w:r>
      <w:r>
        <w:rPr>
          <w:spacing w:val="80"/>
        </w:rPr>
        <w:t> </w:t>
      </w:r>
      <w:r>
        <w:rPr/>
        <w:t>A mixture of stearic and palmitic acids</w:t>
      </w:r>
    </w:p>
    <w:p>
      <w:pPr>
        <w:pStyle w:val="BodyText"/>
        <w:tabs>
          <w:tab w:pos="4025" w:val="left" w:leader="none"/>
          <w:tab w:pos="5849" w:val="left" w:leader="none"/>
        </w:tabs>
        <w:spacing w:line="369" w:lineRule="auto"/>
        <w:ind w:left="5849" w:right="1293" w:hanging="5184"/>
      </w:pPr>
      <w:r>
        <w:rPr/>
        <w:t>Glyceryl behenate</w:t>
        <w:tab/>
        <w:t>1.0 – 3.0</w:t>
        <w:tab/>
        <w:t>A</w:t>
      </w:r>
      <w:r>
        <w:rPr>
          <w:spacing w:val="80"/>
        </w:rPr>
        <w:t> </w:t>
      </w:r>
      <w:r>
        <w:rPr/>
        <w:t>mixture</w:t>
      </w:r>
      <w:r>
        <w:rPr>
          <w:spacing w:val="80"/>
        </w:rPr>
        <w:t> </w:t>
      </w:r>
      <w:r>
        <w:rPr/>
        <w:t>of</w:t>
      </w:r>
      <w:r>
        <w:rPr>
          <w:spacing w:val="80"/>
        </w:rPr>
        <w:t> </w:t>
      </w:r>
      <w:r>
        <w:rPr/>
        <w:t>glyceryl</w:t>
      </w:r>
      <w:r>
        <w:rPr>
          <w:spacing w:val="80"/>
        </w:rPr>
        <w:t> </w:t>
      </w:r>
      <w:r>
        <w:rPr/>
        <w:t>fatty</w:t>
      </w:r>
      <w:r>
        <w:rPr>
          <w:spacing w:val="80"/>
        </w:rPr>
        <w:t> </w:t>
      </w:r>
      <w:r>
        <w:rPr/>
        <w:t>acid </w:t>
      </w:r>
      <w:r>
        <w:rPr>
          <w:spacing w:val="-2"/>
        </w:rPr>
        <w:t>esters</w:t>
      </w:r>
    </w:p>
    <w:p>
      <w:pPr>
        <w:pStyle w:val="BodyText"/>
        <w:tabs>
          <w:tab w:pos="4025" w:val="left" w:leader="none"/>
          <w:tab w:pos="5849" w:val="left" w:leader="none"/>
        </w:tabs>
        <w:spacing w:before="2"/>
        <w:ind w:left="665"/>
      </w:pPr>
      <w:r>
        <w:rPr/>
        <w:t>Glyceryl</w:t>
      </w:r>
      <w:r>
        <w:rPr>
          <w:spacing w:val="9"/>
        </w:rPr>
        <w:t> </w:t>
      </w:r>
      <w:r>
        <w:rPr>
          <w:spacing w:val="-2"/>
        </w:rPr>
        <w:t>palmitostearate</w:t>
      </w:r>
      <w:r>
        <w:rPr/>
        <w:tab/>
        <w:t>1.0</w:t>
      </w:r>
      <w:r>
        <w:rPr>
          <w:spacing w:val="7"/>
        </w:rPr>
        <w:t> </w:t>
      </w:r>
      <w:r>
        <w:rPr/>
        <w:t>–</w:t>
      </w:r>
      <w:r>
        <w:rPr>
          <w:spacing w:val="3"/>
        </w:rPr>
        <w:t> </w:t>
      </w:r>
      <w:r>
        <w:rPr>
          <w:spacing w:val="-5"/>
        </w:rPr>
        <w:t>3.0</w:t>
      </w:r>
      <w:r>
        <w:rPr/>
        <w:tab/>
        <w:t>A</w:t>
      </w:r>
      <w:r>
        <w:rPr>
          <w:spacing w:val="39"/>
        </w:rPr>
        <w:t>  </w:t>
      </w:r>
      <w:r>
        <w:rPr/>
        <w:t>mixture</w:t>
      </w:r>
      <w:r>
        <w:rPr>
          <w:spacing w:val="37"/>
        </w:rPr>
        <w:t>  </w:t>
      </w:r>
      <w:r>
        <w:rPr/>
        <w:t>of</w:t>
      </w:r>
      <w:r>
        <w:rPr>
          <w:spacing w:val="38"/>
        </w:rPr>
        <w:t>  </w:t>
      </w:r>
      <w:r>
        <w:rPr/>
        <w:t>mono-,</w:t>
      </w:r>
      <w:r>
        <w:rPr>
          <w:spacing w:val="35"/>
        </w:rPr>
        <w:t>  </w:t>
      </w:r>
      <w:r>
        <w:rPr/>
        <w:t>di</w:t>
      </w:r>
      <w:r>
        <w:rPr>
          <w:spacing w:val="34"/>
        </w:rPr>
        <w:t>  </w:t>
      </w:r>
      <w:r>
        <w:rPr/>
        <w:t>–</w:t>
      </w:r>
      <w:r>
        <w:rPr>
          <w:spacing w:val="41"/>
        </w:rPr>
        <w:t>  </w:t>
      </w:r>
      <w:r>
        <w:rPr>
          <w:spacing w:val="-5"/>
        </w:rPr>
        <w:t>and</w:t>
      </w:r>
    </w:p>
    <w:p>
      <w:pPr>
        <w:pStyle w:val="BodyText"/>
        <w:spacing w:line="369" w:lineRule="auto" w:before="131"/>
        <w:ind w:left="5849" w:right="1290"/>
      </w:pPr>
      <w:r>
        <w:rPr/>
        <w:t>triglycerides of fatty acids containing between 16 and 18 carbon atom</w:t>
      </w:r>
    </w:p>
    <w:p>
      <w:pPr>
        <w:pStyle w:val="BodyText"/>
        <w:spacing w:line="20" w:lineRule="exact"/>
        <w:ind w:left="550"/>
        <w:rPr>
          <w:sz w:val="2"/>
        </w:rPr>
      </w:pPr>
      <w:r>
        <w:rPr>
          <w:sz w:val="2"/>
        </w:rPr>
        <mc:AlternateContent>
          <mc:Choice Requires="wps">
            <w:drawing>
              <wp:inline distT="0" distB="0" distL="0" distR="0">
                <wp:extent cx="5581015" cy="6350"/>
                <wp:effectExtent l="0" t="0" r="0" b="0"/>
                <wp:docPr id="29" name="Group 29"/>
                <wp:cNvGraphicFramePr>
                  <a:graphicFrameLocks/>
                </wp:cNvGraphicFramePr>
                <a:graphic>
                  <a:graphicData uri="http://schemas.microsoft.com/office/word/2010/wordprocessingGroup">
                    <wpg:wgp>
                      <wpg:cNvPr id="29" name="Group 29"/>
                      <wpg:cNvGrpSpPr/>
                      <wpg:grpSpPr>
                        <a:xfrm>
                          <a:off x="0" y="0"/>
                          <a:ext cx="5581015" cy="6350"/>
                          <a:chExt cx="5581015" cy="6350"/>
                        </a:xfrm>
                      </wpg:grpSpPr>
                      <wps:wsp>
                        <wps:cNvPr id="30" name="Graphic 30"/>
                        <wps:cNvSpPr/>
                        <wps:spPr>
                          <a:xfrm>
                            <a:off x="0" y="12"/>
                            <a:ext cx="5581015" cy="6350"/>
                          </a:xfrm>
                          <a:custGeom>
                            <a:avLst/>
                            <a:gdLst/>
                            <a:ahLst/>
                            <a:cxnLst/>
                            <a:rect l="l" t="t" r="r" b="b"/>
                            <a:pathLst>
                              <a:path w="5581015" h="6350">
                                <a:moveTo>
                                  <a:pt x="5580888" y="0"/>
                                </a:moveTo>
                                <a:lnTo>
                                  <a:pt x="5580888" y="0"/>
                                </a:lnTo>
                                <a:lnTo>
                                  <a:pt x="0" y="0"/>
                                </a:lnTo>
                                <a:lnTo>
                                  <a:pt x="0" y="6083"/>
                                </a:lnTo>
                                <a:lnTo>
                                  <a:pt x="5580888" y="6083"/>
                                </a:lnTo>
                                <a:lnTo>
                                  <a:pt x="55808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9.45pt;height:.5pt;mso-position-horizontal-relative:char;mso-position-vertical-relative:line" id="docshapegroup27" coordorigin="0,0" coordsize="8789,10">
                <v:rect style="position:absolute;left:0;top:0;width:8789;height:10" id="docshape28"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999" w:top="1780" w:bottom="1180" w:left="1720" w:right="0"/>
        </w:sectPr>
      </w:pPr>
    </w:p>
    <w:p>
      <w:pPr>
        <w:pStyle w:val="ListParagraph"/>
        <w:numPr>
          <w:ilvl w:val="0"/>
          <w:numId w:val="22"/>
        </w:numPr>
        <w:tabs>
          <w:tab w:pos="994" w:val="left" w:leader="none"/>
        </w:tabs>
        <w:spacing w:line="491" w:lineRule="auto" w:before="75" w:after="0"/>
        <w:ind w:left="665" w:right="1862" w:firstLine="0"/>
        <w:jc w:val="both"/>
        <w:rPr>
          <w:sz w:val="22"/>
        </w:rPr>
      </w:pPr>
      <w:r>
        <w:rPr>
          <w:sz w:val="22"/>
        </w:rPr>
        <w:t>Soluble</w:t>
      </w:r>
      <w:r>
        <w:rPr>
          <w:spacing w:val="27"/>
          <w:sz w:val="22"/>
        </w:rPr>
        <w:t> </w:t>
      </w:r>
      <w:r>
        <w:rPr>
          <w:sz w:val="22"/>
        </w:rPr>
        <w:t>lubricants: These are</w:t>
      </w:r>
      <w:r>
        <w:rPr>
          <w:spacing w:val="27"/>
          <w:sz w:val="22"/>
        </w:rPr>
        <w:t> </w:t>
      </w:r>
      <w:r>
        <w:rPr>
          <w:sz w:val="22"/>
        </w:rPr>
        <w:t>employed</w:t>
      </w:r>
      <w:r>
        <w:rPr>
          <w:spacing w:val="29"/>
          <w:sz w:val="22"/>
        </w:rPr>
        <w:t> </w:t>
      </w:r>
      <w:r>
        <w:rPr>
          <w:sz w:val="22"/>
        </w:rPr>
        <w:t>to overcome the possible deleterious effects of their insoluble counterparts on the time required for tablet disintegration and hence</w:t>
      </w:r>
      <w:r>
        <w:rPr>
          <w:spacing w:val="40"/>
          <w:sz w:val="22"/>
        </w:rPr>
        <w:t> </w:t>
      </w:r>
      <w:r>
        <w:rPr>
          <w:sz w:val="22"/>
        </w:rPr>
        <w:t>drug dissolution. Example of soluble lubricants includes:</w:t>
      </w:r>
    </w:p>
    <w:p>
      <w:pPr>
        <w:pStyle w:val="ListParagraph"/>
        <w:numPr>
          <w:ilvl w:val="1"/>
          <w:numId w:val="22"/>
        </w:numPr>
        <w:tabs>
          <w:tab w:pos="1004" w:val="left" w:leader="none"/>
          <w:tab w:pos="1006" w:val="left" w:leader="none"/>
        </w:tabs>
        <w:spacing w:line="491" w:lineRule="auto" w:before="0" w:after="0"/>
        <w:ind w:left="1006" w:right="1856" w:hanging="341"/>
        <w:jc w:val="both"/>
        <w:rPr>
          <w:sz w:val="22"/>
        </w:rPr>
      </w:pPr>
      <w:r>
        <w:rPr>
          <w:sz w:val="22"/>
        </w:rPr>
        <w:t>Polyethylene glycol (PEG). PEGs, e.g. PEG 4000, 6000, and 8000 are commonly</w:t>
      </w:r>
      <w:r>
        <w:rPr>
          <w:spacing w:val="40"/>
          <w:sz w:val="22"/>
        </w:rPr>
        <w:t> </w:t>
      </w:r>
      <w:r>
        <w:rPr>
          <w:sz w:val="22"/>
        </w:rPr>
        <w:t>used. The efficacy as a lubricant is less than that of magnesium stearate.</w:t>
      </w:r>
    </w:p>
    <w:p>
      <w:pPr>
        <w:pStyle w:val="ListParagraph"/>
        <w:numPr>
          <w:ilvl w:val="1"/>
          <w:numId w:val="22"/>
        </w:numPr>
        <w:tabs>
          <w:tab w:pos="1004" w:val="left" w:leader="none"/>
          <w:tab w:pos="1006" w:val="left" w:leader="none"/>
        </w:tabs>
        <w:spacing w:line="491" w:lineRule="auto" w:before="0" w:after="0"/>
        <w:ind w:left="1006" w:right="1855" w:hanging="341"/>
        <w:jc w:val="both"/>
        <w:rPr>
          <w:sz w:val="22"/>
        </w:rPr>
      </w:pPr>
      <w:r>
        <w:rPr>
          <w:sz w:val="22"/>
        </w:rPr>
        <w:t>Polyoxyethylene stearates. All members of this group are non-ionic surfactants that may be employed as tablet lubricants within the concentration range of 1.0 – 2.0 % </w:t>
      </w:r>
      <w:r>
        <w:rPr>
          <w:spacing w:val="-4"/>
          <w:sz w:val="22"/>
        </w:rPr>
        <w:t>w/w.</w:t>
      </w:r>
    </w:p>
    <w:p>
      <w:pPr>
        <w:pStyle w:val="ListParagraph"/>
        <w:numPr>
          <w:ilvl w:val="1"/>
          <w:numId w:val="22"/>
        </w:numPr>
        <w:tabs>
          <w:tab w:pos="1004" w:val="left" w:leader="none"/>
          <w:tab w:pos="1006" w:val="left" w:leader="none"/>
        </w:tabs>
        <w:spacing w:line="494" w:lineRule="auto" w:before="0" w:after="0"/>
        <w:ind w:left="1006" w:right="1861" w:hanging="341"/>
        <w:jc w:val="both"/>
        <w:rPr>
          <w:sz w:val="22"/>
        </w:rPr>
      </w:pPr>
      <w:r>
        <w:rPr>
          <w:sz w:val="22"/>
        </w:rPr>
        <w:t>Lauryl sulphate salts: These salts are anomic surfactants that may be employed as lubricants within the concentration range of 1.0 – 2.0 % w/w. In addition to their</w:t>
      </w:r>
      <w:r>
        <w:rPr>
          <w:spacing w:val="40"/>
          <w:sz w:val="22"/>
        </w:rPr>
        <w:t> </w:t>
      </w:r>
      <w:r>
        <w:rPr>
          <w:sz w:val="22"/>
        </w:rPr>
        <w:t>action as lubricants, the dissolution of poorly soluble drugs from tablets will be enhanced due to the surface activity of these agents.</w:t>
      </w:r>
    </w:p>
    <w:p>
      <w:pPr>
        <w:pStyle w:val="Heading2"/>
        <w:numPr>
          <w:ilvl w:val="2"/>
          <w:numId w:val="25"/>
        </w:numPr>
        <w:tabs>
          <w:tab w:pos="1337" w:val="left" w:leader="none"/>
        </w:tabs>
        <w:spacing w:line="240" w:lineRule="auto" w:before="223" w:after="0"/>
        <w:ind w:left="1337" w:right="0" w:hanging="672"/>
        <w:jc w:val="both"/>
      </w:pPr>
      <w:bookmarkStart w:name="_TOC_250077" w:id="84"/>
      <w:bookmarkEnd w:id="84"/>
      <w:r>
        <w:rPr>
          <w:spacing w:val="-2"/>
        </w:rPr>
        <w:t>Glidants</w:t>
      </w:r>
    </w:p>
    <w:p>
      <w:pPr>
        <w:pStyle w:val="BodyText"/>
        <w:spacing w:line="491" w:lineRule="auto" w:before="246"/>
        <w:ind w:left="665" w:right="1857" w:firstLine="676"/>
        <w:jc w:val="both"/>
      </w:pPr>
      <w:r>
        <w:rPr/>
        <w:t>Enhance the flow properties of the powders by reducing interparticulate friction (Olayemi, 2008). To</w:t>
      </w:r>
      <w:r>
        <w:rPr>
          <w:spacing w:val="40"/>
        </w:rPr>
        <w:t> </w:t>
      </w:r>
      <w:r>
        <w:rPr/>
        <w:t>achieve this effect,</w:t>
      </w:r>
      <w:r>
        <w:rPr>
          <w:spacing w:val="40"/>
        </w:rPr>
        <w:t> </w:t>
      </w:r>
      <w:r>
        <w:rPr/>
        <w:t>it is necessary for the glidant particles to</w:t>
      </w:r>
      <w:r>
        <w:rPr>
          <w:spacing w:val="40"/>
        </w:rPr>
        <w:t> </w:t>
      </w:r>
      <w:r>
        <w:rPr/>
        <w:t>be firstly</w:t>
      </w:r>
      <w:r>
        <w:rPr>
          <w:spacing w:val="40"/>
        </w:rPr>
        <w:t> </w:t>
      </w:r>
      <w:r>
        <w:rPr/>
        <w:t>small</w:t>
      </w:r>
      <w:r>
        <w:rPr>
          <w:spacing w:val="40"/>
        </w:rPr>
        <w:t> </w:t>
      </w:r>
      <w:r>
        <w:rPr/>
        <w:t>and</w:t>
      </w:r>
      <w:r>
        <w:rPr>
          <w:spacing w:val="40"/>
        </w:rPr>
        <w:t> </w:t>
      </w:r>
      <w:r>
        <w:rPr/>
        <w:t>secondly,</w:t>
      </w:r>
      <w:r>
        <w:rPr>
          <w:spacing w:val="40"/>
        </w:rPr>
        <w:t> </w:t>
      </w:r>
      <w:r>
        <w:rPr/>
        <w:t>to</w:t>
      </w:r>
      <w:r>
        <w:rPr>
          <w:spacing w:val="40"/>
        </w:rPr>
        <w:t> </w:t>
      </w:r>
      <w:r>
        <w:rPr/>
        <w:t>be</w:t>
      </w:r>
      <w:r>
        <w:rPr>
          <w:spacing w:val="40"/>
        </w:rPr>
        <w:t> </w:t>
      </w:r>
      <w:r>
        <w:rPr/>
        <w:t>arranged</w:t>
      </w:r>
      <w:r>
        <w:rPr>
          <w:spacing w:val="40"/>
        </w:rPr>
        <w:t> </w:t>
      </w:r>
      <w:r>
        <w:rPr/>
        <w:t>at</w:t>
      </w:r>
      <w:r>
        <w:rPr>
          <w:spacing w:val="40"/>
        </w:rPr>
        <w:t> </w:t>
      </w:r>
      <w:r>
        <w:rPr/>
        <w:t>the</w:t>
      </w:r>
      <w:r>
        <w:rPr>
          <w:spacing w:val="40"/>
        </w:rPr>
        <w:t> </w:t>
      </w:r>
      <w:r>
        <w:rPr/>
        <w:t>surface</w:t>
      </w:r>
      <w:r>
        <w:rPr>
          <w:spacing w:val="40"/>
        </w:rPr>
        <w:t> </w:t>
      </w:r>
      <w:r>
        <w:rPr/>
        <w:t>of</w:t>
      </w:r>
      <w:r>
        <w:rPr>
          <w:spacing w:val="40"/>
        </w:rPr>
        <w:t> </w:t>
      </w:r>
      <w:r>
        <w:rPr/>
        <w:t>the</w:t>
      </w:r>
      <w:r>
        <w:rPr>
          <w:spacing w:val="40"/>
        </w:rPr>
        <w:t> </w:t>
      </w:r>
      <w:r>
        <w:rPr/>
        <w:t>particles/granules. Glidants</w:t>
      </w:r>
      <w:r>
        <w:rPr>
          <w:spacing w:val="38"/>
        </w:rPr>
        <w:t> </w:t>
      </w:r>
      <w:r>
        <w:rPr/>
        <w:t>are</w:t>
      </w:r>
      <w:r>
        <w:rPr>
          <w:spacing w:val="34"/>
        </w:rPr>
        <w:t> </w:t>
      </w:r>
      <w:r>
        <w:rPr/>
        <w:t>hydrophobic</w:t>
      </w:r>
      <w:r>
        <w:rPr>
          <w:spacing w:val="28"/>
        </w:rPr>
        <w:t> </w:t>
      </w:r>
      <w:r>
        <w:rPr/>
        <w:t>substances</w:t>
      </w:r>
      <w:r>
        <w:rPr>
          <w:spacing w:val="32"/>
        </w:rPr>
        <w:t> </w:t>
      </w:r>
      <w:r>
        <w:rPr/>
        <w:t>and</w:t>
      </w:r>
      <w:r>
        <w:rPr>
          <w:spacing w:val="40"/>
        </w:rPr>
        <w:t> </w:t>
      </w:r>
      <w:r>
        <w:rPr/>
        <w:t>therefore</w:t>
      </w:r>
      <w:r>
        <w:rPr>
          <w:spacing w:val="34"/>
        </w:rPr>
        <w:t> </w:t>
      </w:r>
      <w:r>
        <w:rPr/>
        <w:t>care</w:t>
      </w:r>
      <w:r>
        <w:rPr>
          <w:spacing w:val="34"/>
        </w:rPr>
        <w:t> </w:t>
      </w:r>
      <w:r>
        <w:rPr/>
        <w:t>should</w:t>
      </w:r>
      <w:r>
        <w:rPr>
          <w:spacing w:val="31"/>
        </w:rPr>
        <w:t> </w:t>
      </w:r>
      <w:r>
        <w:rPr/>
        <w:t>be</w:t>
      </w:r>
      <w:r>
        <w:rPr>
          <w:spacing w:val="34"/>
        </w:rPr>
        <w:t> </w:t>
      </w:r>
      <w:r>
        <w:rPr/>
        <w:t>taken</w:t>
      </w:r>
      <w:r>
        <w:rPr>
          <w:spacing w:val="31"/>
        </w:rPr>
        <w:t> </w:t>
      </w:r>
      <w:r>
        <w:rPr/>
        <w:t>to</w:t>
      </w:r>
      <w:r>
        <w:rPr>
          <w:spacing w:val="36"/>
        </w:rPr>
        <w:t> </w:t>
      </w:r>
      <w:r>
        <w:rPr/>
        <w:t>ensure</w:t>
      </w:r>
      <w:r>
        <w:rPr>
          <w:spacing w:val="28"/>
        </w:rPr>
        <w:t> </w:t>
      </w:r>
      <w:r>
        <w:rPr/>
        <w:t>that the concentration of glidants used in the formulation does not adversely affect tablet disintegration and drug dissolution. Examples of glidants used in tablet manufacture include: (1) talc; and (2) colloidal-silicon dioxide.</w:t>
      </w:r>
    </w:p>
    <w:p>
      <w:pPr>
        <w:pStyle w:val="Heading2"/>
        <w:numPr>
          <w:ilvl w:val="2"/>
          <w:numId w:val="25"/>
        </w:numPr>
        <w:tabs>
          <w:tab w:pos="1337" w:val="left" w:leader="none"/>
        </w:tabs>
        <w:spacing w:line="240" w:lineRule="auto" w:before="229" w:after="0"/>
        <w:ind w:left="1337" w:right="0" w:hanging="672"/>
        <w:jc w:val="both"/>
      </w:pPr>
      <w:bookmarkStart w:name="_TOC_250076" w:id="85"/>
      <w:r>
        <w:rPr/>
        <w:t>Other</w:t>
      </w:r>
      <w:r>
        <w:rPr>
          <w:spacing w:val="13"/>
        </w:rPr>
        <w:t> </w:t>
      </w:r>
      <w:r>
        <w:rPr/>
        <w:t>excipients</w:t>
      </w:r>
      <w:r>
        <w:rPr>
          <w:spacing w:val="10"/>
        </w:rPr>
        <w:t> </w:t>
      </w:r>
      <w:r>
        <w:rPr/>
        <w:t>used</w:t>
      </w:r>
      <w:r>
        <w:rPr>
          <w:spacing w:val="12"/>
        </w:rPr>
        <w:t> </w:t>
      </w:r>
      <w:r>
        <w:rPr/>
        <w:t>in</w:t>
      </w:r>
      <w:r>
        <w:rPr>
          <w:spacing w:val="6"/>
        </w:rPr>
        <w:t> </w:t>
      </w:r>
      <w:r>
        <w:rPr/>
        <w:t>the</w:t>
      </w:r>
      <w:r>
        <w:rPr>
          <w:spacing w:val="7"/>
        </w:rPr>
        <w:t> </w:t>
      </w:r>
      <w:r>
        <w:rPr/>
        <w:t>formulation</w:t>
      </w:r>
      <w:r>
        <w:rPr>
          <w:spacing w:val="12"/>
        </w:rPr>
        <w:t> </w:t>
      </w:r>
      <w:r>
        <w:rPr/>
        <w:t>of</w:t>
      </w:r>
      <w:r>
        <w:rPr>
          <w:spacing w:val="15"/>
        </w:rPr>
        <w:t> </w:t>
      </w:r>
      <w:bookmarkEnd w:id="85"/>
      <w:r>
        <w:rPr>
          <w:spacing w:val="-2"/>
        </w:rPr>
        <w:t>tablets</w:t>
      </w:r>
    </w:p>
    <w:p>
      <w:pPr>
        <w:pStyle w:val="BodyText"/>
        <w:spacing w:line="491" w:lineRule="auto" w:before="246"/>
        <w:ind w:left="665" w:right="1858" w:firstLine="676"/>
        <w:jc w:val="both"/>
      </w:pPr>
      <w:r>
        <w:rPr/>
        <w:t>The successful formulation of tablets may require the incorporation of other</w:t>
      </w:r>
      <w:r>
        <w:rPr>
          <w:spacing w:val="40"/>
        </w:rPr>
        <w:t> </w:t>
      </w:r>
      <w:r>
        <w:rPr/>
        <w:t>classes</w:t>
      </w:r>
      <w:r>
        <w:rPr>
          <w:spacing w:val="40"/>
        </w:rPr>
        <w:t> </w:t>
      </w:r>
      <w:r>
        <w:rPr/>
        <w:t>of</w:t>
      </w:r>
      <w:r>
        <w:rPr>
          <w:spacing w:val="40"/>
        </w:rPr>
        <w:t> </w:t>
      </w:r>
      <w:r>
        <w:rPr/>
        <w:t>excipients,</w:t>
      </w:r>
      <w:r>
        <w:rPr>
          <w:spacing w:val="40"/>
        </w:rPr>
        <w:t> </w:t>
      </w:r>
      <w:r>
        <w:rPr/>
        <w:t>in</w:t>
      </w:r>
      <w:r>
        <w:rPr>
          <w:spacing w:val="40"/>
        </w:rPr>
        <w:t> </w:t>
      </w:r>
      <w:r>
        <w:rPr/>
        <w:t>addition</w:t>
      </w:r>
      <w:r>
        <w:rPr>
          <w:spacing w:val="40"/>
        </w:rPr>
        <w:t> </w:t>
      </w:r>
      <w:r>
        <w:rPr/>
        <w:t>to</w:t>
      </w:r>
      <w:r>
        <w:rPr>
          <w:spacing w:val="40"/>
        </w:rPr>
        <w:t> </w:t>
      </w:r>
      <w:r>
        <w:rPr/>
        <w:t>the</w:t>
      </w:r>
      <w:r>
        <w:rPr>
          <w:spacing w:val="40"/>
        </w:rPr>
        <w:t> </w:t>
      </w:r>
      <w:r>
        <w:rPr/>
        <w:t>principal</w:t>
      </w:r>
      <w:r>
        <w:rPr>
          <w:spacing w:val="40"/>
        </w:rPr>
        <w:t> </w:t>
      </w:r>
      <w:r>
        <w:rPr/>
        <w:t>tableting</w:t>
      </w:r>
      <w:r>
        <w:rPr>
          <w:spacing w:val="40"/>
        </w:rPr>
        <w:t> </w:t>
      </w:r>
      <w:r>
        <w:rPr/>
        <w:t>excipient</w:t>
      </w:r>
      <w:r>
        <w:rPr>
          <w:spacing w:val="40"/>
        </w:rPr>
        <w:t> </w:t>
      </w:r>
      <w:r>
        <w:rPr/>
        <w:t>described </w:t>
      </w:r>
      <w:r>
        <w:rPr>
          <w:spacing w:val="-2"/>
        </w:rPr>
        <w:t>previously.</w:t>
      </w:r>
    </w:p>
    <w:p>
      <w:pPr>
        <w:spacing w:after="0" w:line="491" w:lineRule="auto"/>
        <w:jc w:val="both"/>
        <w:sectPr>
          <w:pgSz w:w="12240" w:h="15840"/>
          <w:pgMar w:header="0" w:footer="999" w:top="1260" w:bottom="1180" w:left="1720" w:right="0"/>
        </w:sectPr>
      </w:pPr>
    </w:p>
    <w:p>
      <w:pPr>
        <w:pStyle w:val="BodyText"/>
        <w:spacing w:line="491" w:lineRule="auto" w:before="75"/>
        <w:ind w:left="665" w:right="1858"/>
        <w:jc w:val="both"/>
      </w:pPr>
      <w:r>
        <w:rPr/>
        <w:t>These</w:t>
      </w:r>
      <w:r>
        <w:rPr>
          <w:spacing w:val="40"/>
        </w:rPr>
        <w:t> </w:t>
      </w:r>
      <w:r>
        <w:rPr/>
        <w:t>include: (1) adsorbents; (2) sweetening agents/flavours; (3) colours; and (4)</w:t>
      </w:r>
      <w:r>
        <w:rPr>
          <w:spacing w:val="40"/>
        </w:rPr>
        <w:t> </w:t>
      </w:r>
      <w:r>
        <w:rPr/>
        <w:t>surface-active agents.</w:t>
      </w:r>
    </w:p>
    <w:p>
      <w:pPr>
        <w:pStyle w:val="BodyText"/>
        <w:spacing w:line="491" w:lineRule="auto"/>
        <w:ind w:left="665" w:right="1863" w:firstLine="676"/>
        <w:jc w:val="both"/>
      </w:pPr>
      <w:r>
        <w:rPr/>
        <w:t>Adsorbents are substances that are included in the formulation to prevent the adsorbing</w:t>
      </w:r>
      <w:r>
        <w:rPr>
          <w:spacing w:val="40"/>
        </w:rPr>
        <w:t> </w:t>
      </w:r>
      <w:r>
        <w:rPr/>
        <w:t>of</w:t>
      </w:r>
      <w:r>
        <w:rPr>
          <w:spacing w:val="40"/>
        </w:rPr>
        <w:t> </w:t>
      </w:r>
      <w:r>
        <w:rPr/>
        <w:t>liquid/semisolid</w:t>
      </w:r>
      <w:r>
        <w:rPr>
          <w:spacing w:val="40"/>
        </w:rPr>
        <w:t> </w:t>
      </w:r>
      <w:r>
        <w:rPr/>
        <w:t>constituent</w:t>
      </w:r>
      <w:r>
        <w:rPr>
          <w:spacing w:val="40"/>
        </w:rPr>
        <w:t> </w:t>
      </w:r>
      <w:r>
        <w:rPr/>
        <w:t>in solid</w:t>
      </w:r>
      <w:r>
        <w:rPr>
          <w:spacing w:val="40"/>
        </w:rPr>
        <w:t> </w:t>
      </w:r>
      <w:r>
        <w:rPr/>
        <w:t>components.</w:t>
      </w:r>
      <w:r>
        <w:rPr>
          <w:spacing w:val="40"/>
        </w:rPr>
        <w:t> </w:t>
      </w:r>
      <w:r>
        <w:rPr/>
        <w:t>Examples</w:t>
      </w:r>
      <w:r>
        <w:rPr>
          <w:spacing w:val="40"/>
        </w:rPr>
        <w:t> </w:t>
      </w:r>
      <w:r>
        <w:rPr/>
        <w:t>of</w:t>
      </w:r>
      <w:r>
        <w:rPr>
          <w:spacing w:val="40"/>
        </w:rPr>
        <w:t> </w:t>
      </w:r>
      <w:r>
        <w:rPr/>
        <w:t>these include: (1) magnesium oxide/carbonate; and (2) kaolin/bentonite.</w:t>
      </w:r>
    </w:p>
    <w:p>
      <w:pPr>
        <w:pStyle w:val="BodyText"/>
        <w:spacing w:line="491" w:lineRule="auto"/>
        <w:ind w:left="665" w:right="1855" w:firstLine="676"/>
        <w:jc w:val="both"/>
      </w:pPr>
      <w:r>
        <w:rPr/>
        <w:t>Sweetening agents/flavours (in accordance</w:t>
      </w:r>
      <w:r>
        <w:rPr>
          <w:spacing w:val="40"/>
        </w:rPr>
        <w:t> </w:t>
      </w:r>
      <w:r>
        <w:rPr/>
        <w:t>with other</w:t>
      </w:r>
      <w:r>
        <w:rPr>
          <w:spacing w:val="40"/>
        </w:rPr>
        <w:t> </w:t>
      </w:r>
      <w:r>
        <w:rPr/>
        <w:t>dosage</w:t>
      </w:r>
      <w:r>
        <w:rPr>
          <w:spacing w:val="40"/>
        </w:rPr>
        <w:t> </w:t>
      </w:r>
      <w:r>
        <w:rPr/>
        <w:t>forms)</w:t>
      </w:r>
      <w:r>
        <w:rPr>
          <w:spacing w:val="40"/>
        </w:rPr>
        <w:t> </w:t>
      </w:r>
      <w:r>
        <w:rPr/>
        <w:t>are employed</w:t>
      </w:r>
      <w:r>
        <w:rPr>
          <w:spacing w:val="23"/>
        </w:rPr>
        <w:t> </w:t>
      </w:r>
      <w:r>
        <w:rPr/>
        <w:t>to control the taste and hence the</w:t>
      </w:r>
      <w:r>
        <w:rPr>
          <w:spacing w:val="21"/>
        </w:rPr>
        <w:t> </w:t>
      </w:r>
      <w:r>
        <w:rPr/>
        <w:t>acceptability of tablets. Sweeteners are used</w:t>
      </w:r>
      <w:r>
        <w:rPr>
          <w:spacing w:val="40"/>
        </w:rPr>
        <w:t> </w:t>
      </w:r>
      <w:r>
        <w:rPr/>
        <w:t>to impart a pleasant taste to a pharmaceutical formulation. Examples include: artificial sweeteners</w:t>
      </w:r>
      <w:r>
        <w:rPr>
          <w:spacing w:val="40"/>
        </w:rPr>
        <w:t> </w:t>
      </w:r>
      <w:r>
        <w:rPr/>
        <w:t>such</w:t>
      </w:r>
      <w:r>
        <w:rPr>
          <w:spacing w:val="40"/>
        </w:rPr>
        <w:t> </w:t>
      </w:r>
      <w:r>
        <w:rPr/>
        <w:t>as</w:t>
      </w:r>
      <w:r>
        <w:rPr>
          <w:spacing w:val="40"/>
        </w:rPr>
        <w:t> </w:t>
      </w:r>
      <w:r>
        <w:rPr/>
        <w:t>aspartame</w:t>
      </w:r>
      <w:r>
        <w:rPr>
          <w:spacing w:val="40"/>
        </w:rPr>
        <w:t> </w:t>
      </w:r>
      <w:r>
        <w:rPr/>
        <w:t>and</w:t>
      </w:r>
      <w:r>
        <w:rPr>
          <w:spacing w:val="40"/>
        </w:rPr>
        <w:t> </w:t>
      </w:r>
      <w:r>
        <w:rPr/>
        <w:t>saccharin,</w:t>
      </w:r>
      <w:r>
        <w:rPr>
          <w:spacing w:val="40"/>
        </w:rPr>
        <w:t> </w:t>
      </w:r>
      <w:r>
        <w:rPr/>
        <w:t>cyclamates</w:t>
      </w:r>
      <w:r>
        <w:rPr>
          <w:spacing w:val="40"/>
        </w:rPr>
        <w:t> </w:t>
      </w:r>
      <w:r>
        <w:rPr/>
        <w:t>including</w:t>
      </w:r>
      <w:r>
        <w:rPr>
          <w:spacing w:val="40"/>
        </w:rPr>
        <w:t> </w:t>
      </w:r>
      <w:r>
        <w:rPr/>
        <w:t>mixtures</w:t>
      </w:r>
      <w:r>
        <w:rPr>
          <w:spacing w:val="40"/>
        </w:rPr>
        <w:t> </w:t>
      </w:r>
      <w:r>
        <w:rPr/>
        <w:t>of aspartame and saccharin. The natural sweeteners include sucrose, fructose, glucose, sodium glycolate and other mono-and disaccharides.</w:t>
      </w:r>
    </w:p>
    <w:p>
      <w:pPr>
        <w:pStyle w:val="BodyText"/>
        <w:spacing w:line="491" w:lineRule="auto" w:before="3"/>
        <w:ind w:left="665" w:right="1861" w:firstLine="840"/>
        <w:jc w:val="both"/>
      </w:pPr>
      <w:r>
        <w:rPr/>
        <w:t>Flavourants</w:t>
      </w:r>
      <w:r>
        <w:rPr>
          <w:spacing w:val="40"/>
        </w:rPr>
        <w:t> </w:t>
      </w:r>
      <w:r>
        <w:rPr/>
        <w:t>are</w:t>
      </w:r>
      <w:r>
        <w:rPr>
          <w:spacing w:val="40"/>
        </w:rPr>
        <w:t> </w:t>
      </w:r>
      <w:r>
        <w:rPr/>
        <w:t>agents</w:t>
      </w:r>
      <w:r>
        <w:rPr>
          <w:spacing w:val="40"/>
        </w:rPr>
        <w:t> </w:t>
      </w:r>
      <w:r>
        <w:rPr/>
        <w:t>incorporated</w:t>
      </w:r>
      <w:r>
        <w:rPr>
          <w:spacing w:val="40"/>
        </w:rPr>
        <w:t> </w:t>
      </w:r>
      <w:r>
        <w:rPr/>
        <w:t>into</w:t>
      </w:r>
      <w:r>
        <w:rPr>
          <w:spacing w:val="40"/>
        </w:rPr>
        <w:t> </w:t>
      </w:r>
      <w:r>
        <w:rPr/>
        <w:t>a</w:t>
      </w:r>
      <w:r>
        <w:rPr>
          <w:spacing w:val="40"/>
        </w:rPr>
        <w:t> </w:t>
      </w:r>
      <w:r>
        <w:rPr/>
        <w:t>formulation</w:t>
      </w:r>
      <w:r>
        <w:rPr>
          <w:spacing w:val="40"/>
        </w:rPr>
        <w:t> </w:t>
      </w:r>
      <w:r>
        <w:rPr/>
        <w:t>to</w:t>
      </w:r>
      <w:r>
        <w:rPr>
          <w:spacing w:val="40"/>
        </w:rPr>
        <w:t> </w:t>
      </w:r>
      <w:r>
        <w:rPr/>
        <w:t>give</w:t>
      </w:r>
      <w:r>
        <w:rPr>
          <w:spacing w:val="40"/>
        </w:rPr>
        <w:t> </w:t>
      </w:r>
      <w:r>
        <w:rPr/>
        <w:t>the</w:t>
      </w:r>
      <w:r>
        <w:rPr>
          <w:spacing w:val="40"/>
        </w:rPr>
        <w:t> </w:t>
      </w:r>
      <w:r>
        <w:rPr/>
        <w:t>tablet</w:t>
      </w:r>
      <w:r>
        <w:rPr>
          <w:spacing w:val="40"/>
        </w:rPr>
        <w:t> </w:t>
      </w:r>
      <w:r>
        <w:rPr/>
        <w:t>a more</w:t>
      </w:r>
      <w:r>
        <w:rPr>
          <w:spacing w:val="40"/>
        </w:rPr>
        <w:t> </w:t>
      </w:r>
      <w:r>
        <w:rPr/>
        <w:t>pleasant</w:t>
      </w:r>
      <w:r>
        <w:rPr>
          <w:spacing w:val="40"/>
        </w:rPr>
        <w:t> </w:t>
      </w:r>
      <w:r>
        <w:rPr/>
        <w:t>taste</w:t>
      </w:r>
      <w:r>
        <w:rPr>
          <w:spacing w:val="40"/>
        </w:rPr>
        <w:t> </w:t>
      </w:r>
      <w:r>
        <w:rPr/>
        <w:t>or</w:t>
      </w:r>
      <w:r>
        <w:rPr>
          <w:spacing w:val="40"/>
        </w:rPr>
        <w:t> </w:t>
      </w:r>
      <w:r>
        <w:rPr/>
        <w:t>to</w:t>
      </w:r>
      <w:r>
        <w:rPr>
          <w:spacing w:val="40"/>
        </w:rPr>
        <w:t> </w:t>
      </w:r>
      <w:r>
        <w:rPr/>
        <w:t>mask</w:t>
      </w:r>
      <w:r>
        <w:rPr>
          <w:spacing w:val="40"/>
        </w:rPr>
        <w:t> </w:t>
      </w:r>
      <w:r>
        <w:rPr/>
        <w:t>an</w:t>
      </w:r>
      <w:r>
        <w:rPr>
          <w:spacing w:val="40"/>
        </w:rPr>
        <w:t> </w:t>
      </w:r>
      <w:r>
        <w:rPr/>
        <w:t>unpleasant</w:t>
      </w:r>
      <w:r>
        <w:rPr>
          <w:spacing w:val="40"/>
        </w:rPr>
        <w:t> </w:t>
      </w:r>
      <w:r>
        <w:rPr/>
        <w:t>one,</w:t>
      </w:r>
      <w:r>
        <w:rPr>
          <w:spacing w:val="40"/>
        </w:rPr>
        <w:t> </w:t>
      </w:r>
      <w:r>
        <w:rPr/>
        <w:t>some</w:t>
      </w:r>
      <w:r>
        <w:rPr>
          <w:spacing w:val="40"/>
        </w:rPr>
        <w:t> </w:t>
      </w:r>
      <w:r>
        <w:rPr/>
        <w:t>examples</w:t>
      </w:r>
      <w:r>
        <w:rPr>
          <w:spacing w:val="40"/>
        </w:rPr>
        <w:t> </w:t>
      </w:r>
      <w:r>
        <w:rPr/>
        <w:t>of</w:t>
      </w:r>
      <w:r>
        <w:rPr>
          <w:spacing w:val="40"/>
        </w:rPr>
        <w:t> </w:t>
      </w:r>
      <w:r>
        <w:rPr/>
        <w:t>common flavourants include: cherry, strawberry, grape, cream, vanilla, chocolate, spearmint, and cola, (Amidon </w:t>
      </w:r>
      <w:r>
        <w:rPr>
          <w:i/>
        </w:rPr>
        <w:t>et al., </w:t>
      </w:r>
      <w:r>
        <w:rPr/>
        <w:t>2007).</w:t>
      </w:r>
    </w:p>
    <w:p>
      <w:pPr>
        <w:pStyle w:val="BodyText"/>
        <w:spacing w:line="491" w:lineRule="auto"/>
        <w:ind w:left="665" w:right="1848" w:firstLine="676"/>
        <w:jc w:val="both"/>
      </w:pPr>
      <w:r>
        <w:rPr/>
        <w:t>Colourants are added to tablets to aid identification and patient compliance. In some formulation the drug is coloured and, when manufactured, may result in the tablet exhibiting a speckled, and hence, inelegant appearance. To obviate this problem, an appropriate colourant is included in the tablet formulation. In order to ensure that a colourant is evenly distributed in the formulation, a water-soluble colour is added to the granulation liquid</w:t>
      </w:r>
      <w:r>
        <w:rPr>
          <w:spacing w:val="40"/>
        </w:rPr>
        <w:t> </w:t>
      </w:r>
      <w:r>
        <w:rPr/>
        <w:t>in</w:t>
      </w:r>
      <w:r>
        <w:rPr>
          <w:spacing w:val="40"/>
        </w:rPr>
        <w:t> </w:t>
      </w:r>
      <w:r>
        <w:rPr/>
        <w:t>the</w:t>
      </w:r>
      <w:r>
        <w:rPr>
          <w:spacing w:val="40"/>
        </w:rPr>
        <w:t> </w:t>
      </w:r>
      <w:r>
        <w:rPr/>
        <w:t>wet</w:t>
      </w:r>
      <w:r>
        <w:rPr>
          <w:spacing w:val="40"/>
        </w:rPr>
        <w:t> </w:t>
      </w:r>
      <w:r>
        <w:rPr/>
        <w:t>granulation</w:t>
      </w:r>
      <w:r>
        <w:rPr>
          <w:spacing w:val="40"/>
        </w:rPr>
        <w:t> </w:t>
      </w:r>
      <w:r>
        <w:rPr/>
        <w:t>method</w:t>
      </w:r>
      <w:r>
        <w:rPr>
          <w:spacing w:val="40"/>
        </w:rPr>
        <w:t> </w:t>
      </w:r>
      <w:r>
        <w:rPr/>
        <w:t>of</w:t>
      </w:r>
      <w:r>
        <w:rPr>
          <w:spacing w:val="40"/>
        </w:rPr>
        <w:t> </w:t>
      </w:r>
      <w:r>
        <w:rPr/>
        <w:t>manufacturing tablet.</w:t>
      </w:r>
      <w:r>
        <w:rPr>
          <w:spacing w:val="40"/>
        </w:rPr>
        <w:t> </w:t>
      </w:r>
      <w:r>
        <w:rPr/>
        <w:t>Commonly used colourants include; titanium dioxide, ferric oxide (Amidon </w:t>
      </w:r>
      <w:r>
        <w:rPr>
          <w:i/>
        </w:rPr>
        <w:t>et al., </w:t>
      </w:r>
      <w:r>
        <w:rPr/>
        <w:t>2007).</w:t>
      </w:r>
    </w:p>
    <w:p>
      <w:pPr>
        <w:pStyle w:val="BodyText"/>
        <w:spacing w:line="491" w:lineRule="auto" w:before="2"/>
        <w:ind w:left="665" w:right="1858" w:firstLine="676"/>
        <w:jc w:val="both"/>
      </w:pPr>
      <w:r>
        <w:rPr/>
        <w:t>Surface active agents may be incorporated into tablets to improve the wetting proprieties of hydrophobic tablets and hence increase the rate of tablet disintegration. In addition,</w:t>
      </w:r>
      <w:r>
        <w:rPr>
          <w:spacing w:val="51"/>
        </w:rPr>
        <w:t> </w:t>
      </w:r>
      <w:r>
        <w:rPr/>
        <w:t>surface</w:t>
      </w:r>
      <w:r>
        <w:rPr>
          <w:spacing w:val="50"/>
        </w:rPr>
        <w:t> </w:t>
      </w:r>
      <w:r>
        <w:rPr/>
        <w:t>active</w:t>
      </w:r>
      <w:r>
        <w:rPr>
          <w:spacing w:val="45"/>
        </w:rPr>
        <w:t> </w:t>
      </w:r>
      <w:r>
        <w:rPr/>
        <w:t>agents</w:t>
      </w:r>
      <w:r>
        <w:rPr>
          <w:spacing w:val="43"/>
        </w:rPr>
        <w:t> </w:t>
      </w:r>
      <w:r>
        <w:rPr/>
        <w:t>may</w:t>
      </w:r>
      <w:r>
        <w:rPr>
          <w:spacing w:val="42"/>
        </w:rPr>
        <w:t> </w:t>
      </w:r>
      <w:r>
        <w:rPr/>
        <w:t>increase</w:t>
      </w:r>
      <w:r>
        <w:rPr>
          <w:spacing w:val="50"/>
        </w:rPr>
        <w:t> </w:t>
      </w:r>
      <w:r>
        <w:rPr/>
        <w:t>the</w:t>
      </w:r>
      <w:r>
        <w:rPr>
          <w:spacing w:val="52"/>
        </w:rPr>
        <w:t> </w:t>
      </w:r>
      <w:r>
        <w:rPr/>
        <w:t>aqueous</w:t>
      </w:r>
      <w:r>
        <w:rPr>
          <w:spacing w:val="49"/>
        </w:rPr>
        <w:t> </w:t>
      </w:r>
      <w:r>
        <w:rPr/>
        <w:t>solubility</w:t>
      </w:r>
      <w:r>
        <w:rPr>
          <w:spacing w:val="36"/>
        </w:rPr>
        <w:t> </w:t>
      </w:r>
      <w:r>
        <w:rPr/>
        <w:t>of</w:t>
      </w:r>
      <w:r>
        <w:rPr>
          <w:spacing w:val="46"/>
        </w:rPr>
        <w:t> </w:t>
      </w:r>
      <w:r>
        <w:rPr/>
        <w:t>poorly</w:t>
      </w:r>
      <w:r>
        <w:rPr>
          <w:spacing w:val="47"/>
        </w:rPr>
        <w:t> </w:t>
      </w:r>
      <w:r>
        <w:rPr>
          <w:spacing w:val="-2"/>
        </w:rPr>
        <w:t>soluble</w:t>
      </w:r>
    </w:p>
    <w:p>
      <w:pPr>
        <w:spacing w:after="0" w:line="491" w:lineRule="auto"/>
        <w:jc w:val="both"/>
        <w:sectPr>
          <w:pgSz w:w="12240" w:h="15840"/>
          <w:pgMar w:header="0" w:footer="999" w:top="1260" w:bottom="1180" w:left="1720" w:right="0"/>
        </w:sectPr>
      </w:pPr>
    </w:p>
    <w:p>
      <w:pPr>
        <w:pStyle w:val="BodyText"/>
        <w:spacing w:line="491" w:lineRule="auto" w:before="75"/>
        <w:ind w:left="665" w:right="1858"/>
        <w:jc w:val="both"/>
      </w:pPr>
      <w:r>
        <w:rPr/>
        <w:t>drugs in the GIT and as such, the rate of dissolution of the API will increase (David, 2008).</w:t>
      </w:r>
      <w:r>
        <w:rPr>
          <w:spacing w:val="40"/>
        </w:rPr>
        <w:t> </w:t>
      </w:r>
      <w:r>
        <w:rPr/>
        <w:t>One</w:t>
      </w:r>
      <w:r>
        <w:rPr>
          <w:spacing w:val="40"/>
        </w:rPr>
        <w:t> </w:t>
      </w:r>
      <w:r>
        <w:rPr/>
        <w:t>of</w:t>
      </w:r>
      <w:r>
        <w:rPr>
          <w:spacing w:val="40"/>
        </w:rPr>
        <w:t> </w:t>
      </w:r>
      <w:r>
        <w:rPr/>
        <w:t>the</w:t>
      </w:r>
      <w:r>
        <w:rPr>
          <w:spacing w:val="40"/>
        </w:rPr>
        <w:t> </w:t>
      </w:r>
      <w:r>
        <w:rPr/>
        <w:t>most popular</w:t>
      </w:r>
      <w:r>
        <w:rPr>
          <w:spacing w:val="40"/>
        </w:rPr>
        <w:t> </w:t>
      </w:r>
      <w:r>
        <w:rPr/>
        <w:t>choices</w:t>
      </w:r>
      <w:r>
        <w:rPr>
          <w:spacing w:val="40"/>
        </w:rPr>
        <w:t> </w:t>
      </w:r>
      <w:r>
        <w:rPr/>
        <w:t>of</w:t>
      </w:r>
      <w:r>
        <w:rPr>
          <w:spacing w:val="40"/>
        </w:rPr>
        <w:t> </w:t>
      </w:r>
      <w:r>
        <w:rPr/>
        <w:t>surface-active</w:t>
      </w:r>
      <w:r>
        <w:rPr>
          <w:spacing w:val="40"/>
        </w:rPr>
        <w:t> </w:t>
      </w:r>
      <w:r>
        <w:rPr/>
        <w:t>agent</w:t>
      </w:r>
      <w:r>
        <w:rPr>
          <w:spacing w:val="40"/>
        </w:rPr>
        <w:t> </w:t>
      </w:r>
      <w:r>
        <w:rPr/>
        <w:t>for</w:t>
      </w:r>
      <w:r>
        <w:rPr>
          <w:spacing w:val="40"/>
        </w:rPr>
        <w:t> </w:t>
      </w:r>
      <w:r>
        <w:rPr/>
        <w:t>this</w:t>
      </w:r>
      <w:r>
        <w:rPr>
          <w:spacing w:val="40"/>
        </w:rPr>
        <w:t> </w:t>
      </w:r>
      <w:r>
        <w:rPr/>
        <w:t>purpose</w:t>
      </w:r>
      <w:r>
        <w:rPr>
          <w:spacing w:val="40"/>
        </w:rPr>
        <w:t> </w:t>
      </w:r>
      <w:r>
        <w:rPr/>
        <w:t>is Sodium Lauryl sulphate.</w:t>
      </w:r>
    </w:p>
    <w:p>
      <w:pPr>
        <w:spacing w:after="0" w:line="491" w:lineRule="auto"/>
        <w:jc w:val="both"/>
        <w:sectPr>
          <w:pgSz w:w="12240" w:h="15840"/>
          <w:pgMar w:header="0" w:footer="999" w:top="1260" w:bottom="1180" w:left="1720" w:right="0"/>
        </w:sectPr>
      </w:pPr>
    </w:p>
    <w:p>
      <w:pPr>
        <w:pStyle w:val="Heading1"/>
        <w:spacing w:before="66"/>
        <w:ind w:left="1072"/>
      </w:pPr>
      <w:bookmarkStart w:name="_TOC_250075" w:id="86"/>
      <w:r>
        <w:rPr/>
        <w:t>CHAPTER</w:t>
      </w:r>
      <w:r>
        <w:rPr>
          <w:spacing w:val="18"/>
        </w:rPr>
        <w:t> </w:t>
      </w:r>
      <w:bookmarkEnd w:id="86"/>
      <w:r>
        <w:rPr>
          <w:spacing w:val="-2"/>
        </w:rPr>
        <w:t>THREE</w:t>
      </w:r>
    </w:p>
    <w:p>
      <w:pPr>
        <w:pStyle w:val="BodyText"/>
        <w:spacing w:before="108"/>
        <w:rPr>
          <w:b/>
        </w:rPr>
      </w:pPr>
    </w:p>
    <w:p>
      <w:pPr>
        <w:pStyle w:val="Heading1"/>
        <w:numPr>
          <w:ilvl w:val="1"/>
          <w:numId w:val="33"/>
        </w:numPr>
        <w:tabs>
          <w:tab w:pos="1342" w:val="left" w:leader="none"/>
        </w:tabs>
        <w:spacing w:line="240" w:lineRule="auto" w:before="0" w:after="0"/>
        <w:ind w:left="1342" w:right="0" w:hanging="677"/>
        <w:jc w:val="left"/>
      </w:pPr>
      <w:bookmarkStart w:name="_TOC_250074" w:id="87"/>
      <w:r>
        <w:rPr/>
        <w:t>MATERIALS</w:t>
      </w:r>
      <w:r>
        <w:rPr>
          <w:spacing w:val="17"/>
        </w:rPr>
        <w:t> </w:t>
      </w:r>
      <w:r>
        <w:rPr/>
        <w:t>AND</w:t>
      </w:r>
      <w:r>
        <w:rPr>
          <w:spacing w:val="18"/>
        </w:rPr>
        <w:t> </w:t>
      </w:r>
      <w:bookmarkEnd w:id="87"/>
      <w:r>
        <w:rPr>
          <w:spacing w:val="-2"/>
        </w:rPr>
        <w:t>METHODS</w:t>
      </w:r>
    </w:p>
    <w:p>
      <w:pPr>
        <w:pStyle w:val="BodyText"/>
        <w:spacing w:before="108"/>
        <w:rPr>
          <w:b/>
        </w:rPr>
      </w:pPr>
    </w:p>
    <w:p>
      <w:pPr>
        <w:pStyle w:val="Heading2"/>
        <w:numPr>
          <w:ilvl w:val="1"/>
          <w:numId w:val="33"/>
        </w:numPr>
        <w:tabs>
          <w:tab w:pos="1342" w:val="left" w:leader="none"/>
        </w:tabs>
        <w:spacing w:line="240" w:lineRule="auto" w:before="0" w:after="0"/>
        <w:ind w:left="1342" w:right="0" w:hanging="677"/>
        <w:jc w:val="left"/>
      </w:pPr>
      <w:bookmarkStart w:name="_TOC_250073" w:id="88"/>
      <w:bookmarkEnd w:id="88"/>
      <w:r>
        <w:rPr>
          <w:spacing w:val="-2"/>
        </w:rPr>
        <w:t>Materials</w:t>
      </w:r>
    </w:p>
    <w:p>
      <w:pPr>
        <w:pStyle w:val="BodyText"/>
        <w:spacing w:before="109"/>
        <w:rPr>
          <w:b/>
        </w:rPr>
      </w:pPr>
    </w:p>
    <w:p>
      <w:pPr>
        <w:pStyle w:val="Heading2"/>
        <w:numPr>
          <w:ilvl w:val="2"/>
          <w:numId w:val="33"/>
        </w:numPr>
        <w:tabs>
          <w:tab w:pos="1342" w:val="left" w:leader="none"/>
        </w:tabs>
        <w:spacing w:line="240" w:lineRule="auto" w:before="0" w:after="0"/>
        <w:ind w:left="1342" w:right="0" w:hanging="677"/>
        <w:jc w:val="left"/>
      </w:pPr>
      <w:bookmarkStart w:name="_TOC_250072" w:id="89"/>
      <w:r>
        <w:rPr/>
        <w:t>Botanical</w:t>
      </w:r>
      <w:r>
        <w:rPr>
          <w:spacing w:val="19"/>
        </w:rPr>
        <w:t> </w:t>
      </w:r>
      <w:bookmarkEnd w:id="89"/>
      <w:r>
        <w:rPr>
          <w:spacing w:val="-2"/>
        </w:rPr>
        <w:t>Material</w:t>
      </w:r>
    </w:p>
    <w:p>
      <w:pPr>
        <w:spacing w:before="241"/>
        <w:ind w:left="1342" w:right="0" w:firstLine="0"/>
        <w:jc w:val="left"/>
        <w:rPr>
          <w:sz w:val="22"/>
        </w:rPr>
      </w:pPr>
      <w:r>
        <w:rPr>
          <w:i/>
          <w:sz w:val="22"/>
        </w:rPr>
        <w:t>Digitaria</w:t>
      </w:r>
      <w:r>
        <w:rPr>
          <w:i/>
          <w:spacing w:val="9"/>
          <w:sz w:val="22"/>
        </w:rPr>
        <w:t> </w:t>
      </w:r>
      <w:r>
        <w:rPr>
          <w:i/>
          <w:sz w:val="22"/>
        </w:rPr>
        <w:t>iburua</w:t>
      </w:r>
      <w:r>
        <w:rPr>
          <w:i/>
          <w:spacing w:val="9"/>
          <w:sz w:val="22"/>
        </w:rPr>
        <w:t> </w:t>
      </w:r>
      <w:r>
        <w:rPr>
          <w:sz w:val="22"/>
        </w:rPr>
        <w:t>grains</w:t>
      </w:r>
      <w:r>
        <w:rPr>
          <w:spacing w:val="11"/>
          <w:sz w:val="22"/>
        </w:rPr>
        <w:t> </w:t>
      </w:r>
      <w:r>
        <w:rPr>
          <w:sz w:val="22"/>
        </w:rPr>
        <w:t>were</w:t>
      </w:r>
      <w:r>
        <w:rPr>
          <w:spacing w:val="12"/>
          <w:sz w:val="22"/>
        </w:rPr>
        <w:t> </w:t>
      </w:r>
      <w:r>
        <w:rPr>
          <w:sz w:val="22"/>
        </w:rPr>
        <w:t>obtained</w:t>
      </w:r>
      <w:r>
        <w:rPr>
          <w:spacing w:val="20"/>
          <w:sz w:val="22"/>
        </w:rPr>
        <w:t> </w:t>
      </w:r>
      <w:r>
        <w:rPr>
          <w:sz w:val="22"/>
        </w:rPr>
        <w:t>from</w:t>
      </w:r>
      <w:r>
        <w:rPr>
          <w:spacing w:val="10"/>
          <w:sz w:val="22"/>
        </w:rPr>
        <w:t> </w:t>
      </w:r>
      <w:r>
        <w:rPr>
          <w:sz w:val="22"/>
        </w:rPr>
        <w:t>Samaru,</w:t>
      </w:r>
      <w:r>
        <w:rPr>
          <w:spacing w:val="12"/>
          <w:sz w:val="22"/>
        </w:rPr>
        <w:t> </w:t>
      </w:r>
      <w:r>
        <w:rPr>
          <w:sz w:val="22"/>
        </w:rPr>
        <w:t>Zaria</w:t>
      </w:r>
      <w:r>
        <w:rPr>
          <w:spacing w:val="7"/>
          <w:sz w:val="22"/>
        </w:rPr>
        <w:t> </w:t>
      </w:r>
      <w:r>
        <w:rPr>
          <w:spacing w:val="-2"/>
          <w:sz w:val="22"/>
        </w:rPr>
        <w:t>Nigeria.</w:t>
      </w:r>
    </w:p>
    <w:p>
      <w:pPr>
        <w:pStyle w:val="BodyText"/>
        <w:spacing w:before="243"/>
      </w:pPr>
    </w:p>
    <w:p>
      <w:pPr>
        <w:pStyle w:val="Heading2"/>
        <w:numPr>
          <w:ilvl w:val="2"/>
          <w:numId w:val="33"/>
        </w:numPr>
        <w:tabs>
          <w:tab w:pos="1342" w:val="left" w:leader="none"/>
        </w:tabs>
        <w:spacing w:line="240" w:lineRule="auto" w:before="0" w:after="0"/>
        <w:ind w:left="1342" w:right="0" w:hanging="677"/>
        <w:jc w:val="left"/>
      </w:pPr>
      <w:bookmarkStart w:name="_TOC_250071" w:id="90"/>
      <w:bookmarkEnd w:id="90"/>
      <w:r>
        <w:rPr>
          <w:spacing w:val="-2"/>
        </w:rPr>
        <w:t>Chemicals</w:t>
      </w:r>
    </w:p>
    <w:p>
      <w:pPr>
        <w:pStyle w:val="BodyText"/>
        <w:spacing w:line="491" w:lineRule="auto" w:before="251"/>
        <w:ind w:left="1342" w:right="3294"/>
      </w:pPr>
      <w:r>
        <w:rPr/>
        <w:t>Metronidazole powder (BDH Chemicals Ltd., Poole-England) Magnesium stearate (BDH chemicals Ltd., Poole-England) Hydrochloric acid (May &amp; Baker, Lagos-Nigeria)</w:t>
      </w:r>
    </w:p>
    <w:p>
      <w:pPr>
        <w:pStyle w:val="BodyText"/>
        <w:spacing w:line="252" w:lineRule="exact"/>
        <w:ind w:left="1342"/>
      </w:pPr>
      <w:r>
        <w:rPr/>
        <w:t>Xylene</w:t>
      </w:r>
      <w:r>
        <w:rPr>
          <w:spacing w:val="11"/>
        </w:rPr>
        <w:t> </w:t>
      </w:r>
      <w:r>
        <w:rPr/>
        <w:t>(May</w:t>
      </w:r>
      <w:r>
        <w:rPr>
          <w:spacing w:val="3"/>
        </w:rPr>
        <w:t> </w:t>
      </w:r>
      <w:r>
        <w:rPr/>
        <w:t>and</w:t>
      </w:r>
      <w:r>
        <w:rPr>
          <w:spacing w:val="13"/>
        </w:rPr>
        <w:t> </w:t>
      </w:r>
      <w:r>
        <w:rPr/>
        <w:t>Baker,</w:t>
      </w:r>
      <w:r>
        <w:rPr>
          <w:spacing w:val="18"/>
        </w:rPr>
        <w:t> </w:t>
      </w:r>
      <w:r>
        <w:rPr/>
        <w:t>Lagos-</w:t>
      </w:r>
      <w:r>
        <w:rPr>
          <w:spacing w:val="-2"/>
        </w:rPr>
        <w:t>Nigeria)</w:t>
      </w:r>
    </w:p>
    <w:p>
      <w:pPr>
        <w:pStyle w:val="BodyText"/>
        <w:spacing w:before="12"/>
      </w:pPr>
    </w:p>
    <w:p>
      <w:pPr>
        <w:pStyle w:val="BodyText"/>
        <w:spacing w:before="1"/>
        <w:ind w:left="1342"/>
      </w:pPr>
      <w:r>
        <w:rPr/>
        <w:t>Talc</w:t>
      </w:r>
      <w:r>
        <w:rPr>
          <w:spacing w:val="16"/>
        </w:rPr>
        <w:t> </w:t>
      </w:r>
      <w:r>
        <w:rPr/>
        <w:t>powder</w:t>
      </w:r>
      <w:r>
        <w:rPr>
          <w:spacing w:val="12"/>
        </w:rPr>
        <w:t> </w:t>
      </w:r>
      <w:r>
        <w:rPr/>
        <w:t>(BDH</w:t>
      </w:r>
      <w:r>
        <w:rPr>
          <w:spacing w:val="10"/>
        </w:rPr>
        <w:t> </w:t>
      </w:r>
      <w:r>
        <w:rPr/>
        <w:t>chemicals</w:t>
      </w:r>
      <w:r>
        <w:rPr>
          <w:spacing w:val="14"/>
        </w:rPr>
        <w:t> </w:t>
      </w:r>
      <w:r>
        <w:rPr/>
        <w:t>Ltd.,</w:t>
      </w:r>
      <w:r>
        <w:rPr>
          <w:spacing w:val="17"/>
        </w:rPr>
        <w:t> </w:t>
      </w:r>
      <w:r>
        <w:rPr/>
        <w:t>Poole-</w:t>
      </w:r>
      <w:r>
        <w:rPr>
          <w:spacing w:val="-2"/>
        </w:rPr>
        <w:t>England)</w:t>
      </w:r>
    </w:p>
    <w:p>
      <w:pPr>
        <w:pStyle w:val="BodyText"/>
        <w:spacing w:before="12"/>
      </w:pPr>
    </w:p>
    <w:p>
      <w:pPr>
        <w:pStyle w:val="BodyText"/>
        <w:spacing w:line="491" w:lineRule="auto"/>
        <w:ind w:left="1342" w:right="2065"/>
      </w:pPr>
      <w:r>
        <w:rPr/>
        <w:t>Sodium Hydroxide Pellets (Avondale Laboratories Ltd., Bradbury-England) Iodine Solution (BDH Chemicals Ltd., Poole-England)</w:t>
      </w:r>
    </w:p>
    <w:p>
      <w:pPr>
        <w:pStyle w:val="BodyText"/>
        <w:spacing w:line="494" w:lineRule="auto"/>
        <w:ind w:left="1342" w:right="4199"/>
      </w:pPr>
      <w:r>
        <w:rPr/>
        <w:t>Butanol (BDH Chemical Ltd., Poole-England) Petroleum ether (BDH Chemical Ltd., Poole-England) Boric Acid (BDH Chemical Ltd., Poole-England)</w:t>
      </w:r>
    </w:p>
    <w:p>
      <w:pPr>
        <w:pStyle w:val="BodyText"/>
        <w:spacing w:line="250" w:lineRule="exact"/>
        <w:ind w:left="1342"/>
      </w:pPr>
      <w:r>
        <w:rPr/>
        <w:t>Methyl</w:t>
      </w:r>
      <w:r>
        <w:rPr>
          <w:spacing w:val="14"/>
        </w:rPr>
        <w:t> </w:t>
      </w:r>
      <w:r>
        <w:rPr/>
        <w:t>red</w:t>
      </w:r>
      <w:r>
        <w:rPr>
          <w:spacing w:val="17"/>
        </w:rPr>
        <w:t> </w:t>
      </w:r>
      <w:r>
        <w:rPr/>
        <w:t>indicator</w:t>
      </w:r>
      <w:r>
        <w:rPr>
          <w:spacing w:val="17"/>
        </w:rPr>
        <w:t> </w:t>
      </w:r>
      <w:r>
        <w:rPr/>
        <w:t>(BDH</w:t>
      </w:r>
      <w:r>
        <w:rPr>
          <w:spacing w:val="9"/>
        </w:rPr>
        <w:t> </w:t>
      </w:r>
      <w:r>
        <w:rPr/>
        <w:t>Chemical</w:t>
      </w:r>
      <w:r>
        <w:rPr>
          <w:spacing w:val="8"/>
        </w:rPr>
        <w:t> </w:t>
      </w:r>
      <w:r>
        <w:rPr/>
        <w:t>Ltd.,</w:t>
      </w:r>
      <w:r>
        <w:rPr>
          <w:spacing w:val="16"/>
        </w:rPr>
        <w:t> </w:t>
      </w:r>
      <w:r>
        <w:rPr/>
        <w:t>Poole-</w:t>
      </w:r>
      <w:r>
        <w:rPr>
          <w:spacing w:val="-2"/>
        </w:rPr>
        <w:t>England)</w:t>
      </w:r>
    </w:p>
    <w:p>
      <w:pPr>
        <w:pStyle w:val="BodyText"/>
        <w:spacing w:before="242"/>
      </w:pPr>
    </w:p>
    <w:p>
      <w:pPr>
        <w:pStyle w:val="Heading2"/>
        <w:numPr>
          <w:ilvl w:val="1"/>
          <w:numId w:val="33"/>
        </w:numPr>
        <w:tabs>
          <w:tab w:pos="1342" w:val="left" w:leader="none"/>
        </w:tabs>
        <w:spacing w:line="240" w:lineRule="auto" w:before="0" w:after="0"/>
        <w:ind w:left="1342" w:right="0" w:hanging="677"/>
        <w:jc w:val="left"/>
      </w:pPr>
      <w:bookmarkStart w:name="_TOC_250070" w:id="91"/>
      <w:bookmarkEnd w:id="91"/>
      <w:r>
        <w:rPr>
          <w:spacing w:val="-2"/>
        </w:rPr>
        <w:t>Methodology</w:t>
      </w:r>
    </w:p>
    <w:p>
      <w:pPr>
        <w:pStyle w:val="BodyText"/>
        <w:spacing w:before="109"/>
        <w:rPr>
          <w:b/>
        </w:rPr>
      </w:pPr>
    </w:p>
    <w:p>
      <w:pPr>
        <w:pStyle w:val="ListParagraph"/>
        <w:numPr>
          <w:ilvl w:val="2"/>
          <w:numId w:val="33"/>
        </w:numPr>
        <w:tabs>
          <w:tab w:pos="1342" w:val="left" w:leader="none"/>
        </w:tabs>
        <w:spacing w:line="240" w:lineRule="auto" w:before="0" w:after="0"/>
        <w:ind w:left="1342" w:right="0" w:hanging="677"/>
        <w:jc w:val="left"/>
        <w:rPr>
          <w:b/>
          <w:sz w:val="22"/>
        </w:rPr>
      </w:pPr>
      <w:r>
        <w:rPr>
          <w:b/>
          <w:sz w:val="22"/>
        </w:rPr>
        <w:t>Collection</w:t>
      </w:r>
      <w:r>
        <w:rPr>
          <w:b/>
          <w:spacing w:val="2"/>
          <w:sz w:val="22"/>
        </w:rPr>
        <w:t> </w:t>
      </w:r>
      <w:r>
        <w:rPr>
          <w:b/>
          <w:sz w:val="22"/>
        </w:rPr>
        <w:t>and</w:t>
      </w:r>
      <w:r>
        <w:rPr>
          <w:b/>
          <w:spacing w:val="15"/>
          <w:sz w:val="22"/>
        </w:rPr>
        <w:t> </w:t>
      </w:r>
      <w:r>
        <w:rPr>
          <w:b/>
          <w:sz w:val="22"/>
        </w:rPr>
        <w:t>Identification</w:t>
      </w:r>
      <w:r>
        <w:rPr>
          <w:b/>
          <w:spacing w:val="15"/>
          <w:sz w:val="22"/>
        </w:rPr>
        <w:t> </w:t>
      </w:r>
      <w:r>
        <w:rPr>
          <w:b/>
          <w:sz w:val="22"/>
        </w:rPr>
        <w:t>of</w:t>
      </w:r>
      <w:r>
        <w:rPr>
          <w:b/>
          <w:spacing w:val="18"/>
          <w:sz w:val="22"/>
        </w:rPr>
        <w:t> </w:t>
      </w:r>
      <w:r>
        <w:rPr>
          <w:b/>
          <w:i/>
          <w:sz w:val="22"/>
        </w:rPr>
        <w:t>Digitaria</w:t>
      </w:r>
      <w:r>
        <w:rPr>
          <w:b/>
          <w:i/>
          <w:spacing w:val="19"/>
          <w:sz w:val="22"/>
        </w:rPr>
        <w:t> </w:t>
      </w:r>
      <w:r>
        <w:rPr>
          <w:b/>
          <w:i/>
          <w:sz w:val="22"/>
        </w:rPr>
        <w:t>iburua</w:t>
      </w:r>
      <w:r>
        <w:rPr>
          <w:b/>
          <w:i/>
          <w:spacing w:val="12"/>
          <w:sz w:val="22"/>
        </w:rPr>
        <w:t> </w:t>
      </w:r>
      <w:r>
        <w:rPr>
          <w:b/>
          <w:spacing w:val="-2"/>
          <w:sz w:val="22"/>
        </w:rPr>
        <w:t>grains</w:t>
      </w:r>
    </w:p>
    <w:p>
      <w:pPr>
        <w:pStyle w:val="BodyText"/>
        <w:spacing w:line="491" w:lineRule="auto" w:before="241"/>
        <w:ind w:left="665" w:right="1857"/>
        <w:jc w:val="both"/>
      </w:pPr>
      <w:r>
        <w:rPr>
          <w:i/>
        </w:rPr>
        <w:t>Digitaria iburua </w:t>
      </w:r>
      <w:r>
        <w:rPr/>
        <w:t>grains were obtained from a commercial source in Samaru, Zaria- Nigeria. The grains were identified with Voucher No. 1315 by the herbarium unit of Department of Biological Sciences, Ahmadu Bello University, Zaria.</w:t>
      </w:r>
    </w:p>
    <w:p>
      <w:pPr>
        <w:spacing w:after="0" w:line="491" w:lineRule="auto"/>
        <w:jc w:val="both"/>
        <w:sectPr>
          <w:pgSz w:w="12240" w:h="15840"/>
          <w:pgMar w:header="0" w:footer="999" w:top="1500" w:bottom="1180" w:left="1720" w:right="0"/>
        </w:sectPr>
      </w:pPr>
    </w:p>
    <w:p>
      <w:pPr>
        <w:pStyle w:val="ListParagraph"/>
        <w:numPr>
          <w:ilvl w:val="2"/>
          <w:numId w:val="33"/>
        </w:numPr>
        <w:tabs>
          <w:tab w:pos="1342" w:val="left" w:leader="none"/>
        </w:tabs>
        <w:spacing w:line="240" w:lineRule="auto" w:before="80" w:after="0"/>
        <w:ind w:left="1342" w:right="0" w:hanging="677"/>
        <w:jc w:val="left"/>
        <w:rPr>
          <w:b/>
          <w:sz w:val="22"/>
        </w:rPr>
      </w:pPr>
      <w:r>
        <w:rPr>
          <w:b/>
          <w:sz w:val="22"/>
        </w:rPr>
        <w:t>Extraction</w:t>
      </w:r>
      <w:r>
        <w:rPr>
          <w:b/>
          <w:spacing w:val="7"/>
          <w:sz w:val="22"/>
        </w:rPr>
        <w:t> </w:t>
      </w:r>
      <w:r>
        <w:rPr>
          <w:b/>
          <w:sz w:val="22"/>
        </w:rPr>
        <w:t>of</w:t>
      </w:r>
      <w:r>
        <w:rPr>
          <w:b/>
          <w:spacing w:val="15"/>
          <w:sz w:val="22"/>
        </w:rPr>
        <w:t> </w:t>
      </w:r>
      <w:r>
        <w:rPr>
          <w:b/>
          <w:sz w:val="22"/>
        </w:rPr>
        <w:t>Starch</w:t>
      </w:r>
      <w:r>
        <w:rPr>
          <w:b/>
          <w:spacing w:val="8"/>
          <w:sz w:val="22"/>
        </w:rPr>
        <w:t> </w:t>
      </w:r>
      <w:r>
        <w:rPr>
          <w:b/>
          <w:sz w:val="22"/>
        </w:rPr>
        <w:t>from</w:t>
      </w:r>
      <w:r>
        <w:rPr>
          <w:b/>
          <w:spacing w:val="13"/>
          <w:sz w:val="22"/>
        </w:rPr>
        <w:t> </w:t>
      </w:r>
      <w:r>
        <w:rPr>
          <w:b/>
          <w:i/>
          <w:sz w:val="22"/>
        </w:rPr>
        <w:t>Digitaria</w:t>
      </w:r>
      <w:r>
        <w:rPr>
          <w:b/>
          <w:i/>
          <w:spacing w:val="16"/>
          <w:sz w:val="22"/>
        </w:rPr>
        <w:t> </w:t>
      </w:r>
      <w:r>
        <w:rPr>
          <w:b/>
          <w:i/>
          <w:sz w:val="22"/>
        </w:rPr>
        <w:t>iburua</w:t>
      </w:r>
      <w:r>
        <w:rPr>
          <w:b/>
          <w:i/>
          <w:spacing w:val="11"/>
          <w:sz w:val="22"/>
        </w:rPr>
        <w:t> </w:t>
      </w:r>
      <w:r>
        <w:rPr>
          <w:b/>
          <w:spacing w:val="-2"/>
          <w:sz w:val="22"/>
        </w:rPr>
        <w:t>grains</w:t>
      </w:r>
    </w:p>
    <w:p>
      <w:pPr>
        <w:pStyle w:val="BodyText"/>
        <w:spacing w:line="491" w:lineRule="auto" w:before="246"/>
        <w:ind w:left="665" w:right="1857" w:firstLine="676"/>
        <w:jc w:val="both"/>
      </w:pPr>
      <w:r>
        <w:rPr/>
        <w:t>The grains of </w:t>
      </w:r>
      <w:r>
        <w:rPr>
          <w:i/>
        </w:rPr>
        <w:t>Digitaria iburua </w:t>
      </w:r>
      <w:r>
        <w:rPr/>
        <w:t>were cleaned and foreign matter removed. Eight kilogram of the cleaned grains was weighed and then steeped over a specified period in distilled water. The grains were washed thoroughly with distilled water and milled by a milling machine (Philips Cucina HR 1757, Japan). The ground</w:t>
      </w:r>
      <w:r>
        <w:rPr>
          <w:spacing w:val="40"/>
        </w:rPr>
        <w:t> </w:t>
      </w:r>
      <w:r>
        <w:rPr/>
        <w:t>mixture was sieved</w:t>
      </w:r>
      <w:r>
        <w:rPr>
          <w:spacing w:val="80"/>
        </w:rPr>
        <w:t> </w:t>
      </w:r>
      <w:r>
        <w:rPr/>
        <w:t>several times with distilled water and starch recovered using a</w:t>
      </w:r>
      <w:r>
        <w:rPr>
          <w:spacing w:val="33"/>
        </w:rPr>
        <w:t> </w:t>
      </w:r>
      <w:r>
        <w:rPr/>
        <w:t>calico cloth.</w:t>
      </w:r>
      <w:r>
        <w:rPr>
          <w:spacing w:val="33"/>
        </w:rPr>
        <w:t> </w:t>
      </w:r>
      <w:r>
        <w:rPr/>
        <w:t>The</w:t>
      </w:r>
      <w:r>
        <w:rPr>
          <w:spacing w:val="33"/>
        </w:rPr>
        <w:t> </w:t>
      </w:r>
      <w:r>
        <w:rPr/>
        <w:t>starch was treated with 0.1 N NaOH to neutralize the acidity and also separate gluten from the starch.</w:t>
      </w:r>
      <w:r>
        <w:rPr>
          <w:spacing w:val="40"/>
        </w:rPr>
        <w:t> </w:t>
      </w:r>
      <w:r>
        <w:rPr/>
        <w:t>It was then allowed to settle over a period of time and the supernatant decanted leaving the sediment</w:t>
      </w:r>
      <w:r>
        <w:rPr>
          <w:spacing w:val="40"/>
        </w:rPr>
        <w:t> </w:t>
      </w:r>
      <w:r>
        <w:rPr/>
        <w:t>which was</w:t>
      </w:r>
      <w:r>
        <w:rPr>
          <w:spacing w:val="40"/>
        </w:rPr>
        <w:t> </w:t>
      </w:r>
      <w:r>
        <w:rPr/>
        <w:t>centrifuged</w:t>
      </w:r>
      <w:r>
        <w:rPr>
          <w:spacing w:val="40"/>
        </w:rPr>
        <w:t> </w:t>
      </w:r>
      <w:r>
        <w:rPr/>
        <w:t>for 10</w:t>
      </w:r>
      <w:r>
        <w:rPr>
          <w:spacing w:val="40"/>
        </w:rPr>
        <w:t> </w:t>
      </w:r>
      <w:r>
        <w:rPr/>
        <w:t>min at</w:t>
      </w:r>
      <w:r>
        <w:rPr>
          <w:spacing w:val="40"/>
        </w:rPr>
        <w:t> </w:t>
      </w:r>
      <w:r>
        <w:rPr/>
        <w:t>2,500 revolutions</w:t>
      </w:r>
      <w:r>
        <w:rPr>
          <w:spacing w:val="40"/>
        </w:rPr>
        <w:t> </w:t>
      </w:r>
      <w:r>
        <w:rPr/>
        <w:t>per min (rpm) (General Laboratory centrifuge–</w:t>
      </w:r>
      <w:r>
        <w:rPr>
          <w:spacing w:val="36"/>
        </w:rPr>
        <w:t> </w:t>
      </w:r>
      <w:r>
        <w:rPr/>
        <w:t>2, Japan). The</w:t>
      </w:r>
      <w:r>
        <w:rPr>
          <w:spacing w:val="34"/>
        </w:rPr>
        <w:t> </w:t>
      </w:r>
      <w:r>
        <w:rPr/>
        <w:t>starch</w:t>
      </w:r>
      <w:r>
        <w:rPr>
          <w:spacing w:val="30"/>
        </w:rPr>
        <w:t> </w:t>
      </w:r>
      <w:r>
        <w:rPr/>
        <w:t>was</w:t>
      </w:r>
      <w:r>
        <w:rPr>
          <w:spacing w:val="31"/>
        </w:rPr>
        <w:t> </w:t>
      </w:r>
      <w:r>
        <w:rPr/>
        <w:t>obtained</w:t>
      </w:r>
      <w:r>
        <w:rPr>
          <w:spacing w:val="40"/>
        </w:rPr>
        <w:t> </w:t>
      </w:r>
      <w:r>
        <w:rPr/>
        <w:t>by scooping off the upper brown layers. The tightly packed starch was then dried in the oven (Gallenkamp oven BS size 3) at 40 </w:t>
      </w:r>
      <w:r>
        <w:rPr>
          <w:vertAlign w:val="superscript"/>
        </w:rPr>
        <w:t>o</w:t>
      </w:r>
      <w:r>
        <w:rPr>
          <w:vertAlign w:val="baseline"/>
        </w:rPr>
        <w:t>C and milled to fine powder using a blender. The starch was then packed</w:t>
      </w:r>
      <w:r>
        <w:rPr>
          <w:spacing w:val="26"/>
          <w:vertAlign w:val="baseline"/>
        </w:rPr>
        <w:t> </w:t>
      </w:r>
      <w:r>
        <w:rPr>
          <w:vertAlign w:val="baseline"/>
        </w:rPr>
        <w:t>in amber-coloured air-tight glassware and</w:t>
      </w:r>
      <w:r>
        <w:rPr>
          <w:spacing w:val="26"/>
          <w:vertAlign w:val="baseline"/>
        </w:rPr>
        <w:t> </w:t>
      </w:r>
      <w:r>
        <w:rPr>
          <w:vertAlign w:val="baseline"/>
        </w:rPr>
        <w:t>stored for further</w:t>
      </w:r>
      <w:r>
        <w:rPr>
          <w:spacing w:val="26"/>
          <w:vertAlign w:val="baseline"/>
        </w:rPr>
        <w:t> </w:t>
      </w:r>
      <w:r>
        <w:rPr>
          <w:vertAlign w:val="baseline"/>
        </w:rPr>
        <w:t>use.</w:t>
      </w:r>
    </w:p>
    <w:p>
      <w:pPr>
        <w:pStyle w:val="Heading2"/>
        <w:numPr>
          <w:ilvl w:val="2"/>
          <w:numId w:val="33"/>
        </w:numPr>
        <w:tabs>
          <w:tab w:pos="1342" w:val="left" w:leader="none"/>
        </w:tabs>
        <w:spacing w:line="240" w:lineRule="auto" w:before="233" w:after="0"/>
        <w:ind w:left="1342" w:right="0" w:hanging="677"/>
        <w:jc w:val="left"/>
      </w:pPr>
      <w:bookmarkStart w:name="_TOC_250069" w:id="92"/>
      <w:r>
        <w:rPr/>
        <w:t>Determination</w:t>
      </w:r>
      <w:r>
        <w:rPr>
          <w:spacing w:val="9"/>
        </w:rPr>
        <w:t> </w:t>
      </w:r>
      <w:r>
        <w:rPr/>
        <w:t>of</w:t>
      </w:r>
      <w:r>
        <w:rPr>
          <w:spacing w:val="18"/>
        </w:rPr>
        <w:t> </w:t>
      </w:r>
      <w:r>
        <w:rPr/>
        <w:t>Percentage</w:t>
      </w:r>
      <w:r>
        <w:rPr>
          <w:spacing w:val="17"/>
        </w:rPr>
        <w:t> </w:t>
      </w:r>
      <w:r>
        <w:rPr/>
        <w:t>Yield</w:t>
      </w:r>
      <w:r>
        <w:rPr>
          <w:spacing w:val="9"/>
        </w:rPr>
        <w:t> </w:t>
      </w:r>
      <w:r>
        <w:rPr/>
        <w:t>of</w:t>
      </w:r>
      <w:r>
        <w:rPr>
          <w:spacing w:val="12"/>
        </w:rPr>
        <w:t> </w:t>
      </w:r>
      <w:bookmarkEnd w:id="92"/>
      <w:r>
        <w:rPr>
          <w:spacing w:val="-2"/>
        </w:rPr>
        <w:t>Starch</w:t>
      </w:r>
    </w:p>
    <w:p>
      <w:pPr>
        <w:pStyle w:val="BodyText"/>
        <w:spacing w:line="491" w:lineRule="auto" w:before="241"/>
        <w:ind w:left="665" w:right="1859" w:firstLine="676"/>
        <w:jc w:val="both"/>
      </w:pPr>
      <w:r>
        <w:rPr/>
        <w:t>The percentage yield of starch was calculated as the ratio of the mass of starch obtained to the mass of the grains used as starting material.</w:t>
      </w:r>
    </w:p>
    <w:p>
      <w:pPr>
        <w:pStyle w:val="Heading2"/>
        <w:numPr>
          <w:ilvl w:val="2"/>
          <w:numId w:val="33"/>
        </w:numPr>
        <w:tabs>
          <w:tab w:pos="1342" w:val="left" w:leader="none"/>
        </w:tabs>
        <w:spacing w:line="240" w:lineRule="auto" w:before="235" w:after="0"/>
        <w:ind w:left="1342" w:right="0" w:hanging="677"/>
        <w:jc w:val="left"/>
      </w:pPr>
      <w:bookmarkStart w:name="_TOC_250068" w:id="93"/>
      <w:r>
        <w:rPr/>
        <w:t>Determination</w:t>
      </w:r>
      <w:r>
        <w:rPr>
          <w:spacing w:val="12"/>
        </w:rPr>
        <w:t> </w:t>
      </w:r>
      <w:r>
        <w:rPr/>
        <w:t>of</w:t>
      </w:r>
      <w:r>
        <w:rPr>
          <w:spacing w:val="22"/>
        </w:rPr>
        <w:t> </w:t>
      </w:r>
      <w:r>
        <w:rPr/>
        <w:t>Gelatinization</w:t>
      </w:r>
      <w:r>
        <w:rPr>
          <w:spacing w:val="26"/>
        </w:rPr>
        <w:t> </w:t>
      </w:r>
      <w:bookmarkEnd w:id="93"/>
      <w:r>
        <w:rPr>
          <w:spacing w:val="-2"/>
        </w:rPr>
        <w:t>Temperature</w:t>
      </w:r>
    </w:p>
    <w:p>
      <w:pPr>
        <w:pStyle w:val="BodyText"/>
        <w:spacing w:line="491" w:lineRule="auto" w:before="241"/>
        <w:ind w:left="665" w:right="1851" w:firstLine="676"/>
        <w:jc w:val="both"/>
      </w:pPr>
      <w:r>
        <w:rPr/>
        <w:t>The gelatinization temperature was determined by a method described by Mohammed</w:t>
      </w:r>
      <w:r>
        <w:rPr>
          <w:spacing w:val="40"/>
        </w:rPr>
        <w:t> </w:t>
      </w:r>
      <w:r>
        <w:rPr>
          <w:i/>
        </w:rPr>
        <w:t>et</w:t>
      </w:r>
      <w:r>
        <w:rPr>
          <w:i/>
          <w:spacing w:val="40"/>
        </w:rPr>
        <w:t> </w:t>
      </w:r>
      <w:r>
        <w:rPr>
          <w:i/>
        </w:rPr>
        <w:t>al</w:t>
      </w:r>
      <w:r>
        <w:rPr/>
        <w:t>.,</w:t>
      </w:r>
      <w:r>
        <w:rPr>
          <w:spacing w:val="40"/>
        </w:rPr>
        <w:t> </w:t>
      </w:r>
      <w:r>
        <w:rPr/>
        <w:t>(2009).</w:t>
      </w:r>
      <w:r>
        <w:rPr>
          <w:spacing w:val="40"/>
        </w:rPr>
        <w:t> </w:t>
      </w:r>
      <w:r>
        <w:rPr/>
        <w:t>A</w:t>
      </w:r>
      <w:r>
        <w:rPr>
          <w:spacing w:val="40"/>
        </w:rPr>
        <w:t> </w:t>
      </w:r>
      <w:r>
        <w:rPr/>
        <w:t>0.2</w:t>
      </w:r>
      <w:r>
        <w:rPr>
          <w:spacing w:val="40"/>
        </w:rPr>
        <w:t> </w:t>
      </w:r>
      <w:r>
        <w:rPr/>
        <w:t>%</w:t>
      </w:r>
      <w:r>
        <w:rPr>
          <w:spacing w:val="40"/>
        </w:rPr>
        <w:t> </w:t>
      </w:r>
      <w:r>
        <w:rPr/>
        <w:t>w/v</w:t>
      </w:r>
      <w:r>
        <w:rPr>
          <w:spacing w:val="40"/>
        </w:rPr>
        <w:t> </w:t>
      </w:r>
      <w:r>
        <w:rPr/>
        <w:t>starch</w:t>
      </w:r>
      <w:r>
        <w:rPr>
          <w:spacing w:val="40"/>
        </w:rPr>
        <w:t> </w:t>
      </w:r>
      <w:r>
        <w:rPr/>
        <w:t>suspension</w:t>
      </w:r>
      <w:r>
        <w:rPr>
          <w:spacing w:val="40"/>
        </w:rPr>
        <w:t> </w:t>
      </w:r>
      <w:r>
        <w:rPr/>
        <w:t>in</w:t>
      </w:r>
      <w:r>
        <w:rPr>
          <w:spacing w:val="40"/>
        </w:rPr>
        <w:t> </w:t>
      </w:r>
      <w:r>
        <w:rPr/>
        <w:t>25</w:t>
      </w:r>
      <w:r>
        <w:rPr>
          <w:spacing w:val="40"/>
        </w:rPr>
        <w:t> </w:t>
      </w:r>
      <w:r>
        <w:rPr/>
        <w:t>mL</w:t>
      </w:r>
      <w:r>
        <w:rPr>
          <w:spacing w:val="40"/>
        </w:rPr>
        <w:t> </w:t>
      </w:r>
      <w:r>
        <w:rPr/>
        <w:t>beaker</w:t>
      </w:r>
      <w:r>
        <w:rPr>
          <w:spacing w:val="40"/>
        </w:rPr>
        <w:t> </w:t>
      </w:r>
      <w:r>
        <w:rPr/>
        <w:t>was prepared.</w:t>
      </w:r>
      <w:r>
        <w:rPr>
          <w:spacing w:val="80"/>
        </w:rPr>
        <w:t> </w:t>
      </w:r>
      <w:r>
        <w:rPr/>
        <w:t>The suspension was heated in a water bath at 40 </w:t>
      </w:r>
      <w:r>
        <w:rPr>
          <w:vertAlign w:val="superscript"/>
        </w:rPr>
        <w:t>o</w:t>
      </w:r>
      <w:r>
        <w:rPr>
          <w:vertAlign w:val="baseline"/>
        </w:rPr>
        <w:t>C.</w:t>
      </w:r>
      <w:r>
        <w:rPr>
          <w:spacing w:val="80"/>
          <w:vertAlign w:val="baseline"/>
        </w:rPr>
        <w:t> </w:t>
      </w:r>
      <w:r>
        <w:rPr>
          <w:vertAlign w:val="baseline"/>
        </w:rPr>
        <w:t>The temperature was raised stepwise in 2 </w:t>
      </w:r>
      <w:r>
        <w:rPr>
          <w:vertAlign w:val="superscript"/>
        </w:rPr>
        <w:t>o</w:t>
      </w:r>
      <w:r>
        <w:rPr>
          <w:vertAlign w:val="baseline"/>
        </w:rPr>
        <w:t>C increments and samples withdrawn and viewed under a light microscope (Ceti, Belgium) after each rise until the temperature at which granules lost their</w:t>
      </w:r>
      <w:r>
        <w:rPr>
          <w:spacing w:val="40"/>
          <w:vertAlign w:val="baseline"/>
        </w:rPr>
        <w:t> </w:t>
      </w:r>
      <w:r>
        <w:rPr>
          <w:vertAlign w:val="baseline"/>
        </w:rPr>
        <w:t>polarization</w:t>
      </w:r>
      <w:r>
        <w:rPr>
          <w:spacing w:val="40"/>
          <w:vertAlign w:val="baseline"/>
        </w:rPr>
        <w:t> </w:t>
      </w:r>
      <w:r>
        <w:rPr>
          <w:vertAlign w:val="baseline"/>
        </w:rPr>
        <w:t>crosses</w:t>
      </w:r>
      <w:r>
        <w:rPr>
          <w:spacing w:val="40"/>
          <w:vertAlign w:val="baseline"/>
        </w:rPr>
        <w:t> </w:t>
      </w:r>
      <w:r>
        <w:rPr>
          <w:vertAlign w:val="baseline"/>
        </w:rPr>
        <w:t>completely</w:t>
      </w:r>
      <w:r>
        <w:rPr>
          <w:spacing w:val="39"/>
          <w:vertAlign w:val="baseline"/>
        </w:rPr>
        <w:t> </w:t>
      </w:r>
      <w:r>
        <w:rPr>
          <w:vertAlign w:val="baseline"/>
        </w:rPr>
        <w:t>was</w:t>
      </w:r>
      <w:r>
        <w:rPr>
          <w:spacing w:val="40"/>
          <w:vertAlign w:val="baseline"/>
        </w:rPr>
        <w:t> </w:t>
      </w:r>
      <w:r>
        <w:rPr>
          <w:vertAlign w:val="baseline"/>
        </w:rPr>
        <w:t>obtained.</w:t>
      </w:r>
      <w:r>
        <w:rPr>
          <w:spacing w:val="40"/>
          <w:vertAlign w:val="baseline"/>
        </w:rPr>
        <w:t> </w:t>
      </w:r>
      <w:r>
        <w:rPr>
          <w:vertAlign w:val="baseline"/>
        </w:rPr>
        <w:t>This</w:t>
      </w:r>
      <w:r>
        <w:rPr>
          <w:spacing w:val="40"/>
          <w:vertAlign w:val="baseline"/>
        </w:rPr>
        <w:t> </w:t>
      </w:r>
      <w:r>
        <w:rPr>
          <w:vertAlign w:val="baseline"/>
        </w:rPr>
        <w:t>temperature</w:t>
      </w:r>
      <w:r>
        <w:rPr>
          <w:spacing w:val="40"/>
          <w:vertAlign w:val="baseline"/>
        </w:rPr>
        <w:t> </w:t>
      </w:r>
      <w:r>
        <w:rPr>
          <w:vertAlign w:val="baseline"/>
        </w:rPr>
        <w:t>was</w:t>
      </w:r>
      <w:r>
        <w:rPr>
          <w:spacing w:val="40"/>
          <w:vertAlign w:val="baseline"/>
        </w:rPr>
        <w:t> </w:t>
      </w:r>
      <w:r>
        <w:rPr>
          <w:vertAlign w:val="baseline"/>
        </w:rPr>
        <w:t>recorded</w:t>
      </w:r>
      <w:r>
        <w:rPr>
          <w:spacing w:val="40"/>
          <w:vertAlign w:val="baseline"/>
        </w:rPr>
        <w:t> </w:t>
      </w:r>
      <w:r>
        <w:rPr>
          <w:vertAlign w:val="baseline"/>
        </w:rPr>
        <w:t>as the gelatinization temperature.</w:t>
      </w:r>
    </w:p>
    <w:p>
      <w:pPr>
        <w:spacing w:after="0" w:line="491" w:lineRule="auto"/>
        <w:jc w:val="both"/>
        <w:sectPr>
          <w:pgSz w:w="12240" w:h="15840"/>
          <w:pgMar w:header="0" w:footer="999" w:top="1260" w:bottom="1180" w:left="1720" w:right="0"/>
        </w:sectPr>
      </w:pPr>
    </w:p>
    <w:p>
      <w:pPr>
        <w:pStyle w:val="Heading2"/>
        <w:numPr>
          <w:ilvl w:val="2"/>
          <w:numId w:val="33"/>
        </w:numPr>
        <w:tabs>
          <w:tab w:pos="1342" w:val="left" w:leader="none"/>
        </w:tabs>
        <w:spacing w:line="240" w:lineRule="auto" w:before="80" w:after="0"/>
        <w:ind w:left="1342" w:right="0" w:hanging="677"/>
        <w:jc w:val="left"/>
      </w:pPr>
      <w:r>
        <w:rPr/>
        <w:t>Production</w:t>
      </w:r>
      <w:r>
        <w:rPr>
          <w:spacing w:val="13"/>
        </w:rPr>
        <w:t> </w:t>
      </w:r>
      <w:r>
        <w:rPr/>
        <w:t>of</w:t>
      </w:r>
      <w:r>
        <w:rPr>
          <w:spacing w:val="16"/>
        </w:rPr>
        <w:t> </w:t>
      </w:r>
      <w:r>
        <w:rPr/>
        <w:t>Microcrystalline</w:t>
      </w:r>
      <w:r>
        <w:rPr>
          <w:spacing w:val="15"/>
        </w:rPr>
        <w:t> </w:t>
      </w:r>
      <w:r>
        <w:rPr/>
        <w:t>Starch</w:t>
      </w:r>
      <w:r>
        <w:rPr>
          <w:spacing w:val="21"/>
        </w:rPr>
        <w:t> </w:t>
      </w:r>
      <w:r>
        <w:rPr>
          <w:spacing w:val="-4"/>
        </w:rPr>
        <w:t>(MCS)</w:t>
      </w:r>
    </w:p>
    <w:p>
      <w:pPr>
        <w:pStyle w:val="BodyText"/>
        <w:spacing w:line="491" w:lineRule="auto" w:before="246"/>
        <w:ind w:left="665" w:right="1854" w:firstLine="676"/>
        <w:jc w:val="both"/>
      </w:pPr>
      <w:r>
        <w:rPr/>
        <w:t>The method described by World Intellectual Property Organization (1967) was adopted</w:t>
      </w:r>
      <w:r>
        <w:rPr>
          <w:spacing w:val="29"/>
        </w:rPr>
        <w:t> </w:t>
      </w:r>
      <w:r>
        <w:rPr/>
        <w:t>in the production of microcrystalline starch.</w:t>
      </w:r>
      <w:r>
        <w:rPr>
          <w:spacing w:val="80"/>
        </w:rPr>
        <w:t> </w:t>
      </w:r>
      <w:r>
        <w:rPr/>
        <w:t>A four 200 g suspension of 36 % w/v starch was prepared and 12.5 mL of 6 N HCl added and the reaction was allowed to proceed</w:t>
      </w:r>
      <w:r>
        <w:rPr>
          <w:spacing w:val="38"/>
        </w:rPr>
        <w:t> </w:t>
      </w:r>
      <w:r>
        <w:rPr/>
        <w:t>at 48</w:t>
      </w:r>
      <w:r>
        <w:rPr>
          <w:spacing w:val="34"/>
        </w:rPr>
        <w:t> </w:t>
      </w:r>
      <w:r>
        <w:rPr>
          <w:vertAlign w:val="superscript"/>
        </w:rPr>
        <w:t>o</w:t>
      </w:r>
      <w:r>
        <w:rPr>
          <w:vertAlign w:val="baseline"/>
        </w:rPr>
        <w:t>C.</w:t>
      </w:r>
      <w:r>
        <w:rPr>
          <w:spacing w:val="37"/>
          <w:vertAlign w:val="baseline"/>
        </w:rPr>
        <w:t> </w:t>
      </w:r>
      <w:r>
        <w:rPr>
          <w:vertAlign w:val="baseline"/>
        </w:rPr>
        <w:t>This</w:t>
      </w:r>
      <w:r>
        <w:rPr>
          <w:spacing w:val="30"/>
          <w:vertAlign w:val="baseline"/>
        </w:rPr>
        <w:t> </w:t>
      </w:r>
      <w:r>
        <w:rPr>
          <w:vertAlign w:val="baseline"/>
        </w:rPr>
        <w:t>reaction was</w:t>
      </w:r>
      <w:r>
        <w:rPr>
          <w:spacing w:val="30"/>
          <w:vertAlign w:val="baseline"/>
        </w:rPr>
        <w:t> </w:t>
      </w:r>
      <w:r>
        <w:rPr>
          <w:vertAlign w:val="baseline"/>
        </w:rPr>
        <w:t>allowed</w:t>
      </w:r>
      <w:r>
        <w:rPr>
          <w:spacing w:val="33"/>
          <w:vertAlign w:val="baseline"/>
        </w:rPr>
        <w:t> </w:t>
      </w:r>
      <w:r>
        <w:rPr>
          <w:vertAlign w:val="baseline"/>
        </w:rPr>
        <w:t>to</w:t>
      </w:r>
      <w:r>
        <w:rPr>
          <w:spacing w:val="33"/>
          <w:vertAlign w:val="baseline"/>
        </w:rPr>
        <w:t> </w:t>
      </w:r>
      <w:r>
        <w:rPr>
          <w:vertAlign w:val="baseline"/>
        </w:rPr>
        <w:t>run for 6</w:t>
      </w:r>
      <w:r>
        <w:rPr>
          <w:spacing w:val="39"/>
          <w:vertAlign w:val="baseline"/>
        </w:rPr>
        <w:t> </w:t>
      </w:r>
      <w:r>
        <w:rPr>
          <w:vertAlign w:val="baseline"/>
        </w:rPr>
        <w:t>h, 12</w:t>
      </w:r>
      <w:r>
        <w:rPr>
          <w:spacing w:val="34"/>
          <w:vertAlign w:val="baseline"/>
        </w:rPr>
        <w:t> </w:t>
      </w:r>
      <w:r>
        <w:rPr>
          <w:vertAlign w:val="baseline"/>
        </w:rPr>
        <w:t>h, 18</w:t>
      </w:r>
      <w:r>
        <w:rPr>
          <w:spacing w:val="34"/>
          <w:vertAlign w:val="baseline"/>
        </w:rPr>
        <w:t> </w:t>
      </w:r>
      <w:r>
        <w:rPr>
          <w:vertAlign w:val="baseline"/>
        </w:rPr>
        <w:t>h and 24</w:t>
      </w:r>
      <w:r>
        <w:rPr>
          <w:spacing w:val="33"/>
          <w:vertAlign w:val="baseline"/>
        </w:rPr>
        <w:t> </w:t>
      </w:r>
      <w:r>
        <w:rPr>
          <w:vertAlign w:val="baseline"/>
        </w:rPr>
        <w:t>h after which samples were withdrawn for processing and examination.</w:t>
      </w:r>
      <w:r>
        <w:rPr>
          <w:spacing w:val="40"/>
          <w:vertAlign w:val="baseline"/>
        </w:rPr>
        <w:t> </w:t>
      </w:r>
      <w:r>
        <w:rPr>
          <w:vertAlign w:val="baseline"/>
        </w:rPr>
        <w:t>Processing of the microcrystalline</w:t>
      </w:r>
      <w:r>
        <w:rPr>
          <w:spacing w:val="40"/>
          <w:vertAlign w:val="baseline"/>
        </w:rPr>
        <w:t> </w:t>
      </w:r>
      <w:r>
        <w:rPr>
          <w:vertAlign w:val="baseline"/>
        </w:rPr>
        <w:t>starch</w:t>
      </w:r>
      <w:r>
        <w:rPr>
          <w:spacing w:val="40"/>
          <w:vertAlign w:val="baseline"/>
        </w:rPr>
        <w:t> </w:t>
      </w:r>
      <w:r>
        <w:rPr>
          <w:vertAlign w:val="baseline"/>
        </w:rPr>
        <w:t>involved</w:t>
      </w:r>
      <w:r>
        <w:rPr>
          <w:spacing w:val="40"/>
          <w:vertAlign w:val="baseline"/>
        </w:rPr>
        <w:t> </w:t>
      </w:r>
      <w:r>
        <w:rPr>
          <w:vertAlign w:val="baseline"/>
        </w:rPr>
        <w:t>vacuum</w:t>
      </w:r>
      <w:r>
        <w:rPr>
          <w:spacing w:val="40"/>
          <w:vertAlign w:val="baseline"/>
        </w:rPr>
        <w:t> </w:t>
      </w:r>
      <w:r>
        <w:rPr>
          <w:vertAlign w:val="baseline"/>
        </w:rPr>
        <w:t>filtration</w:t>
      </w:r>
      <w:r>
        <w:rPr>
          <w:spacing w:val="40"/>
          <w:vertAlign w:val="baseline"/>
        </w:rPr>
        <w:t> </w:t>
      </w:r>
      <w:r>
        <w:rPr>
          <w:vertAlign w:val="baseline"/>
        </w:rPr>
        <w:t>and</w:t>
      </w:r>
      <w:r>
        <w:rPr>
          <w:spacing w:val="40"/>
          <w:vertAlign w:val="baseline"/>
        </w:rPr>
        <w:t> </w:t>
      </w:r>
      <w:r>
        <w:rPr>
          <w:vertAlign w:val="baseline"/>
        </w:rPr>
        <w:t>suspension</w:t>
      </w:r>
      <w:r>
        <w:rPr>
          <w:spacing w:val="40"/>
          <w:vertAlign w:val="baseline"/>
        </w:rPr>
        <w:t> </w:t>
      </w:r>
      <w:r>
        <w:rPr>
          <w:vertAlign w:val="baseline"/>
        </w:rPr>
        <w:t>of</w:t>
      </w:r>
      <w:r>
        <w:rPr>
          <w:spacing w:val="40"/>
          <w:vertAlign w:val="baseline"/>
        </w:rPr>
        <w:t> </w:t>
      </w:r>
      <w:r>
        <w:rPr>
          <w:vertAlign w:val="baseline"/>
        </w:rPr>
        <w:t>the microcrystalline starch in 250 mL water followed by adjustment to pH 6 with NaOH, vacuum filtration with 750 mL water and dehydration with ethanol.</w:t>
      </w:r>
    </w:p>
    <w:p>
      <w:pPr>
        <w:pStyle w:val="Heading2"/>
        <w:numPr>
          <w:ilvl w:val="1"/>
          <w:numId w:val="33"/>
        </w:numPr>
        <w:tabs>
          <w:tab w:pos="1340" w:val="left" w:leader="none"/>
        </w:tabs>
        <w:spacing w:line="364" w:lineRule="auto" w:before="234" w:after="0"/>
        <w:ind w:left="665" w:right="1851" w:firstLine="0"/>
        <w:jc w:val="both"/>
      </w:pPr>
      <w:r>
        <w:rPr/>
        <w:t>Physicochemical Tests on </w:t>
      </w:r>
      <w:r>
        <w:rPr>
          <w:i/>
        </w:rPr>
        <w:t>Digitaria iburua </w:t>
      </w:r>
      <w:r>
        <w:rPr/>
        <w:t>starch (DS) and Microcrystalline Starch (MCS)</w:t>
      </w:r>
    </w:p>
    <w:p>
      <w:pPr>
        <w:pStyle w:val="ListParagraph"/>
        <w:numPr>
          <w:ilvl w:val="2"/>
          <w:numId w:val="33"/>
        </w:numPr>
        <w:tabs>
          <w:tab w:pos="1171" w:val="left" w:leader="none"/>
        </w:tabs>
        <w:spacing w:line="240" w:lineRule="auto" w:before="229" w:after="0"/>
        <w:ind w:left="1171" w:right="0" w:hanging="506"/>
        <w:jc w:val="left"/>
        <w:rPr>
          <w:b/>
          <w:sz w:val="22"/>
        </w:rPr>
      </w:pPr>
      <w:r>
        <w:rPr>
          <w:b/>
          <w:sz w:val="22"/>
        </w:rPr>
        <w:t>Determination</w:t>
      </w:r>
      <w:r>
        <w:rPr>
          <w:b/>
          <w:spacing w:val="14"/>
          <w:sz w:val="22"/>
        </w:rPr>
        <w:t> </w:t>
      </w:r>
      <w:r>
        <w:rPr>
          <w:b/>
          <w:sz w:val="22"/>
        </w:rPr>
        <w:t>of</w:t>
      </w:r>
      <w:r>
        <w:rPr>
          <w:b/>
          <w:spacing w:val="18"/>
          <w:sz w:val="22"/>
        </w:rPr>
        <w:t> </w:t>
      </w:r>
      <w:r>
        <w:rPr>
          <w:b/>
          <w:sz w:val="22"/>
        </w:rPr>
        <w:t>Percentage</w:t>
      </w:r>
      <w:r>
        <w:rPr>
          <w:b/>
          <w:spacing w:val="16"/>
          <w:sz w:val="22"/>
        </w:rPr>
        <w:t> </w:t>
      </w:r>
      <w:r>
        <w:rPr>
          <w:b/>
          <w:sz w:val="22"/>
        </w:rPr>
        <w:t>Yield</w:t>
      </w:r>
      <w:r>
        <w:rPr>
          <w:b/>
          <w:spacing w:val="9"/>
          <w:sz w:val="22"/>
        </w:rPr>
        <w:t> </w:t>
      </w:r>
      <w:r>
        <w:rPr>
          <w:b/>
          <w:sz w:val="22"/>
        </w:rPr>
        <w:t>and</w:t>
      </w:r>
      <w:r>
        <w:rPr>
          <w:b/>
          <w:spacing w:val="15"/>
          <w:sz w:val="22"/>
        </w:rPr>
        <w:t> </w:t>
      </w:r>
      <w:r>
        <w:rPr>
          <w:b/>
          <w:sz w:val="22"/>
        </w:rPr>
        <w:t>Organoleptic</w:t>
      </w:r>
      <w:r>
        <w:rPr>
          <w:b/>
          <w:spacing w:val="16"/>
          <w:sz w:val="22"/>
        </w:rPr>
        <w:t> </w:t>
      </w:r>
      <w:r>
        <w:rPr>
          <w:b/>
          <w:sz w:val="22"/>
        </w:rPr>
        <w:t>properties</w:t>
      </w:r>
      <w:r>
        <w:rPr>
          <w:b/>
          <w:spacing w:val="8"/>
          <w:sz w:val="22"/>
        </w:rPr>
        <w:t> </w:t>
      </w:r>
      <w:r>
        <w:rPr>
          <w:b/>
          <w:sz w:val="22"/>
        </w:rPr>
        <w:t>of</w:t>
      </w:r>
      <w:r>
        <w:rPr>
          <w:b/>
          <w:spacing w:val="17"/>
          <w:sz w:val="22"/>
        </w:rPr>
        <w:t> </w:t>
      </w:r>
      <w:r>
        <w:rPr>
          <w:b/>
          <w:spacing w:val="-5"/>
          <w:sz w:val="22"/>
        </w:rPr>
        <w:t>MCS</w:t>
      </w:r>
    </w:p>
    <w:p>
      <w:pPr>
        <w:pStyle w:val="BodyText"/>
        <w:spacing w:line="491" w:lineRule="auto" w:before="246"/>
        <w:ind w:left="665" w:right="1861" w:firstLine="676"/>
        <w:jc w:val="both"/>
      </w:pPr>
      <w:r>
        <w:rPr/>
        <w:t>The percentage yield of the microcrystalline starch was calculated.</w:t>
      </w:r>
      <w:r>
        <w:rPr>
          <w:spacing w:val="40"/>
        </w:rPr>
        <w:t> </w:t>
      </w:r>
      <w:r>
        <w:rPr/>
        <w:t>Organoleptic properties</w:t>
      </w:r>
      <w:r>
        <w:rPr>
          <w:spacing w:val="40"/>
        </w:rPr>
        <w:t> </w:t>
      </w:r>
      <w:r>
        <w:rPr/>
        <w:t>such</w:t>
      </w:r>
      <w:r>
        <w:rPr>
          <w:spacing w:val="40"/>
        </w:rPr>
        <w:t> </w:t>
      </w:r>
      <w:r>
        <w:rPr/>
        <w:t>as</w:t>
      </w:r>
      <w:r>
        <w:rPr>
          <w:spacing w:val="40"/>
        </w:rPr>
        <w:t> </w:t>
      </w:r>
      <w:r>
        <w:rPr/>
        <w:t>taste,</w:t>
      </w:r>
      <w:r>
        <w:rPr>
          <w:spacing w:val="40"/>
        </w:rPr>
        <w:t> </w:t>
      </w:r>
      <w:r>
        <w:rPr/>
        <w:t>colour,</w:t>
      </w:r>
      <w:r>
        <w:rPr>
          <w:spacing w:val="40"/>
        </w:rPr>
        <w:t> </w:t>
      </w:r>
      <w:r>
        <w:rPr/>
        <w:t>odour</w:t>
      </w:r>
      <w:r>
        <w:rPr>
          <w:spacing w:val="40"/>
        </w:rPr>
        <w:t> </w:t>
      </w:r>
      <w:r>
        <w:rPr/>
        <w:t>and</w:t>
      </w:r>
      <w:r>
        <w:rPr>
          <w:spacing w:val="40"/>
        </w:rPr>
        <w:t> </w:t>
      </w:r>
      <w:r>
        <w:rPr/>
        <w:t>texture</w:t>
      </w:r>
      <w:r>
        <w:rPr>
          <w:spacing w:val="40"/>
        </w:rPr>
        <w:t> </w:t>
      </w:r>
      <w:r>
        <w:rPr/>
        <w:t>at</w:t>
      </w:r>
      <w:r>
        <w:rPr>
          <w:spacing w:val="40"/>
        </w:rPr>
        <w:t> </w:t>
      </w:r>
      <w:r>
        <w:rPr/>
        <w:t>various</w:t>
      </w:r>
      <w:r>
        <w:rPr>
          <w:spacing w:val="40"/>
        </w:rPr>
        <w:t> </w:t>
      </w:r>
      <w:r>
        <w:rPr/>
        <w:t>hydrolysing</w:t>
      </w:r>
      <w:r>
        <w:rPr>
          <w:spacing w:val="40"/>
        </w:rPr>
        <w:t> </w:t>
      </w:r>
      <w:r>
        <w:rPr/>
        <w:t>conditions were determined.</w:t>
      </w:r>
    </w:p>
    <w:p>
      <w:pPr>
        <w:pStyle w:val="Heading2"/>
        <w:numPr>
          <w:ilvl w:val="2"/>
          <w:numId w:val="33"/>
        </w:numPr>
        <w:tabs>
          <w:tab w:pos="1399" w:val="left" w:leader="none"/>
        </w:tabs>
        <w:spacing w:line="240" w:lineRule="auto" w:before="230" w:after="0"/>
        <w:ind w:left="1399" w:right="0" w:hanging="734"/>
        <w:jc w:val="left"/>
      </w:pPr>
      <w:bookmarkStart w:name="_TOC_250067" w:id="94"/>
      <w:r>
        <w:rPr/>
        <w:t>Iodine</w:t>
      </w:r>
      <w:r>
        <w:rPr>
          <w:spacing w:val="12"/>
        </w:rPr>
        <w:t> </w:t>
      </w:r>
      <w:bookmarkEnd w:id="94"/>
      <w:r>
        <w:rPr>
          <w:spacing w:val="-4"/>
        </w:rPr>
        <w:t>Test</w:t>
      </w:r>
    </w:p>
    <w:p>
      <w:pPr>
        <w:pStyle w:val="BodyText"/>
        <w:spacing w:line="491" w:lineRule="auto" w:before="246"/>
        <w:ind w:left="665" w:right="1852" w:firstLine="676"/>
        <w:jc w:val="both"/>
      </w:pPr>
      <w:r>
        <w:rPr/>
        <w:t>A 50 mL volume of 2 % w/v starch suspension was prepared. A volume (10 mL) was then measured, boiled</w:t>
      </w:r>
      <w:r>
        <w:rPr>
          <w:spacing w:val="33"/>
        </w:rPr>
        <w:t> </w:t>
      </w:r>
      <w:r>
        <w:rPr/>
        <w:t>and</w:t>
      </w:r>
      <w:r>
        <w:rPr>
          <w:spacing w:val="33"/>
        </w:rPr>
        <w:t> </w:t>
      </w:r>
      <w:r>
        <w:rPr/>
        <w:t>cooled.</w:t>
      </w:r>
      <w:r>
        <w:rPr>
          <w:spacing w:val="80"/>
        </w:rPr>
        <w:t> </w:t>
      </w:r>
      <w:r>
        <w:rPr/>
        <w:t>Two drops of 0.1</w:t>
      </w:r>
      <w:r>
        <w:rPr>
          <w:spacing w:val="28"/>
        </w:rPr>
        <w:t> </w:t>
      </w:r>
      <w:r>
        <w:rPr/>
        <w:t>N iodine solution was added and shaken.</w:t>
      </w:r>
      <w:r>
        <w:rPr>
          <w:spacing w:val="40"/>
        </w:rPr>
        <w:t> </w:t>
      </w:r>
      <w:r>
        <w:rPr/>
        <w:t>The resulting colour was examined and noted.</w:t>
      </w:r>
    </w:p>
    <w:p>
      <w:pPr>
        <w:pStyle w:val="Heading2"/>
        <w:numPr>
          <w:ilvl w:val="2"/>
          <w:numId w:val="33"/>
        </w:numPr>
        <w:tabs>
          <w:tab w:pos="1399" w:val="left" w:leader="none"/>
        </w:tabs>
        <w:spacing w:line="240" w:lineRule="auto" w:before="230" w:after="0"/>
        <w:ind w:left="1399" w:right="0" w:hanging="734"/>
        <w:jc w:val="left"/>
      </w:pPr>
      <w:bookmarkStart w:name="_TOC_250066" w:id="95"/>
      <w:r>
        <w:rPr/>
        <w:t>pH</w:t>
      </w:r>
      <w:r>
        <w:rPr>
          <w:spacing w:val="14"/>
        </w:rPr>
        <w:t> </w:t>
      </w:r>
      <w:bookmarkEnd w:id="95"/>
      <w:r>
        <w:rPr>
          <w:spacing w:val="-2"/>
        </w:rPr>
        <w:t>Determination</w:t>
      </w:r>
    </w:p>
    <w:p>
      <w:pPr>
        <w:pStyle w:val="BodyText"/>
        <w:spacing w:line="491" w:lineRule="auto" w:before="246"/>
        <w:ind w:left="665" w:right="1858" w:firstLine="676"/>
        <w:jc w:val="both"/>
      </w:pPr>
      <w:r>
        <w:rPr/>
        <w:t>Two gram of starch sample was dispersed in 100 mL distilled</w:t>
      </w:r>
      <w:r>
        <w:rPr>
          <w:spacing w:val="28"/>
        </w:rPr>
        <w:t> </w:t>
      </w:r>
      <w:r>
        <w:rPr/>
        <w:t>water and shaken</w:t>
      </w:r>
      <w:r>
        <w:rPr>
          <w:spacing w:val="40"/>
        </w:rPr>
        <w:t> </w:t>
      </w:r>
      <w:r>
        <w:rPr/>
        <w:t>for 5</w:t>
      </w:r>
      <w:r>
        <w:rPr>
          <w:spacing w:val="25"/>
        </w:rPr>
        <w:t> </w:t>
      </w:r>
      <w:r>
        <w:rPr/>
        <w:t>min.</w:t>
      </w:r>
      <w:r>
        <w:rPr>
          <w:spacing w:val="80"/>
        </w:rPr>
        <w:t> </w:t>
      </w:r>
      <w:r>
        <w:rPr/>
        <w:t>The pH of the supernatant</w:t>
      </w:r>
      <w:r>
        <w:rPr>
          <w:spacing w:val="28"/>
        </w:rPr>
        <w:t> </w:t>
      </w:r>
      <w:r>
        <w:rPr/>
        <w:t>solution was determined using a pH meter.</w:t>
      </w:r>
    </w:p>
    <w:p>
      <w:pPr>
        <w:spacing w:after="0" w:line="491" w:lineRule="auto"/>
        <w:jc w:val="both"/>
        <w:sectPr>
          <w:pgSz w:w="12240" w:h="15840"/>
          <w:pgMar w:header="0" w:footer="999" w:top="1260" w:bottom="1180" w:left="1720" w:right="0"/>
        </w:sectPr>
      </w:pPr>
    </w:p>
    <w:p>
      <w:pPr>
        <w:pStyle w:val="Heading2"/>
        <w:numPr>
          <w:ilvl w:val="2"/>
          <w:numId w:val="33"/>
        </w:numPr>
        <w:tabs>
          <w:tab w:pos="1399" w:val="left" w:leader="none"/>
        </w:tabs>
        <w:spacing w:line="240" w:lineRule="auto" w:before="80" w:after="0"/>
        <w:ind w:left="1399" w:right="0" w:hanging="734"/>
        <w:jc w:val="left"/>
      </w:pPr>
      <w:bookmarkStart w:name="_TOC_250065" w:id="96"/>
      <w:r>
        <w:rPr/>
        <w:t>Determination</w:t>
      </w:r>
      <w:r>
        <w:rPr>
          <w:spacing w:val="14"/>
        </w:rPr>
        <w:t> </w:t>
      </w:r>
      <w:r>
        <w:rPr/>
        <w:t>of</w:t>
      </w:r>
      <w:r>
        <w:rPr>
          <w:spacing w:val="18"/>
        </w:rPr>
        <w:t> </w:t>
      </w:r>
      <w:r>
        <w:rPr/>
        <w:t>Amylose</w:t>
      </w:r>
      <w:r>
        <w:rPr>
          <w:spacing w:val="16"/>
        </w:rPr>
        <w:t> </w:t>
      </w:r>
      <w:r>
        <w:rPr/>
        <w:t>and</w:t>
      </w:r>
      <w:r>
        <w:rPr>
          <w:spacing w:val="15"/>
        </w:rPr>
        <w:t> </w:t>
      </w:r>
      <w:r>
        <w:rPr/>
        <w:t>Amylopectin</w:t>
      </w:r>
      <w:r>
        <w:rPr>
          <w:spacing w:val="15"/>
        </w:rPr>
        <w:t> </w:t>
      </w:r>
      <w:bookmarkEnd w:id="96"/>
      <w:r>
        <w:rPr>
          <w:spacing w:val="-2"/>
        </w:rPr>
        <w:t>Content</w:t>
      </w:r>
    </w:p>
    <w:p>
      <w:pPr>
        <w:pStyle w:val="BodyText"/>
        <w:spacing w:line="491" w:lineRule="auto" w:before="246"/>
        <w:ind w:left="665" w:right="1858"/>
        <w:jc w:val="both"/>
      </w:pPr>
      <w:r>
        <w:rPr/>
        <w:t>The method of Song and Jane (2000) was adopted. A starch suspension (0.8 % w/v) was prepared</w:t>
      </w:r>
      <w:r>
        <w:rPr>
          <w:spacing w:val="40"/>
        </w:rPr>
        <w:t> </w:t>
      </w:r>
      <w:r>
        <w:rPr/>
        <w:t>and</w:t>
      </w:r>
      <w:r>
        <w:rPr>
          <w:spacing w:val="39"/>
        </w:rPr>
        <w:t> </w:t>
      </w:r>
      <w:r>
        <w:rPr/>
        <w:t>heated</w:t>
      </w:r>
      <w:r>
        <w:rPr>
          <w:spacing w:val="34"/>
        </w:rPr>
        <w:t> </w:t>
      </w:r>
      <w:r>
        <w:rPr/>
        <w:t>on</w:t>
      </w:r>
      <w:r>
        <w:rPr>
          <w:spacing w:val="28"/>
        </w:rPr>
        <w:t> </w:t>
      </w:r>
      <w:r>
        <w:rPr/>
        <w:t>the</w:t>
      </w:r>
      <w:r>
        <w:rPr>
          <w:spacing w:val="38"/>
        </w:rPr>
        <w:t> </w:t>
      </w:r>
      <w:r>
        <w:rPr/>
        <w:t>water</w:t>
      </w:r>
      <w:r>
        <w:rPr>
          <w:spacing w:val="39"/>
        </w:rPr>
        <w:t> </w:t>
      </w:r>
      <w:r>
        <w:rPr/>
        <w:t>bath</w:t>
      </w:r>
      <w:r>
        <w:rPr>
          <w:spacing w:val="35"/>
        </w:rPr>
        <w:t> </w:t>
      </w:r>
      <w:r>
        <w:rPr/>
        <w:t>stirring</w:t>
      </w:r>
      <w:r>
        <w:rPr>
          <w:spacing w:val="34"/>
        </w:rPr>
        <w:t> </w:t>
      </w:r>
      <w:r>
        <w:rPr/>
        <w:t>continuously at</w:t>
      </w:r>
      <w:r>
        <w:rPr>
          <w:spacing w:val="36"/>
        </w:rPr>
        <w:t> </w:t>
      </w:r>
      <w:r>
        <w:rPr/>
        <w:t>100</w:t>
      </w:r>
      <w:r>
        <w:rPr>
          <w:spacing w:val="40"/>
        </w:rPr>
        <w:t> </w:t>
      </w:r>
      <w:r>
        <w:rPr>
          <w:vertAlign w:val="superscript"/>
        </w:rPr>
        <w:t>o</w:t>
      </w:r>
      <w:r>
        <w:rPr>
          <w:vertAlign w:val="baseline"/>
        </w:rPr>
        <w:t>C</w:t>
      </w:r>
      <w:r>
        <w:rPr>
          <w:spacing w:val="35"/>
          <w:vertAlign w:val="baseline"/>
        </w:rPr>
        <w:t> </w:t>
      </w:r>
      <w:r>
        <w:rPr>
          <w:vertAlign w:val="baseline"/>
        </w:rPr>
        <w:t>until</w:t>
      </w:r>
      <w:r>
        <w:rPr>
          <w:spacing w:val="31"/>
          <w:vertAlign w:val="baseline"/>
        </w:rPr>
        <w:t> </w:t>
      </w:r>
      <w:r>
        <w:rPr>
          <w:vertAlign w:val="baseline"/>
        </w:rPr>
        <w:t>the</w:t>
      </w:r>
      <w:r>
        <w:rPr>
          <w:spacing w:val="32"/>
          <w:vertAlign w:val="baseline"/>
        </w:rPr>
        <w:t> </w:t>
      </w:r>
      <w:r>
        <w:rPr>
          <w:vertAlign w:val="baseline"/>
        </w:rPr>
        <w:t>starch was fully gelatinized. The insoluble residue was obtained by filtration of the starch suspension and the pH adjusted to 6.3 using a phosphate buffer. The solution was then stirred</w:t>
      </w:r>
      <w:r>
        <w:rPr>
          <w:spacing w:val="23"/>
          <w:vertAlign w:val="baseline"/>
        </w:rPr>
        <w:t> </w:t>
      </w:r>
      <w:r>
        <w:rPr>
          <w:vertAlign w:val="baseline"/>
        </w:rPr>
        <w:t>on the boiling water</w:t>
      </w:r>
      <w:r>
        <w:rPr>
          <w:spacing w:val="22"/>
          <w:vertAlign w:val="baseline"/>
        </w:rPr>
        <w:t> </w:t>
      </w:r>
      <w:r>
        <w:rPr>
          <w:vertAlign w:val="baseline"/>
        </w:rPr>
        <w:t>bath for 2 h to</w:t>
      </w:r>
      <w:r>
        <w:rPr>
          <w:spacing w:val="23"/>
          <w:vertAlign w:val="baseline"/>
        </w:rPr>
        <w:t> </w:t>
      </w:r>
      <w:r>
        <w:rPr>
          <w:vertAlign w:val="baseline"/>
        </w:rPr>
        <w:t>disperse the starch molecules and</w:t>
      </w:r>
      <w:r>
        <w:rPr>
          <w:spacing w:val="24"/>
          <w:vertAlign w:val="baseline"/>
        </w:rPr>
        <w:t> </w:t>
      </w:r>
      <w:r>
        <w:rPr>
          <w:vertAlign w:val="baseline"/>
        </w:rPr>
        <w:t>then 20 % v/v butanol was added while the heating continued at 100 </w:t>
      </w:r>
      <w:r>
        <w:rPr>
          <w:vertAlign w:val="superscript"/>
        </w:rPr>
        <w:t>o</w:t>
      </w:r>
      <w:r>
        <w:rPr>
          <w:vertAlign w:val="baseline"/>
        </w:rPr>
        <w:t>C for another 1 h.</w:t>
      </w:r>
      <w:r>
        <w:rPr>
          <w:spacing w:val="80"/>
          <w:vertAlign w:val="baseline"/>
        </w:rPr>
        <w:t> </w:t>
      </w:r>
      <w:r>
        <w:rPr>
          <w:vertAlign w:val="baseline"/>
        </w:rPr>
        <w:t>After cooling at room temperature over a period of 24 h, amylose butyl alcohol complex</w:t>
      </w:r>
      <w:r>
        <w:rPr>
          <w:spacing w:val="80"/>
          <w:vertAlign w:val="baseline"/>
        </w:rPr>
        <w:t> </w:t>
      </w:r>
      <w:r>
        <w:rPr>
          <w:vertAlign w:val="baseline"/>
        </w:rPr>
        <w:t>crystals</w:t>
      </w:r>
      <w:r>
        <w:rPr>
          <w:spacing w:val="37"/>
          <w:vertAlign w:val="baseline"/>
        </w:rPr>
        <w:t> </w:t>
      </w:r>
      <w:r>
        <w:rPr>
          <w:vertAlign w:val="baseline"/>
        </w:rPr>
        <w:t>were</w:t>
      </w:r>
      <w:r>
        <w:rPr>
          <w:spacing w:val="40"/>
          <w:vertAlign w:val="baseline"/>
        </w:rPr>
        <w:t> </w:t>
      </w:r>
      <w:r>
        <w:rPr>
          <w:vertAlign w:val="baseline"/>
        </w:rPr>
        <w:t>formed</w:t>
      </w:r>
      <w:r>
        <w:rPr>
          <w:spacing w:val="40"/>
          <w:vertAlign w:val="baseline"/>
        </w:rPr>
        <w:t> </w:t>
      </w:r>
      <w:r>
        <w:rPr>
          <w:vertAlign w:val="baseline"/>
        </w:rPr>
        <w:t>which</w:t>
      </w:r>
      <w:r>
        <w:rPr>
          <w:spacing w:val="30"/>
          <w:vertAlign w:val="baseline"/>
        </w:rPr>
        <w:t> </w:t>
      </w:r>
      <w:r>
        <w:rPr>
          <w:vertAlign w:val="baseline"/>
        </w:rPr>
        <w:t>was</w:t>
      </w:r>
      <w:r>
        <w:rPr>
          <w:spacing w:val="32"/>
          <w:vertAlign w:val="baseline"/>
        </w:rPr>
        <w:t> </w:t>
      </w:r>
      <w:r>
        <w:rPr>
          <w:vertAlign w:val="baseline"/>
        </w:rPr>
        <w:t>separated</w:t>
      </w:r>
      <w:r>
        <w:rPr>
          <w:spacing w:val="36"/>
          <w:vertAlign w:val="baseline"/>
        </w:rPr>
        <w:t> </w:t>
      </w:r>
      <w:r>
        <w:rPr>
          <w:vertAlign w:val="baseline"/>
        </w:rPr>
        <w:t>by filtration.</w:t>
      </w:r>
      <w:r>
        <w:rPr>
          <w:spacing w:val="40"/>
          <w:vertAlign w:val="baseline"/>
        </w:rPr>
        <w:t> </w:t>
      </w:r>
      <w:r>
        <w:rPr>
          <w:vertAlign w:val="baseline"/>
        </w:rPr>
        <w:t>The</w:t>
      </w:r>
      <w:r>
        <w:rPr>
          <w:spacing w:val="40"/>
          <w:vertAlign w:val="baseline"/>
        </w:rPr>
        <w:t> </w:t>
      </w:r>
      <w:r>
        <w:rPr>
          <w:vertAlign w:val="baseline"/>
        </w:rPr>
        <w:t>amylopectin</w:t>
      </w:r>
      <w:r>
        <w:rPr>
          <w:spacing w:val="32"/>
          <w:vertAlign w:val="baseline"/>
        </w:rPr>
        <w:t> </w:t>
      </w:r>
      <w:r>
        <w:rPr>
          <w:vertAlign w:val="baseline"/>
        </w:rPr>
        <w:t>contained</w:t>
      </w:r>
      <w:r>
        <w:rPr>
          <w:spacing w:val="40"/>
          <w:vertAlign w:val="baseline"/>
        </w:rPr>
        <w:t> </w:t>
      </w:r>
      <w:r>
        <w:rPr>
          <w:vertAlign w:val="baseline"/>
        </w:rPr>
        <w:t>in the</w:t>
      </w:r>
      <w:r>
        <w:rPr>
          <w:spacing w:val="37"/>
          <w:vertAlign w:val="baseline"/>
        </w:rPr>
        <w:t> </w:t>
      </w:r>
      <w:r>
        <w:rPr>
          <w:vertAlign w:val="baseline"/>
        </w:rPr>
        <w:t>supernatant</w:t>
      </w:r>
      <w:r>
        <w:rPr>
          <w:spacing w:val="36"/>
          <w:vertAlign w:val="baseline"/>
        </w:rPr>
        <w:t> </w:t>
      </w:r>
      <w:r>
        <w:rPr>
          <w:vertAlign w:val="baseline"/>
        </w:rPr>
        <w:t>was</w:t>
      </w:r>
      <w:r>
        <w:rPr>
          <w:spacing w:val="35"/>
          <w:vertAlign w:val="baseline"/>
        </w:rPr>
        <w:t> </w:t>
      </w:r>
      <w:r>
        <w:rPr>
          <w:vertAlign w:val="baseline"/>
        </w:rPr>
        <w:t>recovered</w:t>
      </w:r>
      <w:r>
        <w:rPr>
          <w:spacing w:val="33"/>
          <w:vertAlign w:val="baseline"/>
        </w:rPr>
        <w:t> </w:t>
      </w:r>
      <w:r>
        <w:rPr>
          <w:vertAlign w:val="baseline"/>
        </w:rPr>
        <w:t>by adding</w:t>
      </w:r>
      <w:r>
        <w:rPr>
          <w:spacing w:val="27"/>
          <w:vertAlign w:val="baseline"/>
        </w:rPr>
        <w:t> </w:t>
      </w:r>
      <w:r>
        <w:rPr>
          <w:vertAlign w:val="baseline"/>
        </w:rPr>
        <w:t>excess</w:t>
      </w:r>
      <w:r>
        <w:rPr>
          <w:spacing w:val="35"/>
          <w:vertAlign w:val="baseline"/>
        </w:rPr>
        <w:t> </w:t>
      </w:r>
      <w:r>
        <w:rPr>
          <w:vertAlign w:val="baseline"/>
        </w:rPr>
        <w:t>methanol.</w:t>
      </w:r>
      <w:r>
        <w:rPr>
          <w:spacing w:val="40"/>
          <w:vertAlign w:val="baseline"/>
        </w:rPr>
        <w:t> </w:t>
      </w:r>
      <w:r>
        <w:rPr>
          <w:vertAlign w:val="baseline"/>
        </w:rPr>
        <w:t>The</w:t>
      </w:r>
      <w:r>
        <w:rPr>
          <w:spacing w:val="37"/>
          <w:vertAlign w:val="baseline"/>
        </w:rPr>
        <w:t> </w:t>
      </w:r>
      <w:r>
        <w:rPr>
          <w:vertAlign w:val="baseline"/>
        </w:rPr>
        <w:t>amylopectin</w:t>
      </w:r>
      <w:r>
        <w:rPr>
          <w:spacing w:val="33"/>
          <w:vertAlign w:val="baseline"/>
        </w:rPr>
        <w:t> </w:t>
      </w:r>
      <w:r>
        <w:rPr>
          <w:vertAlign w:val="baseline"/>
        </w:rPr>
        <w:t>was</w:t>
      </w:r>
      <w:r>
        <w:rPr>
          <w:spacing w:val="35"/>
          <w:vertAlign w:val="baseline"/>
        </w:rPr>
        <w:t> </w:t>
      </w:r>
      <w:r>
        <w:rPr>
          <w:vertAlign w:val="baseline"/>
        </w:rPr>
        <w:t>dried to get rid of the methanol and</w:t>
      </w:r>
      <w:r>
        <w:rPr>
          <w:spacing w:val="34"/>
          <w:vertAlign w:val="baseline"/>
        </w:rPr>
        <w:t> </w:t>
      </w:r>
      <w:r>
        <w:rPr>
          <w:vertAlign w:val="baseline"/>
        </w:rPr>
        <w:t>the dry weight was determined gravimetrically.</w:t>
      </w:r>
    </w:p>
    <w:p>
      <w:pPr>
        <w:pStyle w:val="Heading2"/>
        <w:numPr>
          <w:ilvl w:val="2"/>
          <w:numId w:val="33"/>
        </w:numPr>
        <w:tabs>
          <w:tab w:pos="1399" w:val="left" w:leader="none"/>
        </w:tabs>
        <w:spacing w:line="240" w:lineRule="auto" w:before="8" w:after="0"/>
        <w:ind w:left="1399" w:right="0" w:hanging="734"/>
        <w:jc w:val="left"/>
      </w:pPr>
      <w:bookmarkStart w:name="_TOC_250064" w:id="97"/>
      <w:r>
        <w:rPr/>
        <w:t>Determination</w:t>
      </w:r>
      <w:r>
        <w:rPr>
          <w:spacing w:val="11"/>
        </w:rPr>
        <w:t> </w:t>
      </w:r>
      <w:r>
        <w:rPr/>
        <w:t>of</w:t>
      </w:r>
      <w:r>
        <w:rPr>
          <w:spacing w:val="13"/>
        </w:rPr>
        <w:t> </w:t>
      </w:r>
      <w:r>
        <w:rPr/>
        <w:t>Ash</w:t>
      </w:r>
      <w:r>
        <w:rPr>
          <w:spacing w:val="16"/>
        </w:rPr>
        <w:t> </w:t>
      </w:r>
      <w:bookmarkEnd w:id="97"/>
      <w:r>
        <w:rPr>
          <w:spacing w:val="-2"/>
        </w:rPr>
        <w:t>Content</w:t>
      </w:r>
    </w:p>
    <w:p>
      <w:pPr>
        <w:pStyle w:val="BodyText"/>
        <w:spacing w:before="7"/>
        <w:rPr>
          <w:b/>
        </w:rPr>
      </w:pPr>
    </w:p>
    <w:p>
      <w:pPr>
        <w:pStyle w:val="BodyText"/>
        <w:spacing w:line="491" w:lineRule="auto"/>
        <w:ind w:left="665" w:right="1858" w:firstLine="676"/>
        <w:jc w:val="both"/>
      </w:pPr>
      <w:r>
        <w:rPr/>
        <w:t>The ash content was determined from the loss in weight that occurred during igniting at 550</w:t>
      </w:r>
      <w:r>
        <w:rPr>
          <w:spacing w:val="24"/>
        </w:rPr>
        <w:t> </w:t>
      </w:r>
      <w:r>
        <w:rPr>
          <w:vertAlign w:val="superscript"/>
        </w:rPr>
        <w:t>o</w:t>
      </w:r>
      <w:r>
        <w:rPr>
          <w:vertAlign w:val="baseline"/>
        </w:rPr>
        <w:t>C in muffle furnace which is enough to allow all organic matter to burn</w:t>
      </w:r>
      <w:r>
        <w:rPr>
          <w:spacing w:val="40"/>
          <w:vertAlign w:val="baseline"/>
        </w:rPr>
        <w:t> </w:t>
      </w:r>
      <w:r>
        <w:rPr>
          <w:vertAlign w:val="baseline"/>
        </w:rPr>
        <w:t>off without permitting any appreciable decomposition of the ash constituents.</w:t>
      </w:r>
    </w:p>
    <w:p>
      <w:pPr>
        <w:pStyle w:val="Heading2"/>
        <w:numPr>
          <w:ilvl w:val="2"/>
          <w:numId w:val="33"/>
        </w:numPr>
        <w:tabs>
          <w:tab w:pos="1399" w:val="left" w:leader="none"/>
        </w:tabs>
        <w:spacing w:line="240" w:lineRule="auto" w:before="230" w:after="0"/>
        <w:ind w:left="1399" w:right="0" w:hanging="734"/>
        <w:jc w:val="left"/>
      </w:pPr>
      <w:bookmarkStart w:name="_TOC_250063" w:id="98"/>
      <w:r>
        <w:rPr/>
        <w:t>Determination</w:t>
      </w:r>
      <w:r>
        <w:rPr>
          <w:spacing w:val="14"/>
        </w:rPr>
        <w:t> </w:t>
      </w:r>
      <w:r>
        <w:rPr/>
        <w:t>of</w:t>
      </w:r>
      <w:r>
        <w:rPr>
          <w:spacing w:val="17"/>
        </w:rPr>
        <w:t> </w:t>
      </w:r>
      <w:r>
        <w:rPr/>
        <w:t>Moisture</w:t>
      </w:r>
      <w:r>
        <w:rPr>
          <w:spacing w:val="16"/>
        </w:rPr>
        <w:t> </w:t>
      </w:r>
      <w:bookmarkEnd w:id="98"/>
      <w:r>
        <w:rPr>
          <w:spacing w:val="-2"/>
        </w:rPr>
        <w:t>Content</w:t>
      </w:r>
    </w:p>
    <w:p>
      <w:pPr>
        <w:pStyle w:val="BodyText"/>
        <w:spacing w:line="491" w:lineRule="auto" w:before="246"/>
        <w:ind w:left="665" w:right="1858" w:firstLine="676"/>
        <w:jc w:val="both"/>
      </w:pPr>
      <w:r>
        <w:rPr/>
        <w:t>A sample (5 g) of the starch was weighed into an evaporating dish and placed in the</w:t>
      </w:r>
      <w:r>
        <w:rPr>
          <w:spacing w:val="40"/>
        </w:rPr>
        <w:t> </w:t>
      </w:r>
      <w:r>
        <w:rPr/>
        <w:t>oven</w:t>
      </w:r>
      <w:r>
        <w:rPr>
          <w:spacing w:val="40"/>
        </w:rPr>
        <w:t> </w:t>
      </w:r>
      <w:r>
        <w:rPr/>
        <w:t>(Gallenkamp</w:t>
      </w:r>
      <w:r>
        <w:rPr>
          <w:spacing w:val="40"/>
        </w:rPr>
        <w:t> </w:t>
      </w:r>
      <w:r>
        <w:rPr/>
        <w:t>oven</w:t>
      </w:r>
      <w:r>
        <w:rPr>
          <w:spacing w:val="40"/>
        </w:rPr>
        <w:t> </w:t>
      </w:r>
      <w:r>
        <w:rPr/>
        <w:t>BS,</w:t>
      </w:r>
      <w:r>
        <w:rPr>
          <w:spacing w:val="40"/>
        </w:rPr>
        <w:t> </w:t>
      </w:r>
      <w:r>
        <w:rPr/>
        <w:t>England)</w:t>
      </w:r>
      <w:r>
        <w:rPr>
          <w:spacing w:val="40"/>
        </w:rPr>
        <w:t> </w:t>
      </w:r>
      <w:r>
        <w:rPr/>
        <w:t>at</w:t>
      </w:r>
      <w:r>
        <w:rPr>
          <w:spacing w:val="40"/>
        </w:rPr>
        <w:t> </w:t>
      </w:r>
      <w:r>
        <w:rPr/>
        <w:t>105</w:t>
      </w:r>
      <w:r>
        <w:rPr>
          <w:spacing w:val="40"/>
        </w:rPr>
        <w:t> </w:t>
      </w:r>
      <w:r>
        <w:rPr>
          <w:vertAlign w:val="superscript"/>
        </w:rPr>
        <w:t>o</w:t>
      </w:r>
      <w:r>
        <w:rPr>
          <w:vertAlign w:val="baseline"/>
        </w:rPr>
        <w:t>C.</w:t>
      </w:r>
      <w:r>
        <w:rPr>
          <w:spacing w:val="40"/>
          <w:vertAlign w:val="baseline"/>
        </w:rPr>
        <w:t> </w:t>
      </w:r>
      <w:r>
        <w:rPr>
          <w:vertAlign w:val="baseline"/>
        </w:rPr>
        <w:t>The</w:t>
      </w:r>
      <w:r>
        <w:rPr>
          <w:spacing w:val="40"/>
          <w:vertAlign w:val="baseline"/>
        </w:rPr>
        <w:t> </w:t>
      </w:r>
      <w:r>
        <w:rPr>
          <w:vertAlign w:val="baseline"/>
        </w:rPr>
        <w:t>sample</w:t>
      </w:r>
      <w:r>
        <w:rPr>
          <w:spacing w:val="40"/>
          <w:vertAlign w:val="baseline"/>
        </w:rPr>
        <w:t> </w:t>
      </w:r>
      <w:r>
        <w:rPr>
          <w:vertAlign w:val="baseline"/>
        </w:rPr>
        <w:t>was</w:t>
      </w:r>
      <w:r>
        <w:rPr>
          <w:spacing w:val="40"/>
          <w:vertAlign w:val="baseline"/>
        </w:rPr>
        <w:t> </w:t>
      </w:r>
      <w:r>
        <w:rPr>
          <w:vertAlign w:val="baseline"/>
        </w:rPr>
        <w:t>heated continuously until a constant</w:t>
      </w:r>
      <w:r>
        <w:rPr>
          <w:spacing w:val="27"/>
          <w:vertAlign w:val="baseline"/>
        </w:rPr>
        <w:t> </w:t>
      </w:r>
      <w:r>
        <w:rPr>
          <w:vertAlign w:val="baseline"/>
        </w:rPr>
        <w:t>weight</w:t>
      </w:r>
      <w:r>
        <w:rPr>
          <w:spacing w:val="27"/>
          <w:vertAlign w:val="baseline"/>
        </w:rPr>
        <w:t> </w:t>
      </w:r>
      <w:r>
        <w:rPr>
          <w:vertAlign w:val="baseline"/>
        </w:rPr>
        <w:t>was obtained. The moisture content</w:t>
      </w:r>
      <w:r>
        <w:rPr>
          <w:spacing w:val="27"/>
          <w:vertAlign w:val="baseline"/>
        </w:rPr>
        <w:t> </w:t>
      </w:r>
      <w:r>
        <w:rPr>
          <w:vertAlign w:val="baseline"/>
        </w:rPr>
        <w:t>was calculated as a ratio of loss in weight to the initial weight.</w:t>
      </w:r>
    </w:p>
    <w:p>
      <w:pPr>
        <w:pStyle w:val="Heading2"/>
        <w:numPr>
          <w:ilvl w:val="2"/>
          <w:numId w:val="33"/>
        </w:numPr>
        <w:tabs>
          <w:tab w:pos="1399" w:val="left" w:leader="none"/>
        </w:tabs>
        <w:spacing w:line="240" w:lineRule="auto" w:before="230" w:after="0"/>
        <w:ind w:left="1399" w:right="0" w:hanging="734"/>
        <w:jc w:val="left"/>
      </w:pPr>
      <w:bookmarkStart w:name="_TOC_250062" w:id="99"/>
      <w:r>
        <w:rPr/>
        <w:t>Determination</w:t>
      </w:r>
      <w:r>
        <w:rPr>
          <w:spacing w:val="12"/>
        </w:rPr>
        <w:t> </w:t>
      </w:r>
      <w:r>
        <w:rPr/>
        <w:t>of</w:t>
      </w:r>
      <w:r>
        <w:rPr>
          <w:spacing w:val="15"/>
        </w:rPr>
        <w:t> </w:t>
      </w:r>
      <w:r>
        <w:rPr/>
        <w:t>Lipid</w:t>
      </w:r>
      <w:r>
        <w:rPr>
          <w:spacing w:val="13"/>
        </w:rPr>
        <w:t> </w:t>
      </w:r>
      <w:bookmarkEnd w:id="99"/>
      <w:r>
        <w:rPr>
          <w:spacing w:val="-2"/>
        </w:rPr>
        <w:t>Content</w:t>
      </w:r>
    </w:p>
    <w:p>
      <w:pPr>
        <w:pStyle w:val="BodyText"/>
        <w:spacing w:line="494" w:lineRule="auto" w:before="241"/>
        <w:ind w:left="665" w:right="1857" w:firstLine="676"/>
        <w:jc w:val="both"/>
      </w:pPr>
      <w:r>
        <w:rPr/>
        <w:t>This</w:t>
      </w:r>
      <w:r>
        <w:rPr>
          <w:spacing w:val="16"/>
        </w:rPr>
        <w:t> </w:t>
      </w:r>
      <w:r>
        <w:rPr/>
        <w:t>was</w:t>
      </w:r>
      <w:r>
        <w:rPr>
          <w:spacing w:val="16"/>
        </w:rPr>
        <w:t> </w:t>
      </w:r>
      <w:r>
        <w:rPr/>
        <w:t>done</w:t>
      </w:r>
      <w:r>
        <w:rPr>
          <w:spacing w:val="18"/>
        </w:rPr>
        <w:t> </w:t>
      </w:r>
      <w:r>
        <w:rPr/>
        <w:t>by the</w:t>
      </w:r>
      <w:r>
        <w:rPr>
          <w:spacing w:val="18"/>
        </w:rPr>
        <w:t> </w:t>
      </w:r>
      <w:r>
        <w:rPr/>
        <w:t>continuous</w:t>
      </w:r>
      <w:r>
        <w:rPr>
          <w:spacing w:val="16"/>
        </w:rPr>
        <w:t> </w:t>
      </w:r>
      <w:r>
        <w:rPr/>
        <w:t>extraction</w:t>
      </w:r>
      <w:r>
        <w:rPr>
          <w:spacing w:val="14"/>
        </w:rPr>
        <w:t> </w:t>
      </w:r>
      <w:r>
        <w:rPr/>
        <w:t>of</w:t>
      </w:r>
      <w:r>
        <w:rPr>
          <w:spacing w:val="19"/>
        </w:rPr>
        <w:t> </w:t>
      </w:r>
      <w:r>
        <w:rPr/>
        <w:t>fat</w:t>
      </w:r>
      <w:r>
        <w:rPr>
          <w:spacing w:val="23"/>
        </w:rPr>
        <w:t> </w:t>
      </w:r>
      <w:r>
        <w:rPr/>
        <w:t>content</w:t>
      </w:r>
      <w:r>
        <w:rPr>
          <w:spacing w:val="17"/>
        </w:rPr>
        <w:t> </w:t>
      </w:r>
      <w:r>
        <w:rPr/>
        <w:t>from</w:t>
      </w:r>
      <w:r>
        <w:rPr>
          <w:spacing w:val="19"/>
        </w:rPr>
        <w:t> </w:t>
      </w:r>
      <w:r>
        <w:rPr/>
        <w:t>the</w:t>
      </w:r>
      <w:r>
        <w:rPr>
          <w:spacing w:val="18"/>
        </w:rPr>
        <w:t> </w:t>
      </w:r>
      <w:r>
        <w:rPr/>
        <w:t>sample</w:t>
      </w:r>
      <w:r>
        <w:rPr>
          <w:spacing w:val="12"/>
        </w:rPr>
        <w:t> </w:t>
      </w:r>
      <w:r>
        <w:rPr/>
        <w:t>using a suitable solvent e.g. petroleum ether (40-60 </w:t>
      </w:r>
      <w:r>
        <w:rPr>
          <w:vertAlign w:val="superscript"/>
        </w:rPr>
        <w:t>o</w:t>
      </w:r>
      <w:r>
        <w:rPr>
          <w:vertAlign w:val="baseline"/>
        </w:rPr>
        <w:t>C) in a Soxhlet extractor. The extractible lipid was calculated as:</w:t>
      </w:r>
    </w:p>
    <w:p>
      <w:pPr>
        <w:spacing w:line="227" w:lineRule="exact" w:before="0"/>
        <w:ind w:left="728" w:right="0" w:firstLine="0"/>
        <w:jc w:val="both"/>
        <w:rPr>
          <w:rFonts w:ascii="Cambria Math" w:hAnsi="Cambria Math" w:eastAsia="Cambria Math"/>
          <w:sz w:val="20"/>
        </w:rPr>
      </w:pPr>
      <w:r>
        <w:rPr>
          <w:rFonts w:ascii="Cambria Math" w:hAnsi="Cambria Math" w:eastAsia="Cambria Math"/>
          <w:w w:val="105"/>
          <w:sz w:val="20"/>
        </w:rPr>
        <w:t>%</w:t>
      </w:r>
      <w:r>
        <w:rPr>
          <w:rFonts w:ascii="Cambria Math" w:hAnsi="Cambria Math" w:eastAsia="Cambria Math"/>
          <w:spacing w:val="-9"/>
          <w:w w:val="105"/>
          <w:sz w:val="20"/>
        </w:rPr>
        <w:t> </w:t>
      </w:r>
      <w:r>
        <w:rPr>
          <w:rFonts w:ascii="Cambria Math" w:hAnsi="Cambria Math" w:eastAsia="Cambria Math"/>
          <w:w w:val="105"/>
          <w:sz w:val="20"/>
        </w:rPr>
        <w:t>𝐿𝑖𝑝𝑖𝑑</w:t>
      </w:r>
      <w:r>
        <w:rPr>
          <w:rFonts w:ascii="Cambria Math" w:hAnsi="Cambria Math" w:eastAsia="Cambria Math"/>
          <w:spacing w:val="-7"/>
          <w:w w:val="105"/>
          <w:sz w:val="20"/>
        </w:rPr>
        <w:t> </w:t>
      </w:r>
      <w:r>
        <w:rPr>
          <w:rFonts w:ascii="Cambria Math" w:hAnsi="Cambria Math" w:eastAsia="Cambria Math"/>
          <w:w w:val="105"/>
          <w:sz w:val="20"/>
        </w:rPr>
        <w:t>𝑤/𝑤</w:t>
      </w:r>
      <w:r>
        <w:rPr>
          <w:rFonts w:ascii="Cambria Math" w:hAnsi="Cambria Math" w:eastAsia="Cambria Math"/>
          <w:spacing w:val="41"/>
          <w:w w:val="105"/>
          <w:sz w:val="20"/>
        </w:rPr>
        <w:t> </w:t>
      </w:r>
      <w:r>
        <w:rPr>
          <w:rFonts w:ascii="Cambria Math" w:hAnsi="Cambria Math" w:eastAsia="Cambria Math"/>
          <w:w w:val="105"/>
          <w:sz w:val="20"/>
        </w:rPr>
        <w:t>=</w:t>
      </w:r>
      <w:r>
        <w:rPr>
          <w:rFonts w:ascii="Cambria Math" w:hAnsi="Cambria Math" w:eastAsia="Cambria Math"/>
          <w:spacing w:val="73"/>
          <w:w w:val="105"/>
          <w:sz w:val="20"/>
        </w:rPr>
        <w:t> </w:t>
      </w:r>
      <w:r>
        <w:rPr>
          <w:rFonts w:ascii="Cambria Math" w:hAnsi="Cambria Math" w:eastAsia="Cambria Math"/>
          <w:w w:val="105"/>
          <w:sz w:val="20"/>
        </w:rPr>
        <w:t>𝑤𝑒𝑖𝑔ℎ𝑡</w:t>
      </w:r>
      <w:r>
        <w:rPr>
          <w:rFonts w:ascii="Cambria Math" w:hAnsi="Cambria Math" w:eastAsia="Cambria Math"/>
          <w:spacing w:val="-4"/>
          <w:w w:val="105"/>
          <w:sz w:val="20"/>
        </w:rPr>
        <w:t> </w:t>
      </w:r>
      <w:r>
        <w:rPr>
          <w:rFonts w:ascii="Cambria Math" w:hAnsi="Cambria Math" w:eastAsia="Cambria Math"/>
          <w:w w:val="105"/>
          <w:sz w:val="20"/>
        </w:rPr>
        <w:t>𝑜𝑓</w:t>
      </w:r>
      <w:r>
        <w:rPr>
          <w:rFonts w:ascii="Cambria Math" w:hAnsi="Cambria Math" w:eastAsia="Cambria Math"/>
          <w:spacing w:val="-2"/>
          <w:w w:val="105"/>
          <w:sz w:val="20"/>
        </w:rPr>
        <w:t> </w:t>
      </w:r>
      <w:r>
        <w:rPr>
          <w:rFonts w:ascii="Cambria Math" w:hAnsi="Cambria Math" w:eastAsia="Cambria Math"/>
          <w:w w:val="105"/>
          <w:sz w:val="20"/>
        </w:rPr>
        <w:t>𝑙𝑖𝑝𝑖𝑑</w:t>
      </w:r>
      <w:r>
        <w:rPr>
          <w:rFonts w:ascii="Cambria Math" w:hAnsi="Cambria Math" w:eastAsia="Cambria Math"/>
          <w:spacing w:val="-6"/>
          <w:w w:val="105"/>
          <w:sz w:val="20"/>
        </w:rPr>
        <w:t> </w:t>
      </w:r>
      <w:r>
        <w:rPr>
          <w:rFonts w:ascii="Cambria Math" w:hAnsi="Cambria Math" w:eastAsia="Cambria Math"/>
          <w:w w:val="105"/>
          <w:sz w:val="20"/>
        </w:rPr>
        <w:t>𝑒𝑥𝑡𝑟𝑎𝑐𝑡𝑒𝑑/𝑤𝑒𝑖𝑔ℎ𝑡</w:t>
      </w:r>
      <w:r>
        <w:rPr>
          <w:rFonts w:ascii="Cambria Math" w:hAnsi="Cambria Math" w:eastAsia="Cambria Math"/>
          <w:spacing w:val="-11"/>
          <w:w w:val="105"/>
          <w:sz w:val="20"/>
        </w:rPr>
        <w:t> </w:t>
      </w:r>
      <w:r>
        <w:rPr>
          <w:rFonts w:ascii="Cambria Math" w:hAnsi="Cambria Math" w:eastAsia="Cambria Math"/>
          <w:w w:val="105"/>
          <w:sz w:val="20"/>
        </w:rPr>
        <w:t>𝑜𝑓𝑑𝑟𝑖𝑒𝑑</w:t>
      </w:r>
      <w:r>
        <w:rPr>
          <w:rFonts w:ascii="Cambria Math" w:hAnsi="Cambria Math" w:eastAsia="Cambria Math"/>
          <w:spacing w:val="-4"/>
          <w:w w:val="105"/>
          <w:sz w:val="20"/>
        </w:rPr>
        <w:t> </w:t>
      </w:r>
      <w:r>
        <w:rPr>
          <w:rFonts w:ascii="Cambria Math" w:hAnsi="Cambria Math" w:eastAsia="Cambria Math"/>
          <w:w w:val="105"/>
          <w:sz w:val="20"/>
        </w:rPr>
        <w:t>𝑠𝑎𝑚𝑝𝑙𝑒</w:t>
      </w:r>
      <w:r>
        <w:rPr>
          <w:rFonts w:ascii="Cambria Math" w:hAnsi="Cambria Math" w:eastAsia="Cambria Math"/>
          <w:spacing w:val="-8"/>
          <w:w w:val="105"/>
          <w:sz w:val="20"/>
        </w:rPr>
        <w:t> </w:t>
      </w:r>
      <w:r>
        <w:rPr>
          <w:rFonts w:ascii="Cambria Math" w:hAnsi="Cambria Math" w:eastAsia="Cambria Math"/>
          <w:w w:val="105"/>
          <w:sz w:val="20"/>
        </w:rPr>
        <w:t>𝑥</w:t>
      </w:r>
      <w:r>
        <w:rPr>
          <w:rFonts w:ascii="Cambria Math" w:hAnsi="Cambria Math" w:eastAsia="Cambria Math"/>
          <w:spacing w:val="-3"/>
          <w:w w:val="105"/>
          <w:sz w:val="20"/>
        </w:rPr>
        <w:t> </w:t>
      </w:r>
      <w:r>
        <w:rPr>
          <w:rFonts w:ascii="Cambria Math" w:hAnsi="Cambria Math" w:eastAsia="Cambria Math"/>
          <w:w w:val="105"/>
          <w:sz w:val="20"/>
        </w:rPr>
        <w:t>100</w:t>
      </w:r>
      <w:r>
        <w:rPr>
          <w:rFonts w:ascii="Cambria Math" w:hAnsi="Cambria Math" w:eastAsia="Cambria Math"/>
          <w:spacing w:val="-7"/>
          <w:w w:val="105"/>
          <w:sz w:val="20"/>
        </w:rPr>
        <w:t> </w:t>
      </w:r>
      <w:r>
        <w:rPr>
          <w:rFonts w:ascii="Cambria Math" w:hAnsi="Cambria Math" w:eastAsia="Cambria Math"/>
          <w:w w:val="105"/>
          <w:sz w:val="20"/>
        </w:rPr>
        <w:t>%</w:t>
      </w:r>
      <w:r>
        <w:rPr>
          <w:rFonts w:ascii="Cambria Math" w:hAnsi="Cambria Math" w:eastAsia="Cambria Math"/>
          <w:spacing w:val="23"/>
          <w:w w:val="105"/>
          <w:sz w:val="20"/>
        </w:rPr>
        <w:t> </w:t>
      </w:r>
      <w:r>
        <w:rPr>
          <w:rFonts w:ascii="Cambria Math" w:hAnsi="Cambria Math" w:eastAsia="Cambria Math"/>
          <w:w w:val="105"/>
          <w:sz w:val="20"/>
        </w:rPr>
        <w:t>−</w:t>
      </w:r>
      <w:r>
        <w:rPr>
          <w:rFonts w:ascii="Cambria Math" w:hAnsi="Cambria Math" w:eastAsia="Cambria Math"/>
          <w:spacing w:val="-12"/>
          <w:w w:val="105"/>
          <w:sz w:val="20"/>
        </w:rPr>
        <w:t> </w:t>
      </w:r>
      <w:r>
        <w:rPr>
          <w:rFonts w:ascii="Cambria Math" w:hAnsi="Cambria Math" w:eastAsia="Cambria Math"/>
          <w:w w:val="105"/>
          <w:sz w:val="20"/>
        </w:rPr>
        <w:t>−</w:t>
      </w:r>
      <w:r>
        <w:rPr>
          <w:rFonts w:ascii="Cambria Math" w:hAnsi="Cambria Math" w:eastAsia="Cambria Math"/>
          <w:spacing w:val="-4"/>
          <w:w w:val="105"/>
          <w:sz w:val="20"/>
        </w:rPr>
        <w:t> </w:t>
      </w:r>
      <w:r>
        <w:rPr>
          <w:rFonts w:ascii="Cambria Math" w:hAnsi="Cambria Math" w:eastAsia="Cambria Math"/>
          <w:spacing w:val="-2"/>
          <w:w w:val="105"/>
          <w:sz w:val="20"/>
        </w:rPr>
        <w:t>(3.1)</w:t>
      </w:r>
    </w:p>
    <w:p>
      <w:pPr>
        <w:spacing w:after="0" w:line="227" w:lineRule="exact"/>
        <w:jc w:val="both"/>
        <w:rPr>
          <w:rFonts w:ascii="Cambria Math" w:hAnsi="Cambria Math" w:eastAsia="Cambria Math"/>
          <w:sz w:val="20"/>
        </w:rPr>
        <w:sectPr>
          <w:pgSz w:w="12240" w:h="15840"/>
          <w:pgMar w:header="0" w:footer="999" w:top="1260" w:bottom="1180" w:left="1720" w:right="0"/>
        </w:sectPr>
      </w:pPr>
    </w:p>
    <w:p>
      <w:pPr>
        <w:pStyle w:val="BodyText"/>
        <w:spacing w:line="491" w:lineRule="auto" w:before="75"/>
        <w:ind w:left="665" w:right="1862"/>
        <w:jc w:val="both"/>
      </w:pPr>
      <w:r>
        <w:rPr/>
        <w:t>Where the weight of lipid extracted is given by the loss in weight of thimble content (Soxhlet extractor) after extraction.</w:t>
      </w:r>
    </w:p>
    <w:p>
      <w:pPr>
        <w:pStyle w:val="Heading2"/>
        <w:numPr>
          <w:ilvl w:val="2"/>
          <w:numId w:val="33"/>
        </w:numPr>
        <w:tabs>
          <w:tab w:pos="1395" w:val="left" w:leader="none"/>
          <w:tab w:pos="3007" w:val="left" w:leader="none"/>
          <w:tab w:pos="3401" w:val="left" w:leader="none"/>
          <w:tab w:pos="4322" w:val="left" w:leader="none"/>
          <w:tab w:pos="5301" w:val="left" w:leader="none"/>
          <w:tab w:pos="6429" w:val="left" w:leader="none"/>
          <w:tab w:pos="7000" w:val="left" w:leader="none"/>
          <w:tab w:pos="7816" w:val="left" w:leader="none"/>
        </w:tabs>
        <w:spacing w:line="240" w:lineRule="auto" w:before="4" w:after="0"/>
        <w:ind w:left="1395" w:right="0" w:hanging="730"/>
        <w:jc w:val="left"/>
      </w:pPr>
      <w:bookmarkStart w:name="_TOC_250061" w:id="100"/>
      <w:r>
        <w:rPr>
          <w:spacing w:val="-2"/>
        </w:rPr>
        <w:t>Determination</w:t>
      </w:r>
      <w:r>
        <w:rPr/>
        <w:tab/>
      </w:r>
      <w:r>
        <w:rPr>
          <w:spacing w:val="-5"/>
        </w:rPr>
        <w:t>of</w:t>
      </w:r>
      <w:r>
        <w:rPr/>
        <w:tab/>
      </w:r>
      <w:r>
        <w:rPr>
          <w:spacing w:val="-2"/>
        </w:rPr>
        <w:t>Protein</w:t>
      </w:r>
      <w:r>
        <w:rPr/>
        <w:tab/>
      </w:r>
      <w:r>
        <w:rPr>
          <w:spacing w:val="-2"/>
        </w:rPr>
        <w:t>Content</w:t>
      </w:r>
      <w:r>
        <w:rPr/>
        <w:tab/>
      </w:r>
      <w:r>
        <w:rPr>
          <w:spacing w:val="-2"/>
        </w:rPr>
        <w:t>(Nitrogen</w:t>
      </w:r>
      <w:r>
        <w:rPr/>
        <w:tab/>
      </w:r>
      <w:r>
        <w:rPr>
          <w:spacing w:val="-5"/>
        </w:rPr>
        <w:t>and</w:t>
      </w:r>
      <w:r>
        <w:rPr/>
        <w:tab/>
      </w:r>
      <w:r>
        <w:rPr>
          <w:spacing w:val="-2"/>
        </w:rPr>
        <w:t>Crude</w:t>
      </w:r>
      <w:r>
        <w:rPr/>
        <w:tab/>
      </w:r>
      <w:bookmarkEnd w:id="100"/>
      <w:r>
        <w:rPr>
          <w:spacing w:val="-2"/>
        </w:rPr>
        <w:t>Protein).</w:t>
      </w:r>
    </w:p>
    <w:p>
      <w:pPr>
        <w:pStyle w:val="BodyText"/>
        <w:spacing w:before="8"/>
        <w:rPr>
          <w:b/>
        </w:rPr>
      </w:pPr>
    </w:p>
    <w:p>
      <w:pPr>
        <w:pStyle w:val="BodyText"/>
        <w:spacing w:line="491" w:lineRule="auto"/>
        <w:ind w:left="665" w:right="1855"/>
        <w:jc w:val="both"/>
      </w:pPr>
      <w:r>
        <w:rPr/>
        <w:t>The method as described by AOAC (1980) was adopted in the determination of protein content. Two gram of the starch was weighed into 100 mL Kjedahl flask and 1 g of catalyst (K</w:t>
      </w:r>
      <w:r>
        <w:rPr>
          <w:vertAlign w:val="subscript"/>
        </w:rPr>
        <w:t>2</w:t>
      </w:r>
      <w:r>
        <w:rPr>
          <w:vertAlign w:val="baseline"/>
        </w:rPr>
        <w:t>SO</w:t>
      </w:r>
      <w:r>
        <w:rPr>
          <w:vertAlign w:val="subscript"/>
        </w:rPr>
        <w:t>4</w:t>
      </w:r>
      <w:r>
        <w:rPr>
          <w:vertAlign w:val="baseline"/>
        </w:rPr>
        <w:t> + anh CuSO</w:t>
      </w:r>
      <w:r>
        <w:rPr>
          <w:vertAlign w:val="subscript"/>
        </w:rPr>
        <w:t>4</w:t>
      </w:r>
      <w:r>
        <w:rPr>
          <w:vertAlign w:val="baseline"/>
        </w:rPr>
        <w:t>) was added to hasten the reaction.</w:t>
      </w:r>
      <w:r>
        <w:rPr>
          <w:spacing w:val="80"/>
          <w:vertAlign w:val="baseline"/>
        </w:rPr>
        <w:t> </w:t>
      </w:r>
      <w:r>
        <w:rPr>
          <w:vertAlign w:val="baseline"/>
        </w:rPr>
        <w:t>The flask was then heated slowly at first until fretting subsided and then more rigorously with occasional rotation</w:t>
      </w:r>
      <w:r>
        <w:rPr>
          <w:spacing w:val="19"/>
          <w:vertAlign w:val="baseline"/>
        </w:rPr>
        <w:t> </w:t>
      </w:r>
      <w:r>
        <w:rPr>
          <w:vertAlign w:val="baseline"/>
        </w:rPr>
        <w:t>of</w:t>
      </w:r>
      <w:r>
        <w:rPr>
          <w:spacing w:val="22"/>
          <w:vertAlign w:val="baseline"/>
        </w:rPr>
        <w:t> </w:t>
      </w:r>
      <w:r>
        <w:rPr>
          <w:vertAlign w:val="baseline"/>
        </w:rPr>
        <w:t>the</w:t>
      </w:r>
      <w:r>
        <w:rPr>
          <w:spacing w:val="21"/>
          <w:vertAlign w:val="baseline"/>
        </w:rPr>
        <w:t> </w:t>
      </w:r>
      <w:r>
        <w:rPr>
          <w:vertAlign w:val="baseline"/>
        </w:rPr>
        <w:t>flask</w:t>
      </w:r>
      <w:r>
        <w:rPr>
          <w:spacing w:val="13"/>
          <w:vertAlign w:val="baseline"/>
        </w:rPr>
        <w:t> </w:t>
      </w:r>
      <w:r>
        <w:rPr>
          <w:vertAlign w:val="baseline"/>
        </w:rPr>
        <w:t>to</w:t>
      </w:r>
      <w:r>
        <w:rPr>
          <w:spacing w:val="23"/>
          <w:vertAlign w:val="baseline"/>
        </w:rPr>
        <w:t> </w:t>
      </w:r>
      <w:r>
        <w:rPr>
          <w:vertAlign w:val="baseline"/>
        </w:rPr>
        <w:t>ensure</w:t>
      </w:r>
      <w:r>
        <w:rPr>
          <w:spacing w:val="16"/>
          <w:vertAlign w:val="baseline"/>
        </w:rPr>
        <w:t> </w:t>
      </w:r>
      <w:r>
        <w:rPr>
          <w:vertAlign w:val="baseline"/>
        </w:rPr>
        <w:t>even</w:t>
      </w:r>
      <w:r>
        <w:rPr>
          <w:spacing w:val="19"/>
          <w:vertAlign w:val="baseline"/>
        </w:rPr>
        <w:t> </w:t>
      </w:r>
      <w:r>
        <w:rPr>
          <w:vertAlign w:val="baseline"/>
        </w:rPr>
        <w:t>digestion</w:t>
      </w:r>
      <w:r>
        <w:rPr>
          <w:spacing w:val="19"/>
          <w:vertAlign w:val="baseline"/>
        </w:rPr>
        <w:t> </w:t>
      </w:r>
      <w:r>
        <w:rPr>
          <w:vertAlign w:val="baseline"/>
        </w:rPr>
        <w:t>and</w:t>
      </w:r>
      <w:r>
        <w:rPr>
          <w:spacing w:val="30"/>
          <w:vertAlign w:val="baseline"/>
        </w:rPr>
        <w:t> </w:t>
      </w:r>
      <w:r>
        <w:rPr>
          <w:vertAlign w:val="baseline"/>
        </w:rPr>
        <w:t>to</w:t>
      </w:r>
      <w:r>
        <w:rPr>
          <w:spacing w:val="29"/>
          <w:vertAlign w:val="baseline"/>
        </w:rPr>
        <w:t> </w:t>
      </w:r>
      <w:r>
        <w:rPr>
          <w:vertAlign w:val="baseline"/>
        </w:rPr>
        <w:t>avoid</w:t>
      </w:r>
      <w:r>
        <w:rPr>
          <w:spacing w:val="17"/>
          <w:vertAlign w:val="baseline"/>
        </w:rPr>
        <w:t> </w:t>
      </w:r>
      <w:r>
        <w:rPr>
          <w:vertAlign w:val="baseline"/>
        </w:rPr>
        <w:t>overheating</w:t>
      </w:r>
      <w:r>
        <w:rPr>
          <w:spacing w:val="19"/>
          <w:vertAlign w:val="baseline"/>
        </w:rPr>
        <w:t> </w:t>
      </w:r>
      <w:r>
        <w:rPr>
          <w:vertAlign w:val="baseline"/>
        </w:rPr>
        <w:t>of</w:t>
      </w:r>
      <w:r>
        <w:rPr>
          <w:spacing w:val="17"/>
          <w:vertAlign w:val="baseline"/>
        </w:rPr>
        <w:t> </w:t>
      </w:r>
      <w:r>
        <w:rPr>
          <w:vertAlign w:val="baseline"/>
        </w:rPr>
        <w:t>content.</w:t>
      </w:r>
      <w:r>
        <w:rPr>
          <w:spacing w:val="22"/>
          <w:vertAlign w:val="baseline"/>
        </w:rPr>
        <w:t> </w:t>
      </w:r>
      <w:r>
        <w:rPr>
          <w:vertAlign w:val="baseline"/>
        </w:rPr>
        <w:t>After a clear solution was obtained, the sample was transferred to a 100 mL volumetric flask</w:t>
      </w:r>
      <w:r>
        <w:rPr>
          <w:spacing w:val="40"/>
          <w:vertAlign w:val="baseline"/>
        </w:rPr>
        <w:t> </w:t>
      </w:r>
      <w:r>
        <w:rPr>
          <w:vertAlign w:val="baseline"/>
        </w:rPr>
        <w:t>and diluted to the mark with distilled water after cooling.</w:t>
      </w:r>
      <w:r>
        <w:rPr>
          <w:spacing w:val="80"/>
          <w:vertAlign w:val="baseline"/>
        </w:rPr>
        <w:t> </w:t>
      </w:r>
      <w:r>
        <w:rPr>
          <w:vertAlign w:val="baseline"/>
        </w:rPr>
        <w:t>10 mL of the diluted sample was pipetted into Markham semi macro nitrogen still and 10 mLof 40 % NaOH solution added. The sample was distilled liberating NH</w:t>
      </w:r>
      <w:r>
        <w:rPr>
          <w:vertAlign w:val="subscript"/>
        </w:rPr>
        <w:t>3</w:t>
      </w:r>
      <w:r>
        <w:rPr>
          <w:vertAlign w:val="baseline"/>
        </w:rPr>
        <w:t> into 100 mL conical flask containing 10 mL of 40</w:t>
      </w:r>
      <w:r>
        <w:rPr>
          <w:spacing w:val="24"/>
          <w:vertAlign w:val="baseline"/>
        </w:rPr>
        <w:t> </w:t>
      </w:r>
      <w:r>
        <w:rPr>
          <w:vertAlign w:val="baseline"/>
        </w:rPr>
        <w:t>% Boric acid and 2 drops of methyl red indicator.</w:t>
      </w:r>
      <w:r>
        <w:rPr>
          <w:spacing w:val="80"/>
          <w:vertAlign w:val="baseline"/>
        </w:rPr>
        <w:t> </w:t>
      </w:r>
      <w:r>
        <w:rPr>
          <w:vertAlign w:val="baseline"/>
        </w:rPr>
        <w:t>Distillation continued until the</w:t>
      </w:r>
      <w:r>
        <w:rPr>
          <w:spacing w:val="32"/>
          <w:vertAlign w:val="baseline"/>
        </w:rPr>
        <w:t> </w:t>
      </w:r>
      <w:r>
        <w:rPr>
          <w:vertAlign w:val="baseline"/>
        </w:rPr>
        <w:t>pink colour of the</w:t>
      </w:r>
      <w:r>
        <w:rPr>
          <w:spacing w:val="32"/>
          <w:vertAlign w:val="baseline"/>
        </w:rPr>
        <w:t> </w:t>
      </w:r>
      <w:r>
        <w:rPr>
          <w:vertAlign w:val="baseline"/>
        </w:rPr>
        <w:t>indicator</w:t>
      </w:r>
      <w:r>
        <w:rPr>
          <w:spacing w:val="33"/>
          <w:vertAlign w:val="baseline"/>
        </w:rPr>
        <w:t> </w:t>
      </w:r>
      <w:r>
        <w:rPr>
          <w:vertAlign w:val="baseline"/>
        </w:rPr>
        <w:t>turned</w:t>
      </w:r>
      <w:r>
        <w:rPr>
          <w:spacing w:val="39"/>
          <w:vertAlign w:val="baseline"/>
        </w:rPr>
        <w:t> </w:t>
      </w:r>
      <w:r>
        <w:rPr>
          <w:vertAlign w:val="baseline"/>
        </w:rPr>
        <w:t>green.</w:t>
      </w:r>
      <w:r>
        <w:rPr>
          <w:spacing w:val="32"/>
          <w:vertAlign w:val="baseline"/>
        </w:rPr>
        <w:t> </w:t>
      </w:r>
      <w:r>
        <w:rPr>
          <w:vertAlign w:val="baseline"/>
        </w:rPr>
        <w:t>The</w:t>
      </w:r>
      <w:r>
        <w:rPr>
          <w:spacing w:val="32"/>
          <w:vertAlign w:val="baseline"/>
        </w:rPr>
        <w:t> </w:t>
      </w:r>
      <w:r>
        <w:rPr>
          <w:vertAlign w:val="baseline"/>
        </w:rPr>
        <w:t>control was</w:t>
      </w:r>
      <w:r>
        <w:rPr>
          <w:spacing w:val="29"/>
          <w:vertAlign w:val="baseline"/>
        </w:rPr>
        <w:t> </w:t>
      </w:r>
      <w:r>
        <w:rPr>
          <w:vertAlign w:val="baseline"/>
        </w:rPr>
        <w:t>titrated</w:t>
      </w:r>
      <w:r>
        <w:rPr>
          <w:spacing w:val="34"/>
          <w:vertAlign w:val="baseline"/>
        </w:rPr>
        <w:t> </w:t>
      </w:r>
      <w:r>
        <w:rPr>
          <w:vertAlign w:val="baseline"/>
        </w:rPr>
        <w:t>with</w:t>
      </w:r>
      <w:r>
        <w:rPr>
          <w:spacing w:val="34"/>
          <w:vertAlign w:val="baseline"/>
        </w:rPr>
        <w:t> </w:t>
      </w:r>
      <w:r>
        <w:rPr>
          <w:vertAlign w:val="baseline"/>
        </w:rPr>
        <w:t>4</w:t>
      </w:r>
      <w:r>
        <w:rPr>
          <w:spacing w:val="34"/>
          <w:vertAlign w:val="baseline"/>
        </w:rPr>
        <w:t> </w:t>
      </w:r>
      <w:r>
        <w:rPr>
          <w:vertAlign w:val="baseline"/>
        </w:rPr>
        <w:t>%</w:t>
      </w:r>
      <w:r>
        <w:rPr>
          <w:spacing w:val="31"/>
          <w:vertAlign w:val="baseline"/>
        </w:rPr>
        <w:t> </w:t>
      </w:r>
      <w:r>
        <w:rPr>
          <w:vertAlign w:val="baseline"/>
        </w:rPr>
        <w:t>Boric acid</w:t>
      </w:r>
      <w:r>
        <w:rPr>
          <w:spacing w:val="24"/>
          <w:vertAlign w:val="baseline"/>
        </w:rPr>
        <w:t> </w:t>
      </w:r>
      <w:r>
        <w:rPr>
          <w:vertAlign w:val="baseline"/>
        </w:rPr>
        <w:t>with end</w:t>
      </w:r>
      <w:r>
        <w:rPr>
          <w:spacing w:val="30"/>
          <w:vertAlign w:val="baseline"/>
        </w:rPr>
        <w:t> </w:t>
      </w:r>
      <w:r>
        <w:rPr>
          <w:vertAlign w:val="baseline"/>
        </w:rPr>
        <w:t>point</w:t>
      </w:r>
      <w:r>
        <w:rPr>
          <w:spacing w:val="26"/>
          <w:vertAlign w:val="baseline"/>
        </w:rPr>
        <w:t> </w:t>
      </w:r>
      <w:r>
        <w:rPr>
          <w:vertAlign w:val="baseline"/>
        </w:rPr>
        <w:t>indicated</w:t>
      </w:r>
      <w:r>
        <w:rPr>
          <w:spacing w:val="30"/>
          <w:vertAlign w:val="baseline"/>
        </w:rPr>
        <w:t> </w:t>
      </w:r>
      <w:r>
        <w:rPr>
          <w:vertAlign w:val="baseline"/>
        </w:rPr>
        <w:t>by a change</w:t>
      </w:r>
      <w:r>
        <w:rPr>
          <w:spacing w:val="23"/>
          <w:vertAlign w:val="baseline"/>
        </w:rPr>
        <w:t> </w:t>
      </w:r>
      <w:r>
        <w:rPr>
          <w:vertAlign w:val="baseline"/>
        </w:rPr>
        <w:t>from</w:t>
      </w:r>
      <w:r>
        <w:rPr>
          <w:spacing w:val="24"/>
          <w:vertAlign w:val="baseline"/>
        </w:rPr>
        <w:t> </w:t>
      </w:r>
      <w:r>
        <w:rPr>
          <w:vertAlign w:val="baseline"/>
        </w:rPr>
        <w:t>greenish to pink colour.</w:t>
      </w:r>
      <w:r>
        <w:rPr>
          <w:spacing w:val="23"/>
          <w:vertAlign w:val="baseline"/>
        </w:rPr>
        <w:t> </w:t>
      </w:r>
      <w:r>
        <w:rPr>
          <w:vertAlign w:val="baseline"/>
        </w:rPr>
        <w:t>The volume of the acid used for each sample distillate was noted</w:t>
      </w:r>
      <w:r>
        <w:rPr>
          <w:spacing w:val="30"/>
          <w:vertAlign w:val="baseline"/>
        </w:rPr>
        <w:t> </w:t>
      </w:r>
      <w:r>
        <w:rPr>
          <w:vertAlign w:val="baseline"/>
        </w:rPr>
        <w:t>as well as that of blank.</w:t>
      </w:r>
    </w:p>
    <w:p>
      <w:pPr>
        <w:pStyle w:val="BodyText"/>
        <w:spacing w:before="2"/>
        <w:ind w:left="1063" w:right="5311"/>
        <w:jc w:val="center"/>
      </w:pPr>
      <w:r>
        <w:rPr/>
        <w:t>%</w:t>
      </w:r>
      <w:r>
        <w:rPr>
          <w:spacing w:val="8"/>
        </w:rPr>
        <w:t> </w:t>
      </w:r>
      <w:r>
        <w:rPr/>
        <w:t>total</w:t>
      </w:r>
      <w:r>
        <w:rPr>
          <w:spacing w:val="9"/>
        </w:rPr>
        <w:t> </w:t>
      </w:r>
      <w:r>
        <w:rPr/>
        <w:t>N</w:t>
      </w:r>
      <w:r>
        <w:rPr>
          <w:spacing w:val="5"/>
        </w:rPr>
        <w:t> </w:t>
      </w:r>
      <w:r>
        <w:rPr/>
        <w:t>per</w:t>
      </w:r>
      <w:r>
        <w:rPr>
          <w:spacing w:val="5"/>
        </w:rPr>
        <w:t> </w:t>
      </w:r>
      <w:r>
        <w:rPr/>
        <w:t>sample</w:t>
      </w:r>
      <w:r>
        <w:rPr>
          <w:spacing w:val="10"/>
        </w:rPr>
        <w:t> </w:t>
      </w:r>
      <w:r>
        <w:rPr/>
        <w:t>was</w:t>
      </w:r>
      <w:r>
        <w:rPr>
          <w:spacing w:val="8"/>
        </w:rPr>
        <w:t> </w:t>
      </w:r>
      <w:r>
        <w:rPr/>
        <w:t>calculated</w:t>
      </w:r>
      <w:r>
        <w:rPr>
          <w:spacing w:val="17"/>
        </w:rPr>
        <w:t> </w:t>
      </w:r>
      <w:r>
        <w:rPr>
          <w:spacing w:val="-5"/>
        </w:rPr>
        <w:t>as:</w:t>
      </w:r>
    </w:p>
    <w:p>
      <w:pPr>
        <w:pStyle w:val="BodyText"/>
        <w:tabs>
          <w:tab w:pos="7702" w:val="left" w:leader="dot"/>
        </w:tabs>
        <w:spacing w:line="177" w:lineRule="auto" w:before="248"/>
        <w:ind w:left="1140"/>
        <w:rPr>
          <w:rFonts w:ascii="Cambria Math" w:hAnsi="Cambria Math" w:eastAsia="Cambria Math"/>
        </w:rPr>
      </w:pPr>
      <w:r>
        <w:rPr>
          <w:rFonts w:ascii="Cambria Math" w:hAnsi="Cambria Math" w:eastAsia="Cambria Math"/>
          <w:position w:val="-16"/>
        </w:rPr>
        <w:t>%</w:t>
      </w:r>
      <w:r>
        <w:rPr>
          <w:rFonts w:ascii="Cambria Math" w:hAnsi="Cambria Math" w:eastAsia="Cambria Math"/>
          <w:spacing w:val="1"/>
          <w:position w:val="-16"/>
        </w:rPr>
        <w:t> </w:t>
      </w:r>
      <w:r>
        <w:rPr>
          <w:rFonts w:ascii="Cambria Math" w:hAnsi="Cambria Math" w:eastAsia="Cambria Math"/>
          <w:position w:val="-16"/>
        </w:rPr>
        <w:t>𝑁</w:t>
      </w:r>
      <w:r>
        <w:rPr>
          <w:rFonts w:ascii="Cambria Math" w:hAnsi="Cambria Math" w:eastAsia="Cambria Math"/>
          <w:spacing w:val="8"/>
          <w:position w:val="-16"/>
        </w:rPr>
        <w:t> </w:t>
      </w:r>
      <w:r>
        <w:rPr>
          <w:rFonts w:ascii="Cambria Math" w:hAnsi="Cambria Math" w:eastAsia="Cambria Math"/>
          <w:position w:val="-16"/>
        </w:rPr>
        <w:t>=</w:t>
      </w:r>
      <w:r>
        <w:rPr>
          <w:rFonts w:ascii="Cambria Math" w:hAnsi="Cambria Math" w:eastAsia="Cambria Math"/>
          <w:spacing w:val="53"/>
          <w:position w:val="-16"/>
        </w:rPr>
        <w:t> </w:t>
      </w:r>
      <w:r>
        <w:rPr>
          <w:rFonts w:ascii="Cambria Math" w:hAnsi="Cambria Math" w:eastAsia="Cambria Math"/>
          <w:u w:val="single"/>
        </w:rPr>
        <w:t>𝑉</w:t>
      </w:r>
      <w:r>
        <w:rPr>
          <w:rFonts w:ascii="Cambria Math" w:hAnsi="Cambria Math" w:eastAsia="Cambria Math"/>
          <w:position w:val="-3"/>
          <w:sz w:val="15"/>
          <w:u w:val="single"/>
        </w:rPr>
        <w:t>1</w:t>
      </w:r>
      <w:r>
        <w:rPr>
          <w:rFonts w:ascii="Cambria Math" w:hAnsi="Cambria Math" w:eastAsia="Cambria Math"/>
          <w:spacing w:val="25"/>
          <w:position w:val="-3"/>
          <w:sz w:val="15"/>
          <w:u w:val="single"/>
        </w:rPr>
        <w:t> </w:t>
      </w:r>
      <w:r>
        <w:rPr>
          <w:rFonts w:ascii="Cambria Math" w:hAnsi="Cambria Math" w:eastAsia="Cambria Math"/>
          <w:u w:val="single"/>
        </w:rPr>
        <w:t>−</w:t>
      </w:r>
      <w:r>
        <w:rPr>
          <w:rFonts w:ascii="Cambria Math" w:hAnsi="Cambria Math" w:eastAsia="Cambria Math"/>
          <w:spacing w:val="-4"/>
          <w:u w:val="single"/>
        </w:rPr>
        <w:t> </w:t>
      </w:r>
      <w:r>
        <w:rPr>
          <w:rFonts w:ascii="Cambria Math" w:hAnsi="Cambria Math" w:eastAsia="Cambria Math"/>
          <w:u w:val="single"/>
        </w:rPr>
        <w:t>𝑉</w:t>
      </w:r>
      <w:r>
        <w:rPr>
          <w:rFonts w:ascii="Cambria Math" w:hAnsi="Cambria Math" w:eastAsia="Cambria Math"/>
          <w:position w:val="-3"/>
          <w:sz w:val="15"/>
          <w:u w:val="single"/>
        </w:rPr>
        <w:t>0</w:t>
      </w:r>
      <w:r>
        <w:rPr>
          <w:rFonts w:ascii="Cambria Math" w:hAnsi="Cambria Math" w:eastAsia="Cambria Math"/>
          <w:spacing w:val="29"/>
          <w:position w:val="-3"/>
          <w:sz w:val="15"/>
          <w:u w:val="single"/>
        </w:rPr>
        <w:t> </w:t>
      </w:r>
      <w:r>
        <w:rPr>
          <w:rFonts w:ascii="Cambria Math" w:hAnsi="Cambria Math" w:eastAsia="Cambria Math"/>
          <w:u w:val="single"/>
        </w:rPr>
        <w:t>x</w:t>
      </w:r>
      <w:r>
        <w:rPr>
          <w:rFonts w:ascii="Cambria Math" w:hAnsi="Cambria Math" w:eastAsia="Cambria Math"/>
          <w:spacing w:val="-7"/>
          <w:u w:val="single"/>
        </w:rPr>
        <w:t> </w:t>
      </w:r>
      <w:r>
        <w:rPr>
          <w:rFonts w:ascii="Cambria Math" w:hAnsi="Cambria Math" w:eastAsia="Cambria Math"/>
          <w:u w:val="single"/>
        </w:rPr>
        <w:t>𝑀</w:t>
      </w:r>
      <w:r>
        <w:rPr>
          <w:rFonts w:ascii="Cambria Math" w:hAnsi="Cambria Math" w:eastAsia="Cambria Math"/>
          <w:spacing w:val="6"/>
          <w:u w:val="single"/>
        </w:rPr>
        <w:t> </w:t>
      </w:r>
      <w:r>
        <w:rPr>
          <w:rFonts w:ascii="Cambria Math" w:hAnsi="Cambria Math" w:eastAsia="Cambria Math"/>
          <w:u w:val="single"/>
        </w:rPr>
        <w:t>x</w:t>
      </w:r>
      <w:r>
        <w:rPr>
          <w:rFonts w:ascii="Cambria Math" w:hAnsi="Cambria Math" w:eastAsia="Cambria Math"/>
          <w:spacing w:val="-3"/>
          <w:u w:val="single"/>
        </w:rPr>
        <w:t> </w:t>
      </w:r>
      <w:r>
        <w:rPr>
          <w:rFonts w:ascii="Cambria Math" w:hAnsi="Cambria Math" w:eastAsia="Cambria Math"/>
          <w:u w:val="single"/>
        </w:rPr>
        <w:t>𝐴</w:t>
      </w:r>
      <w:r>
        <w:rPr>
          <w:rFonts w:ascii="Cambria Math" w:hAnsi="Cambria Math" w:eastAsia="Cambria Math"/>
          <w:spacing w:val="-3"/>
          <w:u w:val="single"/>
        </w:rPr>
        <w:t> </w:t>
      </w:r>
      <w:r>
        <w:rPr>
          <w:rFonts w:ascii="Cambria Math" w:hAnsi="Cambria Math" w:eastAsia="Cambria Math"/>
          <w:u w:val="single"/>
        </w:rPr>
        <w:t>x</w:t>
      </w:r>
      <w:r>
        <w:rPr>
          <w:rFonts w:ascii="Cambria Math" w:hAnsi="Cambria Math" w:eastAsia="Cambria Math"/>
          <w:spacing w:val="-2"/>
          <w:u w:val="single"/>
        </w:rPr>
        <w:t> </w:t>
      </w:r>
      <w:r>
        <w:rPr>
          <w:rFonts w:ascii="Cambria Math" w:hAnsi="Cambria Math" w:eastAsia="Cambria Math"/>
          <w:u w:val="single"/>
        </w:rPr>
        <w:t>100 x</w:t>
      </w:r>
      <w:r>
        <w:rPr>
          <w:rFonts w:ascii="Cambria Math" w:hAnsi="Cambria Math" w:eastAsia="Cambria Math"/>
          <w:spacing w:val="-2"/>
          <w:u w:val="single"/>
        </w:rPr>
        <w:t> </w:t>
      </w:r>
      <w:r>
        <w:rPr>
          <w:rFonts w:ascii="Cambria Math" w:hAnsi="Cambria Math" w:eastAsia="Cambria Math"/>
          <w:spacing w:val="-5"/>
          <w:u w:val="single"/>
        </w:rPr>
        <w:t>100</w:t>
      </w:r>
      <w:r>
        <w:rPr>
          <w:rFonts w:ascii="Cambria Math" w:hAnsi="Cambria Math" w:eastAsia="Cambria Math"/>
        </w:rPr>
        <w:tab/>
      </w:r>
      <w:r>
        <w:rPr>
          <w:rFonts w:ascii="Cambria Math" w:hAnsi="Cambria Math" w:eastAsia="Cambria Math"/>
          <w:spacing w:val="-2"/>
          <w:position w:val="-16"/>
        </w:rPr>
        <w:t>(3.2)</w:t>
      </w:r>
    </w:p>
    <w:p>
      <w:pPr>
        <w:pStyle w:val="BodyText"/>
        <w:spacing w:line="204" w:lineRule="exact"/>
        <w:ind w:left="1063" w:right="5248"/>
        <w:jc w:val="center"/>
        <w:rPr>
          <w:rFonts w:ascii="Cambria Math" w:eastAsia="Cambria Math"/>
        </w:rPr>
      </w:pPr>
      <w:r>
        <w:rPr>
          <w:rFonts w:ascii="Cambria Math" w:eastAsia="Cambria Math"/>
        </w:rPr>
        <w:t>𝑎</w:t>
      </w:r>
      <w:r>
        <w:rPr>
          <w:rFonts w:ascii="Cambria Math" w:eastAsia="Cambria Math"/>
          <w:spacing w:val="12"/>
        </w:rPr>
        <w:t> </w:t>
      </w:r>
      <w:r>
        <w:rPr>
          <w:rFonts w:ascii="Cambria Math" w:eastAsia="Cambria Math"/>
        </w:rPr>
        <w:t>x 1000</w:t>
      </w:r>
      <w:r>
        <w:rPr>
          <w:rFonts w:ascii="Cambria Math" w:eastAsia="Cambria Math"/>
          <w:spacing w:val="8"/>
        </w:rPr>
        <w:t> </w:t>
      </w:r>
      <w:r>
        <w:rPr>
          <w:rFonts w:ascii="Cambria Math" w:eastAsia="Cambria Math"/>
        </w:rPr>
        <w:t>x</w:t>
      </w:r>
      <w:r>
        <w:rPr>
          <w:rFonts w:ascii="Cambria Math" w:eastAsia="Cambria Math"/>
          <w:spacing w:val="6"/>
        </w:rPr>
        <w:t> </w:t>
      </w:r>
      <w:r>
        <w:rPr>
          <w:rFonts w:ascii="Cambria Math" w:eastAsia="Cambria Math"/>
        </w:rPr>
        <w:t>𝑉d</w:t>
      </w:r>
      <w:r>
        <w:rPr>
          <w:rFonts w:ascii="Cambria Math" w:eastAsia="Cambria Math"/>
          <w:spacing w:val="8"/>
        </w:rPr>
        <w:t> </w:t>
      </w:r>
      <w:r>
        <w:rPr>
          <w:rFonts w:ascii="Cambria Math" w:eastAsia="Cambria Math"/>
        </w:rPr>
        <w:t>x</w:t>
      </w:r>
      <w:r>
        <w:rPr>
          <w:rFonts w:ascii="Cambria Math" w:eastAsia="Cambria Math"/>
          <w:spacing w:val="5"/>
        </w:rPr>
        <w:t> </w:t>
      </w:r>
      <w:r>
        <w:rPr>
          <w:rFonts w:ascii="Cambria Math" w:eastAsia="Cambria Math"/>
          <w:spacing w:val="-10"/>
        </w:rPr>
        <w:t>1</w:t>
      </w:r>
    </w:p>
    <w:p>
      <w:pPr>
        <w:pStyle w:val="BodyText"/>
        <w:spacing w:line="491" w:lineRule="auto" w:before="231"/>
        <w:ind w:left="665" w:right="1858"/>
        <w:jc w:val="both"/>
      </w:pPr>
      <w:r>
        <w:rPr/>
        <w:t>where </w:t>
      </w:r>
      <w:r>
        <w:rPr>
          <w:b/>
        </w:rPr>
        <w:t>Vo </w:t>
      </w:r>
      <w:r>
        <w:rPr/>
        <w:t>is Volume of HCl required for blank, </w:t>
      </w:r>
      <w:r>
        <w:rPr>
          <w:b/>
        </w:rPr>
        <w:t>V</w:t>
      </w:r>
      <w:r>
        <w:rPr>
          <w:b/>
          <w:vertAlign w:val="subscript"/>
        </w:rPr>
        <w:t>1</w:t>
      </w:r>
      <w:r>
        <w:rPr>
          <w:b/>
          <w:spacing w:val="80"/>
          <w:vertAlign w:val="baseline"/>
        </w:rPr>
        <w:t> </w:t>
      </w:r>
      <w:r>
        <w:rPr>
          <w:vertAlign w:val="baseline"/>
        </w:rPr>
        <w:t>is</w:t>
      </w:r>
      <w:r>
        <w:rPr>
          <w:spacing w:val="40"/>
          <w:vertAlign w:val="baseline"/>
        </w:rPr>
        <w:t> </w:t>
      </w:r>
      <w:r>
        <w:rPr>
          <w:vertAlign w:val="baseline"/>
        </w:rPr>
        <w:t>Volume</w:t>
      </w:r>
      <w:r>
        <w:rPr>
          <w:spacing w:val="40"/>
          <w:vertAlign w:val="baseline"/>
        </w:rPr>
        <w:t> </w:t>
      </w:r>
      <w:r>
        <w:rPr>
          <w:vertAlign w:val="baseline"/>
        </w:rPr>
        <w:t>of</w:t>
      </w:r>
      <w:r>
        <w:rPr>
          <w:spacing w:val="40"/>
          <w:vertAlign w:val="baseline"/>
        </w:rPr>
        <w:t> </w:t>
      </w:r>
      <w:r>
        <w:rPr>
          <w:vertAlign w:val="baseline"/>
        </w:rPr>
        <w:t>HCl</w:t>
      </w:r>
      <w:r>
        <w:rPr>
          <w:spacing w:val="40"/>
          <w:vertAlign w:val="baseline"/>
        </w:rPr>
        <w:t> </w:t>
      </w:r>
      <w:r>
        <w:rPr>
          <w:vertAlign w:val="baseline"/>
        </w:rPr>
        <w:t>required</w:t>
      </w:r>
      <w:r>
        <w:rPr>
          <w:spacing w:val="40"/>
          <w:vertAlign w:val="baseline"/>
        </w:rPr>
        <w:t> </w:t>
      </w:r>
      <w:r>
        <w:rPr>
          <w:vertAlign w:val="baseline"/>
        </w:rPr>
        <w:t>for</w:t>
      </w:r>
      <w:r>
        <w:rPr>
          <w:spacing w:val="40"/>
          <w:vertAlign w:val="baseline"/>
        </w:rPr>
        <w:t> </w:t>
      </w:r>
      <w:r>
        <w:rPr>
          <w:vertAlign w:val="baseline"/>
        </w:rPr>
        <w:t>10 ml</w:t>
      </w:r>
      <w:r>
        <w:rPr>
          <w:spacing w:val="16"/>
          <w:vertAlign w:val="baseline"/>
        </w:rPr>
        <w:t> </w:t>
      </w:r>
      <w:r>
        <w:rPr>
          <w:vertAlign w:val="baseline"/>
        </w:rPr>
        <w:t>sample</w:t>
      </w:r>
      <w:r>
        <w:rPr>
          <w:spacing w:val="27"/>
          <w:vertAlign w:val="baseline"/>
        </w:rPr>
        <w:t> </w:t>
      </w:r>
      <w:r>
        <w:rPr>
          <w:vertAlign w:val="baseline"/>
        </w:rPr>
        <w:t>solution,</w:t>
      </w:r>
      <w:r>
        <w:rPr>
          <w:spacing w:val="24"/>
          <w:vertAlign w:val="baseline"/>
        </w:rPr>
        <w:t> </w:t>
      </w:r>
      <w:r>
        <w:rPr>
          <w:b/>
          <w:vertAlign w:val="baseline"/>
        </w:rPr>
        <w:t>M</w:t>
      </w:r>
      <w:r>
        <w:rPr>
          <w:b/>
          <w:spacing w:val="25"/>
          <w:vertAlign w:val="baseline"/>
        </w:rPr>
        <w:t> </w:t>
      </w:r>
      <w:r>
        <w:rPr>
          <w:vertAlign w:val="baseline"/>
        </w:rPr>
        <w:t>is</w:t>
      </w:r>
      <w:r>
        <w:rPr>
          <w:spacing w:val="19"/>
          <w:vertAlign w:val="baseline"/>
        </w:rPr>
        <w:t> </w:t>
      </w:r>
      <w:r>
        <w:rPr>
          <w:vertAlign w:val="baseline"/>
        </w:rPr>
        <w:t>Molarity of</w:t>
      </w:r>
      <w:r>
        <w:rPr>
          <w:spacing w:val="18"/>
          <w:vertAlign w:val="baseline"/>
        </w:rPr>
        <w:t> </w:t>
      </w:r>
      <w:r>
        <w:rPr>
          <w:vertAlign w:val="baseline"/>
        </w:rPr>
        <w:t>acid</w:t>
      </w:r>
      <w:r>
        <w:rPr>
          <w:spacing w:val="24"/>
          <w:vertAlign w:val="baseline"/>
        </w:rPr>
        <w:t> </w:t>
      </w:r>
      <w:r>
        <w:rPr>
          <w:vertAlign w:val="baseline"/>
        </w:rPr>
        <w:t>(0.1</w:t>
      </w:r>
      <w:r>
        <w:rPr>
          <w:spacing w:val="18"/>
          <w:vertAlign w:val="baseline"/>
        </w:rPr>
        <w:t> </w:t>
      </w:r>
      <w:r>
        <w:rPr>
          <w:vertAlign w:val="baseline"/>
        </w:rPr>
        <w:t>M),</w:t>
      </w:r>
      <w:r>
        <w:rPr>
          <w:spacing w:val="24"/>
          <w:vertAlign w:val="baseline"/>
        </w:rPr>
        <w:t> </w:t>
      </w:r>
      <w:r>
        <w:rPr>
          <w:b/>
          <w:vertAlign w:val="baseline"/>
        </w:rPr>
        <w:t>A</w:t>
      </w:r>
      <w:r>
        <w:rPr>
          <w:b/>
          <w:spacing w:val="22"/>
          <w:vertAlign w:val="baseline"/>
        </w:rPr>
        <w:t> </w:t>
      </w:r>
      <w:r>
        <w:rPr>
          <w:vertAlign w:val="baseline"/>
        </w:rPr>
        <w:t>is</w:t>
      </w:r>
      <w:r>
        <w:rPr>
          <w:spacing w:val="19"/>
          <w:vertAlign w:val="baseline"/>
        </w:rPr>
        <w:t> </w:t>
      </w:r>
      <w:r>
        <w:rPr>
          <w:vertAlign w:val="baseline"/>
        </w:rPr>
        <w:t>Atomic</w:t>
      </w:r>
      <w:r>
        <w:rPr>
          <w:spacing w:val="17"/>
          <w:vertAlign w:val="baseline"/>
        </w:rPr>
        <w:t> </w:t>
      </w:r>
      <w:r>
        <w:rPr>
          <w:vertAlign w:val="baseline"/>
        </w:rPr>
        <w:t>weight</w:t>
      </w:r>
      <w:r>
        <w:rPr>
          <w:spacing w:val="22"/>
          <w:vertAlign w:val="baseline"/>
        </w:rPr>
        <w:t> </w:t>
      </w:r>
      <w:r>
        <w:rPr>
          <w:vertAlign w:val="baseline"/>
        </w:rPr>
        <w:t>of</w:t>
      </w:r>
      <w:r>
        <w:rPr>
          <w:spacing w:val="18"/>
          <w:vertAlign w:val="baseline"/>
        </w:rPr>
        <w:t> </w:t>
      </w:r>
      <w:r>
        <w:rPr>
          <w:vertAlign w:val="baseline"/>
        </w:rPr>
        <w:t>N</w:t>
      </w:r>
      <w:r>
        <w:rPr>
          <w:vertAlign w:val="subscript"/>
        </w:rPr>
        <w:t>2</w:t>
      </w:r>
      <w:r>
        <w:rPr>
          <w:vertAlign w:val="baseline"/>
        </w:rPr>
        <w:t> (14),</w:t>
      </w:r>
      <w:r>
        <w:rPr>
          <w:spacing w:val="17"/>
          <w:vertAlign w:val="baseline"/>
        </w:rPr>
        <w:t> </w:t>
      </w:r>
      <w:r>
        <w:rPr>
          <w:vertAlign w:val="baseline"/>
        </w:rPr>
        <w:t>100 is total volume of digest or diluted sample, 100 is % conversion, </w:t>
      </w:r>
      <w:r>
        <w:rPr>
          <w:b/>
          <w:i/>
          <w:vertAlign w:val="baseline"/>
        </w:rPr>
        <w:t>Vd </w:t>
      </w:r>
      <w:r>
        <w:rPr>
          <w:vertAlign w:val="baseline"/>
        </w:rPr>
        <w:t>is Volume of</w:t>
      </w:r>
      <w:r>
        <w:rPr>
          <w:spacing w:val="80"/>
          <w:vertAlign w:val="baseline"/>
        </w:rPr>
        <w:t> </w:t>
      </w:r>
      <w:r>
        <w:rPr>
          <w:vertAlign w:val="baseline"/>
        </w:rPr>
        <w:t>distillate (10), </w:t>
      </w:r>
      <w:r>
        <w:rPr>
          <w:b/>
          <w:i/>
          <w:vertAlign w:val="baseline"/>
        </w:rPr>
        <w:t>a </w:t>
      </w:r>
      <w:r>
        <w:rPr>
          <w:vertAlign w:val="baseline"/>
        </w:rPr>
        <w:t>is amount of sample taken in gram</w:t>
      </w:r>
      <w:r>
        <w:rPr>
          <w:spacing w:val="26"/>
          <w:vertAlign w:val="baseline"/>
        </w:rPr>
        <w:t> </w:t>
      </w:r>
      <w:r>
        <w:rPr>
          <w:vertAlign w:val="baseline"/>
        </w:rPr>
        <w:t>(0.2), 1000</w:t>
      </w:r>
      <w:r>
        <w:rPr>
          <w:spacing w:val="26"/>
          <w:vertAlign w:val="baseline"/>
        </w:rPr>
        <w:t> </w:t>
      </w:r>
      <w:r>
        <w:rPr>
          <w:vertAlign w:val="baseline"/>
        </w:rPr>
        <w:t>is to convert</w:t>
      </w:r>
      <w:r>
        <w:rPr>
          <w:spacing w:val="24"/>
          <w:vertAlign w:val="baseline"/>
        </w:rPr>
        <w:t> </w:t>
      </w:r>
      <w:r>
        <w:rPr>
          <w:vertAlign w:val="baseline"/>
        </w:rPr>
        <w:t>to litre.</w:t>
      </w:r>
    </w:p>
    <w:p>
      <w:pPr>
        <w:pStyle w:val="BodyText"/>
        <w:spacing w:line="252" w:lineRule="exact"/>
        <w:ind w:left="665"/>
        <w:jc w:val="both"/>
      </w:pPr>
      <w:r>
        <w:rPr/>
        <w:t>The</w:t>
      </w:r>
      <w:r>
        <w:rPr>
          <w:spacing w:val="10"/>
        </w:rPr>
        <w:t> </w:t>
      </w:r>
      <w:r>
        <w:rPr/>
        <w:t>crude</w:t>
      </w:r>
      <w:r>
        <w:rPr>
          <w:spacing w:val="5"/>
        </w:rPr>
        <w:t> </w:t>
      </w:r>
      <w:r>
        <w:rPr/>
        <w:t>protein</w:t>
      </w:r>
      <w:r>
        <w:rPr>
          <w:spacing w:val="7"/>
        </w:rPr>
        <w:t> </w:t>
      </w:r>
      <w:r>
        <w:rPr/>
        <w:t>was</w:t>
      </w:r>
      <w:r>
        <w:rPr>
          <w:spacing w:val="8"/>
        </w:rPr>
        <w:t> </w:t>
      </w:r>
      <w:r>
        <w:rPr/>
        <w:t>calculated</w:t>
      </w:r>
      <w:r>
        <w:rPr>
          <w:spacing w:val="17"/>
        </w:rPr>
        <w:t> </w:t>
      </w:r>
      <w:r>
        <w:rPr/>
        <w:t>as</w:t>
      </w:r>
      <w:r>
        <w:rPr>
          <w:spacing w:val="14"/>
        </w:rPr>
        <w:t> </w:t>
      </w:r>
      <w:r>
        <w:rPr/>
        <w:t>%</w:t>
      </w:r>
      <w:r>
        <w:rPr>
          <w:spacing w:val="4"/>
        </w:rPr>
        <w:t> </w:t>
      </w:r>
      <w:r>
        <w:rPr/>
        <w:t>crude</w:t>
      </w:r>
      <w:r>
        <w:rPr>
          <w:spacing w:val="4"/>
        </w:rPr>
        <w:t> </w:t>
      </w:r>
      <w:r>
        <w:rPr/>
        <w:t>protein</w:t>
      </w:r>
      <w:r>
        <w:rPr>
          <w:spacing w:val="7"/>
        </w:rPr>
        <w:t> </w:t>
      </w:r>
      <w:r>
        <w:rPr/>
        <w:t>(CP)</w:t>
      </w:r>
      <w:r>
        <w:rPr>
          <w:spacing w:val="12"/>
        </w:rPr>
        <w:t> </w:t>
      </w:r>
      <w:r>
        <w:rPr/>
        <w:t>=</w:t>
      </w:r>
      <w:r>
        <w:rPr>
          <w:spacing w:val="7"/>
        </w:rPr>
        <w:t> </w:t>
      </w:r>
      <w:r>
        <w:rPr/>
        <w:t>6.25</w:t>
      </w:r>
      <w:r>
        <w:rPr>
          <w:spacing w:val="11"/>
        </w:rPr>
        <w:t> </w:t>
      </w:r>
      <w:r>
        <w:rPr/>
        <w:t>x</w:t>
      </w:r>
      <w:r>
        <w:rPr>
          <w:spacing w:val="8"/>
        </w:rPr>
        <w:t> </w:t>
      </w:r>
      <w:r>
        <w:rPr>
          <w:spacing w:val="-10"/>
        </w:rPr>
        <w:t>N</w:t>
      </w:r>
    </w:p>
    <w:p>
      <w:pPr>
        <w:pStyle w:val="BodyText"/>
        <w:spacing w:before="12"/>
      </w:pPr>
    </w:p>
    <w:p>
      <w:pPr>
        <w:pStyle w:val="BodyText"/>
        <w:ind w:left="665"/>
        <w:jc w:val="both"/>
      </w:pPr>
      <w:r>
        <w:rPr/>
        <w:t>Note:</w:t>
      </w:r>
      <w:r>
        <w:rPr>
          <w:spacing w:val="9"/>
        </w:rPr>
        <w:t> </w:t>
      </w:r>
      <w:r>
        <w:rPr/>
        <w:t>Protein</w:t>
      </w:r>
      <w:r>
        <w:rPr>
          <w:spacing w:val="1"/>
        </w:rPr>
        <w:t> </w:t>
      </w:r>
      <w:r>
        <w:rPr/>
        <w:t>contains</w:t>
      </w:r>
      <w:r>
        <w:rPr>
          <w:spacing w:val="8"/>
        </w:rPr>
        <w:t> </w:t>
      </w:r>
      <w:r>
        <w:rPr/>
        <w:t>16</w:t>
      </w:r>
      <w:r>
        <w:rPr>
          <w:spacing w:val="12"/>
        </w:rPr>
        <w:t> </w:t>
      </w:r>
      <w:r>
        <w:rPr/>
        <w:t>%</w:t>
      </w:r>
      <w:r>
        <w:rPr>
          <w:spacing w:val="9"/>
        </w:rPr>
        <w:t> </w:t>
      </w:r>
      <w:r>
        <w:rPr/>
        <w:t>N</w:t>
      </w:r>
      <w:r>
        <w:rPr>
          <w:vertAlign w:val="subscript"/>
        </w:rPr>
        <w:t>2</w:t>
      </w:r>
      <w:r>
        <w:rPr>
          <w:vertAlign w:val="baseline"/>
        </w:rPr>
        <w:t>.</w:t>
      </w:r>
      <w:r>
        <w:rPr>
          <w:spacing w:val="16"/>
          <w:vertAlign w:val="baseline"/>
        </w:rPr>
        <w:t> </w:t>
      </w:r>
      <w:r>
        <w:rPr>
          <w:vertAlign w:val="baseline"/>
        </w:rPr>
        <w:t>This</w:t>
      </w:r>
      <w:r>
        <w:rPr>
          <w:spacing w:val="8"/>
          <w:vertAlign w:val="baseline"/>
        </w:rPr>
        <w:t> </w:t>
      </w:r>
      <w:r>
        <w:rPr>
          <w:vertAlign w:val="baseline"/>
        </w:rPr>
        <w:t>makes</w:t>
      </w:r>
      <w:r>
        <w:rPr>
          <w:spacing w:val="14"/>
          <w:vertAlign w:val="baseline"/>
        </w:rPr>
        <w:t> </w:t>
      </w:r>
      <w:r>
        <w:rPr>
          <w:vertAlign w:val="baseline"/>
        </w:rPr>
        <w:t>the</w:t>
      </w:r>
      <w:r>
        <w:rPr>
          <w:spacing w:val="10"/>
          <w:vertAlign w:val="baseline"/>
        </w:rPr>
        <w:t> </w:t>
      </w:r>
      <w:r>
        <w:rPr>
          <w:vertAlign w:val="baseline"/>
        </w:rPr>
        <w:t>general</w:t>
      </w:r>
      <w:r>
        <w:rPr>
          <w:spacing w:val="10"/>
          <w:vertAlign w:val="baseline"/>
        </w:rPr>
        <w:t> </w:t>
      </w:r>
      <w:r>
        <w:rPr>
          <w:vertAlign w:val="baseline"/>
        </w:rPr>
        <w:t>conversion</w:t>
      </w:r>
      <w:r>
        <w:rPr>
          <w:spacing w:val="7"/>
          <w:vertAlign w:val="baseline"/>
        </w:rPr>
        <w:t> </w:t>
      </w:r>
      <w:r>
        <w:rPr>
          <w:vertAlign w:val="baseline"/>
        </w:rPr>
        <w:t>factor</w:t>
      </w:r>
      <w:r>
        <w:rPr>
          <w:spacing w:val="11"/>
          <w:vertAlign w:val="baseline"/>
        </w:rPr>
        <w:t> </w:t>
      </w:r>
      <w:r>
        <w:rPr>
          <w:vertAlign w:val="baseline"/>
        </w:rPr>
        <w:t>to</w:t>
      </w:r>
      <w:r>
        <w:rPr>
          <w:spacing w:val="12"/>
          <w:vertAlign w:val="baseline"/>
        </w:rPr>
        <w:t> </w:t>
      </w:r>
      <w:r>
        <w:rPr>
          <w:vertAlign w:val="baseline"/>
        </w:rPr>
        <w:t>be </w:t>
      </w:r>
      <w:r>
        <w:rPr>
          <w:spacing w:val="-2"/>
          <w:vertAlign w:val="baseline"/>
        </w:rPr>
        <w:t>6.25.</w:t>
      </w:r>
    </w:p>
    <w:p>
      <w:pPr>
        <w:spacing w:after="0"/>
        <w:jc w:val="both"/>
        <w:sectPr>
          <w:pgSz w:w="12240" w:h="15840"/>
          <w:pgMar w:header="0" w:footer="999" w:top="1260" w:bottom="1180" w:left="1720" w:right="0"/>
        </w:sectPr>
      </w:pPr>
    </w:p>
    <w:p>
      <w:pPr>
        <w:pStyle w:val="Heading2"/>
        <w:numPr>
          <w:ilvl w:val="2"/>
          <w:numId w:val="33"/>
        </w:numPr>
        <w:tabs>
          <w:tab w:pos="1399" w:val="left" w:leader="none"/>
        </w:tabs>
        <w:spacing w:line="240" w:lineRule="auto" w:before="80" w:after="0"/>
        <w:ind w:left="1399" w:right="0" w:hanging="734"/>
        <w:jc w:val="left"/>
      </w:pPr>
      <w:bookmarkStart w:name="_TOC_250060" w:id="101"/>
      <w:r>
        <w:rPr/>
        <w:t>Determination</w:t>
      </w:r>
      <w:r>
        <w:rPr>
          <w:spacing w:val="15"/>
        </w:rPr>
        <w:t> </w:t>
      </w:r>
      <w:r>
        <w:rPr/>
        <w:t>of</w:t>
      </w:r>
      <w:r>
        <w:rPr>
          <w:spacing w:val="18"/>
        </w:rPr>
        <w:t> </w:t>
      </w:r>
      <w:bookmarkEnd w:id="101"/>
      <w:r>
        <w:rPr>
          <w:spacing w:val="-2"/>
        </w:rPr>
        <w:t>Carbohydrate</w:t>
      </w:r>
    </w:p>
    <w:p>
      <w:pPr>
        <w:pStyle w:val="BodyText"/>
        <w:spacing w:line="491" w:lineRule="auto" w:before="246"/>
        <w:ind w:left="665" w:right="1864" w:firstLine="676"/>
        <w:jc w:val="both"/>
      </w:pPr>
      <w:r>
        <w:rPr/>
        <w:t>The total of protein, moisture content, ash content and lipid content subtracted from 100 gives the carbohydrate,</w:t>
      </w:r>
      <w:r>
        <w:rPr>
          <w:spacing w:val="31"/>
        </w:rPr>
        <w:t> </w:t>
      </w:r>
      <w:r>
        <w:rPr/>
        <w:t>and</w:t>
      </w:r>
      <w:r>
        <w:rPr>
          <w:spacing w:val="33"/>
        </w:rPr>
        <w:t> </w:t>
      </w:r>
      <w:r>
        <w:rPr/>
        <w:t>this is referred to as estimation by difference.</w:t>
      </w:r>
    </w:p>
    <w:p>
      <w:pPr>
        <w:pStyle w:val="Heading2"/>
        <w:numPr>
          <w:ilvl w:val="2"/>
          <w:numId w:val="33"/>
        </w:numPr>
        <w:tabs>
          <w:tab w:pos="1338" w:val="left" w:leader="none"/>
        </w:tabs>
        <w:spacing w:line="240" w:lineRule="auto" w:before="230" w:after="0"/>
        <w:ind w:left="1338" w:right="0" w:hanging="673"/>
        <w:jc w:val="left"/>
      </w:pPr>
      <w:bookmarkStart w:name="_TOC_250059" w:id="102"/>
      <w:bookmarkEnd w:id="102"/>
      <w:r>
        <w:rPr>
          <w:spacing w:val="-2"/>
        </w:rPr>
        <w:t>Microscopy</w:t>
      </w:r>
    </w:p>
    <w:p>
      <w:pPr>
        <w:pStyle w:val="BodyText"/>
        <w:spacing w:line="494" w:lineRule="auto" w:before="242"/>
        <w:ind w:left="665" w:right="1862" w:firstLine="676"/>
        <w:jc w:val="both"/>
      </w:pPr>
      <w:r>
        <w:rPr/>
        <w:t>The</w:t>
      </w:r>
      <w:r>
        <w:rPr>
          <w:spacing w:val="40"/>
        </w:rPr>
        <w:t> </w:t>
      </w:r>
      <w:r>
        <w:rPr/>
        <w:t>microscope</w:t>
      </w:r>
      <w:r>
        <w:rPr>
          <w:spacing w:val="40"/>
        </w:rPr>
        <w:t> </w:t>
      </w:r>
      <w:r>
        <w:rPr/>
        <w:t>was</w:t>
      </w:r>
      <w:r>
        <w:rPr>
          <w:spacing w:val="40"/>
        </w:rPr>
        <w:t> </w:t>
      </w:r>
      <w:r>
        <w:rPr/>
        <w:t>calibrated</w:t>
      </w:r>
      <w:r>
        <w:rPr>
          <w:spacing w:val="40"/>
        </w:rPr>
        <w:t> </w:t>
      </w:r>
      <w:r>
        <w:rPr/>
        <w:t>using</w:t>
      </w:r>
      <w:r>
        <w:rPr>
          <w:spacing w:val="40"/>
        </w:rPr>
        <w:t> </w:t>
      </w:r>
      <w:r>
        <w:rPr/>
        <w:t>the</w:t>
      </w:r>
      <w:r>
        <w:rPr>
          <w:spacing w:val="40"/>
        </w:rPr>
        <w:t> </w:t>
      </w:r>
      <w:r>
        <w:rPr/>
        <w:t>eye-piece</w:t>
      </w:r>
      <w:r>
        <w:rPr>
          <w:spacing w:val="40"/>
        </w:rPr>
        <w:t> </w:t>
      </w:r>
      <w:r>
        <w:rPr/>
        <w:t>and</w:t>
      </w:r>
      <w:r>
        <w:rPr>
          <w:spacing w:val="40"/>
        </w:rPr>
        <w:t> </w:t>
      </w:r>
      <w:r>
        <w:rPr/>
        <w:t>stage</w:t>
      </w:r>
      <w:r>
        <w:rPr>
          <w:spacing w:val="40"/>
        </w:rPr>
        <w:t> </w:t>
      </w:r>
      <w:r>
        <w:rPr/>
        <w:t>micrometer.</w:t>
      </w:r>
      <w:r>
        <w:rPr>
          <w:spacing w:val="40"/>
        </w:rPr>
        <w:t> </w:t>
      </w:r>
      <w:r>
        <w:rPr/>
        <w:t>A little quantity of the powder sample was mounted on a slide in glycerol and the</w:t>
      </w:r>
      <w:r>
        <w:rPr>
          <w:spacing w:val="40"/>
        </w:rPr>
        <w:t> </w:t>
      </w:r>
      <w:r>
        <w:rPr/>
        <w:t>photograph of the powder sample was captured using a compound microscope (Fisher, Rochester – New York), at 400 x magnification.</w:t>
      </w:r>
    </w:p>
    <w:p>
      <w:pPr>
        <w:pStyle w:val="Heading2"/>
        <w:numPr>
          <w:ilvl w:val="2"/>
          <w:numId w:val="33"/>
        </w:numPr>
        <w:tabs>
          <w:tab w:pos="1338" w:val="left" w:leader="none"/>
        </w:tabs>
        <w:spacing w:line="240" w:lineRule="auto" w:before="224" w:after="0"/>
        <w:ind w:left="1338" w:right="0" w:hanging="673"/>
        <w:jc w:val="left"/>
      </w:pPr>
      <w:bookmarkStart w:name="_TOC_250058" w:id="103"/>
      <w:r>
        <w:rPr/>
        <w:t>Determination</w:t>
      </w:r>
      <w:r>
        <w:rPr>
          <w:spacing w:val="12"/>
        </w:rPr>
        <w:t> </w:t>
      </w:r>
      <w:r>
        <w:rPr/>
        <w:t>of</w:t>
      </w:r>
      <w:r>
        <w:rPr>
          <w:spacing w:val="22"/>
        </w:rPr>
        <w:t> </w:t>
      </w:r>
      <w:r>
        <w:rPr/>
        <w:t>Moisture</w:t>
      </w:r>
      <w:r>
        <w:rPr>
          <w:spacing w:val="14"/>
        </w:rPr>
        <w:t> </w:t>
      </w:r>
      <w:r>
        <w:rPr/>
        <w:t>Sorption</w:t>
      </w:r>
      <w:r>
        <w:rPr>
          <w:spacing w:val="13"/>
        </w:rPr>
        <w:t> </w:t>
      </w:r>
      <w:bookmarkEnd w:id="103"/>
      <w:r>
        <w:rPr>
          <w:spacing w:val="-2"/>
        </w:rPr>
        <w:t>Capacity</w:t>
      </w:r>
    </w:p>
    <w:p>
      <w:pPr>
        <w:pStyle w:val="BodyText"/>
        <w:spacing w:line="491" w:lineRule="auto" w:before="241"/>
        <w:ind w:left="665" w:right="1859" w:firstLine="676"/>
        <w:jc w:val="both"/>
      </w:pPr>
      <w:r>
        <w:rPr/>
        <w:t>2 g starch sample was distributed uniformly on a Petri dish and placed in a desiccator</w:t>
      </w:r>
      <w:r>
        <w:rPr>
          <w:spacing w:val="40"/>
        </w:rPr>
        <w:t> </w:t>
      </w:r>
      <w:r>
        <w:rPr/>
        <w:t>containing</w:t>
      </w:r>
      <w:r>
        <w:rPr>
          <w:spacing w:val="39"/>
        </w:rPr>
        <w:t> </w:t>
      </w:r>
      <w:r>
        <w:rPr/>
        <w:t>distilled</w:t>
      </w:r>
      <w:r>
        <w:rPr>
          <w:spacing w:val="40"/>
        </w:rPr>
        <w:t> </w:t>
      </w:r>
      <w:r>
        <w:rPr/>
        <w:t>water</w:t>
      </w:r>
      <w:r>
        <w:rPr>
          <w:spacing w:val="40"/>
        </w:rPr>
        <w:t> </w:t>
      </w:r>
      <w:r>
        <w:rPr/>
        <w:t>with</w:t>
      </w:r>
      <w:r>
        <w:rPr>
          <w:spacing w:val="40"/>
        </w:rPr>
        <w:t> </w:t>
      </w:r>
      <w:r>
        <w:rPr/>
        <w:t>almost</w:t>
      </w:r>
      <w:r>
        <w:rPr>
          <w:spacing w:val="40"/>
        </w:rPr>
        <w:t> </w:t>
      </w:r>
      <w:r>
        <w:rPr/>
        <w:t>100</w:t>
      </w:r>
      <w:r>
        <w:rPr>
          <w:spacing w:val="40"/>
        </w:rPr>
        <w:t> </w:t>
      </w:r>
      <w:r>
        <w:rPr/>
        <w:t>%</w:t>
      </w:r>
      <w:r>
        <w:rPr>
          <w:spacing w:val="40"/>
        </w:rPr>
        <w:t> </w:t>
      </w:r>
      <w:r>
        <w:rPr/>
        <w:t>relative</w:t>
      </w:r>
      <w:r>
        <w:rPr>
          <w:spacing w:val="40"/>
        </w:rPr>
        <w:t> </w:t>
      </w:r>
      <w:r>
        <w:rPr/>
        <w:t>humidity</w:t>
      </w:r>
      <w:r>
        <w:rPr>
          <w:spacing w:val="39"/>
        </w:rPr>
        <w:t> </w:t>
      </w:r>
      <w:r>
        <w:rPr/>
        <w:t>for</w:t>
      </w:r>
      <w:r>
        <w:rPr>
          <w:spacing w:val="40"/>
        </w:rPr>
        <w:t> </w:t>
      </w:r>
      <w:r>
        <w:rPr/>
        <w:t>5</w:t>
      </w:r>
      <w:r>
        <w:rPr>
          <w:spacing w:val="40"/>
        </w:rPr>
        <w:t> </w:t>
      </w:r>
      <w:r>
        <w:rPr/>
        <w:t>days after which it was reweighed.</w:t>
      </w:r>
      <w:r>
        <w:rPr>
          <w:spacing w:val="40"/>
        </w:rPr>
        <w:t> </w:t>
      </w:r>
      <w:r>
        <w:rPr/>
        <w:t>The percentage increase in weight was calculated as the moisture sorption capacity.</w:t>
      </w:r>
    </w:p>
    <w:p>
      <w:pPr>
        <w:pStyle w:val="Heading2"/>
        <w:numPr>
          <w:ilvl w:val="2"/>
          <w:numId w:val="33"/>
        </w:numPr>
        <w:tabs>
          <w:tab w:pos="1338" w:val="left" w:leader="none"/>
        </w:tabs>
        <w:spacing w:line="240" w:lineRule="auto" w:before="230" w:after="0"/>
        <w:ind w:left="1338" w:right="0" w:hanging="673"/>
        <w:jc w:val="left"/>
      </w:pPr>
      <w:bookmarkStart w:name="_TOC_250057" w:id="104"/>
      <w:r>
        <w:rPr/>
        <w:t>Determination</w:t>
      </w:r>
      <w:r>
        <w:rPr>
          <w:spacing w:val="8"/>
        </w:rPr>
        <w:t> </w:t>
      </w:r>
      <w:r>
        <w:rPr/>
        <w:t>of</w:t>
      </w:r>
      <w:r>
        <w:rPr>
          <w:spacing w:val="17"/>
        </w:rPr>
        <w:t> </w:t>
      </w:r>
      <w:r>
        <w:rPr/>
        <w:t>Swelling</w:t>
      </w:r>
      <w:r>
        <w:rPr>
          <w:spacing w:val="23"/>
        </w:rPr>
        <w:t> </w:t>
      </w:r>
      <w:bookmarkEnd w:id="104"/>
      <w:r>
        <w:rPr>
          <w:spacing w:val="-2"/>
        </w:rPr>
        <w:t>Capacity</w:t>
      </w:r>
    </w:p>
    <w:p>
      <w:pPr>
        <w:pStyle w:val="BodyText"/>
        <w:spacing w:line="491" w:lineRule="auto" w:before="246"/>
        <w:ind w:left="665" w:right="1848" w:firstLine="676"/>
        <w:jc w:val="both"/>
      </w:pPr>
      <w:r>
        <w:rPr/>
        <w:t>The method described by Iwuagwu and Onyekweli (2002) was used in the determination</w:t>
      </w:r>
      <w:r>
        <w:rPr>
          <w:spacing w:val="31"/>
        </w:rPr>
        <w:t> </w:t>
      </w:r>
      <w:r>
        <w:rPr/>
        <w:t>of</w:t>
      </w:r>
      <w:r>
        <w:rPr>
          <w:spacing w:val="30"/>
        </w:rPr>
        <w:t> </w:t>
      </w:r>
      <w:r>
        <w:rPr/>
        <w:t>swelling</w:t>
      </w:r>
      <w:r>
        <w:rPr>
          <w:spacing w:val="31"/>
        </w:rPr>
        <w:t> </w:t>
      </w:r>
      <w:r>
        <w:rPr/>
        <w:t>capacity</w:t>
      </w:r>
      <w:r>
        <w:rPr>
          <w:spacing w:val="25"/>
        </w:rPr>
        <w:t> </w:t>
      </w:r>
      <w:r>
        <w:rPr/>
        <w:t>of</w:t>
      </w:r>
      <w:r>
        <w:rPr>
          <w:spacing w:val="30"/>
        </w:rPr>
        <w:t> </w:t>
      </w:r>
      <w:r>
        <w:rPr/>
        <w:t>the</w:t>
      </w:r>
      <w:r>
        <w:rPr>
          <w:spacing w:val="35"/>
        </w:rPr>
        <w:t> </w:t>
      </w:r>
      <w:r>
        <w:rPr/>
        <w:t>powder.</w:t>
      </w:r>
      <w:r>
        <w:rPr>
          <w:spacing w:val="30"/>
        </w:rPr>
        <w:t> </w:t>
      </w:r>
      <w:r>
        <w:rPr/>
        <w:t>5</w:t>
      </w:r>
      <w:r>
        <w:rPr>
          <w:spacing w:val="37"/>
        </w:rPr>
        <w:t> </w:t>
      </w:r>
      <w:r>
        <w:rPr/>
        <w:t>g</w:t>
      </w:r>
      <w:r>
        <w:rPr>
          <w:spacing w:val="31"/>
        </w:rPr>
        <w:t> </w:t>
      </w:r>
      <w:r>
        <w:rPr/>
        <w:t>of</w:t>
      </w:r>
      <w:r>
        <w:rPr>
          <w:spacing w:val="30"/>
        </w:rPr>
        <w:t> </w:t>
      </w:r>
      <w:r>
        <w:rPr/>
        <w:t>the</w:t>
      </w:r>
      <w:r>
        <w:rPr>
          <w:spacing w:val="35"/>
        </w:rPr>
        <w:t> </w:t>
      </w:r>
      <w:r>
        <w:rPr/>
        <w:t>sample</w:t>
      </w:r>
      <w:r>
        <w:rPr>
          <w:spacing w:val="29"/>
        </w:rPr>
        <w:t> </w:t>
      </w:r>
      <w:r>
        <w:rPr/>
        <w:t>was</w:t>
      </w:r>
      <w:r>
        <w:rPr>
          <w:spacing w:val="27"/>
        </w:rPr>
        <w:t> </w:t>
      </w:r>
      <w:r>
        <w:rPr/>
        <w:t>weighed</w:t>
      </w:r>
      <w:r>
        <w:rPr>
          <w:spacing w:val="37"/>
        </w:rPr>
        <w:t> </w:t>
      </w:r>
      <w:r>
        <w:rPr/>
        <w:t>and the</w:t>
      </w:r>
      <w:r>
        <w:rPr>
          <w:spacing w:val="37"/>
        </w:rPr>
        <w:t> </w:t>
      </w:r>
      <w:r>
        <w:rPr/>
        <w:t>tapped</w:t>
      </w:r>
      <w:r>
        <w:rPr>
          <w:spacing w:val="38"/>
        </w:rPr>
        <w:t> </w:t>
      </w:r>
      <w:r>
        <w:rPr/>
        <w:t>volume</w:t>
      </w:r>
      <w:r>
        <w:rPr>
          <w:spacing w:val="27"/>
        </w:rPr>
        <w:t> </w:t>
      </w:r>
      <w:r>
        <w:rPr/>
        <w:t>determined</w:t>
      </w:r>
      <w:r>
        <w:rPr>
          <w:spacing w:val="40"/>
        </w:rPr>
        <w:t> </w:t>
      </w:r>
      <w:r>
        <w:rPr/>
        <w:t>and</w:t>
      </w:r>
      <w:r>
        <w:rPr>
          <w:spacing w:val="39"/>
        </w:rPr>
        <w:t> </w:t>
      </w:r>
      <w:r>
        <w:rPr/>
        <w:t>noted</w:t>
      </w:r>
      <w:r>
        <w:rPr>
          <w:spacing w:val="40"/>
        </w:rPr>
        <w:t> </w:t>
      </w:r>
      <w:r>
        <w:rPr/>
        <w:t>as</w:t>
      </w:r>
      <w:r>
        <w:rPr>
          <w:spacing w:val="34"/>
        </w:rPr>
        <w:t> </w:t>
      </w:r>
      <w:r>
        <w:rPr>
          <w:i/>
        </w:rPr>
        <w:t>V</w:t>
      </w:r>
      <w:r>
        <w:rPr>
          <w:i/>
          <w:vertAlign w:val="subscript"/>
        </w:rPr>
        <w:t>x</w:t>
      </w:r>
      <w:r>
        <w:rPr>
          <w:vertAlign w:val="baseline"/>
        </w:rPr>
        <w:t>.</w:t>
      </w:r>
      <w:r>
        <w:rPr>
          <w:spacing w:val="31"/>
          <w:vertAlign w:val="baseline"/>
        </w:rPr>
        <w:t> </w:t>
      </w:r>
      <w:r>
        <w:rPr>
          <w:vertAlign w:val="baseline"/>
        </w:rPr>
        <w:t>The</w:t>
      </w:r>
      <w:r>
        <w:rPr>
          <w:spacing w:val="37"/>
          <w:vertAlign w:val="baseline"/>
        </w:rPr>
        <w:t> </w:t>
      </w:r>
      <w:r>
        <w:rPr>
          <w:vertAlign w:val="baseline"/>
        </w:rPr>
        <w:t>powder</w:t>
      </w:r>
      <w:r>
        <w:rPr>
          <w:spacing w:val="32"/>
          <w:vertAlign w:val="baseline"/>
        </w:rPr>
        <w:t> </w:t>
      </w:r>
      <w:r>
        <w:rPr>
          <w:vertAlign w:val="baseline"/>
        </w:rPr>
        <w:t>was</w:t>
      </w:r>
      <w:r>
        <w:rPr>
          <w:spacing w:val="34"/>
          <w:vertAlign w:val="baseline"/>
        </w:rPr>
        <w:t> </w:t>
      </w:r>
      <w:r>
        <w:rPr>
          <w:vertAlign w:val="baseline"/>
        </w:rPr>
        <w:t>then</w:t>
      </w:r>
      <w:r>
        <w:rPr>
          <w:spacing w:val="33"/>
          <w:vertAlign w:val="baseline"/>
        </w:rPr>
        <w:t> </w:t>
      </w:r>
      <w:r>
        <w:rPr>
          <w:vertAlign w:val="baseline"/>
        </w:rPr>
        <w:t>dispersed</w:t>
      </w:r>
      <w:r>
        <w:rPr>
          <w:spacing w:val="38"/>
          <w:vertAlign w:val="baseline"/>
        </w:rPr>
        <w:t> </w:t>
      </w:r>
      <w:r>
        <w:rPr>
          <w:vertAlign w:val="baseline"/>
        </w:rPr>
        <w:t>in</w:t>
      </w:r>
      <w:r>
        <w:rPr>
          <w:spacing w:val="33"/>
          <w:vertAlign w:val="baseline"/>
        </w:rPr>
        <w:t> </w:t>
      </w:r>
      <w:r>
        <w:rPr>
          <w:vertAlign w:val="baseline"/>
        </w:rPr>
        <w:t>85 mL of water and the volume was made up to 100 mL with more water and allowed to</w:t>
      </w:r>
      <w:r>
        <w:rPr>
          <w:spacing w:val="40"/>
          <w:vertAlign w:val="baseline"/>
        </w:rPr>
        <w:t> </w:t>
      </w:r>
      <w:r>
        <w:rPr>
          <w:vertAlign w:val="baseline"/>
        </w:rPr>
        <w:t>stand</w:t>
      </w:r>
      <w:r>
        <w:rPr>
          <w:spacing w:val="40"/>
          <w:vertAlign w:val="baseline"/>
        </w:rPr>
        <w:t> </w:t>
      </w:r>
      <w:r>
        <w:rPr>
          <w:vertAlign w:val="baseline"/>
        </w:rPr>
        <w:t>for</w:t>
      </w:r>
      <w:r>
        <w:rPr>
          <w:spacing w:val="33"/>
          <w:vertAlign w:val="baseline"/>
        </w:rPr>
        <w:t> </w:t>
      </w:r>
      <w:r>
        <w:rPr>
          <w:vertAlign w:val="baseline"/>
        </w:rPr>
        <w:t>24</w:t>
      </w:r>
      <w:r>
        <w:rPr>
          <w:spacing w:val="39"/>
          <w:vertAlign w:val="baseline"/>
        </w:rPr>
        <w:t> </w:t>
      </w:r>
      <w:r>
        <w:rPr>
          <w:vertAlign w:val="baseline"/>
        </w:rPr>
        <w:t>h.</w:t>
      </w:r>
      <w:r>
        <w:rPr>
          <w:spacing w:val="38"/>
          <w:vertAlign w:val="baseline"/>
        </w:rPr>
        <w:t> </w:t>
      </w:r>
      <w:r>
        <w:rPr>
          <w:vertAlign w:val="baseline"/>
        </w:rPr>
        <w:t>The</w:t>
      </w:r>
      <w:r>
        <w:rPr>
          <w:spacing w:val="40"/>
          <w:vertAlign w:val="baseline"/>
        </w:rPr>
        <w:t> </w:t>
      </w:r>
      <w:r>
        <w:rPr>
          <w:vertAlign w:val="baseline"/>
        </w:rPr>
        <w:t>volume</w:t>
      </w:r>
      <w:r>
        <w:rPr>
          <w:spacing w:val="38"/>
          <w:vertAlign w:val="baseline"/>
        </w:rPr>
        <w:t> </w:t>
      </w:r>
      <w:r>
        <w:rPr>
          <w:vertAlign w:val="baseline"/>
        </w:rPr>
        <w:t>of</w:t>
      </w:r>
      <w:r>
        <w:rPr>
          <w:spacing w:val="33"/>
          <w:vertAlign w:val="baseline"/>
        </w:rPr>
        <w:t> </w:t>
      </w:r>
      <w:r>
        <w:rPr>
          <w:vertAlign w:val="baseline"/>
        </w:rPr>
        <w:t>the</w:t>
      </w:r>
      <w:r>
        <w:rPr>
          <w:spacing w:val="38"/>
          <w:vertAlign w:val="baseline"/>
        </w:rPr>
        <w:t> </w:t>
      </w:r>
      <w:r>
        <w:rPr>
          <w:vertAlign w:val="baseline"/>
        </w:rPr>
        <w:t>sediment,</w:t>
      </w:r>
      <w:r>
        <w:rPr>
          <w:spacing w:val="40"/>
          <w:vertAlign w:val="baseline"/>
        </w:rPr>
        <w:t> </w:t>
      </w:r>
      <w:r>
        <w:rPr>
          <w:i/>
          <w:vertAlign w:val="baseline"/>
        </w:rPr>
        <w:t>V</w:t>
      </w:r>
      <w:r>
        <w:rPr>
          <w:i/>
          <w:vertAlign w:val="subscript"/>
        </w:rPr>
        <w:t>v</w:t>
      </w:r>
      <w:r>
        <w:rPr>
          <w:i/>
          <w:spacing w:val="40"/>
          <w:vertAlign w:val="baseline"/>
        </w:rPr>
        <w:t> </w:t>
      </w:r>
      <w:r>
        <w:rPr>
          <w:vertAlign w:val="baseline"/>
        </w:rPr>
        <w:t>was</w:t>
      </w:r>
      <w:r>
        <w:rPr>
          <w:spacing w:val="30"/>
          <w:vertAlign w:val="baseline"/>
        </w:rPr>
        <w:t> </w:t>
      </w:r>
      <w:r>
        <w:rPr>
          <w:vertAlign w:val="baseline"/>
        </w:rPr>
        <w:t>estimated.</w:t>
      </w:r>
      <w:r>
        <w:rPr>
          <w:spacing w:val="38"/>
          <w:vertAlign w:val="baseline"/>
        </w:rPr>
        <w:t> </w:t>
      </w:r>
      <w:r>
        <w:rPr>
          <w:vertAlign w:val="baseline"/>
        </w:rPr>
        <w:t>The</w:t>
      </w:r>
      <w:r>
        <w:rPr>
          <w:spacing w:val="32"/>
          <w:vertAlign w:val="baseline"/>
        </w:rPr>
        <w:t> </w:t>
      </w:r>
      <w:r>
        <w:rPr>
          <w:vertAlign w:val="baseline"/>
        </w:rPr>
        <w:t>swelling</w:t>
      </w:r>
      <w:r>
        <w:rPr>
          <w:spacing w:val="34"/>
          <w:vertAlign w:val="baseline"/>
        </w:rPr>
        <w:t> </w:t>
      </w:r>
      <w:r>
        <w:rPr>
          <w:vertAlign w:val="baseline"/>
        </w:rPr>
        <w:t>capacity was calculated</w:t>
      </w:r>
      <w:r>
        <w:rPr>
          <w:spacing w:val="32"/>
          <w:vertAlign w:val="baseline"/>
        </w:rPr>
        <w:t> </w:t>
      </w:r>
      <w:r>
        <w:rPr>
          <w:vertAlign w:val="baseline"/>
        </w:rPr>
        <w:t>as a ratio of the volume of the sediment</w:t>
      </w:r>
      <w:r>
        <w:rPr>
          <w:spacing w:val="28"/>
          <w:vertAlign w:val="baseline"/>
        </w:rPr>
        <w:t> </w:t>
      </w:r>
      <w:r>
        <w:rPr>
          <w:vertAlign w:val="baseline"/>
        </w:rPr>
        <w:t>to the tapped volume:</w:t>
      </w:r>
    </w:p>
    <w:p>
      <w:pPr>
        <w:spacing w:after="0" w:line="491" w:lineRule="auto"/>
        <w:jc w:val="both"/>
        <w:sectPr>
          <w:pgSz w:w="12240" w:h="15840"/>
          <w:pgMar w:header="0" w:footer="999" w:top="1260" w:bottom="1180" w:left="1720" w:right="0"/>
        </w:sectPr>
      </w:pPr>
    </w:p>
    <w:p>
      <w:pPr>
        <w:spacing w:before="115"/>
        <w:ind w:left="0" w:right="0" w:firstLine="0"/>
        <w:jc w:val="right"/>
        <w:rPr>
          <w:rFonts w:ascii="Cambria Math" w:eastAsia="Cambria Math"/>
          <w:sz w:val="22"/>
        </w:rPr>
      </w:pPr>
      <w:r>
        <w:rPr>
          <w:rFonts w:ascii="Cambria Math" w:eastAsia="Cambria Math"/>
          <w:sz w:val="22"/>
        </w:rPr>
        <w:t>𝑆.</w:t>
      </w:r>
      <w:r>
        <w:rPr>
          <w:rFonts w:ascii="Cambria Math" w:eastAsia="Cambria Math"/>
          <w:spacing w:val="-7"/>
          <w:sz w:val="22"/>
        </w:rPr>
        <w:t> </w:t>
      </w:r>
      <w:r>
        <w:rPr>
          <w:rFonts w:ascii="Cambria Math" w:eastAsia="Cambria Math"/>
          <w:sz w:val="22"/>
        </w:rPr>
        <w:t>𝐶</w:t>
      </w:r>
      <w:r>
        <w:rPr>
          <w:rFonts w:ascii="Cambria Math" w:eastAsia="Cambria Math"/>
          <w:spacing w:val="79"/>
          <w:sz w:val="22"/>
        </w:rPr>
        <w:t> </w:t>
      </w:r>
      <w:r>
        <w:rPr>
          <w:rFonts w:ascii="Cambria Math" w:eastAsia="Cambria Math"/>
          <w:spacing w:val="-10"/>
          <w:sz w:val="22"/>
        </w:rPr>
        <w:t>=</w:t>
      </w:r>
    </w:p>
    <w:p>
      <w:pPr>
        <w:tabs>
          <w:tab w:pos="627" w:val="left" w:leader="none"/>
        </w:tabs>
        <w:spacing w:line="319" w:lineRule="exact" w:before="27"/>
        <w:ind w:left="123" w:right="0" w:firstLine="0"/>
        <w:jc w:val="left"/>
        <w:rPr>
          <w:rFonts w:ascii="Cambria Math" w:hAnsi="Cambria Math"/>
          <w:sz w:val="22"/>
        </w:rPr>
      </w:pPr>
      <w:r>
        <w:rPr/>
        <w:br w:type="column"/>
      </w:r>
      <w:r>
        <w:rPr>
          <w:i/>
          <w:position w:val="11"/>
          <w:sz w:val="20"/>
          <w:u w:val="single"/>
        </w:rPr>
        <w:t>V</w:t>
      </w:r>
      <w:r>
        <w:rPr>
          <w:i/>
          <w:spacing w:val="-5"/>
          <w:position w:val="11"/>
          <w:sz w:val="20"/>
          <w:u w:val="single"/>
        </w:rPr>
        <w:t> </w:t>
      </w:r>
      <w:r>
        <w:rPr>
          <w:i/>
          <w:position w:val="6"/>
          <w:sz w:val="12"/>
          <w:u w:val="single"/>
        </w:rPr>
        <w:t>v</w:t>
      </w:r>
      <w:r>
        <w:rPr>
          <w:i/>
          <w:spacing w:val="46"/>
          <w:position w:val="6"/>
          <w:sz w:val="12"/>
          <w:u w:val="single"/>
        </w:rPr>
        <w:t> </w:t>
      </w:r>
      <w:r>
        <w:rPr>
          <w:i/>
          <w:position w:val="6"/>
          <w:sz w:val="12"/>
        </w:rPr>
        <w:tab/>
      </w:r>
      <w:r>
        <w:rPr>
          <w:rFonts w:ascii="Cambria Math" w:hAnsi="Cambria Math"/>
          <w:sz w:val="22"/>
        </w:rPr>
        <w:t>−</w:t>
      </w:r>
      <w:r>
        <w:rPr>
          <w:rFonts w:ascii="Cambria Math" w:hAnsi="Cambria Math"/>
          <w:spacing w:val="2"/>
          <w:sz w:val="22"/>
        </w:rPr>
        <w:t> </w:t>
      </w:r>
      <w:r>
        <w:rPr>
          <w:rFonts w:ascii="Cambria Math" w:hAnsi="Cambria Math"/>
          <w:sz w:val="22"/>
        </w:rPr>
        <w:t>−</w:t>
      </w:r>
      <w:r>
        <w:rPr>
          <w:rFonts w:ascii="Cambria Math" w:hAnsi="Cambria Math"/>
          <w:spacing w:val="7"/>
          <w:sz w:val="22"/>
        </w:rPr>
        <w:t> </w:t>
      </w:r>
      <w:r>
        <w:rPr>
          <w:rFonts w:ascii="Cambria Math" w:hAnsi="Cambria Math"/>
          <w:sz w:val="22"/>
        </w:rPr>
        <w:t>−</w:t>
      </w:r>
      <w:r>
        <w:rPr>
          <w:rFonts w:ascii="Cambria Math" w:hAnsi="Cambria Math"/>
          <w:spacing w:val="2"/>
          <w:sz w:val="22"/>
        </w:rPr>
        <w:t> </w:t>
      </w:r>
      <w:r>
        <w:rPr>
          <w:rFonts w:ascii="Cambria Math" w:hAnsi="Cambria Math"/>
          <w:sz w:val="22"/>
        </w:rPr>
        <w:t>−</w:t>
      </w:r>
      <w:r>
        <w:rPr>
          <w:rFonts w:ascii="Cambria Math" w:hAnsi="Cambria Math"/>
          <w:spacing w:val="8"/>
          <w:sz w:val="22"/>
        </w:rPr>
        <w:t> </w:t>
      </w:r>
      <w:r>
        <w:rPr>
          <w:rFonts w:ascii="Cambria Math" w:hAnsi="Cambria Math"/>
          <w:sz w:val="22"/>
        </w:rPr>
        <w:t>−</w:t>
      </w:r>
      <w:r>
        <w:rPr>
          <w:rFonts w:ascii="Cambria Math" w:hAnsi="Cambria Math"/>
          <w:spacing w:val="2"/>
          <w:sz w:val="22"/>
        </w:rPr>
        <w:t> </w:t>
      </w:r>
      <w:r>
        <w:rPr>
          <w:rFonts w:ascii="Cambria Math" w:hAnsi="Cambria Math"/>
          <w:spacing w:val="-2"/>
          <w:sz w:val="22"/>
        </w:rPr>
        <w:t>−(3.3)</w:t>
      </w:r>
    </w:p>
    <w:p>
      <w:pPr>
        <w:spacing w:line="203" w:lineRule="exact" w:before="0"/>
        <w:ind w:left="104" w:right="0" w:firstLine="0"/>
        <w:jc w:val="left"/>
        <w:rPr>
          <w:i/>
          <w:sz w:val="20"/>
        </w:rPr>
      </w:pPr>
      <w:r>
        <w:rPr>
          <w:i/>
          <w:spacing w:val="-5"/>
          <w:sz w:val="20"/>
        </w:rPr>
        <w:t>Vx</w:t>
      </w:r>
    </w:p>
    <w:p>
      <w:pPr>
        <w:spacing w:after="0" w:line="203" w:lineRule="exact"/>
        <w:jc w:val="left"/>
        <w:rPr>
          <w:sz w:val="20"/>
        </w:rPr>
        <w:sectPr>
          <w:type w:val="continuous"/>
          <w:pgSz w:w="12240" w:h="15840"/>
          <w:pgMar w:header="0" w:footer="999" w:top="1780" w:bottom="1180" w:left="1720" w:right="0"/>
          <w:cols w:num="2" w:equalWidth="0">
            <w:col w:w="3728" w:space="40"/>
            <w:col w:w="6752"/>
          </w:cols>
        </w:sectPr>
      </w:pPr>
    </w:p>
    <w:p>
      <w:pPr>
        <w:pStyle w:val="Heading2"/>
        <w:numPr>
          <w:ilvl w:val="1"/>
          <w:numId w:val="33"/>
        </w:numPr>
        <w:tabs>
          <w:tab w:pos="1234" w:val="left" w:leader="none"/>
        </w:tabs>
        <w:spacing w:line="240" w:lineRule="auto" w:before="80" w:after="0"/>
        <w:ind w:left="1234" w:right="0" w:hanging="569"/>
        <w:jc w:val="both"/>
      </w:pPr>
      <w:bookmarkStart w:name="_TOC_250056" w:id="105"/>
      <w:r>
        <w:rPr/>
        <w:t>Physical</w:t>
      </w:r>
      <w:r>
        <w:rPr>
          <w:spacing w:val="12"/>
        </w:rPr>
        <w:t> </w:t>
      </w:r>
      <w:r>
        <w:rPr/>
        <w:t>Properties</w:t>
      </w:r>
      <w:r>
        <w:rPr>
          <w:spacing w:val="6"/>
        </w:rPr>
        <w:t> </w:t>
      </w:r>
      <w:r>
        <w:rPr/>
        <w:t>of</w:t>
      </w:r>
      <w:r>
        <w:rPr>
          <w:spacing w:val="15"/>
        </w:rPr>
        <w:t> </w:t>
      </w:r>
      <w:r>
        <w:rPr/>
        <w:t>Powdered</w:t>
      </w:r>
      <w:r>
        <w:rPr>
          <w:spacing w:val="12"/>
        </w:rPr>
        <w:t> </w:t>
      </w:r>
      <w:bookmarkEnd w:id="105"/>
      <w:r>
        <w:rPr>
          <w:spacing w:val="-2"/>
        </w:rPr>
        <w:t>Starch</w:t>
      </w:r>
    </w:p>
    <w:p>
      <w:pPr>
        <w:pStyle w:val="BodyText"/>
        <w:spacing w:before="103"/>
        <w:rPr>
          <w:b/>
        </w:rPr>
      </w:pPr>
    </w:p>
    <w:p>
      <w:pPr>
        <w:pStyle w:val="ListParagraph"/>
        <w:numPr>
          <w:ilvl w:val="2"/>
          <w:numId w:val="33"/>
        </w:numPr>
        <w:tabs>
          <w:tab w:pos="1339" w:val="left" w:leader="none"/>
        </w:tabs>
        <w:spacing w:line="491" w:lineRule="auto" w:before="1" w:after="0"/>
        <w:ind w:left="665" w:right="1852" w:firstLine="0"/>
        <w:jc w:val="both"/>
        <w:rPr>
          <w:sz w:val="22"/>
        </w:rPr>
      </w:pPr>
      <w:r>
        <w:rPr>
          <w:b/>
          <w:sz w:val="22"/>
        </w:rPr>
        <w:t>Particle</w:t>
      </w:r>
      <w:r>
        <w:rPr>
          <w:b/>
          <w:spacing w:val="40"/>
          <w:sz w:val="22"/>
        </w:rPr>
        <w:t> </w:t>
      </w:r>
      <w:r>
        <w:rPr>
          <w:b/>
          <w:sz w:val="22"/>
        </w:rPr>
        <w:t>Size</w:t>
      </w:r>
      <w:r>
        <w:rPr>
          <w:b/>
          <w:spacing w:val="40"/>
          <w:sz w:val="22"/>
        </w:rPr>
        <w:t> </w:t>
      </w:r>
      <w:r>
        <w:rPr>
          <w:b/>
          <w:sz w:val="22"/>
        </w:rPr>
        <w:t>Analysis:</w:t>
      </w:r>
      <w:r>
        <w:rPr>
          <w:b/>
          <w:spacing w:val="40"/>
          <w:sz w:val="22"/>
        </w:rPr>
        <w:t> </w:t>
      </w:r>
      <w:r>
        <w:rPr>
          <w:sz w:val="22"/>
        </w:rPr>
        <w:t>Twenty</w:t>
      </w:r>
      <w:r>
        <w:rPr>
          <w:spacing w:val="40"/>
          <w:sz w:val="22"/>
        </w:rPr>
        <w:t> </w:t>
      </w:r>
      <w:r>
        <w:rPr>
          <w:sz w:val="22"/>
        </w:rPr>
        <w:t>gram</w:t>
      </w:r>
      <w:r>
        <w:rPr>
          <w:spacing w:val="40"/>
          <w:sz w:val="22"/>
        </w:rPr>
        <w:t> </w:t>
      </w:r>
      <w:r>
        <w:rPr>
          <w:sz w:val="22"/>
        </w:rPr>
        <w:t>of</w:t>
      </w:r>
      <w:r>
        <w:rPr>
          <w:spacing w:val="40"/>
          <w:sz w:val="22"/>
        </w:rPr>
        <w:t> </w:t>
      </w:r>
      <w:r>
        <w:rPr>
          <w:sz w:val="22"/>
        </w:rPr>
        <w:t>the</w:t>
      </w:r>
      <w:r>
        <w:rPr>
          <w:spacing w:val="40"/>
          <w:sz w:val="22"/>
        </w:rPr>
        <w:t> </w:t>
      </w:r>
      <w:r>
        <w:rPr>
          <w:sz w:val="22"/>
        </w:rPr>
        <w:t>starch</w:t>
      </w:r>
      <w:r>
        <w:rPr>
          <w:spacing w:val="40"/>
          <w:sz w:val="22"/>
        </w:rPr>
        <w:t> </w:t>
      </w:r>
      <w:r>
        <w:rPr>
          <w:sz w:val="22"/>
        </w:rPr>
        <w:t>was</w:t>
      </w:r>
      <w:r>
        <w:rPr>
          <w:spacing w:val="40"/>
          <w:sz w:val="22"/>
        </w:rPr>
        <w:t> </w:t>
      </w:r>
      <w:r>
        <w:rPr>
          <w:sz w:val="22"/>
        </w:rPr>
        <w:t>placed</w:t>
      </w:r>
      <w:r>
        <w:rPr>
          <w:spacing w:val="40"/>
          <w:sz w:val="22"/>
        </w:rPr>
        <w:t> </w:t>
      </w:r>
      <w:r>
        <w:rPr>
          <w:sz w:val="22"/>
        </w:rPr>
        <w:t>on</w:t>
      </w:r>
      <w:r>
        <w:rPr>
          <w:spacing w:val="40"/>
          <w:sz w:val="22"/>
        </w:rPr>
        <w:t> </w:t>
      </w:r>
      <w:r>
        <w:rPr>
          <w:sz w:val="22"/>
        </w:rPr>
        <w:t>a</w:t>
      </w:r>
      <w:r>
        <w:rPr>
          <w:spacing w:val="40"/>
          <w:sz w:val="22"/>
        </w:rPr>
        <w:t> </w:t>
      </w:r>
      <w:r>
        <w:rPr>
          <w:sz w:val="22"/>
        </w:rPr>
        <w:t>nest</w:t>
      </w:r>
      <w:r>
        <w:rPr>
          <w:spacing w:val="40"/>
          <w:sz w:val="22"/>
        </w:rPr>
        <w:t> </w:t>
      </w:r>
      <w:r>
        <w:rPr>
          <w:sz w:val="22"/>
        </w:rPr>
        <w:t>of sieves</w:t>
      </w:r>
      <w:r>
        <w:rPr>
          <w:spacing w:val="40"/>
          <w:sz w:val="22"/>
        </w:rPr>
        <w:t> </w:t>
      </w:r>
      <w:r>
        <w:rPr>
          <w:sz w:val="22"/>
        </w:rPr>
        <w:t>containing</w:t>
      </w:r>
      <w:r>
        <w:rPr>
          <w:spacing w:val="35"/>
          <w:sz w:val="22"/>
        </w:rPr>
        <w:t> </w:t>
      </w:r>
      <w:r>
        <w:rPr>
          <w:sz w:val="22"/>
        </w:rPr>
        <w:t>sieves</w:t>
      </w:r>
      <w:r>
        <w:rPr>
          <w:spacing w:val="36"/>
          <w:sz w:val="22"/>
        </w:rPr>
        <w:t> </w:t>
      </w:r>
      <w:r>
        <w:rPr>
          <w:sz w:val="22"/>
        </w:rPr>
        <w:t>arranged</w:t>
      </w:r>
      <w:r>
        <w:rPr>
          <w:spacing w:val="39"/>
          <w:sz w:val="22"/>
        </w:rPr>
        <w:t> </w:t>
      </w:r>
      <w:r>
        <w:rPr>
          <w:sz w:val="22"/>
        </w:rPr>
        <w:t>in</w:t>
      </w:r>
      <w:r>
        <w:rPr>
          <w:spacing w:val="39"/>
          <w:sz w:val="22"/>
        </w:rPr>
        <w:t> </w:t>
      </w:r>
      <w:r>
        <w:rPr>
          <w:sz w:val="22"/>
        </w:rPr>
        <w:t>descending</w:t>
      </w:r>
      <w:r>
        <w:rPr>
          <w:spacing w:val="40"/>
          <w:sz w:val="22"/>
        </w:rPr>
        <w:t> </w:t>
      </w:r>
      <w:r>
        <w:rPr>
          <w:sz w:val="22"/>
        </w:rPr>
        <w:t>order</w:t>
      </w:r>
      <w:r>
        <w:rPr>
          <w:spacing w:val="39"/>
          <w:sz w:val="22"/>
        </w:rPr>
        <w:t> </w:t>
      </w:r>
      <w:r>
        <w:rPr>
          <w:sz w:val="22"/>
        </w:rPr>
        <w:t>(500,</w:t>
      </w:r>
      <w:r>
        <w:rPr>
          <w:spacing w:val="33"/>
          <w:sz w:val="22"/>
        </w:rPr>
        <w:t> </w:t>
      </w:r>
      <w:r>
        <w:rPr>
          <w:sz w:val="22"/>
        </w:rPr>
        <w:t>250,</w:t>
      </w:r>
      <w:r>
        <w:rPr>
          <w:spacing w:val="33"/>
          <w:sz w:val="22"/>
        </w:rPr>
        <w:t> </w:t>
      </w:r>
      <w:r>
        <w:rPr>
          <w:sz w:val="22"/>
        </w:rPr>
        <w:t>150,</w:t>
      </w:r>
      <w:r>
        <w:rPr>
          <w:spacing w:val="38"/>
          <w:sz w:val="22"/>
        </w:rPr>
        <w:t> </w:t>
      </w:r>
      <w:r>
        <w:rPr>
          <w:sz w:val="22"/>
        </w:rPr>
        <w:t>90</w:t>
      </w:r>
      <w:r>
        <w:rPr>
          <w:spacing w:val="39"/>
          <w:sz w:val="22"/>
        </w:rPr>
        <w:t> </w:t>
      </w:r>
      <w:r>
        <w:rPr>
          <w:sz w:val="22"/>
        </w:rPr>
        <w:t>and</w:t>
      </w:r>
      <w:r>
        <w:rPr>
          <w:spacing w:val="35"/>
          <w:sz w:val="22"/>
        </w:rPr>
        <w:t> </w:t>
      </w:r>
      <w:r>
        <w:rPr>
          <w:sz w:val="22"/>
        </w:rPr>
        <w:t>75</w:t>
      </w:r>
      <w:r>
        <w:rPr>
          <w:spacing w:val="40"/>
          <w:sz w:val="22"/>
        </w:rPr>
        <w:t> </w:t>
      </w:r>
      <w:r>
        <w:rPr>
          <w:rFonts w:ascii="Calibri" w:hAnsi="Calibri"/>
          <w:sz w:val="22"/>
        </w:rPr>
        <w:t>µ</w:t>
      </w:r>
      <w:r>
        <w:rPr>
          <w:sz w:val="22"/>
        </w:rPr>
        <w:t>m) and</w:t>
      </w:r>
      <w:r>
        <w:rPr>
          <w:spacing w:val="40"/>
          <w:sz w:val="22"/>
        </w:rPr>
        <w:t> </w:t>
      </w:r>
      <w:r>
        <w:rPr>
          <w:sz w:val="22"/>
        </w:rPr>
        <w:t>the</w:t>
      </w:r>
      <w:r>
        <w:rPr>
          <w:spacing w:val="40"/>
          <w:sz w:val="22"/>
        </w:rPr>
        <w:t> </w:t>
      </w:r>
      <w:r>
        <w:rPr>
          <w:sz w:val="22"/>
        </w:rPr>
        <w:t>shaker</w:t>
      </w:r>
      <w:r>
        <w:rPr>
          <w:spacing w:val="40"/>
          <w:sz w:val="22"/>
        </w:rPr>
        <w:t> </w:t>
      </w:r>
      <w:r>
        <w:rPr>
          <w:sz w:val="22"/>
        </w:rPr>
        <w:t>vibrated</w:t>
      </w:r>
      <w:r>
        <w:rPr>
          <w:spacing w:val="37"/>
          <w:sz w:val="22"/>
        </w:rPr>
        <w:t> </w:t>
      </w:r>
      <w:r>
        <w:rPr>
          <w:sz w:val="22"/>
        </w:rPr>
        <w:t>for 15</w:t>
      </w:r>
      <w:r>
        <w:rPr>
          <w:spacing w:val="37"/>
          <w:sz w:val="22"/>
        </w:rPr>
        <w:t> </w:t>
      </w:r>
      <w:r>
        <w:rPr>
          <w:sz w:val="22"/>
        </w:rPr>
        <w:t>min.</w:t>
      </w:r>
      <w:r>
        <w:rPr>
          <w:spacing w:val="80"/>
          <w:sz w:val="22"/>
        </w:rPr>
        <w:t> </w:t>
      </w:r>
      <w:r>
        <w:rPr>
          <w:sz w:val="22"/>
        </w:rPr>
        <w:t>The</w:t>
      </w:r>
      <w:r>
        <w:rPr>
          <w:spacing w:val="36"/>
          <w:sz w:val="22"/>
        </w:rPr>
        <w:t> </w:t>
      </w:r>
      <w:r>
        <w:rPr>
          <w:sz w:val="22"/>
        </w:rPr>
        <w:t>weight</w:t>
      </w:r>
      <w:r>
        <w:rPr>
          <w:spacing w:val="40"/>
          <w:sz w:val="22"/>
        </w:rPr>
        <w:t> </w:t>
      </w:r>
      <w:r>
        <w:rPr>
          <w:sz w:val="22"/>
        </w:rPr>
        <w:t>of starch</w:t>
      </w:r>
      <w:r>
        <w:rPr>
          <w:spacing w:val="33"/>
          <w:sz w:val="22"/>
        </w:rPr>
        <w:t> </w:t>
      </w:r>
      <w:r>
        <w:rPr>
          <w:sz w:val="22"/>
        </w:rPr>
        <w:t>retained</w:t>
      </w:r>
      <w:r>
        <w:rPr>
          <w:spacing w:val="37"/>
          <w:sz w:val="22"/>
        </w:rPr>
        <w:t> </w:t>
      </w:r>
      <w:r>
        <w:rPr>
          <w:sz w:val="22"/>
        </w:rPr>
        <w:t>or each</w:t>
      </w:r>
      <w:r>
        <w:rPr>
          <w:spacing w:val="38"/>
          <w:sz w:val="22"/>
        </w:rPr>
        <w:t> </w:t>
      </w:r>
      <w:r>
        <w:rPr>
          <w:sz w:val="22"/>
        </w:rPr>
        <w:t>sieve</w:t>
      </w:r>
      <w:r>
        <w:rPr>
          <w:spacing w:val="36"/>
          <w:sz w:val="22"/>
        </w:rPr>
        <w:t> </w:t>
      </w:r>
      <w:r>
        <w:rPr>
          <w:sz w:val="22"/>
        </w:rPr>
        <w:t>was taken and percentage cumulative weight oversize was plotted against particle size.</w:t>
      </w:r>
    </w:p>
    <w:p>
      <w:pPr>
        <w:pStyle w:val="ListParagraph"/>
        <w:numPr>
          <w:ilvl w:val="2"/>
          <w:numId w:val="33"/>
        </w:numPr>
        <w:tabs>
          <w:tab w:pos="1180" w:val="left" w:leader="none"/>
        </w:tabs>
        <w:spacing w:line="491" w:lineRule="auto" w:before="116" w:after="0"/>
        <w:ind w:left="665" w:right="1859" w:firstLine="0"/>
        <w:jc w:val="both"/>
        <w:rPr>
          <w:sz w:val="22"/>
        </w:rPr>
      </w:pPr>
      <w:r>
        <w:rPr>
          <w:b/>
          <w:sz w:val="22"/>
        </w:rPr>
        <w:t>Angle of</w:t>
      </w:r>
      <w:r>
        <w:rPr>
          <w:b/>
          <w:spacing w:val="18"/>
          <w:sz w:val="22"/>
        </w:rPr>
        <w:t> </w:t>
      </w:r>
      <w:r>
        <w:rPr>
          <w:b/>
          <w:sz w:val="22"/>
        </w:rPr>
        <w:t>Repose:</w:t>
      </w:r>
      <w:r>
        <w:rPr>
          <w:b/>
          <w:spacing w:val="19"/>
          <w:sz w:val="22"/>
        </w:rPr>
        <w:t> </w:t>
      </w:r>
      <w:r>
        <w:rPr>
          <w:sz w:val="22"/>
        </w:rPr>
        <w:t>A plugged</w:t>
      </w:r>
      <w:r>
        <w:rPr>
          <w:spacing w:val="18"/>
          <w:sz w:val="22"/>
        </w:rPr>
        <w:t> </w:t>
      </w:r>
      <w:r>
        <w:rPr>
          <w:sz w:val="22"/>
        </w:rPr>
        <w:t>glass funnel of</w:t>
      </w:r>
      <w:r>
        <w:rPr>
          <w:spacing w:val="22"/>
          <w:sz w:val="22"/>
        </w:rPr>
        <w:t> </w:t>
      </w:r>
      <w:r>
        <w:rPr>
          <w:sz w:val="22"/>
        </w:rPr>
        <w:t>orifice diameter</w:t>
      </w:r>
      <w:r>
        <w:rPr>
          <w:spacing w:val="22"/>
          <w:sz w:val="22"/>
        </w:rPr>
        <w:t> </w:t>
      </w:r>
      <w:r>
        <w:rPr>
          <w:sz w:val="22"/>
        </w:rPr>
        <w:t>0.8</w:t>
      </w:r>
      <w:r>
        <w:rPr>
          <w:spacing w:val="24"/>
          <w:sz w:val="22"/>
        </w:rPr>
        <w:t> </w:t>
      </w:r>
      <w:r>
        <w:rPr>
          <w:sz w:val="22"/>
        </w:rPr>
        <w:t>cm was clamped at a height of 10 cm on a flat laboratory bench. A 20 g starch sample was weighed and placed</w:t>
      </w:r>
      <w:r>
        <w:rPr>
          <w:spacing w:val="19"/>
          <w:sz w:val="22"/>
        </w:rPr>
        <w:t> </w:t>
      </w:r>
      <w:r>
        <w:rPr>
          <w:sz w:val="22"/>
        </w:rPr>
        <w:t>in the</w:t>
      </w:r>
      <w:r>
        <w:rPr>
          <w:spacing w:val="18"/>
          <w:sz w:val="22"/>
        </w:rPr>
        <w:t> </w:t>
      </w:r>
      <w:r>
        <w:rPr>
          <w:sz w:val="22"/>
        </w:rPr>
        <w:t>funnel and</w:t>
      </w:r>
      <w:r>
        <w:rPr>
          <w:spacing w:val="13"/>
          <w:sz w:val="22"/>
        </w:rPr>
        <w:t> </w:t>
      </w:r>
      <w:r>
        <w:rPr>
          <w:sz w:val="22"/>
        </w:rPr>
        <w:t>then allowed</w:t>
      </w:r>
      <w:r>
        <w:rPr>
          <w:spacing w:val="19"/>
          <w:sz w:val="22"/>
        </w:rPr>
        <w:t> </w:t>
      </w:r>
      <w:r>
        <w:rPr>
          <w:sz w:val="22"/>
        </w:rPr>
        <w:t>to</w:t>
      </w:r>
      <w:r>
        <w:rPr>
          <w:spacing w:val="19"/>
          <w:sz w:val="22"/>
        </w:rPr>
        <w:t> </w:t>
      </w:r>
      <w:r>
        <w:rPr>
          <w:sz w:val="22"/>
        </w:rPr>
        <w:t>flow freely.</w:t>
      </w:r>
      <w:r>
        <w:rPr>
          <w:spacing w:val="18"/>
          <w:sz w:val="22"/>
        </w:rPr>
        <w:t> </w:t>
      </w:r>
      <w:r>
        <w:rPr>
          <w:sz w:val="22"/>
        </w:rPr>
        <w:t>The</w:t>
      </w:r>
      <w:r>
        <w:rPr>
          <w:spacing w:val="17"/>
          <w:sz w:val="22"/>
        </w:rPr>
        <w:t> </w:t>
      </w:r>
      <w:r>
        <w:rPr>
          <w:sz w:val="22"/>
        </w:rPr>
        <w:t>angle of repose was calculated</w:t>
      </w:r>
    </w:p>
    <w:p>
      <w:pPr>
        <w:spacing w:after="0" w:line="491" w:lineRule="auto"/>
        <w:jc w:val="both"/>
        <w:rPr>
          <w:sz w:val="22"/>
        </w:rPr>
        <w:sectPr>
          <w:pgSz w:w="12240" w:h="15840"/>
          <w:pgMar w:header="0" w:footer="999" w:top="1260" w:bottom="1180" w:left="1720" w:right="0"/>
        </w:sectPr>
      </w:pPr>
    </w:p>
    <w:p>
      <w:pPr>
        <w:pStyle w:val="BodyText"/>
        <w:spacing w:line="252" w:lineRule="exact"/>
        <w:ind w:left="665"/>
      </w:pPr>
      <w:r>
        <w:rPr/>
        <w:t>from</w:t>
      </w:r>
      <w:r>
        <w:rPr>
          <w:spacing w:val="11"/>
        </w:rPr>
        <w:t> </w:t>
      </w:r>
      <w:r>
        <w:rPr/>
        <w:t>the</w:t>
      </w:r>
      <w:r>
        <w:rPr>
          <w:spacing w:val="8"/>
        </w:rPr>
        <w:t> </w:t>
      </w:r>
      <w:r>
        <w:rPr>
          <w:spacing w:val="-2"/>
        </w:rPr>
        <w:t>equation:</w:t>
      </w:r>
    </w:p>
    <w:p>
      <w:pPr>
        <w:spacing w:line="240" w:lineRule="auto" w:before="0"/>
        <w:rPr>
          <w:sz w:val="22"/>
        </w:rPr>
      </w:pPr>
      <w:r>
        <w:rPr/>
        <w:br w:type="column"/>
      </w:r>
      <w:r>
        <w:rPr>
          <w:sz w:val="22"/>
        </w:rPr>
      </w:r>
    </w:p>
    <w:p>
      <w:pPr>
        <w:pStyle w:val="BodyText"/>
        <w:spacing w:before="152"/>
      </w:pPr>
    </w:p>
    <w:p>
      <w:pPr>
        <w:pStyle w:val="BodyText"/>
        <w:ind w:left="75"/>
        <w:rPr>
          <w:rFonts w:ascii="Cambria Math" w:hAnsi="Cambria Math" w:eastAsia="Cambria Math"/>
        </w:rPr>
      </w:pPr>
      <w:r>
        <w:rPr>
          <w:rFonts w:ascii="Cambria Math" w:hAnsi="Cambria Math" w:eastAsia="Cambria Math"/>
        </w:rPr>
        <w:t>𝜃</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33"/>
        </w:rPr>
        <w:t> </w:t>
      </w:r>
      <w:r>
        <w:rPr>
          <w:rFonts w:ascii="Cambria Math" w:hAnsi="Cambria Math" w:eastAsia="Cambria Math"/>
          <w:spacing w:val="-2"/>
        </w:rPr>
        <w:t>𝑇𝑎𝑛</w:t>
      </w:r>
      <w:r>
        <w:rPr>
          <w:rFonts w:ascii="Cambria Math" w:hAnsi="Cambria Math" w:eastAsia="Cambria Math"/>
          <w:spacing w:val="-2"/>
          <w:vertAlign w:val="superscript"/>
        </w:rPr>
        <w:t>−1</w:t>
      </w:r>
    </w:p>
    <w:p>
      <w:pPr>
        <w:spacing w:line="240" w:lineRule="auto" w:before="232"/>
        <w:rPr>
          <w:rFonts w:ascii="Cambria Math"/>
          <w:sz w:val="22"/>
        </w:rPr>
      </w:pPr>
      <w:r>
        <w:rPr/>
        <w:br w:type="column"/>
      </w:r>
      <w:r>
        <w:rPr>
          <w:rFonts w:ascii="Cambria Math"/>
          <w:sz w:val="22"/>
        </w:rPr>
      </w:r>
    </w:p>
    <w:p>
      <w:pPr>
        <w:pStyle w:val="BodyText"/>
        <w:spacing w:line="213" w:lineRule="exact"/>
        <w:ind w:left="118"/>
        <w:rPr>
          <w:rFonts w:ascii="Cambria Math" w:hAnsi="Cambria Math"/>
        </w:rPr>
      </w:pPr>
      <w:r>
        <w:rPr>
          <w:rFonts w:ascii="Cambria Math" w:hAnsi="Cambria Math"/>
          <w:spacing w:val="-5"/>
        </w:rPr>
        <w:t>2ℎ</w:t>
      </w:r>
    </w:p>
    <w:p>
      <w:pPr>
        <w:pStyle w:val="BodyText"/>
        <w:tabs>
          <w:tab w:pos="372" w:val="left" w:leader="none"/>
          <w:tab w:pos="2883" w:val="left" w:leader="dot"/>
        </w:tabs>
        <w:spacing w:line="158" w:lineRule="exact"/>
        <w:ind w:left="7"/>
        <w:rPr>
          <w:rFonts w:ascii="Cambria Math"/>
        </w:rPr>
      </w:pPr>
      <w:r>
        <w:rPr/>
        <mc:AlternateContent>
          <mc:Choice Requires="wps">
            <w:drawing>
              <wp:anchor distT="0" distB="0" distL="0" distR="0" allowOverlap="1" layoutInCell="1" locked="0" behindDoc="1" simplePos="0" relativeHeight="481990144">
                <wp:simplePos x="0" y="0"/>
                <wp:positionH relativeFrom="page">
                  <wp:posOffset>3398520</wp:posOffset>
                </wp:positionH>
                <wp:positionV relativeFrom="paragraph">
                  <wp:posOffset>58540</wp:posOffset>
                </wp:positionV>
                <wp:extent cx="158750" cy="9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58750" cy="9525"/>
                        </a:xfrm>
                        <a:custGeom>
                          <a:avLst/>
                          <a:gdLst/>
                          <a:ahLst/>
                          <a:cxnLst/>
                          <a:rect l="l" t="t" r="r" b="b"/>
                          <a:pathLst>
                            <a:path w="158750" h="9525">
                              <a:moveTo>
                                <a:pt x="158496" y="0"/>
                              </a:moveTo>
                              <a:lnTo>
                                <a:pt x="0" y="0"/>
                              </a:lnTo>
                              <a:lnTo>
                                <a:pt x="0" y="9144"/>
                              </a:lnTo>
                              <a:lnTo>
                                <a:pt x="158496" y="9144"/>
                              </a:lnTo>
                              <a:lnTo>
                                <a:pt x="158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7.600006pt;margin-top:4.609499pt;width:12.48pt;height:.72pt;mso-position-horizontal-relative:page;mso-position-vertical-relative:paragraph;z-index:-21326336" id="docshape29" filled="true" fillcolor="#000000" stroked="false">
                <v:fill type="solid"/>
                <w10:wrap type="none"/>
              </v:rect>
            </w:pict>
          </mc:Fallback>
        </mc:AlternateContent>
      </w:r>
      <w:r>
        <w:rPr>
          <w:rFonts w:ascii="Cambria Math"/>
          <w:spacing w:val="-10"/>
          <w:w w:val="110"/>
        </w:rPr>
        <w:t>(</w:t>
      </w:r>
      <w:r>
        <w:rPr>
          <w:rFonts w:ascii="Cambria Math"/>
        </w:rPr>
        <w:tab/>
      </w:r>
      <w:r>
        <w:rPr>
          <w:rFonts w:ascii="Cambria Math"/>
          <w:spacing w:val="-10"/>
          <w:w w:val="110"/>
        </w:rPr>
        <w:t>)</w:t>
      </w:r>
      <w:r>
        <w:rPr/>
        <w:tab/>
      </w:r>
      <w:r>
        <w:rPr>
          <w:rFonts w:ascii="Cambria Math"/>
          <w:spacing w:val="-2"/>
          <w:w w:val="110"/>
        </w:rPr>
        <w:t>(3.4)</w:t>
      </w:r>
    </w:p>
    <w:p>
      <w:pPr>
        <w:spacing w:line="203" w:lineRule="exact" w:before="0"/>
        <w:ind w:left="161" w:right="0" w:firstLine="0"/>
        <w:jc w:val="left"/>
        <w:rPr>
          <w:rFonts w:ascii="Cambria Math" w:eastAsia="Cambria Math"/>
          <w:sz w:val="22"/>
        </w:rPr>
      </w:pPr>
      <w:r>
        <w:rPr>
          <w:rFonts w:ascii="Cambria Math" w:eastAsia="Cambria Math"/>
          <w:spacing w:val="-10"/>
          <w:sz w:val="22"/>
        </w:rPr>
        <w:t>𝐷</w:t>
      </w:r>
    </w:p>
    <w:p>
      <w:pPr>
        <w:spacing w:after="0" w:line="203" w:lineRule="exact"/>
        <w:jc w:val="left"/>
        <w:rPr>
          <w:rFonts w:ascii="Cambria Math" w:eastAsia="Cambria Math"/>
          <w:sz w:val="22"/>
        </w:rPr>
        <w:sectPr>
          <w:type w:val="continuous"/>
          <w:pgSz w:w="12240" w:h="15840"/>
          <w:pgMar w:header="0" w:footer="999" w:top="1780" w:bottom="1180" w:left="1720" w:right="0"/>
          <w:cols w:num="3" w:equalWidth="0">
            <w:col w:w="2332" w:space="40"/>
            <w:col w:w="1103" w:space="39"/>
            <w:col w:w="7006"/>
          </w:cols>
        </w:sectPr>
      </w:pPr>
    </w:p>
    <w:p>
      <w:pPr>
        <w:pStyle w:val="BodyText"/>
        <w:spacing w:line="491" w:lineRule="auto" w:before="235"/>
        <w:ind w:left="665" w:right="1864" w:firstLine="676"/>
        <w:jc w:val="both"/>
      </w:pPr>
      <w:r>
        <w:rPr/>
        <w:t>Where h = height of heap and D is the diameter. It was repeated thrice and the average was calculated.</w:t>
      </w:r>
    </w:p>
    <w:p>
      <w:pPr>
        <w:pStyle w:val="ListParagraph"/>
        <w:numPr>
          <w:ilvl w:val="2"/>
          <w:numId w:val="33"/>
        </w:numPr>
        <w:tabs>
          <w:tab w:pos="1339" w:val="left" w:leader="none"/>
        </w:tabs>
        <w:spacing w:line="491" w:lineRule="auto" w:before="0" w:after="0"/>
        <w:ind w:left="665" w:right="1854" w:firstLine="0"/>
        <w:jc w:val="both"/>
        <w:rPr>
          <w:sz w:val="22"/>
        </w:rPr>
      </w:pPr>
      <w:r>
        <w:rPr>
          <w:b/>
          <w:sz w:val="22"/>
        </w:rPr>
        <w:t>Flow Rate: </w:t>
      </w:r>
      <w:r>
        <w:rPr>
          <w:sz w:val="22"/>
        </w:rPr>
        <w:t>A 20 g sample of starch was placed in Erweka Flow Tester (GDT, Germany).</w:t>
      </w:r>
      <w:r>
        <w:rPr>
          <w:spacing w:val="80"/>
          <w:sz w:val="22"/>
        </w:rPr>
        <w:t> </w:t>
      </w:r>
      <w:r>
        <w:rPr>
          <w:sz w:val="22"/>
        </w:rPr>
        <w:t>The time of flow was</w:t>
      </w:r>
      <w:r>
        <w:rPr>
          <w:spacing w:val="24"/>
          <w:sz w:val="22"/>
        </w:rPr>
        <w:t> </w:t>
      </w:r>
      <w:r>
        <w:rPr>
          <w:sz w:val="22"/>
        </w:rPr>
        <w:t>determined</w:t>
      </w:r>
      <w:r>
        <w:rPr>
          <w:spacing w:val="28"/>
          <w:sz w:val="22"/>
        </w:rPr>
        <w:t> </w:t>
      </w:r>
      <w:r>
        <w:rPr>
          <w:sz w:val="22"/>
        </w:rPr>
        <w:t>with the aid of a</w:t>
      </w:r>
      <w:r>
        <w:rPr>
          <w:spacing w:val="26"/>
          <w:sz w:val="22"/>
        </w:rPr>
        <w:t> </w:t>
      </w:r>
      <w:r>
        <w:rPr>
          <w:sz w:val="22"/>
        </w:rPr>
        <w:t>stop</w:t>
      </w:r>
      <w:r>
        <w:rPr>
          <w:spacing w:val="28"/>
          <w:sz w:val="22"/>
        </w:rPr>
        <w:t> </w:t>
      </w:r>
      <w:r>
        <w:rPr>
          <w:sz w:val="22"/>
        </w:rPr>
        <w:t>clock and</w:t>
      </w:r>
      <w:r>
        <w:rPr>
          <w:spacing w:val="28"/>
          <w:sz w:val="22"/>
        </w:rPr>
        <w:t> </w:t>
      </w:r>
      <w:r>
        <w:rPr>
          <w:sz w:val="22"/>
        </w:rPr>
        <w:t>the flow rate was determined as the ratio of mass (g) to time (seconds).</w:t>
      </w:r>
      <w:r>
        <w:rPr>
          <w:spacing w:val="40"/>
          <w:sz w:val="22"/>
        </w:rPr>
        <w:t> </w:t>
      </w:r>
      <w:r>
        <w:rPr>
          <w:sz w:val="22"/>
        </w:rPr>
        <w:t>The mean of three determinations was recorded.</w:t>
      </w:r>
    </w:p>
    <w:p>
      <w:pPr>
        <w:tabs>
          <w:tab w:pos="7932" w:val="left" w:leader="none"/>
        </w:tabs>
        <w:spacing w:before="0"/>
        <w:ind w:left="862" w:right="0" w:firstLine="0"/>
        <w:jc w:val="left"/>
        <w:rPr>
          <w:rFonts w:ascii="Cambria Math" w:hAnsi="Cambria Math" w:eastAsia="Cambria Math"/>
          <w:sz w:val="20"/>
        </w:rPr>
      </w:pPr>
      <w:r>
        <w:rPr>
          <w:rFonts w:ascii="Cambria Math" w:hAnsi="Cambria Math" w:eastAsia="Cambria Math"/>
          <w:sz w:val="20"/>
        </w:rPr>
        <w:t>𝐹𝑙𝑜𝑤</w:t>
      </w:r>
      <w:r>
        <w:rPr>
          <w:rFonts w:ascii="Cambria Math" w:hAnsi="Cambria Math" w:eastAsia="Cambria Math"/>
          <w:spacing w:val="10"/>
          <w:sz w:val="20"/>
        </w:rPr>
        <w:t> </w:t>
      </w:r>
      <w:r>
        <w:rPr>
          <w:rFonts w:ascii="Cambria Math" w:hAnsi="Cambria Math" w:eastAsia="Cambria Math"/>
          <w:sz w:val="20"/>
        </w:rPr>
        <w:t>𝑅𝑎𝑡𝑒</w:t>
      </w:r>
      <w:r>
        <w:rPr>
          <w:rFonts w:ascii="Cambria Math" w:hAnsi="Cambria Math" w:eastAsia="Cambria Math"/>
          <w:spacing w:val="79"/>
          <w:sz w:val="20"/>
        </w:rPr>
        <w:t> </w:t>
      </w:r>
      <w:r>
        <w:rPr>
          <w:rFonts w:ascii="Cambria Math" w:hAnsi="Cambria Math" w:eastAsia="Cambria Math"/>
          <w:sz w:val="20"/>
        </w:rPr>
        <w:t>=</w:t>
      </w:r>
      <w:r>
        <w:rPr>
          <w:rFonts w:ascii="Cambria Math" w:hAnsi="Cambria Math" w:eastAsia="Cambria Math"/>
          <w:spacing w:val="35"/>
          <w:sz w:val="20"/>
        </w:rPr>
        <w:t>  </w:t>
      </w:r>
      <w:r>
        <w:rPr>
          <w:rFonts w:ascii="Cambria Math" w:hAnsi="Cambria Math" w:eastAsia="Cambria Math"/>
          <w:sz w:val="20"/>
        </w:rPr>
        <w:t>W𝑒𝑖𝑔ℎ𝑡</w:t>
      </w:r>
      <w:r>
        <w:rPr>
          <w:rFonts w:ascii="Cambria Math" w:hAnsi="Cambria Math" w:eastAsia="Cambria Math"/>
          <w:spacing w:val="10"/>
          <w:sz w:val="20"/>
        </w:rPr>
        <w:t> </w:t>
      </w:r>
      <w:r>
        <w:rPr>
          <w:rFonts w:ascii="Cambria Math" w:hAnsi="Cambria Math" w:eastAsia="Cambria Math"/>
          <w:sz w:val="20"/>
        </w:rPr>
        <w:t>𝑜𝑓</w:t>
      </w:r>
      <w:r>
        <w:rPr>
          <w:rFonts w:ascii="Cambria Math" w:hAnsi="Cambria Math" w:eastAsia="Cambria Math"/>
          <w:spacing w:val="18"/>
          <w:sz w:val="20"/>
        </w:rPr>
        <w:t> </w:t>
      </w:r>
      <w:r>
        <w:rPr>
          <w:rFonts w:ascii="Cambria Math" w:hAnsi="Cambria Math" w:eastAsia="Cambria Math"/>
          <w:sz w:val="20"/>
        </w:rPr>
        <w:t>𝑝𝑜𝑤𝑑𝑒𝑟</w:t>
      </w:r>
      <w:r>
        <w:rPr>
          <w:rFonts w:ascii="Cambria Math" w:hAnsi="Cambria Math" w:eastAsia="Cambria Math"/>
          <w:spacing w:val="13"/>
          <w:sz w:val="20"/>
        </w:rPr>
        <w:t> </w:t>
      </w:r>
      <w:r>
        <w:rPr>
          <w:rFonts w:ascii="Cambria Math" w:hAnsi="Cambria Math" w:eastAsia="Cambria Math"/>
          <w:sz w:val="20"/>
        </w:rPr>
        <w:t>(𝑔𝑟𝑎𝑚𝑠)</w:t>
      </w:r>
      <w:r>
        <w:rPr>
          <w:rFonts w:ascii="Cambria Math" w:hAnsi="Cambria Math" w:eastAsia="Cambria Math"/>
          <w:spacing w:val="13"/>
          <w:sz w:val="20"/>
        </w:rPr>
        <w:t> </w:t>
      </w:r>
      <w:r>
        <w:rPr>
          <w:rFonts w:ascii="Cambria Math" w:hAnsi="Cambria Math" w:eastAsia="Cambria Math"/>
          <w:sz w:val="20"/>
        </w:rPr>
        <w:t>/𝑇𝑖𝑚𝑒</w:t>
      </w:r>
      <w:r>
        <w:rPr>
          <w:rFonts w:ascii="Cambria Math" w:hAnsi="Cambria Math" w:eastAsia="Cambria Math"/>
          <w:spacing w:val="8"/>
          <w:sz w:val="20"/>
        </w:rPr>
        <w:t> </w:t>
      </w:r>
      <w:r>
        <w:rPr>
          <w:rFonts w:ascii="Cambria Math" w:hAnsi="Cambria Math" w:eastAsia="Cambria Math"/>
          <w:sz w:val="20"/>
        </w:rPr>
        <w:t>𝑜𝑓</w:t>
      </w:r>
      <w:r>
        <w:rPr>
          <w:rFonts w:ascii="Cambria Math" w:hAnsi="Cambria Math" w:eastAsia="Cambria Math"/>
          <w:spacing w:val="17"/>
          <w:sz w:val="20"/>
        </w:rPr>
        <w:t> </w:t>
      </w:r>
      <w:r>
        <w:rPr>
          <w:rFonts w:ascii="Cambria Math" w:hAnsi="Cambria Math" w:eastAsia="Cambria Math"/>
          <w:sz w:val="20"/>
        </w:rPr>
        <w:t>𝑓𝑙𝑜𝑤</w:t>
      </w:r>
      <w:r>
        <w:rPr>
          <w:rFonts w:ascii="Cambria Math" w:hAnsi="Cambria Math" w:eastAsia="Cambria Math"/>
          <w:spacing w:val="11"/>
          <w:sz w:val="20"/>
        </w:rPr>
        <w:t> </w:t>
      </w:r>
      <w:r>
        <w:rPr>
          <w:rFonts w:ascii="Cambria Math" w:hAnsi="Cambria Math" w:eastAsia="Cambria Math"/>
          <w:sz w:val="20"/>
        </w:rPr>
        <w:t>(𝑠𝑒𝑐𝑜𝑛𝑑𝑠)</w:t>
      </w:r>
      <w:r>
        <w:rPr>
          <w:rFonts w:ascii="Cambria Math" w:hAnsi="Cambria Math" w:eastAsia="Cambria Math"/>
          <w:spacing w:val="68"/>
          <w:sz w:val="20"/>
        </w:rPr>
        <w:t> </w:t>
      </w:r>
      <w:r>
        <w:rPr>
          <w:rFonts w:ascii="Cambria Math" w:hAnsi="Cambria Math" w:eastAsia="Cambria Math"/>
          <w:sz w:val="20"/>
        </w:rPr>
        <w:t>−</w:t>
      </w:r>
      <w:r>
        <w:rPr>
          <w:rFonts w:ascii="Cambria Math" w:hAnsi="Cambria Math" w:eastAsia="Cambria Math"/>
          <w:spacing w:val="8"/>
          <w:sz w:val="20"/>
        </w:rPr>
        <w:t> </w:t>
      </w:r>
      <w:r>
        <w:rPr>
          <w:rFonts w:ascii="Cambria Math" w:hAnsi="Cambria Math" w:eastAsia="Cambria Math"/>
          <w:sz w:val="20"/>
        </w:rPr>
        <w:t>−</w:t>
      </w:r>
      <w:r>
        <w:rPr>
          <w:rFonts w:ascii="Cambria Math" w:hAnsi="Cambria Math" w:eastAsia="Cambria Math"/>
          <w:spacing w:val="9"/>
          <w:sz w:val="20"/>
        </w:rPr>
        <w:t> </w:t>
      </w:r>
      <w:r>
        <w:rPr>
          <w:rFonts w:ascii="Cambria Math" w:hAnsi="Cambria Math" w:eastAsia="Cambria Math"/>
          <w:spacing w:val="-10"/>
          <w:sz w:val="20"/>
        </w:rPr>
        <w:t>−</w:t>
      </w:r>
      <w:r>
        <w:rPr>
          <w:rFonts w:ascii="Cambria Math" w:hAnsi="Cambria Math" w:eastAsia="Cambria Math"/>
          <w:sz w:val="20"/>
        </w:rPr>
        <w:tab/>
      </w:r>
      <w:r>
        <w:rPr>
          <w:rFonts w:ascii="Cambria Math" w:hAnsi="Cambria Math" w:eastAsia="Cambria Math"/>
          <w:spacing w:val="-2"/>
          <w:sz w:val="20"/>
        </w:rPr>
        <w:t>(3.6)</w:t>
      </w:r>
    </w:p>
    <w:p>
      <w:pPr>
        <w:pStyle w:val="BodyText"/>
        <w:spacing w:before="19"/>
        <w:rPr>
          <w:rFonts w:ascii="Cambria Math"/>
          <w:sz w:val="20"/>
        </w:rPr>
      </w:pPr>
    </w:p>
    <w:p>
      <w:pPr>
        <w:pStyle w:val="ListParagraph"/>
        <w:numPr>
          <w:ilvl w:val="2"/>
          <w:numId w:val="33"/>
        </w:numPr>
        <w:tabs>
          <w:tab w:pos="1210" w:val="left" w:leader="none"/>
        </w:tabs>
        <w:spacing w:line="491" w:lineRule="auto" w:before="1" w:after="0"/>
        <w:ind w:left="665" w:right="1856" w:firstLine="0"/>
        <w:jc w:val="both"/>
        <w:rPr>
          <w:sz w:val="22"/>
        </w:rPr>
      </w:pPr>
      <w:r>
        <w:rPr>
          <w:b/>
          <w:sz w:val="22"/>
        </w:rPr>
        <w:t>Particle Density: </w:t>
      </w:r>
      <w:r>
        <w:rPr>
          <w:sz w:val="22"/>
        </w:rPr>
        <w:t>The method described by Odeku </w:t>
      </w:r>
      <w:r>
        <w:rPr>
          <w:i/>
          <w:sz w:val="22"/>
        </w:rPr>
        <w:t>et al, </w:t>
      </w:r>
      <w:r>
        <w:rPr>
          <w:sz w:val="22"/>
        </w:rPr>
        <w:t>(2008) was used. An</w:t>
      </w:r>
      <w:r>
        <w:rPr>
          <w:spacing w:val="40"/>
          <w:sz w:val="22"/>
        </w:rPr>
        <w:t> </w:t>
      </w:r>
      <w:r>
        <w:rPr>
          <w:sz w:val="22"/>
        </w:rPr>
        <w:t>empty 50</w:t>
      </w:r>
      <w:r>
        <w:rPr>
          <w:spacing w:val="40"/>
          <w:sz w:val="22"/>
        </w:rPr>
        <w:t> </w:t>
      </w:r>
      <w:r>
        <w:rPr>
          <w:sz w:val="22"/>
        </w:rPr>
        <w:t>mL pycnometer</w:t>
      </w:r>
      <w:r>
        <w:rPr>
          <w:spacing w:val="40"/>
          <w:sz w:val="22"/>
        </w:rPr>
        <w:t> </w:t>
      </w:r>
      <w:r>
        <w:rPr>
          <w:sz w:val="22"/>
        </w:rPr>
        <w:t>bottle</w:t>
      </w:r>
      <w:r>
        <w:rPr>
          <w:spacing w:val="40"/>
          <w:sz w:val="22"/>
        </w:rPr>
        <w:t> </w:t>
      </w:r>
      <w:r>
        <w:rPr>
          <w:sz w:val="22"/>
        </w:rPr>
        <w:t>was weighed</w:t>
      </w:r>
      <w:r>
        <w:rPr>
          <w:spacing w:val="40"/>
          <w:sz w:val="22"/>
        </w:rPr>
        <w:t> </w:t>
      </w:r>
      <w:r>
        <w:rPr>
          <w:sz w:val="22"/>
        </w:rPr>
        <w:t>(W) and</w:t>
      </w:r>
      <w:r>
        <w:rPr>
          <w:spacing w:val="40"/>
          <w:sz w:val="22"/>
        </w:rPr>
        <w:t> </w:t>
      </w:r>
      <w:r>
        <w:rPr>
          <w:sz w:val="22"/>
        </w:rPr>
        <w:t>filled</w:t>
      </w:r>
      <w:r>
        <w:rPr>
          <w:spacing w:val="40"/>
          <w:sz w:val="22"/>
        </w:rPr>
        <w:t> </w:t>
      </w:r>
      <w:r>
        <w:rPr>
          <w:sz w:val="22"/>
        </w:rPr>
        <w:t>with xylene.</w:t>
      </w:r>
      <w:r>
        <w:rPr>
          <w:spacing w:val="40"/>
          <w:sz w:val="22"/>
        </w:rPr>
        <w:t> </w:t>
      </w:r>
      <w:r>
        <w:rPr>
          <w:sz w:val="22"/>
        </w:rPr>
        <w:t>The filled bottle was weighed (W</w:t>
      </w:r>
      <w:r>
        <w:rPr>
          <w:sz w:val="22"/>
          <w:vertAlign w:val="subscript"/>
        </w:rPr>
        <w:t>1</w:t>
      </w:r>
      <w:r>
        <w:rPr>
          <w:sz w:val="22"/>
          <w:vertAlign w:val="baseline"/>
        </w:rPr>
        <w:t>) and the difference between W</w:t>
      </w:r>
      <w:r>
        <w:rPr>
          <w:sz w:val="22"/>
          <w:vertAlign w:val="subscript"/>
        </w:rPr>
        <w:t>1</w:t>
      </w:r>
      <w:r>
        <w:rPr>
          <w:sz w:val="22"/>
          <w:vertAlign w:val="baseline"/>
        </w:rPr>
        <w:t> and W obtained as W</w:t>
      </w:r>
      <w:r>
        <w:rPr>
          <w:sz w:val="22"/>
          <w:vertAlign w:val="subscript"/>
        </w:rPr>
        <w:t>2</w:t>
      </w:r>
      <w:r>
        <w:rPr>
          <w:sz w:val="22"/>
          <w:vertAlign w:val="baseline"/>
        </w:rPr>
        <w:t>. A 2 g quantity of the powder was weighed (W</w:t>
      </w:r>
      <w:r>
        <w:rPr>
          <w:sz w:val="22"/>
          <w:vertAlign w:val="subscript"/>
        </w:rPr>
        <w:t>3</w:t>
      </w:r>
      <w:r>
        <w:rPr>
          <w:sz w:val="22"/>
          <w:vertAlign w:val="baseline"/>
        </w:rPr>
        <w:t>) and transferred into the bottle. The excess solvent</w:t>
      </w:r>
      <w:r>
        <w:rPr>
          <w:spacing w:val="40"/>
          <w:sz w:val="22"/>
          <w:vertAlign w:val="baseline"/>
        </w:rPr>
        <w:t> </w:t>
      </w:r>
      <w:r>
        <w:rPr>
          <w:sz w:val="22"/>
          <w:vertAlign w:val="baseline"/>
        </w:rPr>
        <w:t>was</w:t>
      </w:r>
      <w:r>
        <w:rPr>
          <w:spacing w:val="40"/>
          <w:sz w:val="22"/>
          <w:vertAlign w:val="baseline"/>
        </w:rPr>
        <w:t> </w:t>
      </w:r>
      <w:r>
        <w:rPr>
          <w:sz w:val="22"/>
          <w:vertAlign w:val="baseline"/>
        </w:rPr>
        <w:t>wiped</w:t>
      </w:r>
      <w:r>
        <w:rPr>
          <w:spacing w:val="40"/>
          <w:sz w:val="22"/>
          <w:vertAlign w:val="baseline"/>
        </w:rPr>
        <w:t> </w:t>
      </w:r>
      <w:r>
        <w:rPr>
          <w:sz w:val="22"/>
          <w:vertAlign w:val="baseline"/>
        </w:rPr>
        <w:t>off</w:t>
      </w:r>
      <w:r>
        <w:rPr>
          <w:spacing w:val="40"/>
          <w:sz w:val="22"/>
          <w:vertAlign w:val="baseline"/>
        </w:rPr>
        <w:t> </w:t>
      </w:r>
      <w:r>
        <w:rPr>
          <w:sz w:val="22"/>
          <w:vertAlign w:val="baseline"/>
        </w:rPr>
        <w:t>and</w:t>
      </w:r>
      <w:r>
        <w:rPr>
          <w:spacing w:val="40"/>
          <w:sz w:val="22"/>
          <w:vertAlign w:val="baseline"/>
        </w:rPr>
        <w:t> </w:t>
      </w:r>
      <w:r>
        <w:rPr>
          <w:sz w:val="22"/>
          <w:vertAlign w:val="baseline"/>
        </w:rPr>
        <w:t>the</w:t>
      </w:r>
      <w:r>
        <w:rPr>
          <w:spacing w:val="40"/>
          <w:sz w:val="22"/>
          <w:vertAlign w:val="baseline"/>
        </w:rPr>
        <w:t> </w:t>
      </w:r>
      <w:r>
        <w:rPr>
          <w:sz w:val="22"/>
          <w:vertAlign w:val="baseline"/>
        </w:rPr>
        <w:t>bottle</w:t>
      </w:r>
      <w:r>
        <w:rPr>
          <w:spacing w:val="40"/>
          <w:sz w:val="22"/>
          <w:vertAlign w:val="baseline"/>
        </w:rPr>
        <w:t> </w:t>
      </w:r>
      <w:r>
        <w:rPr>
          <w:sz w:val="22"/>
          <w:vertAlign w:val="baseline"/>
        </w:rPr>
        <w:t>weighed</w:t>
      </w:r>
      <w:r>
        <w:rPr>
          <w:spacing w:val="40"/>
          <w:sz w:val="22"/>
          <w:vertAlign w:val="baseline"/>
        </w:rPr>
        <w:t> </w:t>
      </w:r>
      <w:r>
        <w:rPr>
          <w:sz w:val="22"/>
          <w:vertAlign w:val="baseline"/>
        </w:rPr>
        <w:t>again</w:t>
      </w:r>
      <w:r>
        <w:rPr>
          <w:spacing w:val="40"/>
          <w:sz w:val="22"/>
          <w:vertAlign w:val="baseline"/>
        </w:rPr>
        <w:t> </w:t>
      </w:r>
      <w:r>
        <w:rPr>
          <w:sz w:val="22"/>
          <w:vertAlign w:val="baseline"/>
        </w:rPr>
        <w:t>(W</w:t>
      </w:r>
      <w:r>
        <w:rPr>
          <w:sz w:val="22"/>
          <w:vertAlign w:val="subscript"/>
        </w:rPr>
        <w:t>4</w:t>
      </w:r>
      <w:r>
        <w:rPr>
          <w:sz w:val="22"/>
          <w:vertAlign w:val="baseline"/>
        </w:rPr>
        <w:t>).</w:t>
      </w:r>
      <w:r>
        <w:rPr>
          <w:spacing w:val="40"/>
          <w:sz w:val="22"/>
          <w:vertAlign w:val="baseline"/>
        </w:rPr>
        <w:t> </w:t>
      </w:r>
      <w:r>
        <w:rPr>
          <w:sz w:val="22"/>
          <w:vertAlign w:val="baseline"/>
        </w:rPr>
        <w:t>The</w:t>
      </w:r>
      <w:r>
        <w:rPr>
          <w:spacing w:val="40"/>
          <w:sz w:val="22"/>
          <w:vertAlign w:val="baseline"/>
        </w:rPr>
        <w:t> </w:t>
      </w:r>
      <w:r>
        <w:rPr>
          <w:sz w:val="22"/>
          <w:vertAlign w:val="baseline"/>
        </w:rPr>
        <w:t>particle</w:t>
      </w:r>
      <w:r>
        <w:rPr>
          <w:spacing w:val="40"/>
          <w:sz w:val="22"/>
          <w:vertAlign w:val="baseline"/>
        </w:rPr>
        <w:t> </w:t>
      </w:r>
      <w:r>
        <w:rPr>
          <w:sz w:val="22"/>
          <w:vertAlign w:val="baseline"/>
        </w:rPr>
        <w:t>density,</w:t>
      </w:r>
      <w:r>
        <w:rPr>
          <w:spacing w:val="40"/>
          <w:sz w:val="22"/>
          <w:vertAlign w:val="baseline"/>
        </w:rPr>
        <w:t> </w:t>
      </w:r>
      <w:r>
        <w:rPr>
          <w:rFonts w:ascii="Symbol" w:hAnsi="Symbol"/>
          <w:sz w:val="22"/>
          <w:vertAlign w:val="baseline"/>
        </w:rPr>
        <w:t></w:t>
      </w:r>
      <w:r>
        <w:rPr>
          <w:sz w:val="22"/>
          <w:vertAlign w:val="baseline"/>
        </w:rPr>
        <w:t> (g/cm</w:t>
      </w:r>
      <w:r>
        <w:rPr>
          <w:sz w:val="22"/>
          <w:vertAlign w:val="superscript"/>
        </w:rPr>
        <w:t>3</w:t>
      </w:r>
      <w:r>
        <w:rPr>
          <w:sz w:val="22"/>
          <w:vertAlign w:val="baseline"/>
        </w:rPr>
        <w:t>),</w:t>
      </w:r>
      <w:r>
        <w:rPr>
          <w:spacing w:val="73"/>
          <w:sz w:val="22"/>
          <w:vertAlign w:val="baseline"/>
        </w:rPr>
        <w:t>   </w:t>
      </w:r>
      <w:r>
        <w:rPr>
          <w:sz w:val="22"/>
          <w:vertAlign w:val="baseline"/>
        </w:rPr>
        <w:t>was</w:t>
      </w:r>
      <w:r>
        <w:rPr>
          <w:spacing w:val="73"/>
          <w:sz w:val="22"/>
          <w:vertAlign w:val="baseline"/>
        </w:rPr>
        <w:t>   </w:t>
      </w:r>
      <w:r>
        <w:rPr>
          <w:sz w:val="22"/>
          <w:vertAlign w:val="baseline"/>
        </w:rPr>
        <w:t>then</w:t>
      </w:r>
      <w:r>
        <w:rPr>
          <w:spacing w:val="74"/>
          <w:sz w:val="22"/>
          <w:vertAlign w:val="baseline"/>
        </w:rPr>
        <w:t>   </w:t>
      </w:r>
      <w:r>
        <w:rPr>
          <w:sz w:val="22"/>
          <w:vertAlign w:val="baseline"/>
        </w:rPr>
        <w:t>calculated</w:t>
      </w:r>
      <w:r>
        <w:rPr>
          <w:spacing w:val="75"/>
          <w:sz w:val="22"/>
          <w:vertAlign w:val="baseline"/>
        </w:rPr>
        <w:t>   </w:t>
      </w:r>
      <w:r>
        <w:rPr>
          <w:sz w:val="22"/>
          <w:vertAlign w:val="baseline"/>
        </w:rPr>
        <w:t>from</w:t>
      </w:r>
      <w:r>
        <w:rPr>
          <w:spacing w:val="74"/>
          <w:sz w:val="22"/>
          <w:vertAlign w:val="baseline"/>
        </w:rPr>
        <w:t>   </w:t>
      </w:r>
      <w:r>
        <w:rPr>
          <w:sz w:val="22"/>
          <w:vertAlign w:val="baseline"/>
        </w:rPr>
        <w:t>the</w:t>
      </w:r>
      <w:r>
        <w:rPr>
          <w:spacing w:val="75"/>
          <w:sz w:val="22"/>
          <w:vertAlign w:val="baseline"/>
        </w:rPr>
        <w:t>   </w:t>
      </w:r>
      <w:r>
        <w:rPr>
          <w:sz w:val="22"/>
          <w:vertAlign w:val="baseline"/>
        </w:rPr>
        <w:t>equation</w:t>
      </w:r>
      <w:r>
        <w:rPr>
          <w:spacing w:val="74"/>
          <w:sz w:val="22"/>
          <w:vertAlign w:val="baseline"/>
        </w:rPr>
        <w:t>   </w:t>
      </w:r>
      <w:r>
        <w:rPr>
          <w:sz w:val="22"/>
          <w:vertAlign w:val="baseline"/>
        </w:rPr>
        <w:t>given</w:t>
      </w:r>
      <w:r>
        <w:rPr>
          <w:spacing w:val="70"/>
          <w:sz w:val="22"/>
          <w:vertAlign w:val="baseline"/>
        </w:rPr>
        <w:t>   </w:t>
      </w:r>
      <w:r>
        <w:rPr>
          <w:sz w:val="22"/>
          <w:vertAlign w:val="baseline"/>
        </w:rPr>
        <w:t>below:</w:t>
      </w:r>
    </w:p>
    <w:p>
      <w:pPr>
        <w:spacing w:after="0" w:line="491" w:lineRule="auto"/>
        <w:jc w:val="both"/>
        <w:rPr>
          <w:sz w:val="22"/>
        </w:rPr>
        <w:sectPr>
          <w:type w:val="continuous"/>
          <w:pgSz w:w="12240" w:h="15840"/>
          <w:pgMar w:header="0" w:footer="999" w:top="1780" w:bottom="1180" w:left="1720" w:right="0"/>
        </w:sectPr>
      </w:pPr>
    </w:p>
    <w:p>
      <w:pPr>
        <w:pStyle w:val="BodyText"/>
        <w:spacing w:before="50"/>
        <w:rPr>
          <w:sz w:val="20"/>
        </w:rPr>
      </w:pPr>
    </w:p>
    <w:p>
      <w:pPr>
        <w:spacing w:after="0"/>
        <w:rPr>
          <w:sz w:val="20"/>
        </w:rPr>
        <w:sectPr>
          <w:pgSz w:w="12240" w:h="15840"/>
          <w:pgMar w:header="0" w:footer="999" w:top="1820" w:bottom="1180" w:left="1720" w:right="0"/>
        </w:sectPr>
      </w:pPr>
    </w:p>
    <w:p>
      <w:pPr>
        <w:tabs>
          <w:tab w:pos="3838" w:val="left" w:leader="none"/>
        </w:tabs>
        <w:spacing w:line="180" w:lineRule="auto" w:before="132"/>
        <w:ind w:left="2355" w:right="0" w:firstLine="0"/>
        <w:jc w:val="left"/>
        <w:rPr>
          <w:rFonts w:ascii="Cambria Math" w:hAnsi="Cambria Math"/>
          <w:sz w:val="27"/>
        </w:rPr>
      </w:pPr>
      <w:r>
        <w:rPr/>
        <mc:AlternateContent>
          <mc:Choice Requires="wps">
            <w:drawing>
              <wp:anchor distT="0" distB="0" distL="0" distR="0" allowOverlap="1" layoutInCell="1" locked="0" behindDoc="1" simplePos="0" relativeHeight="481990656">
                <wp:simplePos x="0" y="0"/>
                <wp:positionH relativeFrom="page">
                  <wp:posOffset>3078479</wp:posOffset>
                </wp:positionH>
                <wp:positionV relativeFrom="paragraph">
                  <wp:posOffset>300240</wp:posOffset>
                </wp:positionV>
                <wp:extent cx="1765300" cy="127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765300" cy="12700"/>
                        </a:xfrm>
                        <a:custGeom>
                          <a:avLst/>
                          <a:gdLst/>
                          <a:ahLst/>
                          <a:cxnLst/>
                          <a:rect l="l" t="t" r="r" b="b"/>
                          <a:pathLst>
                            <a:path w="1765300" h="12700">
                              <a:moveTo>
                                <a:pt x="1764792" y="0"/>
                              </a:moveTo>
                              <a:lnTo>
                                <a:pt x="0" y="0"/>
                              </a:lnTo>
                              <a:lnTo>
                                <a:pt x="0" y="12192"/>
                              </a:lnTo>
                              <a:lnTo>
                                <a:pt x="1764792" y="12192"/>
                              </a:lnTo>
                              <a:lnTo>
                                <a:pt x="1764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2.399994pt;margin-top:23.640976pt;width:138.96pt;height:.96pt;mso-position-horizontal-relative:page;mso-position-vertical-relative:paragraph;z-index:-21325824" id="docshape30" filled="true" fillcolor="#000000" stroked="false">
                <v:fill type="solid"/>
                <w10:wrap type="none"/>
              </v:rect>
            </w:pict>
          </mc:Fallback>
        </mc:AlternateContent>
      </w:r>
      <w:r>
        <w:rPr>
          <w:rFonts w:ascii="Cambria Math" w:hAnsi="Cambria Math"/>
          <w:position w:val="-21"/>
          <w:sz w:val="37"/>
        </w:rPr>
        <w:t>ρ</w:t>
      </w:r>
      <w:r>
        <w:rPr>
          <w:rFonts w:ascii="Cambria Math" w:hAnsi="Cambria Math"/>
          <w:spacing w:val="27"/>
          <w:position w:val="-21"/>
          <w:sz w:val="37"/>
        </w:rPr>
        <w:t> </w:t>
      </w:r>
      <w:r>
        <w:rPr>
          <w:rFonts w:ascii="Cambria Math" w:hAnsi="Cambria Math"/>
          <w:spacing w:val="-10"/>
          <w:position w:val="-21"/>
          <w:sz w:val="37"/>
        </w:rPr>
        <w:t>=</w:t>
      </w:r>
      <w:r>
        <w:rPr>
          <w:rFonts w:ascii="Cambria Math" w:hAnsi="Cambria Math"/>
          <w:position w:val="-21"/>
          <w:sz w:val="37"/>
        </w:rPr>
        <w:tab/>
      </w:r>
      <w:r>
        <w:rPr>
          <w:rFonts w:ascii="Cambria Math" w:hAnsi="Cambria Math"/>
          <w:position w:val="1"/>
          <w:sz w:val="27"/>
        </w:rPr>
        <w:t>(</w:t>
      </w:r>
      <w:r>
        <w:rPr>
          <w:rFonts w:ascii="Cambria Math" w:hAnsi="Cambria Math"/>
          <w:sz w:val="27"/>
        </w:rPr>
        <w:t>W</w:t>
      </w:r>
      <w:r>
        <w:rPr>
          <w:rFonts w:ascii="Cambria Math" w:hAnsi="Cambria Math"/>
          <w:position w:val="-4"/>
          <w:sz w:val="22"/>
        </w:rPr>
        <w:t>2</w:t>
      </w:r>
      <w:r>
        <w:rPr>
          <w:rFonts w:ascii="Cambria Math" w:hAnsi="Cambria Math"/>
          <w:spacing w:val="49"/>
          <w:position w:val="-4"/>
          <w:sz w:val="22"/>
        </w:rPr>
        <w:t> </w:t>
      </w:r>
      <w:r>
        <w:rPr>
          <w:rFonts w:ascii="Cambria Math" w:hAnsi="Cambria Math"/>
          <w:sz w:val="27"/>
        </w:rPr>
        <w:t>X</w:t>
      </w:r>
      <w:r>
        <w:rPr>
          <w:rFonts w:ascii="Cambria Math" w:hAnsi="Cambria Math"/>
          <w:spacing w:val="23"/>
          <w:sz w:val="27"/>
        </w:rPr>
        <w:t> </w:t>
      </w:r>
      <w:r>
        <w:rPr>
          <w:rFonts w:ascii="Cambria Math" w:hAnsi="Cambria Math"/>
          <w:spacing w:val="-5"/>
          <w:sz w:val="27"/>
        </w:rPr>
        <w:t>W</w:t>
      </w:r>
      <w:r>
        <w:rPr>
          <w:rFonts w:ascii="Cambria Math" w:hAnsi="Cambria Math"/>
          <w:spacing w:val="-5"/>
          <w:position w:val="-4"/>
          <w:sz w:val="22"/>
        </w:rPr>
        <w:t>3</w:t>
      </w:r>
      <w:r>
        <w:rPr>
          <w:rFonts w:ascii="Cambria Math" w:hAnsi="Cambria Math"/>
          <w:spacing w:val="-5"/>
          <w:position w:val="1"/>
          <w:sz w:val="27"/>
        </w:rPr>
        <w:t>)</w:t>
      </w:r>
    </w:p>
    <w:p>
      <w:pPr>
        <w:spacing w:line="282" w:lineRule="exact" w:before="0"/>
        <w:ind w:left="3128" w:right="0" w:firstLine="0"/>
        <w:jc w:val="left"/>
        <w:rPr>
          <w:rFonts w:ascii="Cambria Math"/>
          <w:sz w:val="27"/>
        </w:rPr>
      </w:pPr>
      <w:r>
        <w:rPr>
          <w:rFonts w:ascii="Cambria Math"/>
          <w:w w:val="105"/>
          <w:sz w:val="27"/>
        </w:rPr>
        <w:t>50(W</w:t>
      </w:r>
      <w:r>
        <w:rPr>
          <w:rFonts w:ascii="Cambria Math"/>
          <w:w w:val="105"/>
          <w:position w:val="-4"/>
          <w:sz w:val="22"/>
        </w:rPr>
        <w:t>3</w:t>
      </w:r>
      <w:r>
        <w:rPr>
          <w:rFonts w:ascii="Cambria Math"/>
          <w:w w:val="105"/>
          <w:sz w:val="27"/>
        </w:rPr>
        <w:t>-</w:t>
      </w:r>
      <w:r>
        <w:rPr>
          <w:rFonts w:ascii="Cambria Math"/>
          <w:spacing w:val="17"/>
          <w:w w:val="105"/>
          <w:sz w:val="27"/>
        </w:rPr>
        <w:t> </w:t>
      </w:r>
      <w:r>
        <w:rPr>
          <w:rFonts w:ascii="Cambria Math"/>
          <w:w w:val="105"/>
          <w:sz w:val="27"/>
        </w:rPr>
        <w:t>W</w:t>
      </w:r>
      <w:r>
        <w:rPr>
          <w:rFonts w:ascii="Cambria Math"/>
          <w:w w:val="105"/>
          <w:position w:val="-4"/>
          <w:sz w:val="22"/>
        </w:rPr>
        <w:t>4</w:t>
      </w:r>
      <w:r>
        <w:rPr>
          <w:rFonts w:ascii="Cambria Math"/>
          <w:w w:val="105"/>
          <w:sz w:val="27"/>
        </w:rPr>
        <w:t>+</w:t>
      </w:r>
      <w:r>
        <w:rPr>
          <w:rFonts w:ascii="Cambria Math"/>
          <w:spacing w:val="23"/>
          <w:w w:val="105"/>
          <w:sz w:val="27"/>
        </w:rPr>
        <w:t> </w:t>
      </w:r>
      <w:r>
        <w:rPr>
          <w:rFonts w:ascii="Cambria Math"/>
          <w:w w:val="105"/>
          <w:sz w:val="27"/>
        </w:rPr>
        <w:t>W</w:t>
      </w:r>
      <w:r>
        <w:rPr>
          <w:rFonts w:ascii="Cambria Math"/>
          <w:w w:val="105"/>
          <w:position w:val="-4"/>
          <w:sz w:val="22"/>
        </w:rPr>
        <w:t>2</w:t>
      </w:r>
      <w:r>
        <w:rPr>
          <w:rFonts w:ascii="Cambria Math"/>
          <w:w w:val="105"/>
          <w:sz w:val="27"/>
        </w:rPr>
        <w:t>+</w:t>
      </w:r>
      <w:r>
        <w:rPr>
          <w:rFonts w:ascii="Cambria Math"/>
          <w:spacing w:val="23"/>
          <w:w w:val="105"/>
          <w:sz w:val="27"/>
        </w:rPr>
        <w:t> </w:t>
      </w:r>
      <w:r>
        <w:rPr>
          <w:rFonts w:ascii="Cambria Math"/>
          <w:spacing w:val="-5"/>
          <w:w w:val="105"/>
          <w:sz w:val="27"/>
        </w:rPr>
        <w:t>W)</w:t>
      </w:r>
    </w:p>
    <w:p>
      <w:pPr>
        <w:spacing w:line="240" w:lineRule="auto" w:before="121"/>
        <w:rPr>
          <w:rFonts w:ascii="Cambria Math"/>
          <w:sz w:val="22"/>
        </w:rPr>
      </w:pPr>
      <w:r>
        <w:rPr/>
        <w:br w:type="column"/>
      </w:r>
      <w:r>
        <w:rPr>
          <w:rFonts w:ascii="Cambria Math"/>
          <w:sz w:val="22"/>
        </w:rPr>
      </w:r>
    </w:p>
    <w:p>
      <w:pPr>
        <w:pStyle w:val="BodyText"/>
        <w:tabs>
          <w:tab w:pos="1525" w:val="left" w:leader="dot"/>
        </w:tabs>
        <w:rPr>
          <w:rFonts w:ascii="Cambria Math"/>
        </w:rPr>
      </w:pPr>
      <w:r>
        <w:rPr>
          <w:rFonts w:ascii="Cambria Math"/>
          <w:spacing w:val="-10"/>
        </w:rPr>
        <w:t>.</w:t>
      </w:r>
      <w:r>
        <w:rPr>
          <w:rFonts w:ascii="Cambria Math"/>
        </w:rPr>
        <w:tab/>
      </w:r>
      <w:r>
        <w:rPr>
          <w:rFonts w:ascii="Cambria Math"/>
          <w:spacing w:val="-4"/>
        </w:rPr>
        <w:t>(3.7)</w:t>
      </w:r>
    </w:p>
    <w:p>
      <w:pPr>
        <w:spacing w:after="0"/>
        <w:rPr>
          <w:rFonts w:ascii="Cambria Math"/>
        </w:rPr>
        <w:sectPr>
          <w:type w:val="continuous"/>
          <w:pgSz w:w="12240" w:h="15840"/>
          <w:pgMar w:header="0" w:footer="999" w:top="1780" w:bottom="1180" w:left="1720" w:right="0"/>
          <w:cols w:num="2" w:equalWidth="0">
            <w:col w:w="5904" w:space="3"/>
            <w:col w:w="4613"/>
          </w:cols>
        </w:sectPr>
      </w:pPr>
    </w:p>
    <w:p>
      <w:pPr>
        <w:pStyle w:val="BodyText"/>
        <w:spacing w:before="177"/>
        <w:rPr>
          <w:rFonts w:ascii="Cambria Math"/>
        </w:rPr>
      </w:pPr>
    </w:p>
    <w:p>
      <w:pPr>
        <w:pStyle w:val="BodyText"/>
        <w:spacing w:line="491" w:lineRule="auto"/>
        <w:ind w:left="665" w:right="1858"/>
      </w:pPr>
      <w:r>
        <w:rPr/>
        <w:t>where</w:t>
      </w:r>
      <w:r>
        <w:rPr>
          <w:spacing w:val="25"/>
        </w:rPr>
        <w:t> </w:t>
      </w:r>
      <w:r>
        <w:rPr/>
        <w:t>ρ</w:t>
      </w:r>
      <w:r>
        <w:rPr>
          <w:spacing w:val="23"/>
        </w:rPr>
        <w:t> </w:t>
      </w:r>
      <w:r>
        <w:rPr/>
        <w:t>is</w:t>
      </w:r>
      <w:r>
        <w:rPr>
          <w:spacing w:val="17"/>
        </w:rPr>
        <w:t> </w:t>
      </w:r>
      <w:r>
        <w:rPr/>
        <w:t>particle</w:t>
      </w:r>
      <w:r>
        <w:rPr>
          <w:spacing w:val="20"/>
        </w:rPr>
        <w:t> </w:t>
      </w:r>
      <w:r>
        <w:rPr/>
        <w:t>density,</w:t>
      </w:r>
      <w:r>
        <w:rPr>
          <w:spacing w:val="21"/>
        </w:rPr>
        <w:t> </w:t>
      </w:r>
      <w:r>
        <w:rPr/>
        <w:t>W</w:t>
      </w:r>
      <w:r>
        <w:rPr>
          <w:spacing w:val="29"/>
        </w:rPr>
        <w:t> </w:t>
      </w:r>
      <w:r>
        <w:rPr/>
        <w:t>is</w:t>
      </w:r>
      <w:r>
        <w:rPr>
          <w:spacing w:val="23"/>
        </w:rPr>
        <w:t> </w:t>
      </w:r>
      <w:r>
        <w:rPr/>
        <w:t>weight</w:t>
      </w:r>
      <w:r>
        <w:rPr>
          <w:spacing w:val="20"/>
        </w:rPr>
        <w:t> </w:t>
      </w:r>
      <w:r>
        <w:rPr/>
        <w:t>of empty bottle,</w:t>
      </w:r>
      <w:r>
        <w:rPr>
          <w:spacing w:val="21"/>
        </w:rPr>
        <w:t> </w:t>
      </w:r>
      <w:r>
        <w:rPr/>
        <w:t>W</w:t>
      </w:r>
      <w:r>
        <w:rPr>
          <w:vertAlign w:val="subscript"/>
        </w:rPr>
        <w:t>2</w:t>
      </w:r>
      <w:r>
        <w:rPr>
          <w:spacing w:val="22"/>
          <w:vertAlign w:val="baseline"/>
        </w:rPr>
        <w:t> </w:t>
      </w:r>
      <w:r>
        <w:rPr>
          <w:vertAlign w:val="baseline"/>
        </w:rPr>
        <w:t>is</w:t>
      </w:r>
      <w:r>
        <w:rPr>
          <w:spacing w:val="17"/>
          <w:vertAlign w:val="baseline"/>
        </w:rPr>
        <w:t> </w:t>
      </w:r>
      <w:r>
        <w:rPr>
          <w:vertAlign w:val="baseline"/>
        </w:rPr>
        <w:t>weight</w:t>
      </w:r>
      <w:r>
        <w:rPr>
          <w:spacing w:val="20"/>
          <w:vertAlign w:val="baseline"/>
        </w:rPr>
        <w:t> </w:t>
      </w:r>
      <w:r>
        <w:rPr>
          <w:vertAlign w:val="baseline"/>
        </w:rPr>
        <w:t>of</w:t>
      </w:r>
      <w:r>
        <w:rPr>
          <w:spacing w:val="21"/>
          <w:vertAlign w:val="baseline"/>
        </w:rPr>
        <w:t> </w:t>
      </w:r>
      <w:r>
        <w:rPr>
          <w:vertAlign w:val="baseline"/>
        </w:rPr>
        <w:t>xylene,</w:t>
      </w:r>
      <w:r>
        <w:rPr>
          <w:spacing w:val="26"/>
          <w:vertAlign w:val="baseline"/>
        </w:rPr>
        <w:t> </w:t>
      </w:r>
      <w:r>
        <w:rPr>
          <w:vertAlign w:val="baseline"/>
        </w:rPr>
        <w:t>W</w:t>
      </w:r>
      <w:r>
        <w:rPr>
          <w:vertAlign w:val="subscript"/>
        </w:rPr>
        <w:t>3</w:t>
      </w:r>
      <w:r>
        <w:rPr>
          <w:spacing w:val="22"/>
          <w:vertAlign w:val="baseline"/>
        </w:rPr>
        <w:t> </w:t>
      </w:r>
      <w:r>
        <w:rPr>
          <w:vertAlign w:val="baseline"/>
        </w:rPr>
        <w:t>is weight of powder and</w:t>
      </w:r>
      <w:r>
        <w:rPr>
          <w:spacing w:val="33"/>
          <w:vertAlign w:val="baseline"/>
        </w:rPr>
        <w:t> </w:t>
      </w:r>
      <w:r>
        <w:rPr>
          <w:vertAlign w:val="baseline"/>
        </w:rPr>
        <w:t>W</w:t>
      </w:r>
      <w:r>
        <w:rPr>
          <w:vertAlign w:val="subscript"/>
        </w:rPr>
        <w:t>4</w:t>
      </w:r>
      <w:r>
        <w:rPr>
          <w:vertAlign w:val="baseline"/>
        </w:rPr>
        <w:t> is weight of bottle plus sample plus xylene.</w:t>
      </w:r>
    </w:p>
    <w:p>
      <w:pPr>
        <w:pStyle w:val="Heading2"/>
        <w:numPr>
          <w:ilvl w:val="2"/>
          <w:numId w:val="33"/>
        </w:numPr>
        <w:tabs>
          <w:tab w:pos="1342" w:val="left" w:leader="none"/>
        </w:tabs>
        <w:spacing w:line="240" w:lineRule="auto" w:before="4" w:after="0"/>
        <w:ind w:left="1342" w:right="0" w:hanging="677"/>
        <w:jc w:val="left"/>
      </w:pPr>
      <w:r>
        <w:rPr/>
        <w:t>Bulk</w:t>
      </w:r>
      <w:r>
        <w:rPr>
          <w:spacing w:val="8"/>
        </w:rPr>
        <w:t> </w:t>
      </w:r>
      <w:r>
        <w:rPr/>
        <w:t>and</w:t>
      </w:r>
      <w:r>
        <w:rPr>
          <w:spacing w:val="14"/>
        </w:rPr>
        <w:t> </w:t>
      </w:r>
      <w:r>
        <w:rPr/>
        <w:t>Tapped</w:t>
      </w:r>
      <w:r>
        <w:rPr>
          <w:spacing w:val="14"/>
        </w:rPr>
        <w:t> </w:t>
      </w:r>
      <w:r>
        <w:rPr>
          <w:spacing w:val="-2"/>
        </w:rPr>
        <w:t>Densities:</w:t>
      </w:r>
    </w:p>
    <w:p>
      <w:pPr>
        <w:pStyle w:val="BodyText"/>
        <w:spacing w:before="8"/>
        <w:rPr>
          <w:b/>
        </w:rPr>
      </w:pPr>
    </w:p>
    <w:p>
      <w:pPr>
        <w:pStyle w:val="BodyText"/>
        <w:spacing w:line="491" w:lineRule="auto"/>
        <w:ind w:left="665" w:right="1858" w:firstLine="676"/>
        <w:jc w:val="both"/>
      </w:pPr>
      <w:r>
        <w:rPr/>
        <w:t>A 50 g starch sample was weighed and poured into a 100 mL glass measuring cylinder. The cylinder was dropped on a wooden platform from a height of 2.5 cm three times at 2</w:t>
      </w:r>
      <w:r>
        <w:rPr>
          <w:spacing w:val="40"/>
        </w:rPr>
        <w:t> </w:t>
      </w:r>
      <w:r>
        <w:rPr/>
        <w:t>s intervals. The bulk volume was recorded as the volume occupied by the starch. The bulk density</w:t>
      </w:r>
      <w:r>
        <w:rPr>
          <w:spacing w:val="-2"/>
        </w:rPr>
        <w:t> </w:t>
      </w:r>
      <w:r>
        <w:rPr/>
        <w:t>was calculated as the ratio of the weight of starch sample to the volume</w:t>
      </w:r>
      <w:r>
        <w:rPr>
          <w:spacing w:val="40"/>
        </w:rPr>
        <w:t> </w:t>
      </w:r>
      <w:r>
        <w:rPr/>
        <w:t>occupied</w:t>
      </w:r>
      <w:r>
        <w:rPr>
          <w:spacing w:val="40"/>
        </w:rPr>
        <w:t> </w:t>
      </w:r>
      <w:r>
        <w:rPr/>
        <w:t>in</w:t>
      </w:r>
      <w:r>
        <w:rPr>
          <w:spacing w:val="40"/>
        </w:rPr>
        <w:t> </w:t>
      </w:r>
      <w:r>
        <w:rPr/>
        <w:t>the</w:t>
      </w:r>
      <w:r>
        <w:rPr>
          <w:spacing w:val="40"/>
        </w:rPr>
        <w:t> </w:t>
      </w:r>
      <w:r>
        <w:rPr/>
        <w:t>cylinder.</w:t>
      </w:r>
      <w:r>
        <w:rPr>
          <w:spacing w:val="40"/>
        </w:rPr>
        <w:t> </w:t>
      </w:r>
      <w:r>
        <w:rPr/>
        <w:t>The</w:t>
      </w:r>
      <w:r>
        <w:rPr>
          <w:spacing w:val="40"/>
        </w:rPr>
        <w:t> </w:t>
      </w:r>
      <w:r>
        <w:rPr/>
        <w:t>cylinder</w:t>
      </w:r>
      <w:r>
        <w:rPr>
          <w:spacing w:val="40"/>
        </w:rPr>
        <w:t> </w:t>
      </w:r>
      <w:r>
        <w:rPr/>
        <w:t>was</w:t>
      </w:r>
      <w:r>
        <w:rPr>
          <w:spacing w:val="40"/>
        </w:rPr>
        <w:t> </w:t>
      </w:r>
      <w:r>
        <w:rPr/>
        <w:t>then</w:t>
      </w:r>
      <w:r>
        <w:rPr>
          <w:spacing w:val="40"/>
        </w:rPr>
        <w:t> </w:t>
      </w:r>
      <w:r>
        <w:rPr/>
        <w:t>tapped</w:t>
      </w:r>
      <w:r>
        <w:rPr>
          <w:spacing w:val="40"/>
        </w:rPr>
        <w:t> </w:t>
      </w:r>
      <w:r>
        <w:rPr/>
        <w:t>uniformly</w:t>
      </w:r>
      <w:r>
        <w:rPr>
          <w:spacing w:val="40"/>
        </w:rPr>
        <w:t> </w:t>
      </w:r>
      <w:r>
        <w:rPr/>
        <w:t>on</w:t>
      </w:r>
      <w:r>
        <w:rPr>
          <w:spacing w:val="40"/>
        </w:rPr>
        <w:t> </w:t>
      </w:r>
      <w:r>
        <w:rPr/>
        <w:t>the wooden platform until the volume occupied by the powder became constant. The tapped density was</w:t>
      </w:r>
      <w:r>
        <w:rPr>
          <w:spacing w:val="20"/>
        </w:rPr>
        <w:t> </w:t>
      </w:r>
      <w:r>
        <w:rPr/>
        <w:t>calculated</w:t>
      </w:r>
      <w:r>
        <w:rPr>
          <w:spacing w:val="24"/>
        </w:rPr>
        <w:t> </w:t>
      </w:r>
      <w:r>
        <w:rPr/>
        <w:t>as</w:t>
      </w:r>
      <w:r>
        <w:rPr>
          <w:spacing w:val="19"/>
        </w:rPr>
        <w:t> </w:t>
      </w:r>
      <w:r>
        <w:rPr/>
        <w:t>the</w:t>
      </w:r>
      <w:r>
        <w:rPr>
          <w:spacing w:val="21"/>
        </w:rPr>
        <w:t> </w:t>
      </w:r>
      <w:r>
        <w:rPr/>
        <w:t>ratio</w:t>
      </w:r>
      <w:r>
        <w:rPr>
          <w:spacing w:val="29"/>
        </w:rPr>
        <w:t> </w:t>
      </w:r>
      <w:r>
        <w:rPr/>
        <w:t>of</w:t>
      </w:r>
      <w:r>
        <w:rPr>
          <w:spacing w:val="18"/>
        </w:rPr>
        <w:t> </w:t>
      </w:r>
      <w:r>
        <w:rPr/>
        <w:t>weight</w:t>
      </w:r>
      <w:r>
        <w:rPr>
          <w:spacing w:val="21"/>
        </w:rPr>
        <w:t> </w:t>
      </w:r>
      <w:r>
        <w:rPr/>
        <w:t>to</w:t>
      </w:r>
      <w:r>
        <w:rPr>
          <w:spacing w:val="24"/>
        </w:rPr>
        <w:t> </w:t>
      </w:r>
      <w:r>
        <w:rPr/>
        <w:t>volume.</w:t>
      </w:r>
      <w:r>
        <w:rPr>
          <w:spacing w:val="22"/>
        </w:rPr>
        <w:t> </w:t>
      </w:r>
      <w:r>
        <w:rPr/>
        <w:t>The</w:t>
      </w:r>
      <w:r>
        <w:rPr>
          <w:spacing w:val="25"/>
        </w:rPr>
        <w:t> </w:t>
      </w:r>
      <w:r>
        <w:rPr/>
        <w:t>values</w:t>
      </w:r>
      <w:r>
        <w:rPr>
          <w:spacing w:val="19"/>
        </w:rPr>
        <w:t> </w:t>
      </w:r>
      <w:r>
        <w:rPr/>
        <w:t>obtained</w:t>
      </w:r>
      <w:r>
        <w:rPr>
          <w:spacing w:val="24"/>
        </w:rPr>
        <w:t> </w:t>
      </w:r>
      <w:r>
        <w:rPr/>
        <w:t>were</w:t>
      </w:r>
      <w:r>
        <w:rPr>
          <w:spacing w:val="17"/>
        </w:rPr>
        <w:t> </w:t>
      </w:r>
      <w:r>
        <w:rPr/>
        <w:t>used in calculating the Carr’s index and</w:t>
      </w:r>
      <w:r>
        <w:rPr>
          <w:spacing w:val="37"/>
        </w:rPr>
        <w:t> </w:t>
      </w:r>
      <w:r>
        <w:rPr/>
        <w:t>Hausner`s ratio</w:t>
      </w:r>
      <w:r>
        <w:rPr>
          <w:spacing w:val="37"/>
        </w:rPr>
        <w:t> </w:t>
      </w:r>
      <w:r>
        <w:rPr/>
        <w:t>using the equations below:</w:t>
      </w:r>
    </w:p>
    <w:p>
      <w:pPr>
        <w:spacing w:line="212" w:lineRule="exact" w:before="0"/>
        <w:ind w:left="1076" w:right="2265" w:firstLine="0"/>
        <w:jc w:val="center"/>
        <w:rPr>
          <w:rFonts w:ascii="Cambria Math" w:hAnsi="Cambria Math" w:eastAsia="Cambria Math"/>
          <w:sz w:val="19"/>
        </w:rPr>
      </w:pPr>
      <w:r>
        <w:rPr>
          <w:rFonts w:ascii="Cambria Math" w:hAnsi="Cambria Math" w:eastAsia="Cambria Math"/>
          <w:sz w:val="19"/>
        </w:rPr>
        <w:t>𝐶𝑎𝑟𝑟</w:t>
      </w:r>
      <w:r>
        <w:rPr>
          <w:i/>
          <w:sz w:val="19"/>
        </w:rPr>
        <w:t>’</w:t>
      </w:r>
      <w:r>
        <w:rPr>
          <w:rFonts w:ascii="Cambria Math" w:hAnsi="Cambria Math" w:eastAsia="Cambria Math"/>
          <w:sz w:val="19"/>
        </w:rPr>
        <w:t>𝑠</w:t>
      </w:r>
      <w:r>
        <w:rPr>
          <w:rFonts w:ascii="Cambria Math" w:hAnsi="Cambria Math" w:eastAsia="Cambria Math"/>
          <w:spacing w:val="-9"/>
          <w:sz w:val="19"/>
        </w:rPr>
        <w:t> </w:t>
      </w:r>
      <w:r>
        <w:rPr>
          <w:rFonts w:ascii="Cambria Math" w:hAnsi="Cambria Math" w:eastAsia="Cambria Math"/>
          <w:sz w:val="19"/>
        </w:rPr>
        <w:t>𝐼𝑛𝑑𝑒𝑥</w:t>
      </w:r>
      <w:r>
        <w:rPr>
          <w:rFonts w:ascii="Cambria Math" w:hAnsi="Cambria Math" w:eastAsia="Cambria Math"/>
          <w:spacing w:val="38"/>
          <w:sz w:val="19"/>
        </w:rPr>
        <w:t> </w:t>
      </w:r>
      <w:r>
        <w:rPr>
          <w:rFonts w:ascii="Cambria Math" w:hAnsi="Cambria Math" w:eastAsia="Cambria Math"/>
          <w:sz w:val="19"/>
        </w:rPr>
        <w:t>=</w:t>
      </w:r>
      <w:r>
        <w:rPr>
          <w:rFonts w:ascii="Cambria Math" w:hAnsi="Cambria Math" w:eastAsia="Cambria Math"/>
          <w:spacing w:val="67"/>
          <w:sz w:val="19"/>
        </w:rPr>
        <w:t> </w:t>
      </w:r>
      <w:r>
        <w:rPr>
          <w:rFonts w:ascii="Cambria Math" w:hAnsi="Cambria Math" w:eastAsia="Cambria Math"/>
          <w:sz w:val="19"/>
        </w:rPr>
        <w:t>𝑇𝑎𝑝𝑝𝑒𝑑</w:t>
      </w:r>
      <w:r>
        <w:rPr>
          <w:rFonts w:ascii="Cambria Math" w:hAnsi="Cambria Math" w:eastAsia="Cambria Math"/>
          <w:spacing w:val="5"/>
          <w:sz w:val="19"/>
        </w:rPr>
        <w:t> </w:t>
      </w:r>
      <w:r>
        <w:rPr>
          <w:rFonts w:ascii="Cambria Math" w:hAnsi="Cambria Math" w:eastAsia="Cambria Math"/>
          <w:sz w:val="19"/>
        </w:rPr>
        <w:t>𝑑𝑒𝑛𝑠𝑖𝑡𝑦–</w:t>
      </w:r>
      <w:r>
        <w:rPr>
          <w:rFonts w:ascii="Cambria Math" w:hAnsi="Cambria Math" w:eastAsia="Cambria Math"/>
          <w:spacing w:val="-17"/>
          <w:sz w:val="19"/>
        </w:rPr>
        <w:t> </w:t>
      </w:r>
      <w:r>
        <w:rPr>
          <w:rFonts w:ascii="Cambria Math" w:hAnsi="Cambria Math" w:eastAsia="Cambria Math"/>
          <w:sz w:val="19"/>
        </w:rPr>
        <w:t>𝐵𝑢𝑙𝑘</w:t>
      </w:r>
      <w:r>
        <w:rPr>
          <w:rFonts w:ascii="Cambria Math" w:hAnsi="Cambria Math" w:eastAsia="Cambria Math"/>
          <w:spacing w:val="2"/>
          <w:sz w:val="19"/>
        </w:rPr>
        <w:t> </w:t>
      </w:r>
      <w:r>
        <w:rPr>
          <w:rFonts w:ascii="Cambria Math" w:hAnsi="Cambria Math" w:eastAsia="Cambria Math"/>
          <w:sz w:val="19"/>
        </w:rPr>
        <w:t>𝑑𝑒𝑛𝑠𝑖𝑡𝑦 /</w:t>
      </w:r>
      <w:r>
        <w:rPr>
          <w:rFonts w:ascii="Cambria Math" w:hAnsi="Cambria Math" w:eastAsia="Cambria Math"/>
          <w:spacing w:val="-9"/>
          <w:sz w:val="19"/>
        </w:rPr>
        <w:t> </w:t>
      </w:r>
      <w:r>
        <w:rPr>
          <w:rFonts w:ascii="Cambria Math" w:hAnsi="Cambria Math" w:eastAsia="Cambria Math"/>
          <w:sz w:val="19"/>
        </w:rPr>
        <w:t>𝑇𝑎𝑝𝑝𝑒𝑑</w:t>
      </w:r>
      <w:r>
        <w:rPr>
          <w:rFonts w:ascii="Cambria Math" w:hAnsi="Cambria Math" w:eastAsia="Cambria Math"/>
          <w:spacing w:val="-3"/>
          <w:sz w:val="19"/>
        </w:rPr>
        <w:t> </w:t>
      </w:r>
      <w:r>
        <w:rPr>
          <w:rFonts w:ascii="Cambria Math" w:hAnsi="Cambria Math" w:eastAsia="Cambria Math"/>
          <w:sz w:val="19"/>
        </w:rPr>
        <w:t>𝑑𝑒𝑛𝑠𝑖𝑡𝑦 𝑥</w:t>
      </w:r>
      <w:r>
        <w:rPr>
          <w:rFonts w:ascii="Cambria Math" w:hAnsi="Cambria Math" w:eastAsia="Cambria Math"/>
          <w:spacing w:val="-3"/>
          <w:sz w:val="19"/>
        </w:rPr>
        <w:t> </w:t>
      </w:r>
      <w:r>
        <w:rPr>
          <w:rFonts w:ascii="Cambria Math" w:hAnsi="Cambria Math" w:eastAsia="Cambria Math"/>
          <w:sz w:val="19"/>
        </w:rPr>
        <w:t>100</w:t>
      </w:r>
      <w:r>
        <w:rPr>
          <w:rFonts w:ascii="Cambria Math" w:hAnsi="Cambria Math" w:eastAsia="Cambria Math"/>
          <w:spacing w:val="-10"/>
          <w:sz w:val="19"/>
        </w:rPr>
        <w:t> </w:t>
      </w:r>
      <w:r>
        <w:rPr>
          <w:rFonts w:ascii="Cambria Math" w:hAnsi="Cambria Math" w:eastAsia="Cambria Math"/>
          <w:sz w:val="19"/>
        </w:rPr>
        <w:t>%</w:t>
      </w:r>
      <w:r>
        <w:rPr>
          <w:rFonts w:ascii="Cambria Math" w:hAnsi="Cambria Math" w:eastAsia="Cambria Math"/>
          <w:spacing w:val="64"/>
          <w:w w:val="150"/>
          <w:sz w:val="19"/>
        </w:rPr>
        <w:t> </w:t>
      </w:r>
      <w:r>
        <w:rPr>
          <w:rFonts w:ascii="Cambria Math" w:hAnsi="Cambria Math" w:eastAsia="Cambria Math"/>
          <w:sz w:val="19"/>
        </w:rPr>
        <w:t>−</w:t>
      </w:r>
      <w:r>
        <w:rPr>
          <w:rFonts w:ascii="Cambria Math" w:hAnsi="Cambria Math" w:eastAsia="Cambria Math"/>
          <w:spacing w:val="-9"/>
          <w:sz w:val="19"/>
        </w:rPr>
        <w:t> </w:t>
      </w:r>
      <w:r>
        <w:rPr>
          <w:rFonts w:ascii="Cambria Math" w:hAnsi="Cambria Math" w:eastAsia="Cambria Math"/>
          <w:sz w:val="19"/>
        </w:rPr>
        <w:t>−</w:t>
      </w:r>
      <w:r>
        <w:rPr>
          <w:rFonts w:ascii="Cambria Math" w:hAnsi="Cambria Math" w:eastAsia="Cambria Math"/>
          <w:spacing w:val="-5"/>
          <w:sz w:val="19"/>
        </w:rPr>
        <w:t> </w:t>
      </w:r>
      <w:r>
        <w:rPr>
          <w:rFonts w:ascii="Cambria Math" w:hAnsi="Cambria Math" w:eastAsia="Cambria Math"/>
          <w:spacing w:val="-2"/>
          <w:sz w:val="19"/>
        </w:rPr>
        <w:t>(3.7)</w:t>
      </w:r>
    </w:p>
    <w:p>
      <w:pPr>
        <w:pStyle w:val="BodyText"/>
        <w:spacing w:before="6"/>
        <w:rPr>
          <w:rFonts w:ascii="Cambria Math"/>
          <w:sz w:val="19"/>
        </w:rPr>
      </w:pPr>
    </w:p>
    <w:p>
      <w:pPr>
        <w:spacing w:before="0"/>
        <w:ind w:left="1073" w:right="2265" w:firstLine="0"/>
        <w:jc w:val="center"/>
        <w:rPr>
          <w:rFonts w:ascii="Cambria Math" w:hAnsi="Cambria Math" w:eastAsia="Cambria Math"/>
          <w:sz w:val="20"/>
        </w:rPr>
      </w:pPr>
      <w:r>
        <w:rPr>
          <w:rFonts w:ascii="Cambria Math" w:hAnsi="Cambria Math" w:eastAsia="Cambria Math"/>
          <w:w w:val="105"/>
          <w:sz w:val="20"/>
        </w:rPr>
        <w:t>𝐻𝑎𝑢𝑠𝑛𝑒𝑟`𝑠</w:t>
      </w:r>
      <w:r>
        <w:rPr>
          <w:rFonts w:ascii="Cambria Math" w:hAnsi="Cambria Math" w:eastAsia="Cambria Math"/>
          <w:spacing w:val="-8"/>
          <w:w w:val="105"/>
          <w:sz w:val="20"/>
        </w:rPr>
        <w:t> </w:t>
      </w:r>
      <w:r>
        <w:rPr>
          <w:rFonts w:ascii="Cambria Math" w:hAnsi="Cambria Math" w:eastAsia="Cambria Math"/>
          <w:w w:val="105"/>
          <w:sz w:val="20"/>
        </w:rPr>
        <w:t>𝑟𝑎𝑡𝑖𝑜</w:t>
      </w:r>
      <w:r>
        <w:rPr>
          <w:rFonts w:ascii="Cambria Math" w:hAnsi="Cambria Math" w:eastAsia="Cambria Math"/>
          <w:spacing w:val="34"/>
          <w:w w:val="105"/>
          <w:sz w:val="20"/>
        </w:rPr>
        <w:t> </w:t>
      </w:r>
      <w:r>
        <w:rPr>
          <w:rFonts w:ascii="Cambria Math" w:hAnsi="Cambria Math" w:eastAsia="Cambria Math"/>
          <w:w w:val="105"/>
          <w:sz w:val="20"/>
        </w:rPr>
        <w:t>=</w:t>
      </w:r>
      <w:r>
        <w:rPr>
          <w:rFonts w:ascii="Cambria Math" w:hAnsi="Cambria Math" w:eastAsia="Cambria Math"/>
          <w:spacing w:val="28"/>
          <w:w w:val="105"/>
          <w:sz w:val="20"/>
        </w:rPr>
        <w:t> </w:t>
      </w:r>
      <w:r>
        <w:rPr>
          <w:rFonts w:ascii="Cambria Math" w:hAnsi="Cambria Math" w:eastAsia="Cambria Math"/>
          <w:w w:val="105"/>
          <w:sz w:val="20"/>
        </w:rPr>
        <w:t>𝑇𝑎𝑝𝑝𝑒𝑑</w:t>
      </w:r>
      <w:r>
        <w:rPr>
          <w:rFonts w:ascii="Cambria Math" w:hAnsi="Cambria Math" w:eastAsia="Cambria Math"/>
          <w:spacing w:val="-10"/>
          <w:w w:val="105"/>
          <w:sz w:val="20"/>
        </w:rPr>
        <w:t> </w:t>
      </w:r>
      <w:r>
        <w:rPr>
          <w:rFonts w:ascii="Cambria Math" w:hAnsi="Cambria Math" w:eastAsia="Cambria Math"/>
          <w:w w:val="105"/>
          <w:sz w:val="20"/>
        </w:rPr>
        <w:t>𝑑𝑒𝑛𝑠𝑖𝑡𝑦</w:t>
      </w:r>
      <w:r>
        <w:rPr>
          <w:rFonts w:ascii="Cambria Math" w:hAnsi="Cambria Math" w:eastAsia="Cambria Math"/>
          <w:spacing w:val="-10"/>
          <w:w w:val="105"/>
          <w:sz w:val="20"/>
        </w:rPr>
        <w:t> </w:t>
      </w:r>
      <w:r>
        <w:rPr>
          <w:rFonts w:ascii="Cambria Math" w:hAnsi="Cambria Math" w:eastAsia="Cambria Math"/>
          <w:w w:val="105"/>
          <w:sz w:val="20"/>
        </w:rPr>
        <w:t>/</w:t>
      </w:r>
      <w:r>
        <w:rPr>
          <w:rFonts w:ascii="Cambria Math" w:hAnsi="Cambria Math" w:eastAsia="Cambria Math"/>
          <w:spacing w:val="-10"/>
          <w:w w:val="105"/>
          <w:sz w:val="20"/>
        </w:rPr>
        <w:t> </w:t>
      </w:r>
      <w:r>
        <w:rPr>
          <w:rFonts w:ascii="Cambria Math" w:hAnsi="Cambria Math" w:eastAsia="Cambria Math"/>
          <w:w w:val="105"/>
          <w:sz w:val="20"/>
        </w:rPr>
        <w:t>𝐵𝑢𝑙𝑘</w:t>
      </w:r>
      <w:r>
        <w:rPr>
          <w:rFonts w:ascii="Cambria Math" w:hAnsi="Cambria Math" w:eastAsia="Cambria Math"/>
          <w:spacing w:val="-9"/>
          <w:w w:val="105"/>
          <w:sz w:val="20"/>
        </w:rPr>
        <w:t> </w:t>
      </w:r>
      <w:r>
        <w:rPr>
          <w:rFonts w:ascii="Cambria Math" w:hAnsi="Cambria Math" w:eastAsia="Cambria Math"/>
          <w:w w:val="105"/>
          <w:sz w:val="20"/>
        </w:rPr>
        <w:t>𝑑𝑒𝑛𝑠𝑖𝑡𝑦</w:t>
      </w:r>
      <w:r>
        <w:rPr>
          <w:rFonts w:ascii="Cambria Math" w:hAnsi="Cambria Math" w:eastAsia="Cambria Math"/>
          <w:spacing w:val="-10"/>
          <w:w w:val="105"/>
          <w:sz w:val="20"/>
        </w:rPr>
        <w:t> </w:t>
      </w:r>
      <w:r>
        <w:rPr>
          <w:rFonts w:ascii="Cambria Math" w:hAnsi="Cambria Math" w:eastAsia="Cambria Math"/>
          <w:w w:val="105"/>
          <w:sz w:val="20"/>
        </w:rPr>
        <w:t>−</w:t>
      </w:r>
      <w:r>
        <w:rPr>
          <w:rFonts w:ascii="Cambria Math" w:hAnsi="Cambria Math" w:eastAsia="Cambria Math"/>
          <w:spacing w:val="-11"/>
          <w:w w:val="105"/>
          <w:sz w:val="20"/>
        </w:rPr>
        <w:t> </w:t>
      </w:r>
      <w:r>
        <w:rPr>
          <w:rFonts w:ascii="Cambria Math" w:hAnsi="Cambria Math" w:eastAsia="Cambria Math"/>
          <w:w w:val="105"/>
          <w:sz w:val="20"/>
        </w:rPr>
        <w:t>−</w:t>
      </w:r>
      <w:r>
        <w:rPr>
          <w:rFonts w:ascii="Cambria Math" w:hAnsi="Cambria Math" w:eastAsia="Cambria Math"/>
          <w:spacing w:val="-11"/>
          <w:w w:val="105"/>
          <w:sz w:val="20"/>
        </w:rPr>
        <w:t> </w:t>
      </w:r>
      <w:r>
        <w:rPr>
          <w:rFonts w:ascii="Cambria Math" w:hAnsi="Cambria Math" w:eastAsia="Cambria Math"/>
          <w:w w:val="105"/>
          <w:sz w:val="20"/>
        </w:rPr>
        <w:t>−</w:t>
      </w:r>
      <w:r>
        <w:rPr>
          <w:rFonts w:ascii="Cambria Math" w:hAnsi="Cambria Math" w:eastAsia="Cambria Math"/>
          <w:spacing w:val="-11"/>
          <w:w w:val="105"/>
          <w:sz w:val="20"/>
        </w:rPr>
        <w:t> </w:t>
      </w:r>
      <w:r>
        <w:rPr>
          <w:rFonts w:ascii="Cambria Math" w:hAnsi="Cambria Math" w:eastAsia="Cambria Math"/>
          <w:spacing w:val="-2"/>
          <w:w w:val="105"/>
          <w:sz w:val="20"/>
        </w:rPr>
        <w:t>−(3.8)</w:t>
      </w:r>
    </w:p>
    <w:p>
      <w:pPr>
        <w:pStyle w:val="BodyText"/>
        <w:rPr>
          <w:rFonts w:ascii="Cambria Math"/>
          <w:sz w:val="20"/>
        </w:rPr>
      </w:pPr>
    </w:p>
    <w:p>
      <w:pPr>
        <w:pStyle w:val="BodyText"/>
        <w:spacing w:before="15"/>
        <w:rPr>
          <w:rFonts w:ascii="Cambria Math"/>
          <w:sz w:val="20"/>
        </w:rPr>
      </w:pPr>
    </w:p>
    <w:p>
      <w:pPr>
        <w:pStyle w:val="Heading2"/>
        <w:numPr>
          <w:ilvl w:val="2"/>
          <w:numId w:val="33"/>
        </w:numPr>
        <w:tabs>
          <w:tab w:pos="1286" w:val="left" w:leader="none"/>
        </w:tabs>
        <w:spacing w:line="240" w:lineRule="auto" w:before="0" w:after="0"/>
        <w:ind w:left="1286" w:right="0" w:hanging="621"/>
        <w:jc w:val="left"/>
      </w:pPr>
      <w:bookmarkStart w:name="_TOC_250055" w:id="106"/>
      <w:r>
        <w:rPr/>
        <w:t>Dilution</w:t>
      </w:r>
      <w:r>
        <w:rPr>
          <w:spacing w:val="17"/>
        </w:rPr>
        <w:t> </w:t>
      </w:r>
      <w:bookmarkEnd w:id="106"/>
      <w:r>
        <w:rPr>
          <w:spacing w:val="-2"/>
        </w:rPr>
        <w:t>Potential</w:t>
      </w:r>
    </w:p>
    <w:p>
      <w:pPr>
        <w:pStyle w:val="BodyText"/>
        <w:spacing w:line="491" w:lineRule="auto" w:before="242"/>
        <w:ind w:left="665" w:right="1853" w:firstLine="336"/>
        <w:jc w:val="both"/>
      </w:pPr>
      <w:r>
        <w:rPr/>
        <w:t>A binary mix of the drug and excipient were mixed in the following ratios: 10:90, 20:80, 30:70, 40:60, 50:50, 60:40, 70:30, 80:20 and 90:10. It was then compressed at varying</w:t>
      </w:r>
      <w:r>
        <w:rPr>
          <w:spacing w:val="16"/>
        </w:rPr>
        <w:t> </w:t>
      </w:r>
      <w:r>
        <w:rPr/>
        <w:t>compression</w:t>
      </w:r>
      <w:r>
        <w:rPr>
          <w:spacing w:val="16"/>
        </w:rPr>
        <w:t> </w:t>
      </w:r>
      <w:r>
        <w:rPr/>
        <w:t>loads</w:t>
      </w:r>
      <w:r>
        <w:rPr>
          <w:spacing w:val="17"/>
        </w:rPr>
        <w:t> </w:t>
      </w:r>
      <w:r>
        <w:rPr/>
        <w:t>on the</w:t>
      </w:r>
      <w:r>
        <w:rPr>
          <w:spacing w:val="20"/>
        </w:rPr>
        <w:t> </w:t>
      </w:r>
      <w:r>
        <w:rPr/>
        <w:t>Single</w:t>
      </w:r>
      <w:r>
        <w:rPr>
          <w:spacing w:val="20"/>
        </w:rPr>
        <w:t> </w:t>
      </w:r>
      <w:r>
        <w:rPr/>
        <w:t>Punch Tableting</w:t>
      </w:r>
      <w:r>
        <w:rPr>
          <w:spacing w:val="16"/>
        </w:rPr>
        <w:t> </w:t>
      </w:r>
      <w:r>
        <w:rPr/>
        <w:t>Machine</w:t>
      </w:r>
      <w:r>
        <w:rPr>
          <w:spacing w:val="20"/>
        </w:rPr>
        <w:t> </w:t>
      </w:r>
      <w:r>
        <w:rPr/>
        <w:t>(Type</w:t>
      </w:r>
      <w:r>
        <w:rPr>
          <w:spacing w:val="20"/>
        </w:rPr>
        <w:t> </w:t>
      </w:r>
      <w:r>
        <w:rPr/>
        <w:t>EKO,</w:t>
      </w:r>
      <w:r>
        <w:rPr>
          <w:spacing w:val="20"/>
        </w:rPr>
        <w:t> </w:t>
      </w:r>
      <w:r>
        <w:rPr/>
        <w:t>Erweka – Apparateu – G.m.b.H Heusenstamm, Germany). The crushing strength of each binary mix was determined and recorded.</w:t>
      </w:r>
    </w:p>
    <w:p>
      <w:pPr>
        <w:spacing w:after="0" w:line="491" w:lineRule="auto"/>
        <w:jc w:val="both"/>
        <w:sectPr>
          <w:type w:val="continuous"/>
          <w:pgSz w:w="12240" w:h="15840"/>
          <w:pgMar w:header="0" w:footer="999" w:top="1780" w:bottom="1180" w:left="1720" w:right="0"/>
        </w:sectPr>
      </w:pPr>
    </w:p>
    <w:p>
      <w:pPr>
        <w:pStyle w:val="Heading2"/>
        <w:numPr>
          <w:ilvl w:val="1"/>
          <w:numId w:val="33"/>
        </w:numPr>
        <w:tabs>
          <w:tab w:pos="1008" w:val="left" w:leader="none"/>
        </w:tabs>
        <w:spacing w:line="240" w:lineRule="auto" w:before="78" w:after="0"/>
        <w:ind w:left="1008" w:right="0" w:hanging="343"/>
        <w:jc w:val="left"/>
      </w:pPr>
      <w:bookmarkStart w:name="_TOC_250054" w:id="107"/>
      <w:r>
        <w:rPr/>
        <w:t>Granule</w:t>
      </w:r>
      <w:r>
        <w:rPr>
          <w:spacing w:val="3"/>
        </w:rPr>
        <w:t> </w:t>
      </w:r>
      <w:r>
        <w:rPr/>
        <w:t>and</w:t>
      </w:r>
      <w:r>
        <w:rPr>
          <w:spacing w:val="14"/>
        </w:rPr>
        <w:t> </w:t>
      </w:r>
      <w:r>
        <w:rPr/>
        <w:t>Tablet</w:t>
      </w:r>
      <w:r>
        <w:rPr>
          <w:spacing w:val="21"/>
        </w:rPr>
        <w:t> </w:t>
      </w:r>
      <w:bookmarkEnd w:id="107"/>
      <w:r>
        <w:rPr>
          <w:spacing w:val="-2"/>
        </w:rPr>
        <w:t>Studies</w:t>
      </w:r>
    </w:p>
    <w:p>
      <w:pPr>
        <w:pStyle w:val="BodyText"/>
        <w:spacing w:before="13"/>
        <w:rPr>
          <w:b/>
        </w:rPr>
      </w:pPr>
    </w:p>
    <w:p>
      <w:pPr>
        <w:pStyle w:val="Heading2"/>
        <w:numPr>
          <w:ilvl w:val="2"/>
          <w:numId w:val="33"/>
        </w:numPr>
        <w:tabs>
          <w:tab w:pos="1171" w:val="left" w:leader="none"/>
        </w:tabs>
        <w:spacing w:line="240" w:lineRule="auto" w:before="0" w:after="0"/>
        <w:ind w:left="1171" w:right="0" w:hanging="506"/>
        <w:jc w:val="left"/>
      </w:pPr>
      <w:bookmarkStart w:name="_TOC_250053" w:id="108"/>
      <w:r>
        <w:rPr/>
        <w:t>Preparation</w:t>
      </w:r>
      <w:r>
        <w:rPr>
          <w:spacing w:val="11"/>
        </w:rPr>
        <w:t> </w:t>
      </w:r>
      <w:r>
        <w:rPr/>
        <w:t>of</w:t>
      </w:r>
      <w:r>
        <w:rPr>
          <w:spacing w:val="21"/>
        </w:rPr>
        <w:t> </w:t>
      </w:r>
      <w:r>
        <w:rPr/>
        <w:t>Metronidazole</w:t>
      </w:r>
      <w:r>
        <w:rPr>
          <w:spacing w:val="19"/>
        </w:rPr>
        <w:t> </w:t>
      </w:r>
      <w:bookmarkEnd w:id="108"/>
      <w:r>
        <w:rPr>
          <w:spacing w:val="-2"/>
        </w:rPr>
        <w:t>Granules</w:t>
      </w:r>
    </w:p>
    <w:p>
      <w:pPr>
        <w:pStyle w:val="BodyText"/>
        <w:spacing w:before="7"/>
        <w:rPr>
          <w:b/>
        </w:rPr>
      </w:pPr>
    </w:p>
    <w:p>
      <w:pPr>
        <w:pStyle w:val="BodyText"/>
        <w:spacing w:line="491" w:lineRule="auto"/>
        <w:ind w:left="665" w:right="1854" w:firstLine="614"/>
        <w:jc w:val="both"/>
      </w:pPr>
      <w:r>
        <w:rPr/>
        <w:t>The tablet formula for studying the binding properties of DS and MCS is given in Table 3.1. The wet granulation method of massing and screening was employed in the preparation of metronidazole granules. The metronidazole powder and maize starch BP (intradisintegrant) were weighed appropriately and dry mixed for 5 min in a mortar with pestle</w:t>
      </w:r>
      <w:r>
        <w:rPr>
          <w:spacing w:val="40"/>
        </w:rPr>
        <w:t> </w:t>
      </w:r>
      <w:r>
        <w:rPr/>
        <w:t>until</w:t>
      </w:r>
      <w:r>
        <w:rPr>
          <w:spacing w:val="40"/>
        </w:rPr>
        <w:t> </w:t>
      </w:r>
      <w:r>
        <w:rPr/>
        <w:t>fine</w:t>
      </w:r>
      <w:r>
        <w:rPr>
          <w:spacing w:val="40"/>
        </w:rPr>
        <w:t> </w:t>
      </w:r>
      <w:r>
        <w:rPr/>
        <w:t>powder</w:t>
      </w:r>
      <w:r>
        <w:rPr>
          <w:spacing w:val="40"/>
        </w:rPr>
        <w:t> </w:t>
      </w:r>
      <w:r>
        <w:rPr/>
        <w:t>was</w:t>
      </w:r>
      <w:r>
        <w:rPr>
          <w:spacing w:val="40"/>
        </w:rPr>
        <w:t> </w:t>
      </w:r>
      <w:r>
        <w:rPr/>
        <w:t>obtained.</w:t>
      </w:r>
      <w:r>
        <w:rPr>
          <w:spacing w:val="40"/>
        </w:rPr>
        <w:t> </w:t>
      </w:r>
      <w:r>
        <w:rPr/>
        <w:t>An</w:t>
      </w:r>
      <w:r>
        <w:rPr>
          <w:spacing w:val="40"/>
        </w:rPr>
        <w:t> </w:t>
      </w:r>
      <w:r>
        <w:rPr/>
        <w:t>appropriate</w:t>
      </w:r>
      <w:r>
        <w:rPr>
          <w:spacing w:val="40"/>
        </w:rPr>
        <w:t> </w:t>
      </w:r>
      <w:r>
        <w:rPr/>
        <w:t>quantity</w:t>
      </w:r>
      <w:r>
        <w:rPr>
          <w:spacing w:val="40"/>
        </w:rPr>
        <w:t> </w:t>
      </w:r>
      <w:r>
        <w:rPr/>
        <w:t>of</w:t>
      </w:r>
      <w:r>
        <w:rPr>
          <w:spacing w:val="40"/>
        </w:rPr>
        <w:t> </w:t>
      </w:r>
      <w:r>
        <w:rPr/>
        <w:t>freshly</w:t>
      </w:r>
      <w:r>
        <w:rPr>
          <w:spacing w:val="40"/>
        </w:rPr>
        <w:t> </w:t>
      </w:r>
      <w:r>
        <w:rPr/>
        <w:t>prepared binder</w:t>
      </w:r>
      <w:r>
        <w:rPr>
          <w:spacing w:val="22"/>
        </w:rPr>
        <w:t> </w:t>
      </w:r>
      <w:r>
        <w:rPr/>
        <w:t>of</w:t>
      </w:r>
      <w:r>
        <w:rPr>
          <w:spacing w:val="22"/>
        </w:rPr>
        <w:t> </w:t>
      </w:r>
      <w:r>
        <w:rPr/>
        <w:t>concentration</w:t>
      </w:r>
      <w:r>
        <w:rPr>
          <w:spacing w:val="23"/>
        </w:rPr>
        <w:t> </w:t>
      </w:r>
      <w:r>
        <w:rPr/>
        <w:t>of</w:t>
      </w:r>
      <w:r>
        <w:rPr>
          <w:spacing w:val="22"/>
        </w:rPr>
        <w:t> </w:t>
      </w:r>
      <w:r>
        <w:rPr/>
        <w:t>2.5,</w:t>
      </w:r>
      <w:r>
        <w:rPr>
          <w:spacing w:val="22"/>
        </w:rPr>
        <w:t> </w:t>
      </w:r>
      <w:r>
        <w:rPr/>
        <w:t>5.0,</w:t>
      </w:r>
      <w:r>
        <w:rPr>
          <w:spacing w:val="22"/>
        </w:rPr>
        <w:t> </w:t>
      </w:r>
      <w:r>
        <w:rPr/>
        <w:t>7.5,</w:t>
      </w:r>
      <w:r>
        <w:rPr>
          <w:spacing w:val="22"/>
        </w:rPr>
        <w:t> </w:t>
      </w:r>
      <w:r>
        <w:rPr/>
        <w:t>10.0</w:t>
      </w:r>
      <w:r>
        <w:rPr>
          <w:spacing w:val="34"/>
        </w:rPr>
        <w:t> </w:t>
      </w:r>
      <w:r>
        <w:rPr/>
        <w:t>and</w:t>
      </w:r>
      <w:r>
        <w:rPr>
          <w:spacing w:val="28"/>
        </w:rPr>
        <w:t> </w:t>
      </w:r>
      <w:r>
        <w:rPr/>
        <w:t>12.5</w:t>
      </w:r>
      <w:r>
        <w:rPr>
          <w:spacing w:val="28"/>
        </w:rPr>
        <w:t> </w:t>
      </w:r>
      <w:r>
        <w:rPr/>
        <w:t>%</w:t>
      </w:r>
      <w:r>
        <w:rPr>
          <w:spacing w:val="25"/>
        </w:rPr>
        <w:t> </w:t>
      </w:r>
      <w:r>
        <w:rPr/>
        <w:t>w/w</w:t>
      </w:r>
      <w:r>
        <w:rPr>
          <w:spacing w:val="26"/>
        </w:rPr>
        <w:t> </w:t>
      </w:r>
      <w:r>
        <w:rPr/>
        <w:t>was</w:t>
      </w:r>
      <w:r>
        <w:rPr>
          <w:spacing w:val="24"/>
        </w:rPr>
        <w:t> </w:t>
      </w:r>
      <w:r>
        <w:rPr/>
        <w:t>added depending</w:t>
      </w:r>
      <w:r>
        <w:rPr>
          <w:spacing w:val="23"/>
        </w:rPr>
        <w:t> </w:t>
      </w:r>
      <w:r>
        <w:rPr/>
        <w:t>on the</w:t>
      </w:r>
      <w:r>
        <w:rPr>
          <w:spacing w:val="17"/>
        </w:rPr>
        <w:t> </w:t>
      </w:r>
      <w:r>
        <w:rPr/>
        <w:t>batch to</w:t>
      </w:r>
      <w:r>
        <w:rPr>
          <w:spacing w:val="18"/>
        </w:rPr>
        <w:t> </w:t>
      </w:r>
      <w:r>
        <w:rPr/>
        <w:t>produce</w:t>
      </w:r>
      <w:r>
        <w:rPr>
          <w:spacing w:val="17"/>
        </w:rPr>
        <w:t> </w:t>
      </w:r>
      <w:r>
        <w:rPr/>
        <w:t>a</w:t>
      </w:r>
      <w:r>
        <w:rPr>
          <w:spacing w:val="17"/>
        </w:rPr>
        <w:t> </w:t>
      </w:r>
      <w:r>
        <w:rPr/>
        <w:t>moist</w:t>
      </w:r>
      <w:r>
        <w:rPr>
          <w:spacing w:val="16"/>
        </w:rPr>
        <w:t> </w:t>
      </w:r>
      <w:r>
        <w:rPr/>
        <w:t>and</w:t>
      </w:r>
      <w:r>
        <w:rPr>
          <w:spacing w:val="24"/>
        </w:rPr>
        <w:t> </w:t>
      </w:r>
      <w:r>
        <w:rPr/>
        <w:t>cohesive</w:t>
      </w:r>
      <w:r>
        <w:rPr>
          <w:spacing w:val="17"/>
        </w:rPr>
        <w:t> </w:t>
      </w:r>
      <w:r>
        <w:rPr/>
        <w:t>mass.</w:t>
      </w:r>
      <w:r>
        <w:rPr>
          <w:spacing w:val="17"/>
        </w:rPr>
        <w:t> </w:t>
      </w:r>
      <w:r>
        <w:rPr/>
        <w:t>The</w:t>
      </w:r>
      <w:r>
        <w:rPr>
          <w:spacing w:val="17"/>
        </w:rPr>
        <w:t> </w:t>
      </w:r>
      <w:r>
        <w:rPr/>
        <w:t>wet</w:t>
      </w:r>
      <w:r>
        <w:rPr>
          <w:spacing w:val="16"/>
        </w:rPr>
        <w:t> </w:t>
      </w:r>
      <w:r>
        <w:rPr/>
        <w:t>mass</w:t>
      </w:r>
      <w:r>
        <w:rPr>
          <w:spacing w:val="15"/>
        </w:rPr>
        <w:t> </w:t>
      </w:r>
      <w:r>
        <w:rPr/>
        <w:t>was</w:t>
      </w:r>
      <w:r>
        <w:rPr>
          <w:spacing w:val="15"/>
        </w:rPr>
        <w:t> </w:t>
      </w:r>
      <w:r>
        <w:rPr/>
        <w:t>then</w:t>
      </w:r>
      <w:r>
        <w:rPr>
          <w:spacing w:val="13"/>
        </w:rPr>
        <w:t> </w:t>
      </w:r>
      <w:r>
        <w:rPr/>
        <w:t>passed</w:t>
      </w:r>
      <w:r>
        <w:rPr>
          <w:spacing w:val="18"/>
        </w:rPr>
        <w:t> </w:t>
      </w:r>
      <w:r>
        <w:rPr/>
        <w:t>through a 1.7</w:t>
      </w:r>
      <w:r>
        <w:rPr>
          <w:spacing w:val="29"/>
        </w:rPr>
        <w:t> </w:t>
      </w:r>
      <w:r>
        <w:rPr/>
        <w:t>mm sieve mesh screen and</w:t>
      </w:r>
      <w:r>
        <w:rPr>
          <w:spacing w:val="29"/>
        </w:rPr>
        <w:t> </w:t>
      </w:r>
      <w:r>
        <w:rPr/>
        <w:t>then oven dried</w:t>
      </w:r>
      <w:r>
        <w:rPr>
          <w:spacing w:val="29"/>
        </w:rPr>
        <w:t> </w:t>
      </w:r>
      <w:r>
        <w:rPr/>
        <w:t>at 40</w:t>
      </w:r>
      <w:r>
        <w:rPr>
          <w:spacing w:val="36"/>
        </w:rPr>
        <w:t> </w:t>
      </w:r>
      <w:r>
        <w:rPr>
          <w:vertAlign w:val="superscript"/>
        </w:rPr>
        <w:t>0</w:t>
      </w:r>
      <w:r>
        <w:rPr>
          <w:vertAlign w:val="baseline"/>
        </w:rPr>
        <w:t>C for 30</w:t>
      </w:r>
      <w:r>
        <w:rPr>
          <w:spacing w:val="34"/>
          <w:vertAlign w:val="baseline"/>
        </w:rPr>
        <w:t> </w:t>
      </w:r>
      <w:r>
        <w:rPr>
          <w:vertAlign w:val="baseline"/>
        </w:rPr>
        <w:t>min after which they were re- screened through a 1.6 mm mesh size and further dried for another 30 min. The granules were allowed to</w:t>
      </w:r>
      <w:r>
        <w:rPr>
          <w:spacing w:val="31"/>
          <w:vertAlign w:val="baseline"/>
        </w:rPr>
        <w:t> </w:t>
      </w:r>
      <w:r>
        <w:rPr>
          <w:vertAlign w:val="baseline"/>
        </w:rPr>
        <w:t>cool and stored in an air tight container. The same procedure</w:t>
      </w:r>
      <w:r>
        <w:rPr>
          <w:spacing w:val="40"/>
          <w:vertAlign w:val="baseline"/>
        </w:rPr>
        <w:t> </w:t>
      </w:r>
      <w:r>
        <w:rPr>
          <w:vertAlign w:val="baseline"/>
        </w:rPr>
        <w:t>was repeated for preparation of granules for studying disintegrating properties.</w:t>
      </w:r>
    </w:p>
    <w:p>
      <w:pPr>
        <w:pStyle w:val="Heading2"/>
        <w:numPr>
          <w:ilvl w:val="2"/>
          <w:numId w:val="33"/>
        </w:numPr>
        <w:tabs>
          <w:tab w:pos="1286" w:val="left" w:leader="none"/>
        </w:tabs>
        <w:spacing w:line="240" w:lineRule="auto" w:before="233" w:after="0"/>
        <w:ind w:left="1286" w:right="0" w:hanging="621"/>
        <w:jc w:val="left"/>
      </w:pPr>
      <w:bookmarkStart w:name="_TOC_250052" w:id="109"/>
      <w:r>
        <w:rPr/>
        <w:t>Analysis</w:t>
      </w:r>
      <w:r>
        <w:rPr>
          <w:spacing w:val="14"/>
        </w:rPr>
        <w:t> </w:t>
      </w:r>
      <w:r>
        <w:rPr/>
        <w:t>of</w:t>
      </w:r>
      <w:r>
        <w:rPr>
          <w:spacing w:val="18"/>
        </w:rPr>
        <w:t> </w:t>
      </w:r>
      <w:r>
        <w:rPr/>
        <w:t>metronidazole</w:t>
      </w:r>
      <w:r>
        <w:rPr>
          <w:spacing w:val="11"/>
        </w:rPr>
        <w:t> </w:t>
      </w:r>
      <w:bookmarkEnd w:id="109"/>
      <w:r>
        <w:rPr>
          <w:spacing w:val="-2"/>
        </w:rPr>
        <w:t>granules</w:t>
      </w:r>
    </w:p>
    <w:p>
      <w:pPr>
        <w:pStyle w:val="BodyText"/>
        <w:spacing w:line="491" w:lineRule="auto" w:before="247"/>
        <w:ind w:left="665" w:right="1861"/>
        <w:jc w:val="both"/>
      </w:pPr>
      <w:r>
        <w:rPr/>
        <w:t>The</w:t>
      </w:r>
      <w:r>
        <w:rPr>
          <w:spacing w:val="40"/>
        </w:rPr>
        <w:t> </w:t>
      </w:r>
      <w:r>
        <w:rPr/>
        <w:t>granules</w:t>
      </w:r>
      <w:r>
        <w:rPr>
          <w:spacing w:val="40"/>
        </w:rPr>
        <w:t> </w:t>
      </w:r>
      <w:r>
        <w:rPr/>
        <w:t>were</w:t>
      </w:r>
      <w:r>
        <w:rPr>
          <w:spacing w:val="40"/>
        </w:rPr>
        <w:t> </w:t>
      </w:r>
      <w:r>
        <w:rPr/>
        <w:t>subjected</w:t>
      </w:r>
      <w:r>
        <w:rPr>
          <w:spacing w:val="40"/>
        </w:rPr>
        <w:t> </w:t>
      </w:r>
      <w:r>
        <w:rPr/>
        <w:t>to</w:t>
      </w:r>
      <w:r>
        <w:rPr>
          <w:spacing w:val="40"/>
        </w:rPr>
        <w:t> </w:t>
      </w:r>
      <w:r>
        <w:rPr/>
        <w:t>the</w:t>
      </w:r>
      <w:r>
        <w:rPr>
          <w:spacing w:val="40"/>
        </w:rPr>
        <w:t> </w:t>
      </w:r>
      <w:r>
        <w:rPr/>
        <w:t>following tests: sieve</w:t>
      </w:r>
      <w:r>
        <w:rPr>
          <w:spacing w:val="40"/>
        </w:rPr>
        <w:t> </w:t>
      </w:r>
      <w:r>
        <w:rPr/>
        <w:t>analysis,</w:t>
      </w:r>
      <w:r>
        <w:rPr>
          <w:spacing w:val="40"/>
        </w:rPr>
        <w:t> </w:t>
      </w:r>
      <w:r>
        <w:rPr/>
        <w:t>moisture content, angle of repose, bulk and tapped densities, Carr’s index and Hausner`s ratio. The same procedures were used as earlier described</w:t>
      </w:r>
      <w:r>
        <w:rPr>
          <w:spacing w:val="37"/>
        </w:rPr>
        <w:t> </w:t>
      </w:r>
      <w:r>
        <w:rPr/>
        <w:t>for powdered</w:t>
      </w:r>
      <w:r>
        <w:rPr>
          <w:spacing w:val="37"/>
        </w:rPr>
        <w:t> </w:t>
      </w:r>
      <w:r>
        <w:rPr/>
        <w:t>starch in Section 3.4.</w:t>
      </w:r>
    </w:p>
    <w:p>
      <w:pPr>
        <w:pStyle w:val="Heading2"/>
        <w:numPr>
          <w:ilvl w:val="2"/>
          <w:numId w:val="33"/>
        </w:numPr>
        <w:tabs>
          <w:tab w:pos="1171" w:val="left" w:leader="none"/>
        </w:tabs>
        <w:spacing w:line="240" w:lineRule="auto" w:before="4" w:after="0"/>
        <w:ind w:left="1171" w:right="0" w:hanging="506"/>
        <w:jc w:val="left"/>
      </w:pPr>
      <w:bookmarkStart w:name="_TOC_250051" w:id="110"/>
      <w:r>
        <w:rPr/>
        <w:t>Compaction</w:t>
      </w:r>
      <w:r>
        <w:rPr>
          <w:spacing w:val="8"/>
        </w:rPr>
        <w:t> </w:t>
      </w:r>
      <w:r>
        <w:rPr/>
        <w:t>of</w:t>
      </w:r>
      <w:r>
        <w:rPr>
          <w:spacing w:val="11"/>
        </w:rPr>
        <w:t> </w:t>
      </w:r>
      <w:r>
        <w:rPr/>
        <w:t>granules</w:t>
      </w:r>
      <w:r>
        <w:rPr>
          <w:spacing w:val="14"/>
        </w:rPr>
        <w:t> </w:t>
      </w:r>
      <w:r>
        <w:rPr/>
        <w:t>to</w:t>
      </w:r>
      <w:r>
        <w:rPr>
          <w:spacing w:val="17"/>
        </w:rPr>
        <w:t> </w:t>
      </w:r>
      <w:bookmarkEnd w:id="110"/>
      <w:r>
        <w:rPr>
          <w:spacing w:val="-2"/>
        </w:rPr>
        <w:t>tablets</w:t>
      </w:r>
    </w:p>
    <w:p>
      <w:pPr>
        <w:pStyle w:val="BodyText"/>
        <w:spacing w:before="7"/>
        <w:rPr>
          <w:b/>
        </w:rPr>
      </w:pPr>
    </w:p>
    <w:p>
      <w:pPr>
        <w:pStyle w:val="BodyText"/>
        <w:spacing w:line="491" w:lineRule="auto"/>
        <w:ind w:left="665" w:right="1860"/>
        <w:jc w:val="both"/>
      </w:pPr>
      <w:r>
        <w:rPr/>
        <w:t>The granules were mixed in a Tumble mixer for 5 min with extragranular excipients namely; 2.0 % w/w dried talc, 0.2 % w/w magnesium stearate and 7.8 % w/w maize</w:t>
      </w:r>
      <w:r>
        <w:rPr>
          <w:spacing w:val="80"/>
        </w:rPr>
        <w:t> </w:t>
      </w:r>
      <w:r>
        <w:rPr/>
        <w:t>starch BP. Quantities of the granules (700 mg) from each batch were compressed at 7.0 metric tones using 12.0 mm normal concave- faced punches on a single punch tablet machine (Type Eko</w:t>
      </w:r>
      <w:r>
        <w:rPr>
          <w:spacing w:val="40"/>
        </w:rPr>
        <w:t> </w:t>
      </w:r>
      <w:r>
        <w:rPr/>
        <w:t>Erweka Apparatebau. G. M. B. H Heusentamm, Germany).</w:t>
      </w:r>
    </w:p>
    <w:p>
      <w:pPr>
        <w:spacing w:after="0" w:line="491" w:lineRule="auto"/>
        <w:jc w:val="both"/>
        <w:sectPr>
          <w:pgSz w:w="12240" w:h="15840"/>
          <w:pgMar w:header="0" w:footer="999" w:top="1780" w:bottom="1180" w:left="1720" w:right="0"/>
        </w:sectPr>
      </w:pPr>
    </w:p>
    <w:p>
      <w:pPr>
        <w:pStyle w:val="Heading2"/>
        <w:spacing w:before="80"/>
        <w:ind w:left="665" w:firstLine="0"/>
      </w:pPr>
      <w:r>
        <w:rPr/>
        <w:t>Table</w:t>
      </w:r>
      <w:r>
        <w:rPr>
          <w:spacing w:val="5"/>
        </w:rPr>
        <w:t> </w:t>
      </w:r>
      <w:r>
        <w:rPr/>
        <w:t>3.1:</w:t>
      </w:r>
      <w:r>
        <w:rPr>
          <w:spacing w:val="13"/>
        </w:rPr>
        <w:t> </w:t>
      </w:r>
      <w:r>
        <w:rPr/>
        <w:t>Tablet</w:t>
      </w:r>
      <w:r>
        <w:rPr>
          <w:spacing w:val="12"/>
        </w:rPr>
        <w:t> </w:t>
      </w:r>
      <w:r>
        <w:rPr/>
        <w:t>formula</w:t>
      </w:r>
      <w:r>
        <w:rPr>
          <w:spacing w:val="8"/>
        </w:rPr>
        <w:t> </w:t>
      </w:r>
      <w:r>
        <w:rPr/>
        <w:t>for</w:t>
      </w:r>
      <w:r>
        <w:rPr>
          <w:spacing w:val="12"/>
        </w:rPr>
        <w:t> </w:t>
      </w:r>
      <w:r>
        <w:rPr/>
        <w:t>studying</w:t>
      </w:r>
      <w:r>
        <w:rPr>
          <w:spacing w:val="14"/>
        </w:rPr>
        <w:t> </w:t>
      </w:r>
      <w:r>
        <w:rPr/>
        <w:t>the</w:t>
      </w:r>
      <w:r>
        <w:rPr>
          <w:spacing w:val="11"/>
        </w:rPr>
        <w:t> </w:t>
      </w:r>
      <w:r>
        <w:rPr/>
        <w:t>binding</w:t>
      </w:r>
      <w:r>
        <w:rPr>
          <w:spacing w:val="13"/>
        </w:rPr>
        <w:t> </w:t>
      </w:r>
      <w:r>
        <w:rPr/>
        <w:t>properties</w:t>
      </w:r>
      <w:r>
        <w:rPr>
          <w:spacing w:val="3"/>
        </w:rPr>
        <w:t> </w:t>
      </w:r>
      <w:r>
        <w:rPr/>
        <w:t>of</w:t>
      </w:r>
      <w:r>
        <w:rPr>
          <w:spacing w:val="13"/>
        </w:rPr>
        <w:t> </w:t>
      </w:r>
      <w:r>
        <w:rPr/>
        <w:t>DS</w:t>
      </w:r>
      <w:r>
        <w:rPr>
          <w:spacing w:val="10"/>
        </w:rPr>
        <w:t> </w:t>
      </w:r>
      <w:r>
        <w:rPr/>
        <w:t>and</w:t>
      </w:r>
      <w:r>
        <w:rPr>
          <w:spacing w:val="10"/>
        </w:rPr>
        <w:t> </w:t>
      </w:r>
      <w:r>
        <w:rPr>
          <w:spacing w:val="-4"/>
        </w:rPr>
        <w:t>MCS.</w:t>
      </w:r>
    </w:p>
    <w:p>
      <w:pPr>
        <w:pStyle w:val="BodyText"/>
        <w:spacing w:before="116"/>
        <w:rPr>
          <w:b/>
          <w:sz w:val="20"/>
        </w:rPr>
      </w:pPr>
      <w:r>
        <w:rPr/>
        <mc:AlternateContent>
          <mc:Choice Requires="wps">
            <w:drawing>
              <wp:anchor distT="0" distB="0" distL="0" distR="0" allowOverlap="1" layoutInCell="1" locked="0" behindDoc="1" simplePos="0" relativeHeight="487599616">
                <wp:simplePos x="0" y="0"/>
                <wp:positionH relativeFrom="page">
                  <wp:posOffset>1731264</wp:posOffset>
                </wp:positionH>
                <wp:positionV relativeFrom="paragraph">
                  <wp:posOffset>235090</wp:posOffset>
                </wp:positionV>
                <wp:extent cx="4770120"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4770120" cy="6350"/>
                        </a:xfrm>
                        <a:custGeom>
                          <a:avLst/>
                          <a:gdLst/>
                          <a:ahLst/>
                          <a:cxnLst/>
                          <a:rect l="l" t="t" r="r" b="b"/>
                          <a:pathLst>
                            <a:path w="4770120" h="6350">
                              <a:moveTo>
                                <a:pt x="4770120" y="0"/>
                              </a:moveTo>
                              <a:lnTo>
                                <a:pt x="2197608" y="0"/>
                              </a:lnTo>
                              <a:lnTo>
                                <a:pt x="2191512" y="0"/>
                              </a:lnTo>
                              <a:lnTo>
                                <a:pt x="0" y="0"/>
                              </a:lnTo>
                              <a:lnTo>
                                <a:pt x="0" y="6096"/>
                              </a:lnTo>
                              <a:lnTo>
                                <a:pt x="2191512" y="6096"/>
                              </a:lnTo>
                              <a:lnTo>
                                <a:pt x="219760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320007pt;margin-top:18.511042pt;width:375.6pt;height:.5pt;mso-position-horizontal-relative:page;mso-position-vertical-relative:paragraph;z-index:-15716864;mso-wrap-distance-left:0;mso-wrap-distance-right:0" id="docshape31" coordorigin="2726,370" coordsize="7512,10" path="m10238,370l6187,370,6178,370,2726,370,2726,380,6178,380,6187,380,10238,380,10238,370xe" filled="true" fillcolor="#000000" stroked="false">
                <v:path arrowok="t"/>
                <v:fill type="solid"/>
                <w10:wrap type="topAndBottom"/>
              </v:shape>
            </w:pict>
          </mc:Fallback>
        </mc:AlternateContent>
      </w:r>
    </w:p>
    <w:p>
      <w:pPr>
        <w:tabs>
          <w:tab w:pos="4553" w:val="left" w:leader="none"/>
        </w:tabs>
        <w:spacing w:before="6"/>
        <w:ind w:left="1102" w:right="0" w:firstLine="0"/>
        <w:jc w:val="left"/>
        <w:rPr>
          <w:b/>
          <w:sz w:val="22"/>
        </w:rPr>
      </w:pPr>
      <w:r>
        <w:rPr>
          <w:b/>
          <w:spacing w:val="-2"/>
          <w:sz w:val="22"/>
        </w:rPr>
        <w:t>Ingredient</w:t>
      </w:r>
      <w:r>
        <w:rPr>
          <w:b/>
          <w:sz w:val="22"/>
        </w:rPr>
        <w:tab/>
      </w:r>
      <w:r>
        <w:rPr>
          <w:b/>
          <w:spacing w:val="-2"/>
          <w:sz w:val="22"/>
        </w:rPr>
        <w:t>Percentage</w:t>
      </w:r>
    </w:p>
    <w:p>
      <w:pPr>
        <w:pStyle w:val="BodyText"/>
        <w:spacing w:before="5"/>
        <w:rPr>
          <w:b/>
          <w:sz w:val="20"/>
        </w:rPr>
      </w:pPr>
      <w:r>
        <w:rPr/>
        <mc:AlternateContent>
          <mc:Choice Requires="wps">
            <w:drawing>
              <wp:anchor distT="0" distB="0" distL="0" distR="0" allowOverlap="1" layoutInCell="1" locked="0" behindDoc="1" simplePos="0" relativeHeight="487600128">
                <wp:simplePos x="0" y="0"/>
                <wp:positionH relativeFrom="page">
                  <wp:posOffset>1731264</wp:posOffset>
                </wp:positionH>
                <wp:positionV relativeFrom="paragraph">
                  <wp:posOffset>164732</wp:posOffset>
                </wp:positionV>
                <wp:extent cx="4770120"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4770120" cy="6350"/>
                        </a:xfrm>
                        <a:custGeom>
                          <a:avLst/>
                          <a:gdLst/>
                          <a:ahLst/>
                          <a:cxnLst/>
                          <a:rect l="l" t="t" r="r" b="b"/>
                          <a:pathLst>
                            <a:path w="4770120" h="6350">
                              <a:moveTo>
                                <a:pt x="4770120" y="0"/>
                              </a:moveTo>
                              <a:lnTo>
                                <a:pt x="2197608" y="0"/>
                              </a:lnTo>
                              <a:lnTo>
                                <a:pt x="2191512" y="0"/>
                              </a:lnTo>
                              <a:lnTo>
                                <a:pt x="0" y="0"/>
                              </a:lnTo>
                              <a:lnTo>
                                <a:pt x="0" y="6096"/>
                              </a:lnTo>
                              <a:lnTo>
                                <a:pt x="2191512" y="6096"/>
                              </a:lnTo>
                              <a:lnTo>
                                <a:pt x="219760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320007pt;margin-top:12.971043pt;width:375.6pt;height:.5pt;mso-position-horizontal-relative:page;mso-position-vertical-relative:paragraph;z-index:-15716352;mso-wrap-distance-left:0;mso-wrap-distance-right:0" id="docshape32" coordorigin="2726,259" coordsize="7512,10" path="m10238,259l6187,259,6178,259,2726,259,2726,269,6178,269,6187,269,10238,269,10238,259xe" filled="true" fillcolor="#000000" stroked="false">
                <v:path arrowok="t"/>
                <v:fill type="solid"/>
                <w10:wrap type="topAndBottom"/>
              </v:shape>
            </w:pict>
          </mc:Fallback>
        </mc:AlternateContent>
      </w:r>
    </w:p>
    <w:p>
      <w:pPr>
        <w:pStyle w:val="BodyText"/>
        <w:tabs>
          <w:tab w:pos="4553" w:val="left" w:leader="none"/>
        </w:tabs>
        <w:spacing w:before="6"/>
        <w:ind w:left="1102"/>
      </w:pPr>
      <w:r>
        <w:rPr>
          <w:spacing w:val="-2"/>
        </w:rPr>
        <w:t>Metronidazole</w:t>
      </w:r>
      <w:r>
        <w:rPr/>
        <w:tab/>
        <w:t>57.14</w:t>
      </w:r>
      <w:r>
        <w:rPr>
          <w:spacing w:val="14"/>
        </w:rPr>
        <w:t> </w:t>
      </w:r>
      <w:r>
        <w:rPr/>
        <w:t>%</w:t>
      </w:r>
      <w:r>
        <w:rPr>
          <w:spacing w:val="7"/>
        </w:rPr>
        <w:t> </w:t>
      </w:r>
      <w:r>
        <w:rPr>
          <w:spacing w:val="-5"/>
        </w:rPr>
        <w:t>w/w</w:t>
      </w:r>
    </w:p>
    <w:p>
      <w:pPr>
        <w:pStyle w:val="BodyText"/>
        <w:spacing w:before="12"/>
      </w:pPr>
    </w:p>
    <w:p>
      <w:pPr>
        <w:pStyle w:val="BodyText"/>
        <w:tabs>
          <w:tab w:pos="4553" w:val="left" w:leader="none"/>
        </w:tabs>
        <w:ind w:left="1102"/>
      </w:pPr>
      <w:r>
        <w:rPr/>
        <w:t>Maize</w:t>
      </w:r>
      <w:r>
        <w:rPr>
          <w:spacing w:val="13"/>
        </w:rPr>
        <w:t> </w:t>
      </w:r>
      <w:r>
        <w:rPr/>
        <w:t>Starch</w:t>
      </w:r>
      <w:r>
        <w:rPr>
          <w:spacing w:val="10"/>
        </w:rPr>
        <w:t> </w:t>
      </w:r>
      <w:r>
        <w:rPr>
          <w:spacing w:val="-5"/>
        </w:rPr>
        <w:t>BP</w:t>
      </w:r>
      <w:r>
        <w:rPr/>
        <w:tab/>
        <w:t>5.0</w:t>
      </w:r>
      <w:r>
        <w:rPr>
          <w:spacing w:val="13"/>
        </w:rPr>
        <w:t> </w:t>
      </w:r>
      <w:r>
        <w:rPr/>
        <w:t>%</w:t>
      </w:r>
      <w:r>
        <w:rPr>
          <w:spacing w:val="6"/>
        </w:rPr>
        <w:t> </w:t>
      </w:r>
      <w:r>
        <w:rPr>
          <w:spacing w:val="-5"/>
        </w:rPr>
        <w:t>w/w</w:t>
      </w:r>
    </w:p>
    <w:p>
      <w:pPr>
        <w:pStyle w:val="BodyText"/>
        <w:spacing w:before="12"/>
      </w:pPr>
    </w:p>
    <w:p>
      <w:pPr>
        <w:pStyle w:val="BodyText"/>
        <w:tabs>
          <w:tab w:pos="4553" w:val="left" w:leader="none"/>
        </w:tabs>
        <w:spacing w:line="491" w:lineRule="auto"/>
        <w:ind w:left="1102" w:right="3082"/>
      </w:pPr>
      <w:r>
        <w:rPr/>
        <w:t>* Binder (DS/MCS/Gelatin)</w:t>
        <w:tab/>
        <w:t>(2.5,</w:t>
      </w:r>
      <w:r>
        <w:rPr>
          <w:spacing w:val="-1"/>
        </w:rPr>
        <w:t> </w:t>
      </w:r>
      <w:r>
        <w:rPr/>
        <w:t>5.0, 7.5, 10.0, 12.5) % w/v Dried talc</w:t>
        <w:tab/>
        <w:t>2.0 % w/w</w:t>
      </w:r>
    </w:p>
    <w:p>
      <w:pPr>
        <w:pStyle w:val="BodyText"/>
        <w:tabs>
          <w:tab w:pos="4553" w:val="left" w:leader="none"/>
        </w:tabs>
        <w:spacing w:line="253" w:lineRule="exact"/>
        <w:ind w:left="1102"/>
      </w:pPr>
      <w:r>
        <w:rPr/>
        <w:t>Magnesium</w:t>
      </w:r>
      <w:r>
        <w:rPr>
          <w:spacing w:val="22"/>
        </w:rPr>
        <w:t> </w:t>
      </w:r>
      <w:r>
        <w:rPr>
          <w:spacing w:val="-2"/>
        </w:rPr>
        <w:t>stearate</w:t>
      </w:r>
      <w:r>
        <w:rPr/>
        <w:tab/>
        <w:t>0.2</w:t>
      </w:r>
      <w:r>
        <w:rPr>
          <w:spacing w:val="13"/>
        </w:rPr>
        <w:t> </w:t>
      </w:r>
      <w:r>
        <w:rPr/>
        <w:t>%</w:t>
      </w:r>
      <w:r>
        <w:rPr>
          <w:spacing w:val="6"/>
        </w:rPr>
        <w:t> </w:t>
      </w:r>
      <w:r>
        <w:rPr>
          <w:spacing w:val="-5"/>
        </w:rPr>
        <w:t>w/w</w:t>
      </w:r>
    </w:p>
    <w:p>
      <w:pPr>
        <w:pStyle w:val="BodyText"/>
        <w:spacing w:before="13"/>
      </w:pPr>
    </w:p>
    <w:p>
      <w:pPr>
        <w:pStyle w:val="BodyText"/>
        <w:tabs>
          <w:tab w:pos="4553" w:val="left" w:leader="none"/>
        </w:tabs>
        <w:ind w:left="1102"/>
      </w:pPr>
      <w:r>
        <w:rPr/>
        <w:t>Maize</w:t>
      </w:r>
      <w:r>
        <w:rPr>
          <w:spacing w:val="12"/>
        </w:rPr>
        <w:t> </w:t>
      </w:r>
      <w:r>
        <w:rPr/>
        <w:t>starch</w:t>
      </w:r>
      <w:r>
        <w:rPr>
          <w:spacing w:val="9"/>
        </w:rPr>
        <w:t> </w:t>
      </w:r>
      <w:r>
        <w:rPr>
          <w:spacing w:val="-4"/>
        </w:rPr>
        <w:t>B.P.</w:t>
      </w:r>
      <w:r>
        <w:rPr/>
        <w:tab/>
        <w:t>7.8</w:t>
      </w:r>
      <w:r>
        <w:rPr>
          <w:spacing w:val="13"/>
        </w:rPr>
        <w:t> </w:t>
      </w:r>
      <w:r>
        <w:rPr/>
        <w:t>%</w:t>
      </w:r>
      <w:r>
        <w:rPr>
          <w:spacing w:val="6"/>
        </w:rPr>
        <w:t> </w:t>
      </w:r>
      <w:r>
        <w:rPr>
          <w:spacing w:val="-5"/>
        </w:rPr>
        <w:t>w/w</w:t>
      </w:r>
    </w:p>
    <w:p>
      <w:pPr>
        <w:pStyle w:val="BodyText"/>
        <w:spacing w:before="2"/>
        <w:rPr>
          <w:sz w:val="15"/>
        </w:rPr>
      </w:pPr>
    </w:p>
    <w:p>
      <w:pPr>
        <w:spacing w:after="0"/>
        <w:rPr>
          <w:sz w:val="15"/>
        </w:rPr>
        <w:sectPr>
          <w:pgSz w:w="12240" w:h="15840"/>
          <w:pgMar w:header="0" w:footer="999" w:top="1260" w:bottom="1180" w:left="1720" w:right="0"/>
        </w:sectPr>
      </w:pPr>
    </w:p>
    <w:p>
      <w:pPr>
        <w:pStyle w:val="BodyText"/>
        <w:spacing w:line="487" w:lineRule="auto" w:before="96"/>
        <w:ind w:left="1102" w:right="38"/>
      </w:pPr>
      <w:r>
        <w:rPr>
          <w:spacing w:val="-2"/>
        </w:rPr>
        <w:t>Lactose </w:t>
      </w:r>
      <w:r>
        <w:rPr/>
        <w:t>Total</w:t>
      </w:r>
      <w:r>
        <w:rPr>
          <w:spacing w:val="-14"/>
        </w:rPr>
        <w:t> </w:t>
      </w:r>
      <w:r>
        <w:rPr/>
        <w:t>weight</w:t>
      </w:r>
    </w:p>
    <w:p>
      <w:pPr>
        <w:spacing w:before="96"/>
        <w:ind w:left="1102" w:right="0" w:firstLine="0"/>
        <w:jc w:val="left"/>
        <w:rPr>
          <w:sz w:val="22"/>
        </w:rPr>
      </w:pPr>
      <w:r>
        <w:rPr/>
        <w:br w:type="column"/>
      </w:r>
      <w:r>
        <w:rPr>
          <w:spacing w:val="-5"/>
          <w:sz w:val="22"/>
        </w:rPr>
        <w:t>q.s</w:t>
      </w:r>
    </w:p>
    <w:p>
      <w:pPr>
        <w:pStyle w:val="BodyText"/>
        <w:spacing w:before="7"/>
      </w:pPr>
    </w:p>
    <w:p>
      <w:pPr>
        <w:pStyle w:val="BodyText"/>
        <w:ind w:left="1102"/>
      </w:pPr>
      <w:r>
        <w:rPr/>
        <w:t>700</w:t>
      </w:r>
      <w:r>
        <w:rPr>
          <w:spacing w:val="9"/>
        </w:rPr>
        <w:t> </w:t>
      </w:r>
      <w:r>
        <w:rPr>
          <w:spacing w:val="-5"/>
        </w:rPr>
        <w:t>mg</w:t>
      </w:r>
    </w:p>
    <w:p>
      <w:pPr>
        <w:spacing w:after="0"/>
        <w:sectPr>
          <w:type w:val="continuous"/>
          <w:pgSz w:w="12240" w:h="15840"/>
          <w:pgMar w:header="0" w:footer="999" w:top="1780" w:bottom="1180" w:left="1720" w:right="0"/>
          <w:cols w:num="2" w:equalWidth="0">
            <w:col w:w="2285" w:space="1166"/>
            <w:col w:w="7069"/>
          </w:cols>
        </w:sectPr>
      </w:pPr>
    </w:p>
    <w:p>
      <w:pPr>
        <w:pStyle w:val="BodyText"/>
        <w:spacing w:line="20" w:lineRule="exact"/>
        <w:ind w:left="992"/>
        <w:rPr>
          <w:sz w:val="2"/>
        </w:rPr>
      </w:pPr>
      <w:r>
        <w:rPr>
          <w:sz w:val="2"/>
        </w:rPr>
        <mc:AlternateContent>
          <mc:Choice Requires="wps">
            <w:drawing>
              <wp:inline distT="0" distB="0" distL="0" distR="0">
                <wp:extent cx="4779645" cy="6350"/>
                <wp:effectExtent l="0" t="0" r="0" b="0"/>
                <wp:docPr id="35" name="Group 35"/>
                <wp:cNvGraphicFramePr>
                  <a:graphicFrameLocks/>
                </wp:cNvGraphicFramePr>
                <a:graphic>
                  <a:graphicData uri="http://schemas.microsoft.com/office/word/2010/wordprocessingGroup">
                    <wpg:wgp>
                      <wpg:cNvPr id="35" name="Group 35"/>
                      <wpg:cNvGrpSpPr/>
                      <wpg:grpSpPr>
                        <a:xfrm>
                          <a:off x="0" y="0"/>
                          <a:ext cx="4779645" cy="6350"/>
                          <a:chExt cx="4779645" cy="6350"/>
                        </a:xfrm>
                      </wpg:grpSpPr>
                      <wps:wsp>
                        <wps:cNvPr id="36" name="Graphic 36"/>
                        <wps:cNvSpPr/>
                        <wps:spPr>
                          <a:xfrm>
                            <a:off x="0" y="0"/>
                            <a:ext cx="4779645" cy="6350"/>
                          </a:xfrm>
                          <a:custGeom>
                            <a:avLst/>
                            <a:gdLst/>
                            <a:ahLst/>
                            <a:cxnLst/>
                            <a:rect l="l" t="t" r="r" b="b"/>
                            <a:pathLst>
                              <a:path w="4779645" h="6350">
                                <a:moveTo>
                                  <a:pt x="4779251" y="0"/>
                                </a:moveTo>
                                <a:lnTo>
                                  <a:pt x="2200656" y="0"/>
                                </a:lnTo>
                                <a:lnTo>
                                  <a:pt x="2197608" y="0"/>
                                </a:lnTo>
                                <a:lnTo>
                                  <a:pt x="2191512" y="0"/>
                                </a:lnTo>
                                <a:lnTo>
                                  <a:pt x="0" y="0"/>
                                </a:lnTo>
                                <a:lnTo>
                                  <a:pt x="0" y="6096"/>
                                </a:lnTo>
                                <a:lnTo>
                                  <a:pt x="2191512" y="6096"/>
                                </a:lnTo>
                                <a:lnTo>
                                  <a:pt x="2197608" y="6096"/>
                                </a:lnTo>
                                <a:lnTo>
                                  <a:pt x="2200656" y="6096"/>
                                </a:lnTo>
                                <a:lnTo>
                                  <a:pt x="4779251" y="6096"/>
                                </a:lnTo>
                                <a:lnTo>
                                  <a:pt x="47792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76.35pt;height:.5pt;mso-position-horizontal-relative:char;mso-position-vertical-relative:line" id="docshapegroup33" coordorigin="0,0" coordsize="7527,10">
                <v:shape style="position:absolute;left:0;top:0;width:7527;height:10" id="docshape34" coordorigin="0,0" coordsize="7527,10" path="m7526,0l3466,0,3461,0,3451,0,0,0,0,10,3451,10,3461,10,3466,10,7526,10,7526,0xe" filled="true" fillcolor="#000000" stroked="false">
                  <v:path arrowok="t"/>
                  <v:fill type="solid"/>
                </v:shape>
              </v:group>
            </w:pict>
          </mc:Fallback>
        </mc:AlternateContent>
      </w:r>
      <w:r>
        <w:rPr>
          <w:sz w:val="2"/>
        </w:rPr>
      </w:r>
    </w:p>
    <w:p>
      <w:pPr>
        <w:pStyle w:val="BodyText"/>
        <w:spacing w:before="5"/>
      </w:pPr>
    </w:p>
    <w:p>
      <w:pPr>
        <w:pStyle w:val="Heading2"/>
        <w:spacing w:line="249" w:lineRule="auto"/>
        <w:ind w:left="1740" w:right="2065" w:hanging="1076"/>
      </w:pPr>
      <w:r>
        <w:rPr/>
        <w:t>Table 3.2: Tablet formula for studying the disintegrating properties of DS and </w:t>
      </w:r>
      <w:r>
        <w:rPr>
          <w:spacing w:val="-4"/>
        </w:rPr>
        <w:t>MCS</w:t>
      </w:r>
    </w:p>
    <w:p>
      <w:pPr>
        <w:pStyle w:val="BodyText"/>
        <w:spacing w:before="8"/>
        <w:rPr>
          <w:b/>
          <w:sz w:val="19"/>
        </w:rPr>
      </w:pPr>
      <w:r>
        <w:rPr/>
        <mc:AlternateContent>
          <mc:Choice Requires="wps">
            <w:drawing>
              <wp:anchor distT="0" distB="0" distL="0" distR="0" allowOverlap="1" layoutInCell="1" locked="0" behindDoc="1" simplePos="0" relativeHeight="487601152">
                <wp:simplePos x="0" y="0"/>
                <wp:positionH relativeFrom="page">
                  <wp:posOffset>1743456</wp:posOffset>
                </wp:positionH>
                <wp:positionV relativeFrom="paragraph">
                  <wp:posOffset>159256</wp:posOffset>
                </wp:positionV>
                <wp:extent cx="4578350" cy="317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4578350" cy="3175"/>
                        </a:xfrm>
                        <a:custGeom>
                          <a:avLst/>
                          <a:gdLst/>
                          <a:ahLst/>
                          <a:cxnLst/>
                          <a:rect l="l" t="t" r="r" b="b"/>
                          <a:pathLst>
                            <a:path w="4578350" h="3175">
                              <a:moveTo>
                                <a:pt x="2474963" y="0"/>
                              </a:moveTo>
                              <a:lnTo>
                                <a:pt x="0" y="0"/>
                              </a:lnTo>
                              <a:lnTo>
                                <a:pt x="0" y="3048"/>
                              </a:lnTo>
                              <a:lnTo>
                                <a:pt x="2474963" y="3048"/>
                              </a:lnTo>
                              <a:lnTo>
                                <a:pt x="2474963" y="0"/>
                              </a:lnTo>
                              <a:close/>
                            </a:path>
                            <a:path w="4578350" h="3175">
                              <a:moveTo>
                                <a:pt x="4578096" y="0"/>
                              </a:moveTo>
                              <a:lnTo>
                                <a:pt x="2478024" y="0"/>
                              </a:lnTo>
                              <a:lnTo>
                                <a:pt x="2474976" y="0"/>
                              </a:lnTo>
                              <a:lnTo>
                                <a:pt x="2474976" y="3048"/>
                              </a:lnTo>
                              <a:lnTo>
                                <a:pt x="2478024" y="3048"/>
                              </a:lnTo>
                              <a:lnTo>
                                <a:pt x="4578096" y="3048"/>
                              </a:lnTo>
                              <a:lnTo>
                                <a:pt x="4578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7.280014pt;margin-top:12.539876pt;width:360.5pt;height:.25pt;mso-position-horizontal-relative:page;mso-position-vertical-relative:paragraph;z-index:-15715328;mso-wrap-distance-left:0;mso-wrap-distance-right:0" id="docshape35" coordorigin="2746,251" coordsize="7210,5" path="m6643,251l2746,251,2746,256,6643,256,6643,251xm9955,251l6648,251,6643,251,6643,256,6648,256,9955,256,9955,251xe" filled="true" fillcolor="#000000" stroked="false">
                <v:path arrowok="t"/>
                <v:fill type="solid"/>
                <w10:wrap type="topAndBottom"/>
              </v:shape>
            </w:pict>
          </mc:Fallback>
        </mc:AlternateContent>
      </w:r>
    </w:p>
    <w:p>
      <w:pPr>
        <w:tabs>
          <w:tab w:pos="5019" w:val="left" w:leader="none"/>
        </w:tabs>
        <w:spacing w:before="10"/>
        <w:ind w:left="1126" w:right="0" w:firstLine="0"/>
        <w:jc w:val="left"/>
        <w:rPr>
          <w:b/>
          <w:sz w:val="22"/>
        </w:rPr>
      </w:pPr>
      <w:r>
        <w:rPr>
          <w:b/>
          <w:spacing w:val="-2"/>
          <w:sz w:val="22"/>
        </w:rPr>
        <w:t>Ingredient</w:t>
      </w:r>
      <w:r>
        <w:rPr>
          <w:b/>
          <w:sz w:val="22"/>
        </w:rPr>
        <w:tab/>
      </w:r>
      <w:r>
        <w:rPr>
          <w:b/>
          <w:spacing w:val="-2"/>
          <w:sz w:val="22"/>
        </w:rPr>
        <w:t>Percentage</w:t>
      </w:r>
    </w:p>
    <w:p>
      <w:pPr>
        <w:pStyle w:val="BodyText"/>
        <w:spacing w:before="6"/>
        <w:rPr>
          <w:b/>
          <w:sz w:val="20"/>
        </w:rPr>
      </w:pPr>
      <w:r>
        <w:rPr/>
        <mc:AlternateContent>
          <mc:Choice Requires="wps">
            <w:drawing>
              <wp:anchor distT="0" distB="0" distL="0" distR="0" allowOverlap="1" layoutInCell="1" locked="0" behindDoc="1" simplePos="0" relativeHeight="487601664">
                <wp:simplePos x="0" y="0"/>
                <wp:positionH relativeFrom="page">
                  <wp:posOffset>1743456</wp:posOffset>
                </wp:positionH>
                <wp:positionV relativeFrom="paragraph">
                  <wp:posOffset>165240</wp:posOffset>
                </wp:positionV>
                <wp:extent cx="4578350" cy="317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4578350" cy="3175"/>
                        </a:xfrm>
                        <a:custGeom>
                          <a:avLst/>
                          <a:gdLst/>
                          <a:ahLst/>
                          <a:cxnLst/>
                          <a:rect l="l" t="t" r="r" b="b"/>
                          <a:pathLst>
                            <a:path w="4578350" h="3175">
                              <a:moveTo>
                                <a:pt x="2474963" y="0"/>
                              </a:moveTo>
                              <a:lnTo>
                                <a:pt x="0" y="0"/>
                              </a:lnTo>
                              <a:lnTo>
                                <a:pt x="0" y="3048"/>
                              </a:lnTo>
                              <a:lnTo>
                                <a:pt x="2474963" y="3048"/>
                              </a:lnTo>
                              <a:lnTo>
                                <a:pt x="2474963" y="0"/>
                              </a:lnTo>
                              <a:close/>
                            </a:path>
                            <a:path w="4578350" h="3175">
                              <a:moveTo>
                                <a:pt x="4578096" y="0"/>
                              </a:moveTo>
                              <a:lnTo>
                                <a:pt x="2478024" y="0"/>
                              </a:lnTo>
                              <a:lnTo>
                                <a:pt x="2474976" y="0"/>
                              </a:lnTo>
                              <a:lnTo>
                                <a:pt x="2474976" y="3048"/>
                              </a:lnTo>
                              <a:lnTo>
                                <a:pt x="2478024" y="3048"/>
                              </a:lnTo>
                              <a:lnTo>
                                <a:pt x="4578096" y="3048"/>
                              </a:lnTo>
                              <a:lnTo>
                                <a:pt x="4578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7.280014pt;margin-top:13.011056pt;width:360.5pt;height:.25pt;mso-position-horizontal-relative:page;mso-position-vertical-relative:paragraph;z-index:-15714816;mso-wrap-distance-left:0;mso-wrap-distance-right:0" id="docshape36" coordorigin="2746,260" coordsize="7210,5" path="m6643,260l2746,260,2746,265,6643,265,6643,260xm9955,260l6648,260,6643,260,6643,265,6648,265,9955,265,9955,260xe" filled="true" fillcolor="#000000" stroked="false">
                <v:path arrowok="t"/>
                <v:fill type="solid"/>
                <w10:wrap type="topAndBottom"/>
              </v:shape>
            </w:pict>
          </mc:Fallback>
        </mc:AlternateContent>
      </w:r>
    </w:p>
    <w:p>
      <w:pPr>
        <w:pStyle w:val="BodyText"/>
        <w:tabs>
          <w:tab w:pos="5019" w:val="left" w:leader="none"/>
        </w:tabs>
        <w:spacing w:before="6"/>
        <w:ind w:left="1126"/>
      </w:pPr>
      <w:r>
        <w:rPr>
          <w:spacing w:val="-2"/>
        </w:rPr>
        <w:t>Metronidazole</w:t>
      </w:r>
      <w:r>
        <w:rPr/>
        <w:tab/>
        <w:t>57.14</w:t>
      </w:r>
      <w:r>
        <w:rPr>
          <w:spacing w:val="14"/>
        </w:rPr>
        <w:t> </w:t>
      </w:r>
      <w:r>
        <w:rPr/>
        <w:t>%</w:t>
      </w:r>
      <w:r>
        <w:rPr>
          <w:spacing w:val="2"/>
        </w:rPr>
        <w:t> </w:t>
      </w:r>
      <w:r>
        <w:rPr>
          <w:spacing w:val="-5"/>
        </w:rPr>
        <w:t>w/w</w:t>
      </w:r>
    </w:p>
    <w:p>
      <w:pPr>
        <w:pStyle w:val="BodyText"/>
        <w:spacing w:before="12"/>
      </w:pPr>
    </w:p>
    <w:p>
      <w:pPr>
        <w:pStyle w:val="BodyText"/>
        <w:tabs>
          <w:tab w:pos="5019" w:val="left" w:leader="none"/>
        </w:tabs>
        <w:ind w:left="1126"/>
      </w:pPr>
      <w:r>
        <w:rPr/>
        <w:t>Maize</w:t>
      </w:r>
      <w:r>
        <w:rPr>
          <w:spacing w:val="14"/>
        </w:rPr>
        <w:t> </w:t>
      </w:r>
      <w:r>
        <w:rPr/>
        <w:t>Starch</w:t>
      </w:r>
      <w:r>
        <w:rPr>
          <w:spacing w:val="5"/>
        </w:rPr>
        <w:t> </w:t>
      </w:r>
      <w:r>
        <w:rPr/>
        <w:t>(MS)</w:t>
      </w:r>
      <w:r>
        <w:rPr>
          <w:spacing w:val="16"/>
        </w:rPr>
        <w:t> </w:t>
      </w:r>
      <w:r>
        <w:rPr>
          <w:spacing w:val="-5"/>
        </w:rPr>
        <w:t>BP</w:t>
      </w:r>
      <w:r>
        <w:rPr/>
        <w:tab/>
        <w:t>5.0</w:t>
      </w:r>
      <w:r>
        <w:rPr>
          <w:spacing w:val="13"/>
        </w:rPr>
        <w:t> </w:t>
      </w:r>
      <w:r>
        <w:rPr/>
        <w:t>%</w:t>
      </w:r>
      <w:r>
        <w:rPr>
          <w:spacing w:val="1"/>
        </w:rPr>
        <w:t> </w:t>
      </w:r>
      <w:r>
        <w:rPr>
          <w:spacing w:val="-5"/>
        </w:rPr>
        <w:t>w/v</w:t>
      </w:r>
    </w:p>
    <w:p>
      <w:pPr>
        <w:pStyle w:val="BodyText"/>
        <w:spacing w:before="12"/>
      </w:pPr>
    </w:p>
    <w:p>
      <w:pPr>
        <w:pStyle w:val="BodyText"/>
        <w:tabs>
          <w:tab w:pos="5019" w:val="left" w:leader="none"/>
        </w:tabs>
        <w:spacing w:line="491" w:lineRule="auto"/>
        <w:ind w:left="1126" w:right="2566"/>
      </w:pPr>
      <w:r>
        <w:rPr/>
        <w:t>* Disintegrant (DS/MCS/MS)</w:t>
        <w:tab/>
        <w:t>(2.5, 5.0, 7.5, 10.0, 12.5) % w/w Dried talc</w:t>
        <w:tab/>
        <w:t>2.0 % w/w</w:t>
      </w:r>
    </w:p>
    <w:p>
      <w:pPr>
        <w:pStyle w:val="BodyText"/>
        <w:tabs>
          <w:tab w:pos="5019" w:val="left" w:leader="none"/>
        </w:tabs>
        <w:spacing w:line="253" w:lineRule="exact"/>
        <w:ind w:left="1126"/>
      </w:pPr>
      <w:r>
        <w:rPr/>
        <w:t>Magnesium</w:t>
      </w:r>
      <w:r>
        <w:rPr>
          <w:spacing w:val="20"/>
        </w:rPr>
        <w:t> </w:t>
      </w:r>
      <w:r>
        <w:rPr>
          <w:spacing w:val="-2"/>
        </w:rPr>
        <w:t>stearate</w:t>
      </w:r>
      <w:r>
        <w:rPr/>
        <w:tab/>
        <w:t>0.2</w:t>
      </w:r>
      <w:r>
        <w:rPr>
          <w:spacing w:val="13"/>
        </w:rPr>
        <w:t> </w:t>
      </w:r>
      <w:r>
        <w:rPr/>
        <w:t>%</w:t>
      </w:r>
      <w:r>
        <w:rPr>
          <w:spacing w:val="1"/>
        </w:rPr>
        <w:t> </w:t>
      </w:r>
      <w:r>
        <w:rPr>
          <w:spacing w:val="-5"/>
        </w:rPr>
        <w:t>w/w</w:t>
      </w:r>
    </w:p>
    <w:p>
      <w:pPr>
        <w:pStyle w:val="BodyText"/>
        <w:spacing w:before="13"/>
      </w:pPr>
    </w:p>
    <w:p>
      <w:pPr>
        <w:pStyle w:val="BodyText"/>
        <w:tabs>
          <w:tab w:pos="5019" w:val="left" w:leader="none"/>
        </w:tabs>
        <w:ind w:left="1126"/>
      </w:pPr>
      <w:r>
        <w:rPr/>
        <w:t>Maize</w:t>
      </w:r>
      <w:r>
        <w:rPr>
          <w:spacing w:val="11"/>
        </w:rPr>
        <w:t> </w:t>
      </w:r>
      <w:r>
        <w:rPr/>
        <w:t>starch</w:t>
      </w:r>
      <w:r>
        <w:rPr>
          <w:spacing w:val="8"/>
        </w:rPr>
        <w:t> </w:t>
      </w:r>
      <w:r>
        <w:rPr>
          <w:spacing w:val="-4"/>
        </w:rPr>
        <w:t>B.P.</w:t>
      </w:r>
      <w:r>
        <w:rPr/>
        <w:tab/>
        <w:t>7.8</w:t>
      </w:r>
      <w:r>
        <w:rPr>
          <w:spacing w:val="13"/>
        </w:rPr>
        <w:t> </w:t>
      </w:r>
      <w:r>
        <w:rPr/>
        <w:t>%</w:t>
      </w:r>
      <w:r>
        <w:rPr>
          <w:spacing w:val="1"/>
        </w:rPr>
        <w:t> </w:t>
      </w:r>
      <w:r>
        <w:rPr>
          <w:spacing w:val="-5"/>
        </w:rPr>
        <w:t>w/w</w:t>
      </w:r>
    </w:p>
    <w:p>
      <w:pPr>
        <w:pStyle w:val="BodyText"/>
        <w:spacing w:before="8"/>
        <w:rPr>
          <w:sz w:val="14"/>
        </w:rPr>
      </w:pPr>
    </w:p>
    <w:p>
      <w:pPr>
        <w:spacing w:after="0"/>
        <w:rPr>
          <w:sz w:val="14"/>
        </w:rPr>
        <w:sectPr>
          <w:type w:val="continuous"/>
          <w:pgSz w:w="12240" w:h="15840"/>
          <w:pgMar w:header="0" w:footer="999" w:top="1780" w:bottom="1180" w:left="1720" w:right="0"/>
        </w:sectPr>
      </w:pPr>
    </w:p>
    <w:p>
      <w:pPr>
        <w:pStyle w:val="BodyText"/>
        <w:spacing w:line="491" w:lineRule="auto" w:before="96"/>
        <w:ind w:left="1126" w:right="38"/>
      </w:pPr>
      <w:r>
        <w:rPr>
          <w:spacing w:val="-2"/>
        </w:rPr>
        <w:t>Lactose </w:t>
      </w:r>
      <w:r>
        <w:rPr/>
        <w:t>Total</w:t>
      </w:r>
      <w:r>
        <w:rPr>
          <w:spacing w:val="-14"/>
        </w:rPr>
        <w:t> </w:t>
      </w:r>
      <w:r>
        <w:rPr/>
        <w:t>weight</w:t>
      </w:r>
    </w:p>
    <w:p>
      <w:pPr>
        <w:spacing w:before="96"/>
        <w:ind w:left="1126" w:right="0" w:firstLine="0"/>
        <w:jc w:val="left"/>
        <w:rPr>
          <w:sz w:val="22"/>
        </w:rPr>
      </w:pPr>
      <w:r>
        <w:rPr/>
        <w:br w:type="column"/>
      </w:r>
      <w:r>
        <w:rPr>
          <w:spacing w:val="-5"/>
          <w:sz w:val="22"/>
        </w:rPr>
        <w:t>q.s</w:t>
      </w:r>
    </w:p>
    <w:p>
      <w:pPr>
        <w:pStyle w:val="BodyText"/>
        <w:spacing w:before="13"/>
      </w:pPr>
    </w:p>
    <w:p>
      <w:pPr>
        <w:pStyle w:val="BodyText"/>
        <w:ind w:left="1126"/>
      </w:pPr>
      <w:r>
        <w:rPr/>
        <w:t>700</w:t>
      </w:r>
      <w:r>
        <w:rPr>
          <w:spacing w:val="9"/>
        </w:rPr>
        <w:t> </w:t>
      </w:r>
      <w:r>
        <w:rPr>
          <w:spacing w:val="-5"/>
        </w:rPr>
        <w:t>mg</w:t>
      </w:r>
    </w:p>
    <w:p>
      <w:pPr>
        <w:spacing w:after="0"/>
        <w:sectPr>
          <w:type w:val="continuous"/>
          <w:pgSz w:w="12240" w:h="15840"/>
          <w:pgMar w:header="0" w:footer="999" w:top="1780" w:bottom="1180" w:left="1720" w:right="0"/>
          <w:cols w:num="2" w:equalWidth="0">
            <w:col w:w="2309" w:space="1583"/>
            <w:col w:w="6628"/>
          </w:cols>
        </w:sectPr>
      </w:pPr>
    </w:p>
    <w:p>
      <w:pPr>
        <w:pStyle w:val="BodyText"/>
        <w:spacing w:line="20" w:lineRule="exact"/>
        <w:ind w:left="1016"/>
        <w:rPr>
          <w:sz w:val="2"/>
        </w:rPr>
      </w:pPr>
      <w:r>
        <w:rPr>
          <w:sz w:val="2"/>
        </w:rPr>
        <mc:AlternateContent>
          <mc:Choice Requires="wps">
            <w:drawing>
              <wp:inline distT="0" distB="0" distL="0" distR="0">
                <wp:extent cx="4584700" cy="6350"/>
                <wp:effectExtent l="0" t="0" r="0" b="0"/>
                <wp:docPr id="39" name="Group 39"/>
                <wp:cNvGraphicFramePr>
                  <a:graphicFrameLocks/>
                </wp:cNvGraphicFramePr>
                <a:graphic>
                  <a:graphicData uri="http://schemas.microsoft.com/office/word/2010/wordprocessingGroup">
                    <wpg:wgp>
                      <wpg:cNvPr id="39" name="Group 39"/>
                      <wpg:cNvGrpSpPr/>
                      <wpg:grpSpPr>
                        <a:xfrm>
                          <a:off x="0" y="0"/>
                          <a:ext cx="4584700" cy="6350"/>
                          <a:chExt cx="4584700" cy="6350"/>
                        </a:xfrm>
                      </wpg:grpSpPr>
                      <wps:wsp>
                        <wps:cNvPr id="40" name="Graphic 40"/>
                        <wps:cNvSpPr/>
                        <wps:spPr>
                          <a:xfrm>
                            <a:off x="0" y="0"/>
                            <a:ext cx="4584700" cy="6350"/>
                          </a:xfrm>
                          <a:custGeom>
                            <a:avLst/>
                            <a:gdLst/>
                            <a:ahLst/>
                            <a:cxnLst/>
                            <a:rect l="l" t="t" r="r" b="b"/>
                            <a:pathLst>
                              <a:path w="4584700" h="6350">
                                <a:moveTo>
                                  <a:pt x="4584192" y="0"/>
                                </a:moveTo>
                                <a:lnTo>
                                  <a:pt x="2481072" y="0"/>
                                </a:lnTo>
                                <a:lnTo>
                                  <a:pt x="2478024" y="0"/>
                                </a:lnTo>
                                <a:lnTo>
                                  <a:pt x="2471928" y="0"/>
                                </a:lnTo>
                                <a:lnTo>
                                  <a:pt x="0" y="0"/>
                                </a:lnTo>
                                <a:lnTo>
                                  <a:pt x="0" y="6096"/>
                                </a:lnTo>
                                <a:lnTo>
                                  <a:pt x="2471928" y="6096"/>
                                </a:lnTo>
                                <a:lnTo>
                                  <a:pt x="2478024" y="6096"/>
                                </a:lnTo>
                                <a:lnTo>
                                  <a:pt x="2481072" y="6096"/>
                                </a:lnTo>
                                <a:lnTo>
                                  <a:pt x="4584192" y="6096"/>
                                </a:lnTo>
                                <a:lnTo>
                                  <a:pt x="4584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1pt;height:.5pt;mso-position-horizontal-relative:char;mso-position-vertical-relative:line" id="docshapegroup37" coordorigin="0,0" coordsize="7220,10">
                <v:shape style="position:absolute;left:0;top:0;width:7220;height:10" id="docshape38" coordorigin="0,0" coordsize="7220,10" path="m7219,0l3907,0,3902,0,3893,0,0,0,0,10,3893,10,3902,10,3907,10,7219,10,7219,0xe" filled="true" fillcolor="#000000" stroked="false">
                  <v:path arrowok="t"/>
                  <v:fill type="solid"/>
                </v:shape>
              </v:group>
            </w:pict>
          </mc:Fallback>
        </mc:AlternateContent>
      </w:r>
      <w:r>
        <w:rPr>
          <w:sz w:val="2"/>
        </w:rPr>
      </w:r>
    </w:p>
    <w:p>
      <w:pPr>
        <w:pStyle w:val="BodyText"/>
      </w:pPr>
    </w:p>
    <w:p>
      <w:pPr>
        <w:pStyle w:val="BodyText"/>
        <w:spacing w:before="7"/>
      </w:pPr>
    </w:p>
    <w:p>
      <w:pPr>
        <w:spacing w:line="244" w:lineRule="auto" w:before="0"/>
        <w:ind w:left="1400" w:right="2566" w:hanging="682"/>
        <w:jc w:val="left"/>
        <w:rPr>
          <w:b/>
          <w:sz w:val="22"/>
        </w:rPr>
      </w:pPr>
      <w:r>
        <w:rPr>
          <w:b/>
          <w:sz w:val="22"/>
        </w:rPr>
        <w:t>* DS = </w:t>
      </w:r>
      <w:r>
        <w:rPr>
          <w:b/>
          <w:i/>
          <w:sz w:val="22"/>
        </w:rPr>
        <w:t>Digitaria iburua </w:t>
      </w:r>
      <w:r>
        <w:rPr>
          <w:b/>
          <w:sz w:val="22"/>
        </w:rPr>
        <w:t>Starch; MCS = Microcrystalline starch, MS = Maize Starch BP</w:t>
      </w:r>
    </w:p>
    <w:p>
      <w:pPr>
        <w:spacing w:after="0" w:line="244" w:lineRule="auto"/>
        <w:jc w:val="left"/>
        <w:rPr>
          <w:sz w:val="22"/>
        </w:rPr>
        <w:sectPr>
          <w:type w:val="continuous"/>
          <w:pgSz w:w="12240" w:h="15840"/>
          <w:pgMar w:header="0" w:footer="999" w:top="1780" w:bottom="1180" w:left="1720" w:right="0"/>
        </w:sectPr>
      </w:pPr>
    </w:p>
    <w:p>
      <w:pPr>
        <w:pStyle w:val="Heading2"/>
        <w:numPr>
          <w:ilvl w:val="2"/>
          <w:numId w:val="33"/>
        </w:numPr>
        <w:tabs>
          <w:tab w:pos="1342" w:val="left" w:leader="none"/>
        </w:tabs>
        <w:spacing w:line="240" w:lineRule="auto" w:before="80" w:after="0"/>
        <w:ind w:left="1342" w:right="0" w:hanging="677"/>
        <w:jc w:val="left"/>
      </w:pPr>
      <w:bookmarkStart w:name="_TOC_250050" w:id="111"/>
      <w:r>
        <w:rPr/>
        <w:t>Quality</w:t>
      </w:r>
      <w:r>
        <w:rPr>
          <w:spacing w:val="10"/>
        </w:rPr>
        <w:t> </w:t>
      </w:r>
      <w:r>
        <w:rPr/>
        <w:t>Control</w:t>
      </w:r>
      <w:r>
        <w:rPr>
          <w:spacing w:val="12"/>
        </w:rPr>
        <w:t> </w:t>
      </w:r>
      <w:r>
        <w:rPr/>
        <w:t>Test</w:t>
      </w:r>
      <w:r>
        <w:rPr>
          <w:spacing w:val="15"/>
        </w:rPr>
        <w:t> </w:t>
      </w:r>
      <w:r>
        <w:rPr/>
        <w:t>for</w:t>
      </w:r>
      <w:r>
        <w:rPr>
          <w:spacing w:val="8"/>
        </w:rPr>
        <w:t> </w:t>
      </w:r>
      <w:bookmarkEnd w:id="111"/>
      <w:r>
        <w:rPr>
          <w:spacing w:val="-2"/>
        </w:rPr>
        <w:t>Tablets</w:t>
      </w:r>
    </w:p>
    <w:p>
      <w:pPr>
        <w:pStyle w:val="BodyText"/>
        <w:spacing w:line="491" w:lineRule="auto" w:before="246"/>
        <w:ind w:left="665" w:right="1858"/>
      </w:pPr>
      <w:r>
        <w:rPr/>
        <w:t>Quality</w:t>
      </w:r>
      <w:r>
        <w:rPr>
          <w:spacing w:val="19"/>
        </w:rPr>
        <w:t> </w:t>
      </w:r>
      <w:r>
        <w:rPr/>
        <w:t>Control</w:t>
      </w:r>
      <w:r>
        <w:rPr>
          <w:spacing w:val="26"/>
        </w:rPr>
        <w:t> </w:t>
      </w:r>
      <w:r>
        <w:rPr/>
        <w:t>Tests</w:t>
      </w:r>
      <w:r>
        <w:rPr>
          <w:spacing w:val="31"/>
        </w:rPr>
        <w:t> </w:t>
      </w:r>
      <w:r>
        <w:rPr/>
        <w:t>were</w:t>
      </w:r>
      <w:r>
        <w:rPr>
          <w:spacing w:val="34"/>
        </w:rPr>
        <w:t> </w:t>
      </w:r>
      <w:r>
        <w:rPr/>
        <w:t>conducted</w:t>
      </w:r>
      <w:r>
        <w:rPr>
          <w:spacing w:val="35"/>
        </w:rPr>
        <w:t> </w:t>
      </w:r>
      <w:r>
        <w:rPr/>
        <w:t>for</w:t>
      </w:r>
      <w:r>
        <w:rPr>
          <w:spacing w:val="34"/>
        </w:rPr>
        <w:t> </w:t>
      </w:r>
      <w:r>
        <w:rPr/>
        <w:t>all</w:t>
      </w:r>
      <w:r>
        <w:rPr>
          <w:spacing w:val="26"/>
        </w:rPr>
        <w:t> </w:t>
      </w:r>
      <w:r>
        <w:rPr/>
        <w:t>batches</w:t>
      </w:r>
      <w:r>
        <w:rPr>
          <w:spacing w:val="31"/>
        </w:rPr>
        <w:t> </w:t>
      </w:r>
      <w:r>
        <w:rPr/>
        <w:t>of</w:t>
      </w:r>
      <w:r>
        <w:rPr>
          <w:spacing w:val="28"/>
        </w:rPr>
        <w:t> </w:t>
      </w:r>
      <w:r>
        <w:rPr/>
        <w:t>tablets</w:t>
      </w:r>
      <w:r>
        <w:rPr>
          <w:spacing w:val="31"/>
        </w:rPr>
        <w:t> </w:t>
      </w:r>
      <w:r>
        <w:rPr/>
        <w:t>produced</w:t>
      </w:r>
      <w:r>
        <w:rPr>
          <w:spacing w:val="35"/>
        </w:rPr>
        <w:t> </w:t>
      </w:r>
      <w:r>
        <w:rPr/>
        <w:t>after</w:t>
      </w:r>
      <w:r>
        <w:rPr>
          <w:spacing w:val="34"/>
        </w:rPr>
        <w:t> </w:t>
      </w:r>
      <w:r>
        <w:rPr/>
        <w:t>48</w:t>
      </w:r>
      <w:r>
        <w:rPr>
          <w:spacing w:val="40"/>
        </w:rPr>
        <w:t> </w:t>
      </w:r>
      <w:r>
        <w:rPr/>
        <w:t>h of tablet production. These tests include:</w:t>
      </w:r>
    </w:p>
    <w:p>
      <w:pPr>
        <w:pStyle w:val="ListParagraph"/>
        <w:numPr>
          <w:ilvl w:val="0"/>
          <w:numId w:val="34"/>
        </w:numPr>
        <w:tabs>
          <w:tab w:pos="1342" w:val="left" w:leader="none"/>
        </w:tabs>
        <w:spacing w:line="253" w:lineRule="exact" w:before="0" w:after="0"/>
        <w:ind w:left="1342" w:right="0" w:hanging="677"/>
        <w:jc w:val="left"/>
        <w:rPr>
          <w:sz w:val="22"/>
        </w:rPr>
      </w:pPr>
      <w:r>
        <w:rPr>
          <w:sz w:val="22"/>
        </w:rPr>
        <w:t>Weight</w:t>
      </w:r>
      <w:r>
        <w:rPr>
          <w:spacing w:val="20"/>
          <w:sz w:val="22"/>
        </w:rPr>
        <w:t> </w:t>
      </w:r>
      <w:r>
        <w:rPr>
          <w:sz w:val="22"/>
        </w:rPr>
        <w:t>uniformity</w:t>
      </w:r>
      <w:r>
        <w:rPr>
          <w:spacing w:val="6"/>
          <w:sz w:val="22"/>
        </w:rPr>
        <w:t> </w:t>
      </w:r>
      <w:r>
        <w:rPr>
          <w:spacing w:val="-4"/>
          <w:sz w:val="22"/>
        </w:rPr>
        <w:t>test.</w:t>
      </w:r>
    </w:p>
    <w:p>
      <w:pPr>
        <w:pStyle w:val="BodyText"/>
        <w:spacing w:before="12"/>
      </w:pPr>
    </w:p>
    <w:p>
      <w:pPr>
        <w:pStyle w:val="ListParagraph"/>
        <w:numPr>
          <w:ilvl w:val="0"/>
          <w:numId w:val="34"/>
        </w:numPr>
        <w:tabs>
          <w:tab w:pos="1342" w:val="left" w:leader="none"/>
        </w:tabs>
        <w:spacing w:line="240" w:lineRule="auto" w:before="1" w:after="0"/>
        <w:ind w:left="1342" w:right="0" w:hanging="677"/>
        <w:jc w:val="left"/>
        <w:rPr>
          <w:sz w:val="22"/>
        </w:rPr>
      </w:pPr>
      <w:r>
        <w:rPr>
          <w:sz w:val="22"/>
        </w:rPr>
        <w:t>Thickness</w:t>
      </w:r>
      <w:r>
        <w:rPr>
          <w:spacing w:val="11"/>
          <w:sz w:val="22"/>
        </w:rPr>
        <w:t> </w:t>
      </w:r>
      <w:r>
        <w:rPr>
          <w:sz w:val="22"/>
        </w:rPr>
        <w:t>and</w:t>
      </w:r>
      <w:r>
        <w:rPr>
          <w:spacing w:val="14"/>
          <w:sz w:val="22"/>
        </w:rPr>
        <w:t> </w:t>
      </w:r>
      <w:r>
        <w:rPr>
          <w:sz w:val="22"/>
        </w:rPr>
        <w:t>diameter</w:t>
      </w:r>
      <w:r>
        <w:rPr>
          <w:spacing w:val="15"/>
          <w:sz w:val="22"/>
        </w:rPr>
        <w:t> </w:t>
      </w:r>
      <w:r>
        <w:rPr>
          <w:spacing w:val="-2"/>
          <w:sz w:val="22"/>
        </w:rPr>
        <w:t>measurement</w:t>
      </w:r>
    </w:p>
    <w:p>
      <w:pPr>
        <w:pStyle w:val="BodyText"/>
        <w:spacing w:before="12"/>
      </w:pPr>
    </w:p>
    <w:p>
      <w:pPr>
        <w:pStyle w:val="ListParagraph"/>
        <w:numPr>
          <w:ilvl w:val="0"/>
          <w:numId w:val="34"/>
        </w:numPr>
        <w:tabs>
          <w:tab w:pos="1342" w:val="left" w:leader="none"/>
        </w:tabs>
        <w:spacing w:line="240" w:lineRule="auto" w:before="0" w:after="0"/>
        <w:ind w:left="1342" w:right="0" w:hanging="677"/>
        <w:jc w:val="left"/>
        <w:rPr>
          <w:sz w:val="22"/>
        </w:rPr>
      </w:pPr>
      <w:r>
        <w:rPr>
          <w:sz w:val="22"/>
        </w:rPr>
        <w:t>Crushing</w:t>
      </w:r>
      <w:r>
        <w:rPr>
          <w:spacing w:val="13"/>
          <w:sz w:val="22"/>
        </w:rPr>
        <w:t> </w:t>
      </w:r>
      <w:r>
        <w:rPr>
          <w:sz w:val="22"/>
        </w:rPr>
        <w:t>strength</w:t>
      </w:r>
      <w:r>
        <w:rPr>
          <w:spacing w:val="14"/>
          <w:sz w:val="22"/>
        </w:rPr>
        <w:t> </w:t>
      </w:r>
      <w:r>
        <w:rPr>
          <w:spacing w:val="-4"/>
          <w:sz w:val="22"/>
        </w:rPr>
        <w:t>test</w:t>
      </w:r>
    </w:p>
    <w:p>
      <w:pPr>
        <w:pStyle w:val="BodyText"/>
        <w:spacing w:before="12"/>
      </w:pPr>
    </w:p>
    <w:p>
      <w:pPr>
        <w:pStyle w:val="ListParagraph"/>
        <w:numPr>
          <w:ilvl w:val="0"/>
          <w:numId w:val="34"/>
        </w:numPr>
        <w:tabs>
          <w:tab w:pos="1342" w:val="left" w:leader="none"/>
        </w:tabs>
        <w:spacing w:line="240" w:lineRule="auto" w:before="0" w:after="0"/>
        <w:ind w:left="1342" w:right="0" w:hanging="677"/>
        <w:jc w:val="left"/>
        <w:rPr>
          <w:sz w:val="22"/>
        </w:rPr>
      </w:pPr>
      <w:r>
        <w:rPr>
          <w:sz w:val="22"/>
        </w:rPr>
        <w:t>Friability</w:t>
      </w:r>
      <w:r>
        <w:rPr>
          <w:spacing w:val="13"/>
          <w:sz w:val="22"/>
        </w:rPr>
        <w:t> </w:t>
      </w:r>
      <w:r>
        <w:rPr>
          <w:spacing w:val="-4"/>
          <w:sz w:val="22"/>
        </w:rPr>
        <w:t>test</w:t>
      </w:r>
    </w:p>
    <w:p>
      <w:pPr>
        <w:pStyle w:val="BodyText"/>
        <w:spacing w:before="13"/>
      </w:pPr>
    </w:p>
    <w:p>
      <w:pPr>
        <w:pStyle w:val="ListParagraph"/>
        <w:numPr>
          <w:ilvl w:val="0"/>
          <w:numId w:val="34"/>
        </w:numPr>
        <w:tabs>
          <w:tab w:pos="1342" w:val="left" w:leader="none"/>
        </w:tabs>
        <w:spacing w:line="240" w:lineRule="auto" w:before="0" w:after="0"/>
        <w:ind w:left="1342" w:right="0" w:hanging="677"/>
        <w:jc w:val="left"/>
        <w:rPr>
          <w:sz w:val="22"/>
        </w:rPr>
      </w:pPr>
      <w:r>
        <w:rPr>
          <w:sz w:val="22"/>
        </w:rPr>
        <w:t>Disintegration</w:t>
      </w:r>
      <w:r>
        <w:rPr>
          <w:spacing w:val="5"/>
          <w:sz w:val="22"/>
        </w:rPr>
        <w:t> </w:t>
      </w:r>
      <w:r>
        <w:rPr>
          <w:sz w:val="22"/>
        </w:rPr>
        <w:t>time</w:t>
      </w:r>
      <w:r>
        <w:rPr>
          <w:spacing w:val="15"/>
          <w:sz w:val="22"/>
        </w:rPr>
        <w:t> </w:t>
      </w:r>
      <w:r>
        <w:rPr>
          <w:sz w:val="22"/>
        </w:rPr>
        <w:t>test</w:t>
      </w:r>
      <w:r>
        <w:rPr>
          <w:spacing w:val="14"/>
          <w:sz w:val="22"/>
        </w:rPr>
        <w:t> </w:t>
      </w:r>
      <w:r>
        <w:rPr>
          <w:spacing w:val="-5"/>
          <w:sz w:val="22"/>
        </w:rPr>
        <w:t>and</w:t>
      </w:r>
    </w:p>
    <w:p>
      <w:pPr>
        <w:pStyle w:val="BodyText"/>
        <w:spacing w:before="17"/>
      </w:pPr>
    </w:p>
    <w:p>
      <w:pPr>
        <w:pStyle w:val="ListParagraph"/>
        <w:numPr>
          <w:ilvl w:val="0"/>
          <w:numId w:val="34"/>
        </w:numPr>
        <w:tabs>
          <w:tab w:pos="1342" w:val="left" w:leader="none"/>
        </w:tabs>
        <w:spacing w:line="240" w:lineRule="auto" w:before="0" w:after="0"/>
        <w:ind w:left="1342" w:right="0" w:hanging="677"/>
        <w:jc w:val="left"/>
        <w:rPr>
          <w:sz w:val="22"/>
        </w:rPr>
      </w:pPr>
      <w:r>
        <w:rPr>
          <w:sz w:val="22"/>
        </w:rPr>
        <w:t>Dissolution</w:t>
      </w:r>
      <w:r>
        <w:rPr>
          <w:spacing w:val="22"/>
          <w:sz w:val="22"/>
        </w:rPr>
        <w:t> </w:t>
      </w:r>
      <w:r>
        <w:rPr>
          <w:spacing w:val="-2"/>
          <w:sz w:val="22"/>
        </w:rPr>
        <w:t>test.</w:t>
      </w:r>
    </w:p>
    <w:p>
      <w:pPr>
        <w:pStyle w:val="BodyText"/>
        <w:spacing w:before="243"/>
      </w:pPr>
    </w:p>
    <w:p>
      <w:pPr>
        <w:pStyle w:val="Heading2"/>
        <w:numPr>
          <w:ilvl w:val="3"/>
          <w:numId w:val="33"/>
        </w:numPr>
        <w:tabs>
          <w:tab w:pos="1338" w:val="left" w:leader="none"/>
        </w:tabs>
        <w:spacing w:line="240" w:lineRule="auto" w:before="0" w:after="0"/>
        <w:ind w:left="1338" w:right="0" w:hanging="673"/>
        <w:jc w:val="left"/>
      </w:pPr>
      <w:bookmarkStart w:name="_TOC_250049" w:id="112"/>
      <w:r>
        <w:rPr/>
        <w:t>Weight</w:t>
      </w:r>
      <w:r>
        <w:rPr>
          <w:spacing w:val="16"/>
        </w:rPr>
        <w:t> </w:t>
      </w:r>
      <w:r>
        <w:rPr/>
        <w:t>Uniformity</w:t>
      </w:r>
      <w:r>
        <w:rPr>
          <w:spacing w:val="17"/>
        </w:rPr>
        <w:t> </w:t>
      </w:r>
      <w:bookmarkEnd w:id="112"/>
      <w:r>
        <w:rPr>
          <w:spacing w:val="-4"/>
        </w:rPr>
        <w:t>Test</w:t>
      </w:r>
    </w:p>
    <w:p>
      <w:pPr>
        <w:pStyle w:val="BodyText"/>
        <w:spacing w:line="491" w:lineRule="auto" w:before="241"/>
        <w:ind w:left="665" w:right="1862" w:firstLine="676"/>
        <w:jc w:val="both"/>
      </w:pPr>
      <w:r>
        <w:rPr/>
        <w:t>Twenty</w:t>
      </w:r>
      <w:r>
        <w:rPr>
          <w:spacing w:val="40"/>
        </w:rPr>
        <w:t> </w:t>
      </w:r>
      <w:r>
        <w:rPr/>
        <w:t>tablets</w:t>
      </w:r>
      <w:r>
        <w:rPr>
          <w:spacing w:val="40"/>
        </w:rPr>
        <w:t> </w:t>
      </w:r>
      <w:r>
        <w:rPr/>
        <w:t>from</w:t>
      </w:r>
      <w:r>
        <w:rPr>
          <w:spacing w:val="40"/>
        </w:rPr>
        <w:t> </w:t>
      </w:r>
      <w:r>
        <w:rPr/>
        <w:t>each</w:t>
      </w:r>
      <w:r>
        <w:rPr>
          <w:spacing w:val="40"/>
        </w:rPr>
        <w:t> </w:t>
      </w:r>
      <w:r>
        <w:rPr/>
        <w:t>batch</w:t>
      </w:r>
      <w:r>
        <w:rPr>
          <w:spacing w:val="40"/>
        </w:rPr>
        <w:t> </w:t>
      </w:r>
      <w:r>
        <w:rPr/>
        <w:t>were</w:t>
      </w:r>
      <w:r>
        <w:rPr>
          <w:spacing w:val="40"/>
        </w:rPr>
        <w:t> </w:t>
      </w:r>
      <w:r>
        <w:rPr/>
        <w:t>randomly</w:t>
      </w:r>
      <w:r>
        <w:rPr>
          <w:spacing w:val="40"/>
        </w:rPr>
        <w:t> </w:t>
      </w:r>
      <w:r>
        <w:rPr/>
        <w:t>selected</w:t>
      </w:r>
      <w:r>
        <w:rPr>
          <w:spacing w:val="40"/>
        </w:rPr>
        <w:t> </w:t>
      </w:r>
      <w:r>
        <w:rPr/>
        <w:t>and</w:t>
      </w:r>
      <w:r>
        <w:rPr>
          <w:spacing w:val="40"/>
        </w:rPr>
        <w:t> </w:t>
      </w:r>
      <w:r>
        <w:rPr/>
        <w:t>weighed individually and</w:t>
      </w:r>
      <w:r>
        <w:rPr>
          <w:spacing w:val="40"/>
        </w:rPr>
        <w:t> </w:t>
      </w:r>
      <w:r>
        <w:rPr/>
        <w:t>as a</w:t>
      </w:r>
      <w:r>
        <w:rPr>
          <w:spacing w:val="40"/>
        </w:rPr>
        <w:t> </w:t>
      </w:r>
      <w:r>
        <w:rPr/>
        <w:t>whole</w:t>
      </w:r>
      <w:r>
        <w:rPr>
          <w:spacing w:val="40"/>
        </w:rPr>
        <w:t> </w:t>
      </w:r>
      <w:r>
        <w:rPr/>
        <w:t>using an analytical</w:t>
      </w:r>
      <w:r>
        <w:rPr>
          <w:spacing w:val="40"/>
        </w:rPr>
        <w:t> </w:t>
      </w:r>
      <w:r>
        <w:rPr/>
        <w:t>balance</w:t>
      </w:r>
      <w:r>
        <w:rPr>
          <w:spacing w:val="40"/>
        </w:rPr>
        <w:t> </w:t>
      </w:r>
      <w:r>
        <w:rPr/>
        <w:t>(Mettler Analytical Balance Philip</w:t>
      </w:r>
      <w:r>
        <w:rPr>
          <w:spacing w:val="40"/>
        </w:rPr>
        <w:t> </w:t>
      </w:r>
      <w:r>
        <w:rPr/>
        <w:t>Harris</w:t>
      </w:r>
      <w:r>
        <w:rPr>
          <w:spacing w:val="40"/>
        </w:rPr>
        <w:t> </w:t>
      </w:r>
      <w:r>
        <w:rPr/>
        <w:t>Ltd.,</w:t>
      </w:r>
      <w:r>
        <w:rPr>
          <w:spacing w:val="40"/>
        </w:rPr>
        <w:t> </w:t>
      </w:r>
      <w:r>
        <w:rPr/>
        <w:t>England).</w:t>
      </w:r>
      <w:r>
        <w:rPr>
          <w:spacing w:val="40"/>
        </w:rPr>
        <w:t> </w:t>
      </w:r>
      <w:r>
        <w:rPr/>
        <w:t>Their</w:t>
      </w:r>
      <w:r>
        <w:rPr>
          <w:spacing w:val="40"/>
        </w:rPr>
        <w:t> </w:t>
      </w:r>
      <w:r>
        <w:rPr/>
        <w:t>mean</w:t>
      </w:r>
      <w:r>
        <w:rPr>
          <w:spacing w:val="40"/>
        </w:rPr>
        <w:t> </w:t>
      </w:r>
      <w:r>
        <w:rPr/>
        <w:t>weight</w:t>
      </w:r>
      <w:r>
        <w:rPr>
          <w:spacing w:val="40"/>
        </w:rPr>
        <w:t> </w:t>
      </w:r>
      <w:r>
        <w:rPr/>
        <w:t>and</w:t>
      </w:r>
      <w:r>
        <w:rPr>
          <w:spacing w:val="40"/>
        </w:rPr>
        <w:t> </w:t>
      </w:r>
      <w:r>
        <w:rPr/>
        <w:t>standard</w:t>
      </w:r>
      <w:r>
        <w:rPr>
          <w:spacing w:val="40"/>
        </w:rPr>
        <w:t> </w:t>
      </w:r>
      <w:r>
        <w:rPr/>
        <w:t>deviations</w:t>
      </w:r>
      <w:r>
        <w:rPr>
          <w:spacing w:val="40"/>
        </w:rPr>
        <w:t> </w:t>
      </w:r>
      <w:r>
        <w:rPr/>
        <w:t>were determined based on an official method (BP, 2002).</w:t>
      </w:r>
    </w:p>
    <w:p>
      <w:pPr>
        <w:pStyle w:val="Heading2"/>
        <w:numPr>
          <w:ilvl w:val="3"/>
          <w:numId w:val="33"/>
        </w:numPr>
        <w:tabs>
          <w:tab w:pos="1338" w:val="left" w:leader="none"/>
        </w:tabs>
        <w:spacing w:line="240" w:lineRule="auto" w:before="230" w:after="0"/>
        <w:ind w:left="1338" w:right="0" w:hanging="673"/>
        <w:jc w:val="left"/>
      </w:pPr>
      <w:bookmarkStart w:name="_TOC_250048" w:id="113"/>
      <w:r>
        <w:rPr/>
        <w:t>Thickness</w:t>
      </w:r>
      <w:r>
        <w:rPr>
          <w:spacing w:val="8"/>
        </w:rPr>
        <w:t> </w:t>
      </w:r>
      <w:r>
        <w:rPr/>
        <w:t>and</w:t>
      </w:r>
      <w:r>
        <w:rPr>
          <w:spacing w:val="20"/>
        </w:rPr>
        <w:t> </w:t>
      </w:r>
      <w:r>
        <w:rPr/>
        <w:t>Diameter</w:t>
      </w:r>
      <w:r>
        <w:rPr>
          <w:spacing w:val="17"/>
        </w:rPr>
        <w:t> </w:t>
      </w:r>
      <w:bookmarkEnd w:id="113"/>
      <w:r>
        <w:rPr>
          <w:spacing w:val="-2"/>
        </w:rPr>
        <w:t>Measurement</w:t>
      </w:r>
    </w:p>
    <w:p>
      <w:pPr>
        <w:pStyle w:val="BodyText"/>
        <w:spacing w:line="491" w:lineRule="auto" w:before="246"/>
        <w:ind w:left="665" w:right="1859" w:firstLine="676"/>
        <w:jc w:val="both"/>
      </w:pPr>
      <w:r>
        <w:rPr/>
        <w:t>The</w:t>
      </w:r>
      <w:r>
        <w:rPr>
          <w:spacing w:val="20"/>
        </w:rPr>
        <w:t> </w:t>
      </w:r>
      <w:r>
        <w:rPr/>
        <w:t>thickness</w:t>
      </w:r>
      <w:r>
        <w:rPr>
          <w:spacing w:val="17"/>
        </w:rPr>
        <w:t> </w:t>
      </w:r>
      <w:r>
        <w:rPr/>
        <w:t>and</w:t>
      </w:r>
      <w:r>
        <w:rPr>
          <w:spacing w:val="27"/>
        </w:rPr>
        <w:t> </w:t>
      </w:r>
      <w:r>
        <w:rPr/>
        <w:t>diameter</w:t>
      </w:r>
      <w:r>
        <w:rPr>
          <w:spacing w:val="15"/>
        </w:rPr>
        <w:t> </w:t>
      </w:r>
      <w:r>
        <w:rPr/>
        <w:t>of</w:t>
      </w:r>
      <w:r>
        <w:rPr>
          <w:spacing w:val="16"/>
        </w:rPr>
        <w:t> </w:t>
      </w:r>
      <w:r>
        <w:rPr/>
        <w:t>five</w:t>
      </w:r>
      <w:r>
        <w:rPr>
          <w:spacing w:val="14"/>
        </w:rPr>
        <w:t> </w:t>
      </w:r>
      <w:r>
        <w:rPr/>
        <w:t>tablets</w:t>
      </w:r>
      <w:r>
        <w:rPr>
          <w:spacing w:val="23"/>
        </w:rPr>
        <w:t> </w:t>
      </w:r>
      <w:r>
        <w:rPr/>
        <w:t>from</w:t>
      </w:r>
      <w:r>
        <w:rPr>
          <w:spacing w:val="21"/>
        </w:rPr>
        <w:t> </w:t>
      </w:r>
      <w:r>
        <w:rPr/>
        <w:t>each</w:t>
      </w:r>
      <w:r>
        <w:rPr>
          <w:spacing w:val="16"/>
        </w:rPr>
        <w:t> </w:t>
      </w:r>
      <w:r>
        <w:rPr/>
        <w:t>batch were</w:t>
      </w:r>
      <w:r>
        <w:rPr>
          <w:spacing w:val="20"/>
        </w:rPr>
        <w:t> </w:t>
      </w:r>
      <w:r>
        <w:rPr/>
        <w:t>measured</w:t>
      </w:r>
      <w:r>
        <w:rPr>
          <w:spacing w:val="15"/>
        </w:rPr>
        <w:t> </w:t>
      </w:r>
      <w:r>
        <w:rPr/>
        <w:t>using a digital caliper. A mean of five determinations was obtained</w:t>
      </w:r>
      <w:r>
        <w:rPr>
          <w:spacing w:val="36"/>
        </w:rPr>
        <w:t> </w:t>
      </w:r>
      <w:r>
        <w:rPr/>
        <w:t>and</w:t>
      </w:r>
      <w:r>
        <w:rPr>
          <w:spacing w:val="36"/>
        </w:rPr>
        <w:t> </w:t>
      </w:r>
      <w:r>
        <w:rPr/>
        <w:t>recorded.</w:t>
      </w:r>
    </w:p>
    <w:p>
      <w:pPr>
        <w:pStyle w:val="Heading2"/>
        <w:numPr>
          <w:ilvl w:val="3"/>
          <w:numId w:val="33"/>
        </w:numPr>
        <w:tabs>
          <w:tab w:pos="1338" w:val="left" w:leader="none"/>
        </w:tabs>
        <w:spacing w:line="240" w:lineRule="auto" w:before="230" w:after="0"/>
        <w:ind w:left="1338" w:right="0" w:hanging="673"/>
        <w:jc w:val="left"/>
      </w:pPr>
      <w:bookmarkStart w:name="_TOC_250047" w:id="114"/>
      <w:r>
        <w:rPr/>
        <w:t>Crushing</w:t>
      </w:r>
      <w:r>
        <w:rPr>
          <w:spacing w:val="18"/>
        </w:rPr>
        <w:t> </w:t>
      </w:r>
      <w:r>
        <w:rPr/>
        <w:t>Strength</w:t>
      </w:r>
      <w:r>
        <w:rPr>
          <w:spacing w:val="14"/>
        </w:rPr>
        <w:t> </w:t>
      </w:r>
      <w:bookmarkEnd w:id="114"/>
      <w:r>
        <w:rPr>
          <w:spacing w:val="-4"/>
        </w:rPr>
        <w:t>Test</w:t>
      </w:r>
    </w:p>
    <w:p>
      <w:pPr>
        <w:pStyle w:val="BodyText"/>
        <w:spacing w:line="491" w:lineRule="auto" w:before="242"/>
        <w:ind w:left="665" w:right="1858"/>
      </w:pPr>
      <w:r>
        <w:rPr/>
        <w:t>Five</w:t>
      </w:r>
      <w:r>
        <w:rPr>
          <w:spacing w:val="40"/>
        </w:rPr>
        <w:t> </w:t>
      </w:r>
      <w:r>
        <w:rPr/>
        <w:t>tablets</w:t>
      </w:r>
      <w:r>
        <w:rPr>
          <w:spacing w:val="40"/>
        </w:rPr>
        <w:t> </w:t>
      </w:r>
      <w:r>
        <w:rPr/>
        <w:t>were</w:t>
      </w:r>
      <w:r>
        <w:rPr>
          <w:spacing w:val="40"/>
        </w:rPr>
        <w:t> </w:t>
      </w:r>
      <w:r>
        <w:rPr/>
        <w:t>randomly</w:t>
      </w:r>
      <w:r>
        <w:rPr>
          <w:spacing w:val="40"/>
        </w:rPr>
        <w:t> </w:t>
      </w:r>
      <w:r>
        <w:rPr/>
        <w:t>selected</w:t>
      </w:r>
      <w:r>
        <w:rPr>
          <w:spacing w:val="40"/>
        </w:rPr>
        <w:t> </w:t>
      </w:r>
      <w:r>
        <w:rPr/>
        <w:t>from</w:t>
      </w:r>
      <w:r>
        <w:rPr>
          <w:spacing w:val="40"/>
        </w:rPr>
        <w:t> </w:t>
      </w:r>
      <w:r>
        <w:rPr/>
        <w:t>each</w:t>
      </w:r>
      <w:r>
        <w:rPr>
          <w:spacing w:val="40"/>
        </w:rPr>
        <w:t> </w:t>
      </w:r>
      <w:r>
        <w:rPr/>
        <w:t>batch</w:t>
      </w:r>
      <w:r>
        <w:rPr>
          <w:spacing w:val="40"/>
        </w:rPr>
        <w:t> </w:t>
      </w:r>
      <w:r>
        <w:rPr/>
        <w:t>and</w:t>
      </w:r>
      <w:r>
        <w:rPr>
          <w:spacing w:val="40"/>
        </w:rPr>
        <w:t> </w:t>
      </w:r>
      <w:r>
        <w:rPr/>
        <w:t>the</w:t>
      </w:r>
      <w:r>
        <w:rPr>
          <w:spacing w:val="40"/>
        </w:rPr>
        <w:t> </w:t>
      </w:r>
      <w:r>
        <w:rPr/>
        <w:t>crushing</w:t>
      </w:r>
      <w:r>
        <w:rPr>
          <w:spacing w:val="40"/>
        </w:rPr>
        <w:t> </w:t>
      </w:r>
      <w:r>
        <w:rPr/>
        <w:t>strength</w:t>
      </w:r>
      <w:r>
        <w:rPr>
          <w:spacing w:val="40"/>
        </w:rPr>
        <w:t> </w:t>
      </w:r>
      <w:r>
        <w:rPr/>
        <w:t>was determined using a Monsanto hardness Tester (Monsanto Chemical Corp, USA).</w:t>
      </w:r>
    </w:p>
    <w:p>
      <w:pPr>
        <w:pStyle w:val="Heading2"/>
        <w:numPr>
          <w:ilvl w:val="3"/>
          <w:numId w:val="33"/>
        </w:numPr>
        <w:tabs>
          <w:tab w:pos="1339" w:val="left" w:leader="none"/>
        </w:tabs>
        <w:spacing w:line="240" w:lineRule="auto" w:before="230" w:after="0"/>
        <w:ind w:left="1339" w:right="0" w:hanging="674"/>
        <w:jc w:val="left"/>
      </w:pPr>
      <w:bookmarkStart w:name="_TOC_250046" w:id="115"/>
      <w:r>
        <w:rPr/>
        <w:t>Friability</w:t>
      </w:r>
      <w:r>
        <w:rPr>
          <w:spacing w:val="20"/>
        </w:rPr>
        <w:t> </w:t>
      </w:r>
      <w:bookmarkEnd w:id="115"/>
      <w:r>
        <w:rPr>
          <w:spacing w:val="-4"/>
        </w:rPr>
        <w:t>Test</w:t>
      </w:r>
    </w:p>
    <w:p>
      <w:pPr>
        <w:pStyle w:val="BodyText"/>
        <w:spacing w:line="491" w:lineRule="auto" w:before="246"/>
        <w:ind w:left="665" w:right="1857" w:firstLine="676"/>
        <w:jc w:val="both"/>
      </w:pPr>
      <w:r>
        <w:rPr/>
        <w:t>Ten tablets randomly selected from each batch were dusted, weighed and then subjected</w:t>
      </w:r>
      <w:r>
        <w:rPr>
          <w:spacing w:val="60"/>
        </w:rPr>
        <w:t> </w:t>
      </w:r>
      <w:r>
        <w:rPr/>
        <w:t>to</w:t>
      </w:r>
      <w:r>
        <w:rPr>
          <w:spacing w:val="57"/>
        </w:rPr>
        <w:t> </w:t>
      </w:r>
      <w:r>
        <w:rPr/>
        <w:t>abrasion</w:t>
      </w:r>
      <w:r>
        <w:rPr>
          <w:spacing w:val="46"/>
        </w:rPr>
        <w:t> </w:t>
      </w:r>
      <w:r>
        <w:rPr/>
        <w:t>shock</w:t>
      </w:r>
      <w:r>
        <w:rPr>
          <w:spacing w:val="51"/>
        </w:rPr>
        <w:t> </w:t>
      </w:r>
      <w:r>
        <w:rPr/>
        <w:t>in</w:t>
      </w:r>
      <w:r>
        <w:rPr>
          <w:spacing w:val="51"/>
        </w:rPr>
        <w:t> </w:t>
      </w:r>
      <w:r>
        <w:rPr/>
        <w:t>an</w:t>
      </w:r>
      <w:r>
        <w:rPr>
          <w:spacing w:val="46"/>
        </w:rPr>
        <w:t> </w:t>
      </w:r>
      <w:r>
        <w:rPr/>
        <w:t>Erweka</w:t>
      </w:r>
      <w:r>
        <w:rPr>
          <w:spacing w:val="49"/>
        </w:rPr>
        <w:t> </w:t>
      </w:r>
      <w:r>
        <w:rPr/>
        <w:t>Friabilator</w:t>
      </w:r>
      <w:r>
        <w:rPr>
          <w:spacing w:val="50"/>
        </w:rPr>
        <w:t> </w:t>
      </w:r>
      <w:r>
        <w:rPr/>
        <w:t>operated</w:t>
      </w:r>
      <w:r>
        <w:rPr>
          <w:spacing w:val="56"/>
        </w:rPr>
        <w:t> </w:t>
      </w:r>
      <w:r>
        <w:rPr/>
        <w:t>at</w:t>
      </w:r>
      <w:r>
        <w:rPr>
          <w:spacing w:val="48"/>
        </w:rPr>
        <w:t> </w:t>
      </w:r>
      <w:r>
        <w:rPr/>
        <w:t>25</w:t>
      </w:r>
      <w:r>
        <w:rPr>
          <w:spacing w:val="57"/>
        </w:rPr>
        <w:t> </w:t>
      </w:r>
      <w:r>
        <w:rPr/>
        <w:t>revolutions</w:t>
      </w:r>
      <w:r>
        <w:rPr>
          <w:spacing w:val="52"/>
        </w:rPr>
        <w:t> </w:t>
      </w:r>
      <w:r>
        <w:rPr>
          <w:spacing w:val="-5"/>
        </w:rPr>
        <w:t>per</w:t>
      </w:r>
    </w:p>
    <w:p>
      <w:pPr>
        <w:spacing w:after="0" w:line="491" w:lineRule="auto"/>
        <w:jc w:val="both"/>
        <w:sectPr>
          <w:pgSz w:w="12240" w:h="15840"/>
          <w:pgMar w:header="0" w:footer="999" w:top="1260" w:bottom="1180" w:left="1720" w:right="0"/>
        </w:sectPr>
      </w:pPr>
    </w:p>
    <w:p>
      <w:pPr>
        <w:pStyle w:val="BodyText"/>
        <w:spacing w:line="491" w:lineRule="auto" w:before="75"/>
        <w:ind w:left="665" w:right="1858"/>
      </w:pPr>
      <w:r>
        <w:rPr/>
        <w:t>minute</w:t>
      </w:r>
      <w:r>
        <w:rPr>
          <w:spacing w:val="25"/>
        </w:rPr>
        <w:t> </w:t>
      </w:r>
      <w:r>
        <w:rPr/>
        <w:t>for</w:t>
      </w:r>
      <w:r>
        <w:rPr>
          <w:spacing w:val="21"/>
        </w:rPr>
        <w:t> </w:t>
      </w:r>
      <w:r>
        <w:rPr/>
        <w:t>4</w:t>
      </w:r>
      <w:r>
        <w:rPr>
          <w:spacing w:val="33"/>
        </w:rPr>
        <w:t> </w:t>
      </w:r>
      <w:r>
        <w:rPr/>
        <w:t>min.</w:t>
      </w:r>
      <w:r>
        <w:rPr>
          <w:spacing w:val="80"/>
        </w:rPr>
        <w:t> </w:t>
      </w:r>
      <w:r>
        <w:rPr/>
        <w:t>The</w:t>
      </w:r>
      <w:r>
        <w:rPr>
          <w:spacing w:val="25"/>
        </w:rPr>
        <w:t> </w:t>
      </w:r>
      <w:r>
        <w:rPr/>
        <w:t>tablets</w:t>
      </w:r>
      <w:r>
        <w:rPr>
          <w:spacing w:val="29"/>
        </w:rPr>
        <w:t> </w:t>
      </w:r>
      <w:r>
        <w:rPr/>
        <w:t>were</w:t>
      </w:r>
      <w:r>
        <w:rPr>
          <w:spacing w:val="21"/>
        </w:rPr>
        <w:t> </w:t>
      </w:r>
      <w:r>
        <w:rPr/>
        <w:t>then dusted</w:t>
      </w:r>
      <w:r>
        <w:rPr>
          <w:spacing w:val="28"/>
        </w:rPr>
        <w:t> </w:t>
      </w:r>
      <w:r>
        <w:rPr/>
        <w:t>again</w:t>
      </w:r>
      <w:r>
        <w:rPr>
          <w:spacing w:val="22"/>
        </w:rPr>
        <w:t> </w:t>
      </w:r>
      <w:r>
        <w:rPr/>
        <w:t>and</w:t>
      </w:r>
      <w:r>
        <w:rPr>
          <w:spacing w:val="33"/>
        </w:rPr>
        <w:t> </w:t>
      </w:r>
      <w:r>
        <w:rPr/>
        <w:t>reweighed.</w:t>
      </w:r>
      <w:r>
        <w:rPr>
          <w:spacing w:val="80"/>
        </w:rPr>
        <w:t> </w:t>
      </w:r>
      <w:r>
        <w:rPr/>
        <w:t>The</w:t>
      </w:r>
      <w:r>
        <w:rPr>
          <w:spacing w:val="25"/>
        </w:rPr>
        <w:t> </w:t>
      </w:r>
      <w:r>
        <w:rPr/>
        <w:t>percentage loss in weight was determined for each batch of tablets.</w:t>
      </w:r>
    </w:p>
    <w:p>
      <w:pPr>
        <w:pStyle w:val="Heading2"/>
        <w:numPr>
          <w:ilvl w:val="3"/>
          <w:numId w:val="33"/>
        </w:numPr>
        <w:tabs>
          <w:tab w:pos="1338" w:val="left" w:leader="none"/>
        </w:tabs>
        <w:spacing w:line="240" w:lineRule="auto" w:before="230" w:after="0"/>
        <w:ind w:left="1338" w:right="0" w:hanging="673"/>
        <w:jc w:val="left"/>
      </w:pPr>
      <w:bookmarkStart w:name="_TOC_250045" w:id="116"/>
      <w:r>
        <w:rPr/>
        <w:t>Disintegration</w:t>
      </w:r>
      <w:r>
        <w:rPr>
          <w:spacing w:val="18"/>
        </w:rPr>
        <w:t> </w:t>
      </w:r>
      <w:r>
        <w:rPr/>
        <w:t>Time</w:t>
      </w:r>
      <w:r>
        <w:rPr>
          <w:spacing w:val="20"/>
        </w:rPr>
        <w:t> </w:t>
      </w:r>
      <w:bookmarkEnd w:id="116"/>
      <w:r>
        <w:rPr>
          <w:spacing w:val="-4"/>
        </w:rPr>
        <w:t>Test</w:t>
      </w:r>
    </w:p>
    <w:p>
      <w:pPr>
        <w:pStyle w:val="BodyText"/>
        <w:spacing w:line="491" w:lineRule="auto" w:before="246"/>
        <w:ind w:left="665" w:right="1858" w:firstLine="676"/>
      </w:pPr>
      <w:r>
        <w:rPr/>
        <w:t>The</w:t>
      </w:r>
      <w:r>
        <w:rPr>
          <w:spacing w:val="40"/>
        </w:rPr>
        <w:t> </w:t>
      </w:r>
      <w:r>
        <w:rPr/>
        <w:t>disintegration</w:t>
      </w:r>
      <w:r>
        <w:rPr>
          <w:spacing w:val="40"/>
        </w:rPr>
        <w:t> </w:t>
      </w:r>
      <w:r>
        <w:rPr/>
        <w:t>time</w:t>
      </w:r>
      <w:r>
        <w:rPr>
          <w:spacing w:val="40"/>
        </w:rPr>
        <w:t> </w:t>
      </w:r>
      <w:r>
        <w:rPr/>
        <w:t>for</w:t>
      </w:r>
      <w:r>
        <w:rPr>
          <w:spacing w:val="40"/>
        </w:rPr>
        <w:t> </w:t>
      </w:r>
      <w:r>
        <w:rPr/>
        <w:t>each</w:t>
      </w:r>
      <w:r>
        <w:rPr>
          <w:spacing w:val="40"/>
        </w:rPr>
        <w:t> </w:t>
      </w:r>
      <w:r>
        <w:rPr/>
        <w:t>batch</w:t>
      </w:r>
      <w:r>
        <w:rPr>
          <w:spacing w:val="40"/>
        </w:rPr>
        <w:t> </w:t>
      </w:r>
      <w:r>
        <w:rPr/>
        <w:t>of</w:t>
      </w:r>
      <w:r>
        <w:rPr>
          <w:spacing w:val="40"/>
        </w:rPr>
        <w:t> </w:t>
      </w:r>
      <w:r>
        <w:rPr/>
        <w:t>tablets</w:t>
      </w:r>
      <w:r>
        <w:rPr>
          <w:spacing w:val="40"/>
        </w:rPr>
        <w:t> </w:t>
      </w:r>
      <w:r>
        <w:rPr/>
        <w:t>was</w:t>
      </w:r>
      <w:r>
        <w:rPr>
          <w:spacing w:val="40"/>
        </w:rPr>
        <w:t> </w:t>
      </w:r>
      <w:r>
        <w:rPr/>
        <w:t>determined</w:t>
      </w:r>
      <w:r>
        <w:rPr>
          <w:spacing w:val="40"/>
        </w:rPr>
        <w:t> </w:t>
      </w:r>
      <w:r>
        <w:rPr/>
        <w:t>in</w:t>
      </w:r>
      <w:r>
        <w:rPr>
          <w:spacing w:val="40"/>
        </w:rPr>
        <w:t> </w:t>
      </w:r>
      <w:r>
        <w:rPr/>
        <w:t>distilled water</w:t>
      </w:r>
      <w:r>
        <w:rPr>
          <w:spacing w:val="16"/>
        </w:rPr>
        <w:t> </w:t>
      </w:r>
      <w:r>
        <w:rPr/>
        <w:t>at</w:t>
      </w:r>
      <w:r>
        <w:rPr>
          <w:spacing w:val="14"/>
        </w:rPr>
        <w:t> </w:t>
      </w:r>
      <w:r>
        <w:rPr/>
        <w:t>37</w:t>
      </w:r>
      <w:r>
        <w:rPr>
          <w:spacing w:val="18"/>
        </w:rPr>
        <w:t> </w:t>
      </w:r>
      <w:r>
        <w:rPr>
          <w:u w:val="single"/>
        </w:rPr>
        <w:t>+</w:t>
      </w:r>
      <w:r>
        <w:rPr>
          <w:spacing w:val="12"/>
        </w:rPr>
        <w:t> </w:t>
      </w:r>
      <w:r>
        <w:rPr/>
        <w:t>0.5</w:t>
      </w:r>
      <w:r>
        <w:rPr>
          <w:spacing w:val="23"/>
        </w:rPr>
        <w:t> </w:t>
      </w:r>
      <w:r>
        <w:rPr>
          <w:vertAlign w:val="superscript"/>
        </w:rPr>
        <w:t>o</w:t>
      </w:r>
      <w:r>
        <w:rPr>
          <w:vertAlign w:val="baseline"/>
        </w:rPr>
        <w:t>C</w:t>
      </w:r>
      <w:r>
        <w:rPr>
          <w:spacing w:val="13"/>
          <w:vertAlign w:val="baseline"/>
        </w:rPr>
        <w:t> </w:t>
      </w:r>
      <w:r>
        <w:rPr>
          <w:vertAlign w:val="baseline"/>
        </w:rPr>
        <w:t>using</w:t>
      </w:r>
      <w:r>
        <w:rPr>
          <w:spacing w:val="13"/>
          <w:vertAlign w:val="baseline"/>
        </w:rPr>
        <w:t> </w:t>
      </w:r>
      <w:r>
        <w:rPr>
          <w:vertAlign w:val="baseline"/>
        </w:rPr>
        <w:t>the</w:t>
      </w:r>
      <w:r>
        <w:rPr>
          <w:spacing w:val="16"/>
          <w:vertAlign w:val="baseline"/>
        </w:rPr>
        <w:t> </w:t>
      </w:r>
      <w:r>
        <w:rPr>
          <w:vertAlign w:val="baseline"/>
        </w:rPr>
        <w:t>Erweka</w:t>
      </w:r>
      <w:r>
        <w:rPr>
          <w:spacing w:val="15"/>
          <w:vertAlign w:val="baseline"/>
        </w:rPr>
        <w:t> </w:t>
      </w:r>
      <w:r>
        <w:rPr>
          <w:vertAlign w:val="baseline"/>
        </w:rPr>
        <w:t>distintegration</w:t>
      </w:r>
      <w:r>
        <w:rPr>
          <w:spacing w:val="13"/>
          <w:vertAlign w:val="baseline"/>
        </w:rPr>
        <w:t> </w:t>
      </w:r>
      <w:r>
        <w:rPr>
          <w:vertAlign w:val="baseline"/>
        </w:rPr>
        <w:t>test</w:t>
      </w:r>
      <w:r>
        <w:rPr>
          <w:spacing w:val="15"/>
          <w:vertAlign w:val="baseline"/>
        </w:rPr>
        <w:t> </w:t>
      </w:r>
      <w:r>
        <w:rPr>
          <w:vertAlign w:val="baseline"/>
        </w:rPr>
        <w:t>apparatus</w:t>
      </w:r>
      <w:r>
        <w:rPr>
          <w:spacing w:val="13"/>
          <w:vertAlign w:val="baseline"/>
        </w:rPr>
        <w:t> </w:t>
      </w:r>
      <w:r>
        <w:rPr>
          <w:vertAlign w:val="baseline"/>
        </w:rPr>
        <w:t>(Type</w:t>
      </w:r>
      <w:r>
        <w:rPr>
          <w:spacing w:val="16"/>
          <w:vertAlign w:val="baseline"/>
        </w:rPr>
        <w:t> </w:t>
      </w:r>
      <w:r>
        <w:rPr>
          <w:vertAlign w:val="baseline"/>
        </w:rPr>
        <w:t>ZT3,</w:t>
      </w:r>
      <w:r>
        <w:rPr>
          <w:spacing w:val="11"/>
          <w:vertAlign w:val="baseline"/>
        </w:rPr>
        <w:t> </w:t>
      </w:r>
      <w:r>
        <w:rPr>
          <w:spacing w:val="-2"/>
          <w:vertAlign w:val="baseline"/>
        </w:rPr>
        <w:t>Erweka</w:t>
      </w:r>
    </w:p>
    <w:p>
      <w:pPr>
        <w:pStyle w:val="BodyText"/>
        <w:spacing w:line="491" w:lineRule="auto"/>
        <w:ind w:left="665" w:right="1858"/>
        <w:jc w:val="both"/>
      </w:pPr>
      <w:r>
        <w:rPr/>
        <w:t>–</w:t>
      </w:r>
      <w:r>
        <w:rPr>
          <w:spacing w:val="40"/>
        </w:rPr>
        <w:t> </w:t>
      </w:r>
      <w:r>
        <w:rPr/>
        <w:t>Apparatebau</w:t>
      </w:r>
      <w:r>
        <w:rPr>
          <w:spacing w:val="40"/>
        </w:rPr>
        <w:t> </w:t>
      </w:r>
      <w:r>
        <w:rPr/>
        <w:t>–</w:t>
      </w:r>
      <w:r>
        <w:rPr>
          <w:spacing w:val="40"/>
        </w:rPr>
        <w:t> </w:t>
      </w:r>
      <w:r>
        <w:rPr/>
        <w:t>G.m.b.H</w:t>
      </w:r>
      <w:r>
        <w:rPr>
          <w:spacing w:val="40"/>
        </w:rPr>
        <w:t> </w:t>
      </w:r>
      <w:r>
        <w:rPr/>
        <w:t>Heusenstamm,</w:t>
      </w:r>
      <w:r>
        <w:rPr>
          <w:spacing w:val="40"/>
        </w:rPr>
        <w:t> </w:t>
      </w:r>
      <w:r>
        <w:rPr/>
        <w:t>Germany).</w:t>
      </w:r>
      <w:r>
        <w:rPr>
          <w:spacing w:val="40"/>
        </w:rPr>
        <w:t> </w:t>
      </w:r>
      <w:r>
        <w:rPr/>
        <w:t>Six</w:t>
      </w:r>
      <w:r>
        <w:rPr>
          <w:spacing w:val="40"/>
        </w:rPr>
        <w:t> </w:t>
      </w:r>
      <w:r>
        <w:rPr/>
        <w:t>tablets</w:t>
      </w:r>
      <w:r>
        <w:rPr>
          <w:spacing w:val="40"/>
        </w:rPr>
        <w:t> </w:t>
      </w:r>
      <w:r>
        <w:rPr/>
        <w:t>were</w:t>
      </w:r>
      <w:r>
        <w:rPr>
          <w:spacing w:val="40"/>
        </w:rPr>
        <w:t> </w:t>
      </w:r>
      <w:r>
        <w:rPr/>
        <w:t>tested</w:t>
      </w:r>
      <w:r>
        <w:rPr>
          <w:spacing w:val="40"/>
        </w:rPr>
        <w:t> </w:t>
      </w:r>
      <w:r>
        <w:rPr/>
        <w:t>and</w:t>
      </w:r>
      <w:r>
        <w:rPr>
          <w:spacing w:val="40"/>
        </w:rPr>
        <w:t> </w:t>
      </w:r>
      <w:r>
        <w:rPr/>
        <w:t>the time taken for each tablet to break into small particles and pass through the mesh was recorded as the disintegration time.</w:t>
      </w:r>
    </w:p>
    <w:p>
      <w:pPr>
        <w:pStyle w:val="Heading2"/>
        <w:numPr>
          <w:ilvl w:val="3"/>
          <w:numId w:val="33"/>
        </w:numPr>
        <w:tabs>
          <w:tab w:pos="1338" w:val="left" w:leader="none"/>
        </w:tabs>
        <w:spacing w:line="240" w:lineRule="auto" w:before="230" w:after="0"/>
        <w:ind w:left="1338" w:right="0" w:hanging="673"/>
        <w:jc w:val="left"/>
      </w:pPr>
      <w:bookmarkStart w:name="_TOC_250044" w:id="117"/>
      <w:r>
        <w:rPr/>
        <w:t>Dissolution</w:t>
      </w:r>
      <w:r>
        <w:rPr>
          <w:spacing w:val="21"/>
        </w:rPr>
        <w:t> </w:t>
      </w:r>
      <w:bookmarkEnd w:id="117"/>
      <w:r>
        <w:rPr>
          <w:spacing w:val="-2"/>
        </w:rPr>
        <w:t>Studies</w:t>
      </w:r>
    </w:p>
    <w:p>
      <w:pPr>
        <w:pStyle w:val="BodyText"/>
        <w:spacing w:line="491" w:lineRule="auto" w:before="246"/>
        <w:ind w:left="665" w:right="1852"/>
        <w:jc w:val="both"/>
      </w:pPr>
      <w:r>
        <w:rPr/>
        <w:t>The calibration curve</w:t>
      </w:r>
      <w:r>
        <w:rPr>
          <w:spacing w:val="36"/>
        </w:rPr>
        <w:t> </w:t>
      </w:r>
      <w:r>
        <w:rPr/>
        <w:t>for metronidazole was obtained</w:t>
      </w:r>
      <w:r>
        <w:rPr>
          <w:spacing w:val="39"/>
        </w:rPr>
        <w:t> </w:t>
      </w:r>
      <w:r>
        <w:rPr/>
        <w:t>before dissolution studies. A 0.1</w:t>
      </w:r>
      <w:r>
        <w:rPr>
          <w:spacing w:val="40"/>
        </w:rPr>
        <w:t> </w:t>
      </w:r>
      <w:r>
        <w:rPr/>
        <w:t>mg</w:t>
      </w:r>
      <w:r>
        <w:rPr>
          <w:spacing w:val="22"/>
        </w:rPr>
        <w:t> </w:t>
      </w:r>
      <w:r>
        <w:rPr/>
        <w:t>of</w:t>
      </w:r>
      <w:r>
        <w:rPr>
          <w:spacing w:val="22"/>
        </w:rPr>
        <w:t> </w:t>
      </w:r>
      <w:r>
        <w:rPr/>
        <w:t>metronidazole</w:t>
      </w:r>
      <w:r>
        <w:rPr>
          <w:spacing w:val="25"/>
        </w:rPr>
        <w:t> </w:t>
      </w:r>
      <w:r>
        <w:rPr/>
        <w:t>was</w:t>
      </w:r>
      <w:r>
        <w:rPr>
          <w:spacing w:val="18"/>
        </w:rPr>
        <w:t> </w:t>
      </w:r>
      <w:r>
        <w:rPr/>
        <w:t>prepared</w:t>
      </w:r>
      <w:r>
        <w:rPr>
          <w:spacing w:val="28"/>
        </w:rPr>
        <w:t> </w:t>
      </w:r>
      <w:r>
        <w:rPr/>
        <w:t>by dissolving</w:t>
      </w:r>
      <w:r>
        <w:rPr>
          <w:spacing w:val="28"/>
        </w:rPr>
        <w:t> </w:t>
      </w:r>
      <w:r>
        <w:rPr/>
        <w:t>100</w:t>
      </w:r>
      <w:r>
        <w:rPr>
          <w:spacing w:val="31"/>
        </w:rPr>
        <w:t> </w:t>
      </w:r>
      <w:r>
        <w:rPr/>
        <w:t>mg</w:t>
      </w:r>
      <w:r>
        <w:rPr>
          <w:spacing w:val="23"/>
        </w:rPr>
        <w:t> </w:t>
      </w:r>
      <w:r>
        <w:rPr/>
        <w:t>of</w:t>
      </w:r>
      <w:r>
        <w:rPr>
          <w:spacing w:val="22"/>
        </w:rPr>
        <w:t> </w:t>
      </w:r>
      <w:r>
        <w:rPr/>
        <w:t>metronidazole</w:t>
      </w:r>
      <w:r>
        <w:rPr>
          <w:spacing w:val="25"/>
        </w:rPr>
        <w:t> </w:t>
      </w:r>
      <w:r>
        <w:rPr/>
        <w:t>in</w:t>
      </w:r>
      <w:r>
        <w:rPr>
          <w:spacing w:val="23"/>
        </w:rPr>
        <w:t> </w:t>
      </w:r>
      <w:r>
        <w:rPr/>
        <w:t>1000</w:t>
      </w:r>
      <w:r>
        <w:rPr>
          <w:spacing w:val="35"/>
        </w:rPr>
        <w:t> </w:t>
      </w:r>
      <w:r>
        <w:rPr/>
        <w:t>mL of</w:t>
      </w:r>
      <w:r>
        <w:rPr>
          <w:spacing w:val="20"/>
        </w:rPr>
        <w:t> </w:t>
      </w:r>
      <w:r>
        <w:rPr/>
        <w:t>0.1</w:t>
      </w:r>
      <w:r>
        <w:rPr>
          <w:spacing w:val="27"/>
        </w:rPr>
        <w:t> </w:t>
      </w:r>
      <w:r>
        <w:rPr/>
        <w:t>N</w:t>
      </w:r>
      <w:r>
        <w:rPr>
          <w:spacing w:val="23"/>
        </w:rPr>
        <w:t> </w:t>
      </w:r>
      <w:r>
        <w:rPr/>
        <w:t>HCl.</w:t>
      </w:r>
      <w:r>
        <w:rPr>
          <w:spacing w:val="24"/>
        </w:rPr>
        <w:t> </w:t>
      </w:r>
      <w:r>
        <w:rPr/>
        <w:t>Serial</w:t>
      </w:r>
      <w:r>
        <w:rPr>
          <w:spacing w:val="23"/>
        </w:rPr>
        <w:t> </w:t>
      </w:r>
      <w:r>
        <w:rPr/>
        <w:t>dilutions</w:t>
      </w:r>
      <w:r>
        <w:rPr>
          <w:spacing w:val="21"/>
        </w:rPr>
        <w:t> </w:t>
      </w:r>
      <w:r>
        <w:rPr/>
        <w:t>were</w:t>
      </w:r>
      <w:r>
        <w:rPr>
          <w:spacing w:val="19"/>
        </w:rPr>
        <w:t> </w:t>
      </w:r>
      <w:r>
        <w:rPr/>
        <w:t>performed</w:t>
      </w:r>
      <w:r>
        <w:rPr>
          <w:spacing w:val="26"/>
        </w:rPr>
        <w:t> </w:t>
      </w:r>
      <w:r>
        <w:rPr/>
        <w:t>to</w:t>
      </w:r>
      <w:r>
        <w:rPr>
          <w:spacing w:val="26"/>
        </w:rPr>
        <w:t> </w:t>
      </w:r>
      <w:r>
        <w:rPr/>
        <w:t>yield</w:t>
      </w:r>
      <w:r>
        <w:rPr>
          <w:spacing w:val="31"/>
        </w:rPr>
        <w:t> </w:t>
      </w:r>
      <w:r>
        <w:rPr/>
        <w:t>solutions</w:t>
      </w:r>
      <w:r>
        <w:rPr>
          <w:spacing w:val="21"/>
        </w:rPr>
        <w:t> </w:t>
      </w:r>
      <w:r>
        <w:rPr/>
        <w:t>of</w:t>
      </w:r>
      <w:r>
        <w:rPr>
          <w:spacing w:val="20"/>
        </w:rPr>
        <w:t> </w:t>
      </w:r>
      <w:r>
        <w:rPr/>
        <w:t>concentration</w:t>
      </w:r>
      <w:r>
        <w:rPr>
          <w:spacing w:val="21"/>
        </w:rPr>
        <w:t> </w:t>
      </w:r>
      <w:r>
        <w:rPr/>
        <w:t>range of 0.3125 – 10 </w:t>
      </w:r>
      <w:r>
        <w:rPr>
          <w:rFonts w:ascii="Calibri" w:hAnsi="Calibri"/>
        </w:rPr>
        <w:t>µ</w:t>
      </w:r>
      <w:r>
        <w:rPr/>
        <w:t>g/mL. The absorbance of each concentration was taken at 277 nm and plotted against the various concentrations to obtain the calibration curve for</w:t>
      </w:r>
      <w:r>
        <w:rPr>
          <w:spacing w:val="40"/>
        </w:rPr>
        <w:t> </w:t>
      </w:r>
      <w:r>
        <w:rPr/>
        <w:t>metronidazole. The linear regression equation for the graph was resolved</w:t>
      </w:r>
      <w:r>
        <w:rPr>
          <w:spacing w:val="37"/>
        </w:rPr>
        <w:t> </w:t>
      </w:r>
      <w:r>
        <w:rPr/>
        <w:t>from the plot</w:t>
      </w:r>
      <w:r>
        <w:rPr>
          <w:spacing w:val="40"/>
        </w:rPr>
        <w:t> </w:t>
      </w:r>
      <w:r>
        <w:rPr/>
        <w:t>and</w:t>
      </w:r>
      <w:r>
        <w:rPr>
          <w:spacing w:val="35"/>
        </w:rPr>
        <w:t> </w:t>
      </w:r>
      <w:r>
        <w:rPr/>
        <w:t>used</w:t>
      </w:r>
      <w:r>
        <w:rPr>
          <w:spacing w:val="35"/>
        </w:rPr>
        <w:t> </w:t>
      </w:r>
      <w:r>
        <w:rPr/>
        <w:t>to calculate the amount of drug released</w:t>
      </w:r>
      <w:r>
        <w:rPr>
          <w:spacing w:val="35"/>
        </w:rPr>
        <w:t> </w:t>
      </w:r>
      <w:r>
        <w:rPr/>
        <w:t>with time during dissolution studies.</w:t>
      </w:r>
    </w:p>
    <w:p>
      <w:pPr>
        <w:pStyle w:val="BodyText"/>
        <w:spacing w:line="491" w:lineRule="auto"/>
        <w:ind w:left="665" w:right="1858" w:firstLine="676"/>
        <w:jc w:val="both"/>
      </w:pPr>
      <w:r>
        <w:rPr/>
        <w:t>The</w:t>
      </w:r>
      <w:r>
        <w:rPr>
          <w:spacing w:val="40"/>
        </w:rPr>
        <w:t> </w:t>
      </w:r>
      <w:r>
        <w:rPr/>
        <w:t>method</w:t>
      </w:r>
      <w:r>
        <w:rPr>
          <w:spacing w:val="40"/>
        </w:rPr>
        <w:t> </w:t>
      </w:r>
      <w:r>
        <w:rPr/>
        <w:t>of</w:t>
      </w:r>
      <w:r>
        <w:rPr>
          <w:spacing w:val="37"/>
        </w:rPr>
        <w:t> </w:t>
      </w:r>
      <w:r>
        <w:rPr/>
        <w:t>dissolution</w:t>
      </w:r>
      <w:r>
        <w:rPr>
          <w:spacing w:val="38"/>
        </w:rPr>
        <w:t> </w:t>
      </w:r>
      <w:r>
        <w:rPr/>
        <w:t>testing</w:t>
      </w:r>
      <w:r>
        <w:rPr>
          <w:spacing w:val="38"/>
        </w:rPr>
        <w:t> </w:t>
      </w:r>
      <w:r>
        <w:rPr/>
        <w:t>as</w:t>
      </w:r>
      <w:r>
        <w:rPr>
          <w:spacing w:val="39"/>
        </w:rPr>
        <w:t> </w:t>
      </w:r>
      <w:r>
        <w:rPr/>
        <w:t>described</w:t>
      </w:r>
      <w:r>
        <w:rPr>
          <w:spacing w:val="40"/>
        </w:rPr>
        <w:t> </w:t>
      </w:r>
      <w:r>
        <w:rPr/>
        <w:t>in</w:t>
      </w:r>
      <w:r>
        <w:rPr>
          <w:spacing w:val="38"/>
        </w:rPr>
        <w:t> </w:t>
      </w:r>
      <w:r>
        <w:rPr/>
        <w:t>B.P.</w:t>
      </w:r>
      <w:r>
        <w:rPr>
          <w:spacing w:val="40"/>
        </w:rPr>
        <w:t> </w:t>
      </w:r>
      <w:r>
        <w:rPr/>
        <w:t>(2002)</w:t>
      </w:r>
      <w:r>
        <w:rPr>
          <w:spacing w:val="40"/>
        </w:rPr>
        <w:t> </w:t>
      </w:r>
      <w:r>
        <w:rPr/>
        <w:t>was</w:t>
      </w:r>
      <w:r>
        <w:rPr>
          <w:spacing w:val="40"/>
        </w:rPr>
        <w:t> </w:t>
      </w:r>
      <w:r>
        <w:rPr/>
        <w:t>adopted.</w:t>
      </w:r>
      <w:r>
        <w:rPr>
          <w:spacing w:val="40"/>
        </w:rPr>
        <w:t> </w:t>
      </w:r>
      <w:r>
        <w:rPr/>
        <w:t>1 liter</w:t>
      </w:r>
      <w:r>
        <w:rPr>
          <w:spacing w:val="51"/>
        </w:rPr>
        <w:t> </w:t>
      </w:r>
      <w:r>
        <w:rPr/>
        <w:t>of</w:t>
      </w:r>
      <w:r>
        <w:rPr>
          <w:spacing w:val="36"/>
        </w:rPr>
        <w:t> </w:t>
      </w:r>
      <w:r>
        <w:rPr/>
        <w:t>0.1</w:t>
      </w:r>
      <w:r>
        <w:rPr>
          <w:spacing w:val="48"/>
        </w:rPr>
        <w:t> </w:t>
      </w:r>
      <w:r>
        <w:rPr/>
        <w:t>M</w:t>
      </w:r>
      <w:r>
        <w:rPr>
          <w:spacing w:val="45"/>
        </w:rPr>
        <w:t> </w:t>
      </w:r>
      <w:r>
        <w:rPr/>
        <w:t>HCl</w:t>
      </w:r>
      <w:r>
        <w:rPr>
          <w:spacing w:val="45"/>
        </w:rPr>
        <w:t> </w:t>
      </w:r>
      <w:r>
        <w:rPr/>
        <w:t>thermostatically</w:t>
      </w:r>
      <w:r>
        <w:rPr>
          <w:spacing w:val="41"/>
        </w:rPr>
        <w:t> </w:t>
      </w:r>
      <w:r>
        <w:rPr/>
        <w:t>maintained</w:t>
      </w:r>
      <w:r>
        <w:rPr>
          <w:spacing w:val="53"/>
        </w:rPr>
        <w:t> </w:t>
      </w:r>
      <w:r>
        <w:rPr/>
        <w:t>at</w:t>
      </w:r>
      <w:r>
        <w:rPr>
          <w:spacing w:val="45"/>
        </w:rPr>
        <w:t> </w:t>
      </w:r>
      <w:r>
        <w:rPr/>
        <w:t>37.0</w:t>
      </w:r>
      <w:r>
        <w:rPr>
          <w:spacing w:val="46"/>
        </w:rPr>
        <w:t> </w:t>
      </w:r>
      <w:r>
        <w:rPr>
          <w:u w:val="single"/>
        </w:rPr>
        <w:t>+</w:t>
      </w:r>
      <w:r>
        <w:rPr>
          <w:spacing w:val="43"/>
        </w:rPr>
        <w:t> </w:t>
      </w:r>
      <w:r>
        <w:rPr/>
        <w:t>0.5</w:t>
      </w:r>
      <w:r>
        <w:rPr>
          <w:spacing w:val="47"/>
        </w:rPr>
        <w:t> </w:t>
      </w:r>
      <w:r>
        <w:rPr>
          <w:vertAlign w:val="superscript"/>
        </w:rPr>
        <w:t>o</w:t>
      </w:r>
      <w:r>
        <w:rPr>
          <w:vertAlign w:val="baseline"/>
        </w:rPr>
        <w:t>C</w:t>
      </w:r>
      <w:r>
        <w:rPr>
          <w:spacing w:val="48"/>
          <w:vertAlign w:val="baseline"/>
        </w:rPr>
        <w:t> </w:t>
      </w:r>
      <w:r>
        <w:rPr>
          <w:vertAlign w:val="baseline"/>
        </w:rPr>
        <w:t>was</w:t>
      </w:r>
      <w:r>
        <w:rPr>
          <w:spacing w:val="43"/>
          <w:vertAlign w:val="baseline"/>
        </w:rPr>
        <w:t> </w:t>
      </w:r>
      <w:r>
        <w:rPr>
          <w:vertAlign w:val="baseline"/>
        </w:rPr>
        <w:t>the</w:t>
      </w:r>
      <w:r>
        <w:rPr>
          <w:spacing w:val="45"/>
          <w:vertAlign w:val="baseline"/>
        </w:rPr>
        <w:t> </w:t>
      </w:r>
      <w:r>
        <w:rPr>
          <w:vertAlign w:val="baseline"/>
        </w:rPr>
        <w:t>medium</w:t>
      </w:r>
      <w:r>
        <w:rPr>
          <w:spacing w:val="47"/>
          <w:vertAlign w:val="baseline"/>
        </w:rPr>
        <w:t> </w:t>
      </w:r>
      <w:r>
        <w:rPr>
          <w:spacing w:val="-5"/>
          <w:vertAlign w:val="baseline"/>
        </w:rPr>
        <w:t>in</w:t>
      </w:r>
    </w:p>
    <w:p>
      <w:pPr>
        <w:pStyle w:val="BodyText"/>
        <w:spacing w:line="491" w:lineRule="auto"/>
        <w:ind w:left="665" w:right="1857"/>
        <w:jc w:val="both"/>
      </w:pPr>
      <w:r>
        <w:rPr/>
        <w:t>Erweka dissolution rate apparatus.</w:t>
      </w:r>
      <w:r>
        <w:rPr>
          <w:spacing w:val="80"/>
        </w:rPr>
        <w:t> </w:t>
      </w:r>
      <w:r>
        <w:rPr/>
        <w:t>A tablet was placed</w:t>
      </w:r>
      <w:r>
        <w:rPr>
          <w:spacing w:val="40"/>
        </w:rPr>
        <w:t> </w:t>
      </w:r>
      <w:r>
        <w:rPr/>
        <w:t>in the dry basket and</w:t>
      </w:r>
      <w:r>
        <w:rPr>
          <w:spacing w:val="40"/>
        </w:rPr>
        <w:t> </w:t>
      </w:r>
      <w:r>
        <w:rPr/>
        <w:t>the apparatus was set</w:t>
      </w:r>
      <w:r>
        <w:rPr>
          <w:spacing w:val="24"/>
        </w:rPr>
        <w:t> </w:t>
      </w:r>
      <w:r>
        <w:rPr/>
        <w:t>to</w:t>
      </w:r>
      <w:r>
        <w:rPr>
          <w:spacing w:val="33"/>
        </w:rPr>
        <w:t> </w:t>
      </w:r>
      <w:r>
        <w:rPr/>
        <w:t>a rotational speed</w:t>
      </w:r>
      <w:r>
        <w:rPr>
          <w:spacing w:val="33"/>
        </w:rPr>
        <w:t> </w:t>
      </w:r>
      <w:r>
        <w:rPr/>
        <w:t>of 100</w:t>
      </w:r>
      <w:r>
        <w:rPr>
          <w:spacing w:val="30"/>
        </w:rPr>
        <w:t> </w:t>
      </w:r>
      <w:r>
        <w:rPr/>
        <w:t>rpm.</w:t>
      </w:r>
      <w:r>
        <w:rPr>
          <w:spacing w:val="25"/>
        </w:rPr>
        <w:t> </w:t>
      </w:r>
      <w:r>
        <w:rPr/>
        <w:t>10</w:t>
      </w:r>
      <w:r>
        <w:rPr>
          <w:spacing w:val="33"/>
        </w:rPr>
        <w:t> </w:t>
      </w:r>
      <w:r>
        <w:rPr/>
        <w:t>mL sample</w:t>
      </w:r>
      <w:r>
        <w:rPr>
          <w:spacing w:val="25"/>
        </w:rPr>
        <w:t> </w:t>
      </w:r>
      <w:r>
        <w:rPr/>
        <w:t>was taken out</w:t>
      </w:r>
      <w:r>
        <w:rPr>
          <w:spacing w:val="24"/>
        </w:rPr>
        <w:t> </w:t>
      </w:r>
      <w:r>
        <w:rPr/>
        <w:t>at 10 min interval with subsequent replacement with equal volume of buffer solution,</w:t>
      </w:r>
      <w:r>
        <w:rPr>
          <w:spacing w:val="40"/>
        </w:rPr>
        <w:t> </w:t>
      </w:r>
      <w:r>
        <w:rPr/>
        <w:t>withdrawn sample was filtered and 1mL of filtrate diluted to 20</w:t>
      </w:r>
      <w:r>
        <w:rPr>
          <w:spacing w:val="26"/>
        </w:rPr>
        <w:t> </w:t>
      </w:r>
      <w:r>
        <w:rPr/>
        <w:t>mL. The absorbance of the resulting solution taken at the maximum wavelength of 277 nm was measured.</w:t>
      </w:r>
      <w:r>
        <w:rPr>
          <w:spacing w:val="40"/>
        </w:rPr>
        <w:t> </w:t>
      </w:r>
      <w:r>
        <w:rPr/>
        <w:t>A graph of percentage drug dissolved was plotted against time.</w:t>
      </w:r>
    </w:p>
    <w:p>
      <w:pPr>
        <w:spacing w:after="0" w:line="491" w:lineRule="auto"/>
        <w:jc w:val="both"/>
        <w:sectPr>
          <w:pgSz w:w="12240" w:h="15840"/>
          <w:pgMar w:header="0" w:footer="999" w:top="1260" w:bottom="1180" w:left="1720" w:right="0"/>
        </w:sectPr>
      </w:pPr>
    </w:p>
    <w:p>
      <w:pPr>
        <w:pStyle w:val="Heading2"/>
        <w:numPr>
          <w:ilvl w:val="1"/>
          <w:numId w:val="33"/>
        </w:numPr>
        <w:tabs>
          <w:tab w:pos="1342" w:val="left" w:leader="none"/>
        </w:tabs>
        <w:spacing w:line="240" w:lineRule="auto" w:before="80" w:after="0"/>
        <w:ind w:left="1342" w:right="0" w:hanging="677"/>
        <w:jc w:val="left"/>
      </w:pPr>
      <w:bookmarkStart w:name="_TOC_250043" w:id="118"/>
      <w:r>
        <w:rPr/>
        <w:t>Compressional</w:t>
      </w:r>
      <w:r>
        <w:rPr>
          <w:spacing w:val="21"/>
        </w:rPr>
        <w:t> </w:t>
      </w:r>
      <w:r>
        <w:rPr/>
        <w:t>Property</w:t>
      </w:r>
      <w:r>
        <w:rPr>
          <w:spacing w:val="18"/>
        </w:rPr>
        <w:t> </w:t>
      </w:r>
      <w:bookmarkEnd w:id="118"/>
      <w:r>
        <w:rPr>
          <w:spacing w:val="-4"/>
        </w:rPr>
        <w:t>study</w:t>
      </w:r>
    </w:p>
    <w:p>
      <w:pPr>
        <w:pStyle w:val="BodyText"/>
        <w:spacing w:before="246"/>
        <w:ind w:left="1342"/>
      </w:pPr>
      <w:r>
        <w:rPr/>
        <w:t>Each</w:t>
      </w:r>
      <w:r>
        <w:rPr>
          <w:spacing w:val="1"/>
        </w:rPr>
        <w:t> </w:t>
      </w:r>
      <w:r>
        <w:rPr/>
        <w:t>of</w:t>
      </w:r>
      <w:r>
        <w:rPr>
          <w:spacing w:val="5"/>
        </w:rPr>
        <w:t> </w:t>
      </w:r>
      <w:r>
        <w:rPr/>
        <w:t>the</w:t>
      </w:r>
      <w:r>
        <w:rPr>
          <w:spacing w:val="10"/>
        </w:rPr>
        <w:t> </w:t>
      </w:r>
      <w:r>
        <w:rPr/>
        <w:t>pure</w:t>
      </w:r>
      <w:r>
        <w:rPr>
          <w:spacing w:val="-1"/>
        </w:rPr>
        <w:t> </w:t>
      </w:r>
      <w:r>
        <w:rPr/>
        <w:t>powder</w:t>
      </w:r>
      <w:r>
        <w:rPr>
          <w:spacing w:val="12"/>
        </w:rPr>
        <w:t> </w:t>
      </w:r>
      <w:r>
        <w:rPr/>
        <w:t>(DS,</w:t>
      </w:r>
      <w:r>
        <w:rPr>
          <w:spacing w:val="12"/>
        </w:rPr>
        <w:t> </w:t>
      </w:r>
      <w:r>
        <w:rPr/>
        <w:t>MCS</w:t>
      </w:r>
      <w:r>
        <w:rPr>
          <w:spacing w:val="9"/>
        </w:rPr>
        <w:t> </w:t>
      </w:r>
      <w:r>
        <w:rPr/>
        <w:t>and</w:t>
      </w:r>
      <w:r>
        <w:rPr>
          <w:spacing w:val="6"/>
        </w:rPr>
        <w:t> </w:t>
      </w:r>
      <w:r>
        <w:rPr/>
        <w:t>GEL)</w:t>
      </w:r>
      <w:r>
        <w:rPr>
          <w:spacing w:val="12"/>
        </w:rPr>
        <w:t> </w:t>
      </w:r>
      <w:r>
        <w:rPr/>
        <w:t>was</w:t>
      </w:r>
      <w:r>
        <w:rPr>
          <w:spacing w:val="2"/>
        </w:rPr>
        <w:t> </w:t>
      </w:r>
      <w:r>
        <w:rPr/>
        <w:t>used</w:t>
      </w:r>
      <w:r>
        <w:rPr>
          <w:spacing w:val="17"/>
        </w:rPr>
        <w:t> </w:t>
      </w:r>
      <w:r>
        <w:rPr/>
        <w:t>for</w:t>
      </w:r>
      <w:r>
        <w:rPr>
          <w:spacing w:val="5"/>
        </w:rPr>
        <w:t> </w:t>
      </w:r>
      <w:r>
        <w:rPr/>
        <w:t>these</w:t>
      </w:r>
      <w:r>
        <w:rPr>
          <w:spacing w:val="10"/>
        </w:rPr>
        <w:t> </w:t>
      </w:r>
      <w:r>
        <w:rPr>
          <w:spacing w:val="-2"/>
        </w:rPr>
        <w:t>studies.</w:t>
      </w:r>
    </w:p>
    <w:p>
      <w:pPr>
        <w:pStyle w:val="BodyText"/>
        <w:spacing w:before="243"/>
      </w:pPr>
    </w:p>
    <w:p>
      <w:pPr>
        <w:pStyle w:val="Heading2"/>
        <w:numPr>
          <w:ilvl w:val="2"/>
          <w:numId w:val="33"/>
        </w:numPr>
        <w:tabs>
          <w:tab w:pos="1342" w:val="left" w:leader="none"/>
        </w:tabs>
        <w:spacing w:line="240" w:lineRule="auto" w:before="0" w:after="0"/>
        <w:ind w:left="1342" w:right="0" w:hanging="677"/>
        <w:jc w:val="left"/>
      </w:pPr>
      <w:bookmarkStart w:name="_TOC_250042" w:id="119"/>
      <w:r>
        <w:rPr/>
        <w:t>Determination</w:t>
      </w:r>
      <w:r>
        <w:rPr>
          <w:spacing w:val="11"/>
        </w:rPr>
        <w:t> </w:t>
      </w:r>
      <w:r>
        <w:rPr/>
        <w:t>of</w:t>
      </w:r>
      <w:r>
        <w:rPr>
          <w:spacing w:val="20"/>
        </w:rPr>
        <w:t> </w:t>
      </w:r>
      <w:r>
        <w:rPr/>
        <w:t>Particle</w:t>
      </w:r>
      <w:r>
        <w:rPr>
          <w:spacing w:val="18"/>
        </w:rPr>
        <w:t> </w:t>
      </w:r>
      <w:bookmarkEnd w:id="119"/>
      <w:r>
        <w:rPr>
          <w:spacing w:val="-2"/>
        </w:rPr>
        <w:t>Density</w:t>
      </w:r>
    </w:p>
    <w:p>
      <w:pPr>
        <w:pStyle w:val="BodyText"/>
        <w:spacing w:before="241"/>
        <w:ind w:left="665"/>
        <w:jc w:val="both"/>
      </w:pPr>
      <w:r>
        <w:rPr/>
        <w:t>The</w:t>
      </w:r>
      <w:r>
        <w:rPr>
          <w:spacing w:val="13"/>
        </w:rPr>
        <w:t> </w:t>
      </w:r>
      <w:r>
        <w:rPr/>
        <w:t>sample</w:t>
      </w:r>
      <w:r>
        <w:rPr>
          <w:spacing w:val="13"/>
        </w:rPr>
        <w:t> </w:t>
      </w:r>
      <w:r>
        <w:rPr/>
        <w:t>particle</w:t>
      </w:r>
      <w:r>
        <w:rPr>
          <w:spacing w:val="13"/>
        </w:rPr>
        <w:t> </w:t>
      </w:r>
      <w:r>
        <w:rPr/>
        <w:t>density</w:t>
      </w:r>
      <w:r>
        <w:rPr>
          <w:spacing w:val="-2"/>
        </w:rPr>
        <w:t> </w:t>
      </w:r>
      <w:r>
        <w:rPr/>
        <w:t>was</w:t>
      </w:r>
      <w:r>
        <w:rPr>
          <w:spacing w:val="11"/>
        </w:rPr>
        <w:t> </w:t>
      </w:r>
      <w:r>
        <w:rPr/>
        <w:t>determined</w:t>
      </w:r>
      <w:r>
        <w:rPr>
          <w:spacing w:val="23"/>
        </w:rPr>
        <w:t> </w:t>
      </w:r>
      <w:r>
        <w:rPr/>
        <w:t>as</w:t>
      </w:r>
      <w:r>
        <w:rPr>
          <w:spacing w:val="5"/>
        </w:rPr>
        <w:t> </w:t>
      </w:r>
      <w:r>
        <w:rPr/>
        <w:t>described</w:t>
      </w:r>
      <w:r>
        <w:rPr>
          <w:spacing w:val="14"/>
        </w:rPr>
        <w:t> </w:t>
      </w:r>
      <w:r>
        <w:rPr/>
        <w:t>in</w:t>
      </w:r>
      <w:r>
        <w:rPr>
          <w:spacing w:val="10"/>
        </w:rPr>
        <w:t> </w:t>
      </w:r>
      <w:r>
        <w:rPr/>
        <w:t>Section</w:t>
      </w:r>
      <w:r>
        <w:rPr>
          <w:spacing w:val="3"/>
        </w:rPr>
        <w:t> </w:t>
      </w:r>
      <w:r>
        <w:rPr>
          <w:spacing w:val="-2"/>
        </w:rPr>
        <w:t>3.4.4.</w:t>
      </w:r>
    </w:p>
    <w:p>
      <w:pPr>
        <w:pStyle w:val="BodyText"/>
        <w:spacing w:before="17"/>
      </w:pPr>
    </w:p>
    <w:p>
      <w:pPr>
        <w:pStyle w:val="Heading2"/>
        <w:numPr>
          <w:ilvl w:val="2"/>
          <w:numId w:val="33"/>
        </w:numPr>
        <w:tabs>
          <w:tab w:pos="1342" w:val="left" w:leader="none"/>
        </w:tabs>
        <w:spacing w:line="240" w:lineRule="auto" w:before="1" w:after="0"/>
        <w:ind w:left="1342" w:right="0" w:hanging="677"/>
        <w:jc w:val="left"/>
      </w:pPr>
      <w:bookmarkStart w:name="_TOC_250041" w:id="120"/>
      <w:r>
        <w:rPr/>
        <w:t>Preparation</w:t>
      </w:r>
      <w:r>
        <w:rPr>
          <w:spacing w:val="12"/>
        </w:rPr>
        <w:t> </w:t>
      </w:r>
      <w:r>
        <w:rPr/>
        <w:t>of</w:t>
      </w:r>
      <w:r>
        <w:rPr>
          <w:spacing w:val="21"/>
        </w:rPr>
        <w:t> </w:t>
      </w:r>
      <w:bookmarkEnd w:id="120"/>
      <w:r>
        <w:rPr>
          <w:spacing w:val="-2"/>
        </w:rPr>
        <w:t>Compacts</w:t>
      </w:r>
    </w:p>
    <w:p>
      <w:pPr>
        <w:pStyle w:val="BodyText"/>
        <w:spacing w:before="7"/>
        <w:rPr>
          <w:b/>
        </w:rPr>
      </w:pPr>
    </w:p>
    <w:p>
      <w:pPr>
        <w:pStyle w:val="BodyText"/>
        <w:spacing w:line="496" w:lineRule="auto"/>
        <w:ind w:left="665" w:right="1855" w:firstLine="676"/>
        <w:jc w:val="both"/>
      </w:pPr>
      <w:r>
        <w:rPr/>
        <w:t>Compacts (500 mg) were produced by compressing powder with the various predetermined</w:t>
      </w:r>
      <w:r>
        <w:rPr>
          <w:spacing w:val="33"/>
        </w:rPr>
        <w:t> </w:t>
      </w:r>
      <w:r>
        <w:rPr/>
        <w:t>pressures (56.625, 84.938, 113.250, 141.563, 169.875, 198.188, 226.500,</w:t>
      </w:r>
    </w:p>
    <w:p>
      <w:pPr>
        <w:pStyle w:val="BodyText"/>
        <w:spacing w:line="491" w:lineRule="auto"/>
        <w:ind w:left="665" w:right="1861"/>
        <w:jc w:val="both"/>
      </w:pPr>
      <w:r>
        <w:rPr/>
        <w:t>254.813,</w:t>
      </w:r>
      <w:r>
        <w:rPr>
          <w:spacing w:val="40"/>
        </w:rPr>
        <w:t> </w:t>
      </w:r>
      <w:r>
        <w:rPr/>
        <w:t>283.125</w:t>
      </w:r>
      <w:r>
        <w:rPr>
          <w:spacing w:val="40"/>
        </w:rPr>
        <w:t> </w:t>
      </w:r>
      <w:r>
        <w:rPr/>
        <w:t>and</w:t>
      </w:r>
      <w:r>
        <w:rPr>
          <w:spacing w:val="40"/>
        </w:rPr>
        <w:t> </w:t>
      </w:r>
      <w:r>
        <w:rPr/>
        <w:t>311.438</w:t>
      </w:r>
      <w:r>
        <w:rPr>
          <w:spacing w:val="40"/>
        </w:rPr>
        <w:t> </w:t>
      </w:r>
      <w:r>
        <w:rPr/>
        <w:t>MNm</w:t>
      </w:r>
      <w:r>
        <w:rPr>
          <w:vertAlign w:val="superscript"/>
        </w:rPr>
        <w:t>-</w:t>
      </w:r>
      <w:r>
        <w:rPr>
          <w:vertAlign w:val="superscript"/>
        </w:rPr>
        <w:t>2</w:t>
      </w:r>
      <w:r>
        <w:rPr>
          <w:vertAlign w:val="baseline"/>
        </w:rPr>
        <w:t>)</w:t>
      </w:r>
      <w:r>
        <w:rPr>
          <w:spacing w:val="40"/>
          <w:vertAlign w:val="baseline"/>
        </w:rPr>
        <w:t> </w:t>
      </w:r>
      <w:r>
        <w:rPr>
          <w:vertAlign w:val="baseline"/>
        </w:rPr>
        <w:t>for</w:t>
      </w:r>
      <w:r>
        <w:rPr>
          <w:spacing w:val="40"/>
          <w:vertAlign w:val="baseline"/>
        </w:rPr>
        <w:t> </w:t>
      </w:r>
      <w:r>
        <w:rPr>
          <w:vertAlign w:val="baseline"/>
        </w:rPr>
        <w:t>30</w:t>
      </w:r>
      <w:r>
        <w:rPr>
          <w:spacing w:val="40"/>
          <w:vertAlign w:val="baseline"/>
        </w:rPr>
        <w:t> </w:t>
      </w:r>
      <w:r>
        <w:rPr>
          <w:vertAlign w:val="baseline"/>
        </w:rPr>
        <w:t>s</w:t>
      </w:r>
      <w:r>
        <w:rPr>
          <w:spacing w:val="40"/>
          <w:vertAlign w:val="baseline"/>
        </w:rPr>
        <w:t> </w:t>
      </w:r>
      <w:r>
        <w:rPr>
          <w:vertAlign w:val="baseline"/>
        </w:rPr>
        <w:t>(dwell</w:t>
      </w:r>
      <w:r>
        <w:rPr>
          <w:spacing w:val="40"/>
          <w:vertAlign w:val="baseline"/>
        </w:rPr>
        <w:t> </w:t>
      </w:r>
      <w:r>
        <w:rPr>
          <w:vertAlign w:val="baseline"/>
        </w:rPr>
        <w:t>time)</w:t>
      </w:r>
      <w:r>
        <w:rPr>
          <w:spacing w:val="40"/>
          <w:vertAlign w:val="baseline"/>
        </w:rPr>
        <w:t> </w:t>
      </w:r>
      <w:r>
        <w:rPr>
          <w:vertAlign w:val="baseline"/>
        </w:rPr>
        <w:t>using</w:t>
      </w:r>
      <w:r>
        <w:rPr>
          <w:spacing w:val="40"/>
          <w:vertAlign w:val="baseline"/>
        </w:rPr>
        <w:t> </w:t>
      </w:r>
      <w:r>
        <w:rPr>
          <w:vertAlign w:val="baseline"/>
        </w:rPr>
        <w:t>Carver</w:t>
      </w:r>
      <w:r>
        <w:rPr>
          <w:spacing w:val="40"/>
          <w:vertAlign w:val="baseline"/>
        </w:rPr>
        <w:t> </w:t>
      </w:r>
      <w:r>
        <w:rPr>
          <w:vertAlign w:val="baseline"/>
        </w:rPr>
        <w:t>hydraulic hand press (Model A14, Apex Co. Kent — U.K.).</w:t>
      </w:r>
    </w:p>
    <w:p>
      <w:pPr>
        <w:pStyle w:val="BodyText"/>
        <w:spacing w:line="491" w:lineRule="auto"/>
        <w:ind w:left="665" w:right="1860" w:firstLine="676"/>
        <w:jc w:val="both"/>
      </w:pPr>
      <w:r>
        <w:rPr/>
        <w:t>Before each compression, the 12.5 mm die and the flat-faced punches were lubricated</w:t>
      </w:r>
      <w:r>
        <w:rPr>
          <w:spacing w:val="32"/>
        </w:rPr>
        <w:t> </w:t>
      </w:r>
      <w:r>
        <w:rPr/>
        <w:t>with</w:t>
      </w:r>
      <w:r>
        <w:rPr>
          <w:spacing w:val="32"/>
        </w:rPr>
        <w:t> </w:t>
      </w:r>
      <w:r>
        <w:rPr/>
        <w:t>a</w:t>
      </w:r>
      <w:r>
        <w:rPr>
          <w:spacing w:val="29"/>
        </w:rPr>
        <w:t> </w:t>
      </w:r>
      <w:r>
        <w:rPr/>
        <w:t>2</w:t>
      </w:r>
      <w:r>
        <w:rPr>
          <w:spacing w:val="32"/>
        </w:rPr>
        <w:t> </w:t>
      </w:r>
      <w:r>
        <w:rPr/>
        <w:t>%</w:t>
      </w:r>
      <w:r>
        <w:rPr>
          <w:spacing w:val="34"/>
        </w:rPr>
        <w:t> </w:t>
      </w:r>
      <w:r>
        <w:rPr/>
        <w:t>w/v dispersion</w:t>
      </w:r>
      <w:r>
        <w:rPr>
          <w:spacing w:val="26"/>
        </w:rPr>
        <w:t> </w:t>
      </w:r>
      <w:r>
        <w:rPr/>
        <w:t>of</w:t>
      </w:r>
      <w:r>
        <w:rPr>
          <w:spacing w:val="24"/>
        </w:rPr>
        <w:t> </w:t>
      </w:r>
      <w:r>
        <w:rPr/>
        <w:t>magnesium</w:t>
      </w:r>
      <w:r>
        <w:rPr>
          <w:spacing w:val="32"/>
        </w:rPr>
        <w:t> </w:t>
      </w:r>
      <w:r>
        <w:rPr/>
        <w:t>stearate</w:t>
      </w:r>
      <w:r>
        <w:rPr>
          <w:spacing w:val="29"/>
        </w:rPr>
        <w:t> </w:t>
      </w:r>
      <w:r>
        <w:rPr/>
        <w:t>in</w:t>
      </w:r>
      <w:r>
        <w:rPr>
          <w:spacing w:val="26"/>
        </w:rPr>
        <w:t> </w:t>
      </w:r>
      <w:r>
        <w:rPr/>
        <w:t>ethanol.</w:t>
      </w:r>
      <w:r>
        <w:rPr>
          <w:spacing w:val="35"/>
        </w:rPr>
        <w:t> </w:t>
      </w:r>
      <w:r>
        <w:rPr/>
        <w:t>After</w:t>
      </w:r>
      <w:r>
        <w:rPr>
          <w:spacing w:val="30"/>
        </w:rPr>
        <w:t> </w:t>
      </w:r>
      <w:r>
        <w:rPr/>
        <w:t>ejection, the</w:t>
      </w:r>
      <w:r>
        <w:rPr>
          <w:spacing w:val="40"/>
        </w:rPr>
        <w:t> </w:t>
      </w:r>
      <w:r>
        <w:rPr/>
        <w:t>tablets</w:t>
      </w:r>
      <w:r>
        <w:rPr>
          <w:spacing w:val="40"/>
        </w:rPr>
        <w:t> </w:t>
      </w:r>
      <w:r>
        <w:rPr/>
        <w:t>were</w:t>
      </w:r>
      <w:r>
        <w:rPr>
          <w:spacing w:val="40"/>
        </w:rPr>
        <w:t> </w:t>
      </w:r>
      <w:r>
        <w:rPr/>
        <w:t>stored</w:t>
      </w:r>
      <w:r>
        <w:rPr>
          <w:spacing w:val="40"/>
        </w:rPr>
        <w:t> </w:t>
      </w:r>
      <w:r>
        <w:rPr/>
        <w:t>over</w:t>
      </w:r>
      <w:r>
        <w:rPr>
          <w:spacing w:val="40"/>
        </w:rPr>
        <w:t> </w:t>
      </w:r>
      <w:r>
        <w:rPr/>
        <w:t>silica</w:t>
      </w:r>
      <w:r>
        <w:rPr>
          <w:spacing w:val="40"/>
        </w:rPr>
        <w:t> </w:t>
      </w:r>
      <w:r>
        <w:rPr/>
        <w:t>gel</w:t>
      </w:r>
      <w:r>
        <w:rPr>
          <w:spacing w:val="40"/>
        </w:rPr>
        <w:t> </w:t>
      </w:r>
      <w:r>
        <w:rPr/>
        <w:t>in</w:t>
      </w:r>
      <w:r>
        <w:rPr>
          <w:spacing w:val="40"/>
        </w:rPr>
        <w:t> </w:t>
      </w:r>
      <w:r>
        <w:rPr/>
        <w:t>a</w:t>
      </w:r>
      <w:r>
        <w:rPr>
          <w:spacing w:val="40"/>
        </w:rPr>
        <w:t> </w:t>
      </w:r>
      <w:r>
        <w:rPr/>
        <w:t>dessicator</w:t>
      </w:r>
      <w:r>
        <w:rPr>
          <w:spacing w:val="40"/>
        </w:rPr>
        <w:t> </w:t>
      </w:r>
      <w:r>
        <w:rPr/>
        <w:t>for</w:t>
      </w:r>
      <w:r>
        <w:rPr>
          <w:spacing w:val="40"/>
        </w:rPr>
        <w:t> </w:t>
      </w:r>
      <w:r>
        <w:rPr/>
        <w:t>24</w:t>
      </w:r>
      <w:r>
        <w:rPr>
          <w:spacing w:val="40"/>
        </w:rPr>
        <w:t> </w:t>
      </w:r>
      <w:r>
        <w:rPr/>
        <w:t>h</w:t>
      </w:r>
      <w:r>
        <w:rPr>
          <w:spacing w:val="40"/>
        </w:rPr>
        <w:t> </w:t>
      </w:r>
      <w:r>
        <w:rPr/>
        <w:t>to</w:t>
      </w:r>
      <w:r>
        <w:rPr>
          <w:spacing w:val="40"/>
        </w:rPr>
        <w:t> </w:t>
      </w:r>
      <w:r>
        <w:rPr/>
        <w:t>allow</w:t>
      </w:r>
      <w:r>
        <w:rPr>
          <w:spacing w:val="40"/>
        </w:rPr>
        <w:t> </w:t>
      </w:r>
      <w:r>
        <w:rPr/>
        <w:t>for</w:t>
      </w:r>
      <w:r>
        <w:rPr>
          <w:spacing w:val="40"/>
        </w:rPr>
        <w:t> </w:t>
      </w:r>
      <w:r>
        <w:rPr/>
        <w:t>elastic recovery and hardening preventing false low yield values (lsah, 2005).</w:t>
      </w:r>
    </w:p>
    <w:p>
      <w:pPr>
        <w:pStyle w:val="Heading2"/>
        <w:numPr>
          <w:ilvl w:val="2"/>
          <w:numId w:val="33"/>
        </w:numPr>
        <w:tabs>
          <w:tab w:pos="1342" w:val="left" w:leader="none"/>
        </w:tabs>
        <w:spacing w:line="240" w:lineRule="auto" w:before="224" w:after="0"/>
        <w:ind w:left="1342" w:right="0" w:hanging="677"/>
        <w:jc w:val="left"/>
      </w:pPr>
      <w:bookmarkStart w:name="_TOC_250040" w:id="121"/>
      <w:r>
        <w:rPr/>
        <w:t>Evaluation</w:t>
      </w:r>
      <w:r>
        <w:rPr>
          <w:spacing w:val="12"/>
        </w:rPr>
        <w:t> </w:t>
      </w:r>
      <w:r>
        <w:rPr/>
        <w:t>of</w:t>
      </w:r>
      <w:r>
        <w:rPr>
          <w:spacing w:val="14"/>
        </w:rPr>
        <w:t> </w:t>
      </w:r>
      <w:r>
        <w:rPr/>
        <w:t>Compression</w:t>
      </w:r>
      <w:r>
        <w:rPr>
          <w:spacing w:val="25"/>
        </w:rPr>
        <w:t> </w:t>
      </w:r>
      <w:bookmarkEnd w:id="121"/>
      <w:r>
        <w:rPr>
          <w:spacing w:val="-2"/>
        </w:rPr>
        <w:t>Properties</w:t>
      </w:r>
    </w:p>
    <w:p>
      <w:pPr>
        <w:pStyle w:val="BodyText"/>
        <w:spacing w:line="491" w:lineRule="auto" w:before="246"/>
        <w:ind w:left="665" w:right="1848" w:firstLine="676"/>
        <w:jc w:val="both"/>
      </w:pPr>
      <w:r>
        <w:rPr/>
        <w:t>The</w:t>
      </w:r>
      <w:r>
        <w:rPr>
          <w:spacing w:val="17"/>
        </w:rPr>
        <w:t> </w:t>
      </w:r>
      <w:r>
        <w:rPr/>
        <w:t>dimensions (diameter</w:t>
      </w:r>
      <w:r>
        <w:rPr>
          <w:spacing w:val="19"/>
        </w:rPr>
        <w:t> </w:t>
      </w:r>
      <w:r>
        <w:rPr/>
        <w:t>and</w:t>
      </w:r>
      <w:r>
        <w:rPr>
          <w:spacing w:val="25"/>
        </w:rPr>
        <w:t> </w:t>
      </w:r>
      <w:r>
        <w:rPr/>
        <w:t>thickness)</w:t>
      </w:r>
      <w:r>
        <w:rPr>
          <w:spacing w:val="19"/>
        </w:rPr>
        <w:t> </w:t>
      </w:r>
      <w:r>
        <w:rPr/>
        <w:t>of the compacts were determined</w:t>
      </w:r>
      <w:r>
        <w:rPr>
          <w:spacing w:val="19"/>
        </w:rPr>
        <w:t> </w:t>
      </w:r>
      <w:r>
        <w:rPr/>
        <w:t>using a digital caliper (Z 540-1, USA) to the nearest 0.01 mm. Compact weights were also determined</w:t>
      </w:r>
      <w:r>
        <w:rPr>
          <w:spacing w:val="35"/>
        </w:rPr>
        <w:t> </w:t>
      </w:r>
      <w:r>
        <w:rPr/>
        <w:t>to</w:t>
      </w:r>
      <w:r>
        <w:rPr>
          <w:spacing w:val="31"/>
        </w:rPr>
        <w:t> </w:t>
      </w:r>
      <w:r>
        <w:rPr/>
        <w:t>the</w:t>
      </w:r>
      <w:r>
        <w:rPr>
          <w:spacing w:val="29"/>
        </w:rPr>
        <w:t> </w:t>
      </w:r>
      <w:r>
        <w:rPr/>
        <w:t>nearest</w:t>
      </w:r>
      <w:r>
        <w:rPr>
          <w:spacing w:val="27"/>
        </w:rPr>
        <w:t> </w:t>
      </w:r>
      <w:r>
        <w:rPr/>
        <w:t>1</w:t>
      </w:r>
      <w:r>
        <w:rPr>
          <w:spacing w:val="36"/>
        </w:rPr>
        <w:t> </w:t>
      </w:r>
      <w:r>
        <w:rPr/>
        <w:t>mg</w:t>
      </w:r>
      <w:r>
        <w:rPr>
          <w:spacing w:val="25"/>
        </w:rPr>
        <w:t> </w:t>
      </w:r>
      <w:r>
        <w:rPr/>
        <w:t>using</w:t>
      </w:r>
      <w:r>
        <w:rPr>
          <w:spacing w:val="20"/>
        </w:rPr>
        <w:t> </w:t>
      </w:r>
      <w:r>
        <w:rPr/>
        <w:t>Mettler</w:t>
      </w:r>
      <w:r>
        <w:rPr>
          <w:spacing w:val="30"/>
        </w:rPr>
        <w:t> </w:t>
      </w:r>
      <w:r>
        <w:rPr/>
        <w:t>analytical</w:t>
      </w:r>
      <w:r>
        <w:rPr>
          <w:spacing w:val="23"/>
        </w:rPr>
        <w:t> </w:t>
      </w:r>
      <w:r>
        <w:rPr/>
        <w:t>balance.</w:t>
      </w:r>
      <w:r>
        <w:rPr>
          <w:spacing w:val="28"/>
        </w:rPr>
        <w:t> </w:t>
      </w:r>
      <w:r>
        <w:rPr/>
        <w:t>Their</w:t>
      </w:r>
      <w:r>
        <w:rPr>
          <w:spacing w:val="30"/>
        </w:rPr>
        <w:t> </w:t>
      </w:r>
      <w:r>
        <w:rPr/>
        <w:t>relative</w:t>
      </w:r>
      <w:r>
        <w:rPr>
          <w:spacing w:val="29"/>
        </w:rPr>
        <w:t> </w:t>
      </w:r>
      <w:r>
        <w:rPr>
          <w:spacing w:val="-2"/>
        </w:rPr>
        <w:t>density</w:t>
      </w:r>
    </w:p>
    <w:p>
      <w:pPr>
        <w:pStyle w:val="BodyText"/>
        <w:spacing w:line="252" w:lineRule="exact"/>
        <w:ind w:left="665"/>
      </w:pPr>
      <w:r>
        <w:rPr/>
        <w:t>(D)</w:t>
      </w:r>
      <w:r>
        <w:rPr>
          <w:spacing w:val="10"/>
        </w:rPr>
        <w:t> </w:t>
      </w:r>
      <w:r>
        <w:rPr/>
        <w:t>was</w:t>
      </w:r>
      <w:r>
        <w:rPr>
          <w:spacing w:val="7"/>
        </w:rPr>
        <w:t> </w:t>
      </w:r>
      <w:r>
        <w:rPr/>
        <w:t>calculated</w:t>
      </w:r>
      <w:r>
        <w:rPr>
          <w:spacing w:val="11"/>
        </w:rPr>
        <w:t> </w:t>
      </w:r>
      <w:r>
        <w:rPr/>
        <w:t>using</w:t>
      </w:r>
      <w:r>
        <w:rPr>
          <w:spacing w:val="6"/>
        </w:rPr>
        <w:t> </w:t>
      </w:r>
      <w:r>
        <w:rPr/>
        <w:t>the</w:t>
      </w:r>
      <w:r>
        <w:rPr>
          <w:spacing w:val="9"/>
        </w:rPr>
        <w:t> </w:t>
      </w:r>
      <w:r>
        <w:rPr>
          <w:spacing w:val="-2"/>
        </w:rPr>
        <w:t>equation:</w:t>
      </w:r>
    </w:p>
    <w:p>
      <w:pPr>
        <w:pStyle w:val="BodyText"/>
        <w:rPr>
          <w:sz w:val="14"/>
        </w:rPr>
      </w:pPr>
    </w:p>
    <w:p>
      <w:pPr>
        <w:spacing w:after="0"/>
        <w:rPr>
          <w:sz w:val="14"/>
        </w:rPr>
        <w:sectPr>
          <w:pgSz w:w="12240" w:h="15840"/>
          <w:pgMar w:header="0" w:footer="999" w:top="1260" w:bottom="1180" w:left="1720" w:right="0"/>
        </w:sectPr>
      </w:pPr>
    </w:p>
    <w:p>
      <w:pPr>
        <w:spacing w:before="240"/>
        <w:ind w:left="0" w:right="0" w:firstLine="0"/>
        <w:jc w:val="right"/>
        <w:rPr>
          <w:rFonts w:ascii="Cambria Math" w:eastAsia="Cambria Math"/>
          <w:sz w:val="22"/>
        </w:rPr>
      </w:pPr>
      <w:r>
        <w:rPr>
          <w:rFonts w:ascii="Cambria Math" w:eastAsia="Cambria Math"/>
          <w:sz w:val="22"/>
        </w:rPr>
        <w:t>𝐷</w:t>
      </w:r>
      <w:r>
        <w:rPr>
          <w:rFonts w:ascii="Cambria Math" w:eastAsia="Cambria Math"/>
          <w:spacing w:val="71"/>
          <w:sz w:val="22"/>
        </w:rPr>
        <w:t> </w:t>
      </w:r>
      <w:r>
        <w:rPr>
          <w:rFonts w:ascii="Cambria Math" w:eastAsia="Cambria Math"/>
          <w:spacing w:val="-10"/>
          <w:sz w:val="22"/>
        </w:rPr>
        <w:t>=</w:t>
      </w:r>
    </w:p>
    <w:p>
      <w:pPr>
        <w:pStyle w:val="BodyText"/>
        <w:spacing w:line="373" w:lineRule="exact" w:before="70"/>
        <w:ind w:left="70"/>
        <w:rPr>
          <w:rFonts w:ascii="Cambria Math" w:hAnsi="Cambria Math"/>
        </w:rPr>
      </w:pPr>
      <w:r>
        <w:rPr/>
        <w:br w:type="column"/>
      </w:r>
      <w:r>
        <w:rPr>
          <w:rFonts w:ascii="Cambria Math" w:hAnsi="Cambria Math"/>
          <w:position w:val="17"/>
        </w:rPr>
        <w:t>W</w:t>
      </w:r>
      <w:r>
        <w:rPr>
          <w:rFonts w:ascii="Cambria Math" w:hAnsi="Cambria Math"/>
          <w:spacing w:val="-4"/>
          <w:position w:val="17"/>
        </w:rPr>
        <w:t> </w:t>
      </w:r>
      <w:r>
        <w:rPr>
          <w:rFonts w:ascii="Verdana" w:hAnsi="Verdana"/>
          <w:i/>
          <w:sz w:val="23"/>
        </w:rPr>
        <w:t>ρ</w:t>
      </w:r>
      <w:r>
        <w:rPr>
          <w:rFonts w:ascii="Verdana" w:hAnsi="Verdana"/>
          <w:i/>
          <w:spacing w:val="-31"/>
          <w:sz w:val="23"/>
        </w:rPr>
        <w:t> </w:t>
      </w:r>
      <w:r>
        <w:rPr>
          <w:rFonts w:ascii="Cambria Math" w:hAnsi="Cambria Math"/>
        </w:rPr>
        <w:t>− −</w:t>
      </w:r>
      <w:r>
        <w:rPr>
          <w:rFonts w:ascii="Cambria Math" w:hAnsi="Cambria Math"/>
          <w:spacing w:val="5"/>
        </w:rPr>
        <w:t> </w:t>
      </w:r>
      <w:r>
        <w:rPr>
          <w:rFonts w:ascii="Cambria Math" w:hAnsi="Cambria Math"/>
        </w:rPr>
        <w:t>−</w:t>
      </w:r>
      <w:r>
        <w:rPr>
          <w:rFonts w:ascii="Cambria Math" w:hAnsi="Cambria Math"/>
          <w:spacing w:val="5"/>
        </w:rPr>
        <w:t> </w:t>
      </w:r>
      <w:r>
        <w:rPr>
          <w:rFonts w:ascii="Cambria Math" w:hAnsi="Cambria Math"/>
        </w:rPr>
        <w:t>−</w:t>
      </w:r>
      <w:r>
        <w:rPr>
          <w:rFonts w:ascii="Cambria Math" w:hAnsi="Cambria Math"/>
          <w:spacing w:val="5"/>
        </w:rPr>
        <w:t> </w:t>
      </w:r>
      <w:r>
        <w:rPr>
          <w:rFonts w:ascii="Cambria Math" w:hAnsi="Cambria Math"/>
        </w:rPr>
        <w:t>− </w:t>
      </w:r>
      <w:r>
        <w:rPr>
          <w:rFonts w:ascii="Cambria Math" w:hAnsi="Cambria Math"/>
          <w:spacing w:val="-2"/>
        </w:rPr>
        <w:t>−(3.10)</w:t>
      </w:r>
    </w:p>
    <w:p>
      <w:pPr>
        <w:spacing w:line="203" w:lineRule="exact" w:before="0"/>
        <w:ind w:left="104" w:right="0" w:firstLine="0"/>
        <w:jc w:val="left"/>
        <w:rPr>
          <w:rFonts w:ascii="Cambria Math" w:eastAsia="Cambria Math"/>
          <w:sz w:val="22"/>
        </w:rPr>
      </w:pPr>
      <w:r>
        <w:rPr/>
        <mc:AlternateContent>
          <mc:Choice Requires="wps">
            <w:drawing>
              <wp:anchor distT="0" distB="0" distL="0" distR="0" allowOverlap="1" layoutInCell="1" locked="0" behindDoc="1" simplePos="0" relativeHeight="481994240">
                <wp:simplePos x="0" y="0"/>
                <wp:positionH relativeFrom="page">
                  <wp:posOffset>3483864</wp:posOffset>
                </wp:positionH>
                <wp:positionV relativeFrom="paragraph">
                  <wp:posOffset>-41972</wp:posOffset>
                </wp:positionV>
                <wp:extent cx="140335" cy="95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40335" cy="9525"/>
                        </a:xfrm>
                        <a:custGeom>
                          <a:avLst/>
                          <a:gdLst/>
                          <a:ahLst/>
                          <a:cxnLst/>
                          <a:rect l="l" t="t" r="r" b="b"/>
                          <a:pathLst>
                            <a:path w="140335" h="9525">
                              <a:moveTo>
                                <a:pt x="140208" y="0"/>
                              </a:moveTo>
                              <a:lnTo>
                                <a:pt x="0" y="0"/>
                              </a:lnTo>
                              <a:lnTo>
                                <a:pt x="0" y="9143"/>
                              </a:lnTo>
                              <a:lnTo>
                                <a:pt x="140208" y="9143"/>
                              </a:lnTo>
                              <a:lnTo>
                                <a:pt x="140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320007pt;margin-top:-3.3049pt;width:11.04pt;height:.72pt;mso-position-horizontal-relative:page;mso-position-vertical-relative:paragraph;z-index:-21322240" id="docshape39" filled="true" fillcolor="#000000" stroked="false">
                <v:fill type="solid"/>
                <w10:wrap type="none"/>
              </v:rect>
            </w:pict>
          </mc:Fallback>
        </mc:AlternateContent>
      </w:r>
      <w:r>
        <w:rPr>
          <w:rFonts w:ascii="Cambria Math" w:eastAsia="Cambria Math"/>
          <w:spacing w:val="-10"/>
          <w:sz w:val="22"/>
        </w:rPr>
        <w:t>𝑉</w:t>
      </w:r>
    </w:p>
    <w:p>
      <w:pPr>
        <w:spacing w:after="0" w:line="203" w:lineRule="exact"/>
        <w:jc w:val="left"/>
        <w:rPr>
          <w:rFonts w:ascii="Cambria Math" w:eastAsia="Cambria Math"/>
          <w:sz w:val="22"/>
        </w:rPr>
        <w:sectPr>
          <w:type w:val="continuous"/>
          <w:pgSz w:w="12240" w:h="15840"/>
          <w:pgMar w:header="0" w:footer="999" w:top="1780" w:bottom="1180" w:left="1720" w:right="0"/>
          <w:cols w:num="2" w:equalWidth="0">
            <w:col w:w="3656" w:space="40"/>
            <w:col w:w="6824"/>
          </w:cols>
        </w:sectPr>
      </w:pPr>
    </w:p>
    <w:p>
      <w:pPr>
        <w:pStyle w:val="BodyText"/>
        <w:spacing w:before="234"/>
        <w:ind w:left="1342"/>
      </w:pPr>
      <w:r>
        <w:rPr/>
        <w:t>Where</w:t>
      </w:r>
      <w:r>
        <w:rPr>
          <w:spacing w:val="9"/>
        </w:rPr>
        <w:t> </w:t>
      </w:r>
      <w:r>
        <w:rPr/>
        <w:t>W</w:t>
      </w:r>
      <w:r>
        <w:rPr>
          <w:spacing w:val="7"/>
        </w:rPr>
        <w:t> </w:t>
      </w:r>
      <w:r>
        <w:rPr/>
        <w:t>=</w:t>
      </w:r>
      <w:r>
        <w:rPr>
          <w:spacing w:val="10"/>
        </w:rPr>
        <w:t> </w:t>
      </w:r>
      <w:r>
        <w:rPr/>
        <w:t>compact’s</w:t>
      </w:r>
      <w:r>
        <w:rPr>
          <w:spacing w:val="7"/>
        </w:rPr>
        <w:t> </w:t>
      </w:r>
      <w:r>
        <w:rPr/>
        <w:t>weight,</w:t>
      </w:r>
      <w:r>
        <w:rPr>
          <w:spacing w:val="16"/>
        </w:rPr>
        <w:t> </w:t>
      </w:r>
      <w:r>
        <w:rPr/>
        <w:t>V=</w:t>
      </w:r>
      <w:r>
        <w:rPr>
          <w:spacing w:val="11"/>
        </w:rPr>
        <w:t> </w:t>
      </w:r>
      <w:r>
        <w:rPr/>
        <w:t>compacts</w:t>
      </w:r>
      <w:r>
        <w:rPr>
          <w:spacing w:val="7"/>
        </w:rPr>
        <w:t> </w:t>
      </w:r>
      <w:r>
        <w:rPr/>
        <w:t>volume</w:t>
      </w:r>
      <w:r>
        <w:rPr>
          <w:spacing w:val="9"/>
        </w:rPr>
        <w:t> </w:t>
      </w:r>
      <w:r>
        <w:rPr/>
        <w:t>and</w:t>
      </w:r>
      <w:r>
        <w:rPr>
          <w:spacing w:val="17"/>
        </w:rPr>
        <w:t> </w:t>
      </w:r>
      <w:r>
        <w:rPr>
          <w:rFonts w:ascii="Symbol" w:hAnsi="Symbol"/>
        </w:rPr>
        <w:t></w:t>
      </w:r>
      <w:r>
        <w:rPr>
          <w:spacing w:val="5"/>
        </w:rPr>
        <w:t> </w:t>
      </w:r>
      <w:r>
        <w:rPr/>
        <w:t>=</w:t>
      </w:r>
      <w:r>
        <w:rPr>
          <w:spacing w:val="6"/>
        </w:rPr>
        <w:t> </w:t>
      </w:r>
      <w:r>
        <w:rPr/>
        <w:t>particle</w:t>
      </w:r>
      <w:r>
        <w:rPr>
          <w:spacing w:val="9"/>
        </w:rPr>
        <w:t> </w:t>
      </w:r>
      <w:r>
        <w:rPr>
          <w:spacing w:val="-2"/>
        </w:rPr>
        <w:t>density.</w:t>
      </w:r>
    </w:p>
    <w:p>
      <w:pPr>
        <w:pStyle w:val="BodyText"/>
        <w:spacing w:before="21"/>
      </w:pPr>
    </w:p>
    <w:p>
      <w:pPr>
        <w:pStyle w:val="BodyText"/>
        <w:spacing w:line="496" w:lineRule="auto"/>
        <w:ind w:left="665" w:right="1858"/>
      </w:pPr>
      <w:r>
        <w:rPr/>
        <w:t>Heckel</w:t>
      </w:r>
      <w:r>
        <w:rPr>
          <w:spacing w:val="39"/>
        </w:rPr>
        <w:t> </w:t>
      </w:r>
      <w:r>
        <w:rPr/>
        <w:t>plot</w:t>
      </w:r>
      <w:r>
        <w:rPr>
          <w:spacing w:val="40"/>
        </w:rPr>
        <w:t> </w:t>
      </w:r>
      <w:r>
        <w:rPr/>
        <w:t>of</w:t>
      </w:r>
      <w:r>
        <w:rPr>
          <w:spacing w:val="40"/>
        </w:rPr>
        <w:t> </w:t>
      </w:r>
      <w:r>
        <w:rPr/>
        <w:t>ln</w:t>
      </w:r>
      <w:r>
        <w:rPr>
          <w:spacing w:val="37"/>
        </w:rPr>
        <w:t> </w:t>
      </w:r>
      <w:r>
        <w:rPr/>
        <w:t>[1</w:t>
      </w:r>
      <w:r>
        <w:rPr>
          <w:spacing w:val="40"/>
        </w:rPr>
        <w:t> </w:t>
      </w:r>
      <w:r>
        <w:rPr/>
        <w:t>/</w:t>
      </w:r>
      <w:r>
        <w:rPr>
          <w:spacing w:val="40"/>
        </w:rPr>
        <w:t> </w:t>
      </w:r>
      <w:r>
        <w:rPr/>
        <w:t>(1</w:t>
      </w:r>
      <w:r>
        <w:rPr>
          <w:spacing w:val="40"/>
        </w:rPr>
        <w:t> </w:t>
      </w:r>
      <w:r>
        <w:rPr/>
        <w:t>-</w:t>
      </w:r>
      <w:r>
        <w:rPr>
          <w:spacing w:val="40"/>
        </w:rPr>
        <w:t> </w:t>
      </w:r>
      <w:r>
        <w:rPr/>
        <w:t>D)]</w:t>
      </w:r>
      <w:r>
        <w:rPr>
          <w:spacing w:val="40"/>
        </w:rPr>
        <w:t> </w:t>
      </w:r>
      <w:r>
        <w:rPr/>
        <w:t>versus</w:t>
      </w:r>
      <w:r>
        <w:rPr>
          <w:spacing w:val="38"/>
        </w:rPr>
        <w:t> </w:t>
      </w:r>
      <w:r>
        <w:rPr/>
        <w:t>applied</w:t>
      </w:r>
      <w:r>
        <w:rPr>
          <w:spacing w:val="40"/>
        </w:rPr>
        <w:t> </w:t>
      </w:r>
      <w:r>
        <w:rPr/>
        <w:t>pressure</w:t>
      </w:r>
      <w:r>
        <w:rPr>
          <w:spacing w:val="40"/>
        </w:rPr>
        <w:t> </w:t>
      </w:r>
      <w:r>
        <w:rPr/>
        <w:t>(P)</w:t>
      </w:r>
      <w:r>
        <w:rPr>
          <w:spacing w:val="40"/>
        </w:rPr>
        <w:t> </w:t>
      </w:r>
      <w:r>
        <w:rPr/>
        <w:t>for</w:t>
      </w:r>
      <w:r>
        <w:rPr>
          <w:spacing w:val="40"/>
        </w:rPr>
        <w:t> </w:t>
      </w:r>
      <w:r>
        <w:rPr/>
        <w:t>all</w:t>
      </w:r>
      <w:r>
        <w:rPr>
          <w:spacing w:val="40"/>
        </w:rPr>
        <w:t> </w:t>
      </w:r>
      <w:r>
        <w:rPr/>
        <w:t>formulations</w:t>
      </w:r>
      <w:r>
        <w:rPr>
          <w:spacing w:val="40"/>
        </w:rPr>
        <w:t> </w:t>
      </w:r>
      <w:r>
        <w:rPr/>
        <w:t>were drawn. The mean yield pressure P</w:t>
      </w:r>
      <w:r>
        <w:rPr>
          <w:vertAlign w:val="subscript"/>
        </w:rPr>
        <w:t>Y</w:t>
      </w:r>
      <w:r>
        <w:rPr>
          <w:vertAlign w:val="baseline"/>
        </w:rPr>
        <w:t>, was determined as the inverse of the slope k.</w:t>
      </w:r>
    </w:p>
    <w:p>
      <w:pPr>
        <w:spacing w:after="0" w:line="496" w:lineRule="auto"/>
        <w:sectPr>
          <w:type w:val="continuous"/>
          <w:pgSz w:w="12240" w:h="15840"/>
          <w:pgMar w:header="0" w:footer="999" w:top="1780" w:bottom="1180" w:left="1720" w:right="0"/>
        </w:sectPr>
      </w:pPr>
    </w:p>
    <w:p>
      <w:pPr>
        <w:pStyle w:val="Heading2"/>
        <w:numPr>
          <w:ilvl w:val="1"/>
          <w:numId w:val="33"/>
        </w:numPr>
        <w:tabs>
          <w:tab w:pos="1118" w:val="left" w:leader="none"/>
        </w:tabs>
        <w:spacing w:line="240" w:lineRule="auto" w:before="80" w:after="0"/>
        <w:ind w:left="1118" w:right="0" w:hanging="453"/>
        <w:jc w:val="left"/>
      </w:pPr>
      <w:bookmarkStart w:name="_TOC_250039" w:id="122"/>
      <w:r>
        <w:rPr/>
        <w:t>Statistical</w:t>
      </w:r>
      <w:r>
        <w:rPr>
          <w:spacing w:val="20"/>
        </w:rPr>
        <w:t> </w:t>
      </w:r>
      <w:bookmarkEnd w:id="122"/>
      <w:r>
        <w:rPr>
          <w:spacing w:val="-2"/>
        </w:rPr>
        <w:t>Analysis</w:t>
      </w:r>
    </w:p>
    <w:p>
      <w:pPr>
        <w:pStyle w:val="BodyText"/>
        <w:spacing w:before="7"/>
        <w:rPr>
          <w:b/>
        </w:rPr>
      </w:pPr>
    </w:p>
    <w:p>
      <w:pPr>
        <w:pStyle w:val="BodyText"/>
        <w:spacing w:line="491" w:lineRule="auto" w:before="1"/>
        <w:ind w:left="665" w:right="1858" w:firstLine="446"/>
      </w:pPr>
      <w:r>
        <w:rPr/>
        <w:t>Statistical</w:t>
      </w:r>
      <w:r>
        <w:rPr>
          <w:spacing w:val="40"/>
        </w:rPr>
        <w:t> </w:t>
      </w:r>
      <w:r>
        <w:rPr/>
        <w:t>analysis</w:t>
      </w:r>
      <w:r>
        <w:rPr>
          <w:spacing w:val="69"/>
        </w:rPr>
        <w:t> </w:t>
      </w:r>
      <w:r>
        <w:rPr/>
        <w:t>was</w:t>
      </w:r>
      <w:r>
        <w:rPr>
          <w:spacing w:val="69"/>
        </w:rPr>
        <w:t> </w:t>
      </w:r>
      <w:r>
        <w:rPr/>
        <w:t>carried</w:t>
      </w:r>
      <w:r>
        <w:rPr>
          <w:spacing w:val="40"/>
        </w:rPr>
        <w:t> </w:t>
      </w:r>
      <w:r>
        <w:rPr/>
        <w:t>out</w:t>
      </w:r>
      <w:r>
        <w:rPr>
          <w:spacing w:val="40"/>
        </w:rPr>
        <w:t> </w:t>
      </w:r>
      <w:r>
        <w:rPr/>
        <w:t>to</w:t>
      </w:r>
      <w:r>
        <w:rPr>
          <w:spacing w:val="40"/>
        </w:rPr>
        <w:t> </w:t>
      </w:r>
      <w:r>
        <w:rPr/>
        <w:t>compare</w:t>
      </w:r>
      <w:r>
        <w:rPr>
          <w:spacing w:val="40"/>
        </w:rPr>
        <w:t> </w:t>
      </w:r>
      <w:r>
        <w:rPr/>
        <w:t>the</w:t>
      </w:r>
      <w:r>
        <w:rPr>
          <w:spacing w:val="40"/>
        </w:rPr>
        <w:t> </w:t>
      </w:r>
      <w:r>
        <w:rPr/>
        <w:t>tableting</w:t>
      </w:r>
      <w:r>
        <w:rPr>
          <w:spacing w:val="40"/>
        </w:rPr>
        <w:t> </w:t>
      </w:r>
      <w:r>
        <w:rPr/>
        <w:t>properties</w:t>
      </w:r>
      <w:r>
        <w:rPr>
          <w:spacing w:val="40"/>
        </w:rPr>
        <w:t> </w:t>
      </w:r>
      <w:r>
        <w:rPr/>
        <w:t>of</w:t>
      </w:r>
      <w:r>
        <w:rPr>
          <w:spacing w:val="40"/>
        </w:rPr>
        <w:t> </w:t>
      </w:r>
      <w:r>
        <w:rPr/>
        <w:t>DS/</w:t>
      </w:r>
      <w:r>
        <w:rPr>
          <w:spacing w:val="40"/>
        </w:rPr>
        <w:t> </w:t>
      </w:r>
      <w:r>
        <w:rPr/>
        <w:t>MCS/MS</w:t>
      </w:r>
      <w:r>
        <w:rPr>
          <w:spacing w:val="39"/>
        </w:rPr>
        <w:t> </w:t>
      </w:r>
      <w:r>
        <w:rPr/>
        <w:t>at</w:t>
      </w:r>
      <w:r>
        <w:rPr>
          <w:spacing w:val="27"/>
        </w:rPr>
        <w:t> </w:t>
      </w:r>
      <w:r>
        <w:rPr/>
        <w:t>2.5-12.5</w:t>
      </w:r>
      <w:r>
        <w:rPr>
          <w:spacing w:val="37"/>
        </w:rPr>
        <w:t> </w:t>
      </w:r>
      <w:r>
        <w:rPr/>
        <w:t>%</w:t>
      </w:r>
      <w:r>
        <w:rPr>
          <w:spacing w:val="33"/>
        </w:rPr>
        <w:t> </w:t>
      </w:r>
      <w:r>
        <w:rPr/>
        <w:t>w/w</w:t>
      </w:r>
      <w:r>
        <w:rPr>
          <w:spacing w:val="35"/>
        </w:rPr>
        <w:t> </w:t>
      </w:r>
      <w:r>
        <w:rPr/>
        <w:t>disintegrant</w:t>
      </w:r>
      <w:r>
        <w:rPr>
          <w:spacing w:val="39"/>
        </w:rPr>
        <w:t> </w:t>
      </w:r>
      <w:r>
        <w:rPr/>
        <w:t>concentration</w:t>
      </w:r>
      <w:r>
        <w:rPr>
          <w:spacing w:val="25"/>
        </w:rPr>
        <w:t> </w:t>
      </w:r>
      <w:r>
        <w:rPr/>
        <w:t>and</w:t>
      </w:r>
      <w:r>
        <w:rPr>
          <w:spacing w:val="41"/>
        </w:rPr>
        <w:t> </w:t>
      </w:r>
      <w:r>
        <w:rPr/>
        <w:t>DS/MCS/GEL</w:t>
      </w:r>
      <w:r>
        <w:rPr>
          <w:spacing w:val="30"/>
        </w:rPr>
        <w:t> </w:t>
      </w:r>
      <w:r>
        <w:rPr/>
        <w:t>at</w:t>
      </w:r>
      <w:r>
        <w:rPr>
          <w:spacing w:val="34"/>
        </w:rPr>
        <w:t> </w:t>
      </w:r>
      <w:r>
        <w:rPr/>
        <w:t>2.5-</w:t>
      </w:r>
      <w:r>
        <w:rPr>
          <w:spacing w:val="-4"/>
        </w:rPr>
        <w:t>12.5</w:t>
      </w:r>
    </w:p>
    <w:p>
      <w:pPr>
        <w:pStyle w:val="BodyText"/>
        <w:spacing w:line="491" w:lineRule="auto"/>
        <w:ind w:left="665" w:right="1858"/>
      </w:pPr>
      <w:r>
        <w:rPr/>
        <w:t>%</w:t>
      </w:r>
      <w:r>
        <w:rPr>
          <w:spacing w:val="80"/>
          <w:w w:val="150"/>
        </w:rPr>
        <w:t> </w:t>
      </w:r>
      <w:r>
        <w:rPr/>
        <w:t>w/v</w:t>
      </w:r>
      <w:r>
        <w:rPr>
          <w:spacing w:val="80"/>
          <w:w w:val="150"/>
        </w:rPr>
        <w:t> </w:t>
      </w:r>
      <w:r>
        <w:rPr/>
        <w:t>binder</w:t>
      </w:r>
      <w:r>
        <w:rPr>
          <w:spacing w:val="80"/>
          <w:w w:val="150"/>
        </w:rPr>
        <w:t> </w:t>
      </w:r>
      <w:r>
        <w:rPr/>
        <w:t>concentration</w:t>
      </w:r>
      <w:r>
        <w:rPr>
          <w:spacing w:val="80"/>
          <w:w w:val="150"/>
        </w:rPr>
        <w:t> </w:t>
      </w:r>
      <w:r>
        <w:rPr/>
        <w:t>in</w:t>
      </w:r>
      <w:r>
        <w:rPr>
          <w:spacing w:val="80"/>
          <w:w w:val="150"/>
        </w:rPr>
        <w:t> </w:t>
      </w:r>
      <w:r>
        <w:rPr/>
        <w:t>the</w:t>
      </w:r>
      <w:r>
        <w:rPr>
          <w:spacing w:val="80"/>
          <w:w w:val="150"/>
        </w:rPr>
        <w:t> </w:t>
      </w:r>
      <w:r>
        <w:rPr/>
        <w:t>formulation</w:t>
      </w:r>
      <w:r>
        <w:rPr>
          <w:spacing w:val="80"/>
          <w:w w:val="150"/>
        </w:rPr>
        <w:t> </w:t>
      </w:r>
      <w:r>
        <w:rPr/>
        <w:t>of</w:t>
      </w:r>
      <w:r>
        <w:rPr>
          <w:spacing w:val="80"/>
          <w:w w:val="150"/>
        </w:rPr>
        <w:t> </w:t>
      </w:r>
      <w:r>
        <w:rPr/>
        <w:t>metronidazole</w:t>
      </w:r>
      <w:r>
        <w:rPr>
          <w:spacing w:val="80"/>
          <w:w w:val="150"/>
        </w:rPr>
        <w:t> </w:t>
      </w:r>
      <w:r>
        <w:rPr/>
        <w:t>tablets</w:t>
      </w:r>
      <w:r>
        <w:rPr>
          <w:spacing w:val="80"/>
          <w:w w:val="150"/>
        </w:rPr>
        <w:t> </w:t>
      </w:r>
      <w:r>
        <w:rPr/>
        <w:t>using correlation</w:t>
      </w:r>
      <w:r>
        <w:rPr>
          <w:spacing w:val="22"/>
        </w:rPr>
        <w:t> </w:t>
      </w:r>
      <w:r>
        <w:rPr/>
        <w:t>analysis</w:t>
      </w:r>
      <w:r>
        <w:rPr>
          <w:spacing w:val="30"/>
        </w:rPr>
        <w:t> </w:t>
      </w:r>
      <w:r>
        <w:rPr/>
        <w:t>as</w:t>
      </w:r>
      <w:r>
        <w:rPr>
          <w:spacing w:val="29"/>
        </w:rPr>
        <w:t> </w:t>
      </w:r>
      <w:r>
        <w:rPr/>
        <w:t>a</w:t>
      </w:r>
      <w:r>
        <w:rPr>
          <w:spacing w:val="32"/>
        </w:rPr>
        <w:t> </w:t>
      </w:r>
      <w:r>
        <w:rPr/>
        <w:t>statistical</w:t>
      </w:r>
      <w:r>
        <w:rPr>
          <w:spacing w:val="25"/>
        </w:rPr>
        <w:t> </w:t>
      </w:r>
      <w:r>
        <w:rPr/>
        <w:t>tool.</w:t>
      </w:r>
      <w:r>
        <w:rPr>
          <w:spacing w:val="32"/>
        </w:rPr>
        <w:t> </w:t>
      </w:r>
      <w:r>
        <w:rPr/>
        <w:t>Correlations</w:t>
      </w:r>
      <w:r>
        <w:rPr>
          <w:spacing w:val="30"/>
        </w:rPr>
        <w:t> </w:t>
      </w:r>
      <w:r>
        <w:rPr/>
        <w:t>were</w:t>
      </w:r>
      <w:r>
        <w:rPr>
          <w:spacing w:val="26"/>
        </w:rPr>
        <w:t> </w:t>
      </w:r>
      <w:r>
        <w:rPr/>
        <w:t>considered</w:t>
      </w:r>
      <w:r>
        <w:rPr>
          <w:spacing w:val="34"/>
        </w:rPr>
        <w:t> </w:t>
      </w:r>
      <w:r>
        <w:rPr/>
        <w:t>significant</w:t>
      </w:r>
      <w:r>
        <w:rPr>
          <w:spacing w:val="31"/>
        </w:rPr>
        <w:t> </w:t>
      </w:r>
      <w:r>
        <w:rPr/>
        <w:t>at</w:t>
      </w:r>
      <w:r>
        <w:rPr>
          <w:spacing w:val="36"/>
        </w:rPr>
        <w:t> </w:t>
      </w:r>
      <w:r>
        <w:rPr>
          <w:spacing w:val="-5"/>
        </w:rPr>
        <w:t>the</w:t>
      </w:r>
    </w:p>
    <w:p>
      <w:pPr>
        <w:pStyle w:val="BodyText"/>
        <w:spacing w:line="253" w:lineRule="exact"/>
        <w:ind w:left="665"/>
      </w:pPr>
      <w:r>
        <w:rPr/>
        <w:t>0.01</w:t>
      </w:r>
      <w:r>
        <w:rPr>
          <w:spacing w:val="11"/>
        </w:rPr>
        <w:t> </w:t>
      </w:r>
      <w:r>
        <w:rPr>
          <w:spacing w:val="-2"/>
        </w:rPr>
        <w:t>level.</w:t>
      </w:r>
    </w:p>
    <w:p>
      <w:pPr>
        <w:spacing w:after="0" w:line="253" w:lineRule="exact"/>
        <w:sectPr>
          <w:pgSz w:w="12240" w:h="15840"/>
          <w:pgMar w:header="0" w:footer="999" w:top="1260" w:bottom="1180" w:left="1720" w:right="0"/>
        </w:sectPr>
      </w:pPr>
    </w:p>
    <w:p>
      <w:pPr>
        <w:pStyle w:val="Heading1"/>
        <w:ind w:left="1065"/>
      </w:pPr>
      <w:bookmarkStart w:name="_TOC_250038" w:id="123"/>
      <w:r>
        <w:rPr/>
        <w:t>CHAPTER</w:t>
      </w:r>
      <w:r>
        <w:rPr>
          <w:spacing w:val="18"/>
        </w:rPr>
        <w:t> </w:t>
      </w:r>
      <w:bookmarkEnd w:id="123"/>
      <w:r>
        <w:rPr>
          <w:spacing w:val="-4"/>
        </w:rPr>
        <w:t>FOUR</w:t>
      </w:r>
    </w:p>
    <w:p>
      <w:pPr>
        <w:pStyle w:val="BodyText"/>
        <w:spacing w:before="108"/>
        <w:rPr>
          <w:b/>
        </w:rPr>
      </w:pPr>
    </w:p>
    <w:p>
      <w:pPr>
        <w:pStyle w:val="Heading1"/>
        <w:numPr>
          <w:ilvl w:val="1"/>
          <w:numId w:val="35"/>
        </w:numPr>
        <w:tabs>
          <w:tab w:pos="1342" w:val="left" w:leader="none"/>
        </w:tabs>
        <w:spacing w:line="240" w:lineRule="auto" w:before="0" w:after="0"/>
        <w:ind w:left="1342" w:right="0" w:hanging="677"/>
        <w:jc w:val="left"/>
      </w:pPr>
      <w:bookmarkStart w:name="_TOC_250037" w:id="124"/>
      <w:bookmarkEnd w:id="124"/>
      <w:r>
        <w:rPr>
          <w:spacing w:val="-2"/>
        </w:rPr>
        <w:t>RESULTS</w:t>
      </w:r>
    </w:p>
    <w:p>
      <w:pPr>
        <w:pStyle w:val="BodyText"/>
        <w:spacing w:line="491" w:lineRule="auto" w:before="247"/>
        <w:ind w:left="665" w:right="1859" w:firstLine="163"/>
        <w:jc w:val="both"/>
      </w:pPr>
      <w:r>
        <w:rPr/>
        <w:t>The</w:t>
      </w:r>
      <w:r>
        <w:rPr>
          <w:spacing w:val="25"/>
        </w:rPr>
        <w:t> </w:t>
      </w:r>
      <w:r>
        <w:rPr/>
        <w:t>results</w:t>
      </w:r>
      <w:r>
        <w:rPr>
          <w:spacing w:val="22"/>
        </w:rPr>
        <w:t> </w:t>
      </w:r>
      <w:r>
        <w:rPr/>
        <w:t>of preliminary investigation on </w:t>
      </w:r>
      <w:r>
        <w:rPr>
          <w:i/>
        </w:rPr>
        <w:t>Digitaria</w:t>
      </w:r>
      <w:r>
        <w:rPr>
          <w:i/>
          <w:spacing w:val="26"/>
        </w:rPr>
        <w:t> </w:t>
      </w:r>
      <w:r>
        <w:rPr>
          <w:i/>
        </w:rPr>
        <w:t>iburua</w:t>
      </w:r>
      <w:r>
        <w:rPr>
          <w:i/>
          <w:spacing w:val="27"/>
        </w:rPr>
        <w:t> </w:t>
      </w:r>
      <w:r>
        <w:rPr/>
        <w:t>starch (DS)</w:t>
      </w:r>
      <w:r>
        <w:rPr>
          <w:spacing w:val="26"/>
        </w:rPr>
        <w:t> </w:t>
      </w:r>
      <w:r>
        <w:rPr/>
        <w:t>are presented in Table 4.1 below. On examination, DS was odourless, off-white and tasteless with a smooth texture when felt between the fingers. The yield of DS extracted from the</w:t>
      </w:r>
      <w:r>
        <w:rPr>
          <w:spacing w:val="40"/>
        </w:rPr>
        <w:t> </w:t>
      </w:r>
      <w:r>
        <w:rPr>
          <w:i/>
        </w:rPr>
        <w:t>Digitaria iburua </w:t>
      </w:r>
      <w:r>
        <w:rPr/>
        <w:t>grains was 62.88 % w/w. The DS gave a black-blue coloration when treated with iodine solution confirming the presence of starch. The gelatinization temperature was 56.0 </w:t>
      </w:r>
      <w:r>
        <w:rPr>
          <w:vertAlign w:val="superscript"/>
        </w:rPr>
        <w:t>o</w:t>
      </w:r>
      <w:r>
        <w:rPr>
          <w:vertAlign w:val="baseline"/>
        </w:rPr>
        <w:t>C.</w:t>
      </w:r>
    </w:p>
    <w:p>
      <w:pPr>
        <w:tabs>
          <w:tab w:pos="4774" w:val="left" w:leader="none"/>
        </w:tabs>
        <w:spacing w:line="482" w:lineRule="auto" w:before="229" w:after="4"/>
        <w:ind w:left="665" w:right="3791" w:firstLine="0"/>
        <w:jc w:val="both"/>
        <w:rPr>
          <w:b/>
          <w:sz w:val="22"/>
        </w:rPr>
      </w:pPr>
      <w:r>
        <w:rPr/>
        <mc:AlternateContent>
          <mc:Choice Requires="wps">
            <w:drawing>
              <wp:anchor distT="0" distB="0" distL="0" distR="0" allowOverlap="1" layoutInCell="1" locked="0" behindDoc="0" simplePos="0" relativeHeight="15745024">
                <wp:simplePos x="0" y="0"/>
                <wp:positionH relativeFrom="page">
                  <wp:posOffset>1450848</wp:posOffset>
                </wp:positionH>
                <wp:positionV relativeFrom="paragraph">
                  <wp:posOffset>458741</wp:posOffset>
                </wp:positionV>
                <wp:extent cx="5206365" cy="63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206365" cy="6350"/>
                        </a:xfrm>
                        <a:custGeom>
                          <a:avLst/>
                          <a:gdLst/>
                          <a:ahLst/>
                          <a:cxnLst/>
                          <a:rect l="l" t="t" r="r" b="b"/>
                          <a:pathLst>
                            <a:path w="5206365" h="6350">
                              <a:moveTo>
                                <a:pt x="5205984" y="0"/>
                              </a:moveTo>
                              <a:lnTo>
                                <a:pt x="2615184" y="0"/>
                              </a:lnTo>
                              <a:lnTo>
                                <a:pt x="2609088" y="0"/>
                              </a:lnTo>
                              <a:lnTo>
                                <a:pt x="0" y="0"/>
                              </a:lnTo>
                              <a:lnTo>
                                <a:pt x="0" y="6096"/>
                              </a:lnTo>
                              <a:lnTo>
                                <a:pt x="2609088" y="6096"/>
                              </a:lnTo>
                              <a:lnTo>
                                <a:pt x="2615184" y="6096"/>
                              </a:lnTo>
                              <a:lnTo>
                                <a:pt x="5205984" y="6096"/>
                              </a:lnTo>
                              <a:lnTo>
                                <a:pt x="5205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240005pt;margin-top:36.121414pt;width:409.95pt;height:.5pt;mso-position-horizontal-relative:page;mso-position-vertical-relative:paragraph;z-index:15745024" id="docshape40" coordorigin="2285,722" coordsize="8199,10" path="m10483,722l6403,722,6394,722,2285,722,2285,732,6394,732,6403,732,10483,732,10483,722xe" filled="true" fillcolor="#000000" stroked="false">
                <v:path arrowok="t"/>
                <v:fill type="solid"/>
                <w10:wrap type="none"/>
              </v:shape>
            </w:pict>
          </mc:Fallback>
        </mc:AlternateContent>
      </w:r>
      <w:r>
        <w:rPr>
          <w:b/>
          <w:sz w:val="22"/>
        </w:rPr>
        <w:t>Table 4.1: Preliminary investigation on </w:t>
      </w:r>
      <w:r>
        <w:rPr>
          <w:b/>
          <w:i/>
          <w:sz w:val="22"/>
        </w:rPr>
        <w:t>Digitaria iburua </w:t>
      </w:r>
      <w:r>
        <w:rPr>
          <w:b/>
          <w:sz w:val="22"/>
        </w:rPr>
        <w:t>starch. </w:t>
      </w:r>
      <w:r>
        <w:rPr>
          <w:b/>
          <w:spacing w:val="-2"/>
          <w:sz w:val="22"/>
        </w:rPr>
        <w:t>Properties</w:t>
      </w:r>
      <w:r>
        <w:rPr>
          <w:b/>
          <w:sz w:val="22"/>
        </w:rPr>
        <w:tab/>
      </w:r>
      <w:r>
        <w:rPr>
          <w:b/>
          <w:spacing w:val="-2"/>
          <w:sz w:val="22"/>
        </w:rPr>
        <w:t>Result</w:t>
      </w:r>
    </w:p>
    <w:p>
      <w:pPr>
        <w:pStyle w:val="BodyText"/>
        <w:spacing w:line="20" w:lineRule="exact"/>
        <w:ind w:left="564"/>
        <w:rPr>
          <w:sz w:val="2"/>
        </w:rPr>
      </w:pPr>
      <w:r>
        <w:rPr>
          <w:sz w:val="2"/>
        </w:rPr>
        <mc:AlternateContent>
          <mc:Choice Requires="wps">
            <w:drawing>
              <wp:inline distT="0" distB="0" distL="0" distR="0">
                <wp:extent cx="5206365" cy="6350"/>
                <wp:effectExtent l="0" t="0" r="0" b="0"/>
                <wp:docPr id="43" name="Group 43"/>
                <wp:cNvGraphicFramePr>
                  <a:graphicFrameLocks/>
                </wp:cNvGraphicFramePr>
                <a:graphic>
                  <a:graphicData uri="http://schemas.microsoft.com/office/word/2010/wordprocessingGroup">
                    <wpg:wgp>
                      <wpg:cNvPr id="43" name="Group 43"/>
                      <wpg:cNvGrpSpPr/>
                      <wpg:grpSpPr>
                        <a:xfrm>
                          <a:off x="0" y="0"/>
                          <a:ext cx="5206365" cy="6350"/>
                          <a:chExt cx="5206365" cy="6350"/>
                        </a:xfrm>
                      </wpg:grpSpPr>
                      <wps:wsp>
                        <wps:cNvPr id="44" name="Graphic 44"/>
                        <wps:cNvSpPr/>
                        <wps:spPr>
                          <a:xfrm>
                            <a:off x="0" y="0"/>
                            <a:ext cx="5206365" cy="6350"/>
                          </a:xfrm>
                          <a:custGeom>
                            <a:avLst/>
                            <a:gdLst/>
                            <a:ahLst/>
                            <a:cxnLst/>
                            <a:rect l="l" t="t" r="r" b="b"/>
                            <a:pathLst>
                              <a:path w="5206365" h="6350">
                                <a:moveTo>
                                  <a:pt x="5205984" y="0"/>
                                </a:moveTo>
                                <a:lnTo>
                                  <a:pt x="2615184" y="0"/>
                                </a:lnTo>
                                <a:lnTo>
                                  <a:pt x="2609088" y="0"/>
                                </a:lnTo>
                                <a:lnTo>
                                  <a:pt x="0" y="0"/>
                                </a:lnTo>
                                <a:lnTo>
                                  <a:pt x="0" y="6096"/>
                                </a:lnTo>
                                <a:lnTo>
                                  <a:pt x="2609088" y="6096"/>
                                </a:lnTo>
                                <a:lnTo>
                                  <a:pt x="2615184" y="6096"/>
                                </a:lnTo>
                                <a:lnTo>
                                  <a:pt x="5205984" y="6096"/>
                                </a:lnTo>
                                <a:lnTo>
                                  <a:pt x="5205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9.95pt;height:.5pt;mso-position-horizontal-relative:char;mso-position-vertical-relative:line" id="docshapegroup41" coordorigin="0,0" coordsize="8199,10">
                <v:shape style="position:absolute;left:0;top:0;width:8199;height:10" id="docshape42" coordorigin="0,0" coordsize="8199,10" path="m8198,0l4118,0,4109,0,0,0,0,10,4109,10,4118,10,8198,10,8198,0xe" filled="true" fillcolor="#000000" stroked="false">
                  <v:path arrowok="t"/>
                  <v:fill type="solid"/>
                </v:shape>
              </v:group>
            </w:pict>
          </mc:Fallback>
        </mc:AlternateContent>
      </w:r>
      <w:r>
        <w:rPr>
          <w:sz w:val="2"/>
        </w:rPr>
      </w:r>
    </w:p>
    <w:p>
      <w:pPr>
        <w:tabs>
          <w:tab w:pos="4774" w:val="left" w:leader="none"/>
        </w:tabs>
        <w:spacing w:before="0"/>
        <w:ind w:left="665" w:right="0" w:firstLine="0"/>
        <w:jc w:val="left"/>
        <w:rPr>
          <w:sz w:val="22"/>
        </w:rPr>
      </w:pPr>
      <w:r>
        <w:rPr>
          <w:b/>
          <w:spacing w:val="-2"/>
          <w:sz w:val="22"/>
        </w:rPr>
        <w:t>Odour</w:t>
      </w:r>
      <w:r>
        <w:rPr>
          <w:b/>
          <w:sz w:val="22"/>
        </w:rPr>
        <w:tab/>
      </w:r>
      <w:r>
        <w:rPr>
          <w:spacing w:val="-2"/>
          <w:sz w:val="22"/>
        </w:rPr>
        <w:t>Odourless</w:t>
      </w:r>
    </w:p>
    <w:p>
      <w:pPr>
        <w:pStyle w:val="BodyText"/>
        <w:spacing w:before="12"/>
      </w:pPr>
    </w:p>
    <w:p>
      <w:pPr>
        <w:tabs>
          <w:tab w:pos="4774" w:val="left" w:leader="none"/>
        </w:tabs>
        <w:spacing w:before="0"/>
        <w:ind w:left="665" w:right="0" w:firstLine="0"/>
        <w:jc w:val="left"/>
        <w:rPr>
          <w:sz w:val="22"/>
        </w:rPr>
      </w:pPr>
      <w:r>
        <w:rPr>
          <w:b/>
          <w:spacing w:val="-2"/>
          <w:sz w:val="22"/>
        </w:rPr>
        <w:t>Colour</w:t>
      </w:r>
      <w:r>
        <w:rPr>
          <w:b/>
          <w:sz w:val="22"/>
        </w:rPr>
        <w:tab/>
      </w:r>
      <w:r>
        <w:rPr>
          <w:spacing w:val="-2"/>
          <w:sz w:val="22"/>
        </w:rPr>
        <w:t>Off-</w:t>
      </w:r>
      <w:r>
        <w:rPr>
          <w:spacing w:val="-4"/>
          <w:sz w:val="22"/>
        </w:rPr>
        <w:t>White</w:t>
      </w:r>
    </w:p>
    <w:p>
      <w:pPr>
        <w:pStyle w:val="BodyText"/>
        <w:spacing w:before="13"/>
      </w:pPr>
    </w:p>
    <w:p>
      <w:pPr>
        <w:tabs>
          <w:tab w:pos="4774" w:val="left" w:leader="none"/>
        </w:tabs>
        <w:spacing w:before="0"/>
        <w:ind w:left="665" w:right="0" w:firstLine="0"/>
        <w:jc w:val="left"/>
        <w:rPr>
          <w:sz w:val="22"/>
        </w:rPr>
      </w:pPr>
      <w:r>
        <w:rPr>
          <w:b/>
          <w:spacing w:val="-2"/>
          <w:sz w:val="22"/>
        </w:rPr>
        <w:t>Taste</w:t>
      </w:r>
      <w:r>
        <w:rPr>
          <w:b/>
          <w:sz w:val="22"/>
        </w:rPr>
        <w:tab/>
      </w:r>
      <w:r>
        <w:rPr>
          <w:spacing w:val="-2"/>
          <w:sz w:val="22"/>
        </w:rPr>
        <w:t>Tasteless</w:t>
      </w:r>
    </w:p>
    <w:p>
      <w:pPr>
        <w:pStyle w:val="BodyText"/>
        <w:spacing w:before="4"/>
        <w:rPr>
          <w:sz w:val="14"/>
        </w:rPr>
      </w:pPr>
    </w:p>
    <w:p>
      <w:pPr>
        <w:spacing w:after="0"/>
        <w:rPr>
          <w:sz w:val="14"/>
        </w:rPr>
        <w:sectPr>
          <w:pgSz w:w="12240" w:h="15840"/>
          <w:pgMar w:header="0" w:footer="999" w:top="1260" w:bottom="1180" w:left="1720" w:right="0"/>
        </w:sectPr>
      </w:pPr>
    </w:p>
    <w:p>
      <w:pPr>
        <w:spacing w:before="100"/>
        <w:ind w:left="665" w:right="0" w:firstLine="0"/>
        <w:jc w:val="left"/>
        <w:rPr>
          <w:b/>
          <w:sz w:val="22"/>
        </w:rPr>
      </w:pPr>
      <w:r>
        <w:rPr>
          <w:b/>
          <w:spacing w:val="-2"/>
          <w:sz w:val="22"/>
        </w:rPr>
        <w:t>Texture</w:t>
      </w:r>
    </w:p>
    <w:p>
      <w:pPr>
        <w:pStyle w:val="BodyText"/>
        <w:spacing w:before="12"/>
        <w:rPr>
          <w:b/>
        </w:rPr>
      </w:pPr>
    </w:p>
    <w:p>
      <w:pPr>
        <w:spacing w:line="491" w:lineRule="auto" w:before="1"/>
        <w:ind w:left="665" w:right="0" w:firstLine="0"/>
        <w:jc w:val="left"/>
        <w:rPr>
          <w:b/>
          <w:sz w:val="22"/>
        </w:rPr>
      </w:pPr>
      <w:r>
        <w:rPr>
          <w:b/>
          <w:sz w:val="22"/>
        </w:rPr>
        <w:t>Percentage Yield (% w/w) Iodine Test</w:t>
      </w:r>
    </w:p>
    <w:p>
      <w:pPr>
        <w:spacing w:line="253" w:lineRule="exact" w:before="0"/>
        <w:ind w:left="665" w:right="0" w:firstLine="0"/>
        <w:jc w:val="left"/>
        <w:rPr>
          <w:b/>
          <w:sz w:val="22"/>
        </w:rPr>
      </w:pPr>
      <w:r>
        <w:rPr>
          <w:b/>
          <w:sz w:val="22"/>
        </w:rPr>
        <w:t>Gelatinisation</w:t>
      </w:r>
      <w:r>
        <w:rPr>
          <w:b/>
          <w:spacing w:val="24"/>
          <w:sz w:val="22"/>
        </w:rPr>
        <w:t> </w:t>
      </w:r>
      <w:r>
        <w:rPr>
          <w:b/>
          <w:spacing w:val="-2"/>
          <w:sz w:val="22"/>
        </w:rPr>
        <w:t>temperature</w:t>
      </w:r>
    </w:p>
    <w:p>
      <w:pPr>
        <w:pStyle w:val="BodyText"/>
        <w:spacing w:line="491" w:lineRule="auto" w:before="95"/>
        <w:ind w:left="665" w:right="4608"/>
      </w:pPr>
      <w:r>
        <w:rPr/>
        <w:br w:type="column"/>
      </w:r>
      <w:r>
        <w:rPr>
          <w:spacing w:val="-2"/>
        </w:rPr>
        <w:t>Smooth 62.88</w:t>
      </w:r>
    </w:p>
    <w:p>
      <w:pPr>
        <w:pStyle w:val="BodyText"/>
        <w:spacing w:line="253" w:lineRule="exact"/>
        <w:ind w:left="665"/>
      </w:pPr>
      <w:r>
        <w:rPr/>
        <w:t>Positive</w:t>
      </w:r>
      <w:r>
        <w:rPr>
          <w:spacing w:val="16"/>
        </w:rPr>
        <w:t> </w:t>
      </w:r>
      <w:r>
        <w:rPr/>
        <w:t>(starch</w:t>
      </w:r>
      <w:r>
        <w:rPr>
          <w:spacing w:val="14"/>
        </w:rPr>
        <w:t> </w:t>
      </w:r>
      <w:r>
        <w:rPr/>
        <w:t>turned</w:t>
      </w:r>
      <w:r>
        <w:rPr>
          <w:spacing w:val="13"/>
        </w:rPr>
        <w:t> </w:t>
      </w:r>
      <w:r>
        <w:rPr/>
        <w:t>blue-</w:t>
      </w:r>
      <w:r>
        <w:rPr>
          <w:spacing w:val="-2"/>
        </w:rPr>
        <w:t>black)</w:t>
      </w:r>
    </w:p>
    <w:p>
      <w:pPr>
        <w:pStyle w:val="BodyText"/>
        <w:spacing w:before="13"/>
      </w:pPr>
    </w:p>
    <w:p>
      <w:pPr>
        <w:pStyle w:val="BodyText"/>
        <w:ind w:left="665"/>
      </w:pPr>
      <w:r>
        <w:rPr>
          <w:w w:val="105"/>
        </w:rPr>
        <w:t>56.0</w:t>
      </w:r>
      <w:r>
        <w:rPr>
          <w:spacing w:val="-11"/>
          <w:w w:val="105"/>
        </w:rPr>
        <w:t> </w:t>
      </w:r>
      <w:r>
        <w:rPr>
          <w:spacing w:val="-5"/>
          <w:w w:val="105"/>
          <w:vertAlign w:val="superscript"/>
        </w:rPr>
        <w:t>0</w:t>
      </w:r>
      <w:r>
        <w:rPr>
          <w:spacing w:val="-5"/>
          <w:w w:val="105"/>
          <w:vertAlign w:val="baseline"/>
        </w:rPr>
        <w:t>C</w:t>
      </w:r>
    </w:p>
    <w:p>
      <w:pPr>
        <w:spacing w:after="0"/>
        <w:sectPr>
          <w:type w:val="continuous"/>
          <w:pgSz w:w="12240" w:h="15840"/>
          <w:pgMar w:header="0" w:footer="999" w:top="1780" w:bottom="1180" w:left="1720" w:right="0"/>
          <w:cols w:num="2" w:equalWidth="0">
            <w:col w:w="3326" w:space="783"/>
            <w:col w:w="6411"/>
          </w:cols>
        </w:sectPr>
      </w:pPr>
    </w:p>
    <w:p>
      <w:pPr>
        <w:pStyle w:val="BodyText"/>
        <w:spacing w:before="29"/>
        <w:rPr>
          <w:sz w:val="20"/>
        </w:rPr>
      </w:pPr>
    </w:p>
    <w:p>
      <w:pPr>
        <w:pStyle w:val="BodyText"/>
        <w:spacing w:line="20" w:lineRule="exact"/>
        <w:ind w:left="550"/>
        <w:rPr>
          <w:sz w:val="2"/>
        </w:rPr>
      </w:pPr>
      <w:r>
        <w:rPr>
          <w:sz w:val="2"/>
        </w:rPr>
        <mc:AlternateContent>
          <mc:Choice Requires="wps">
            <w:drawing>
              <wp:inline distT="0" distB="0" distL="0" distR="0">
                <wp:extent cx="5215255" cy="6350"/>
                <wp:effectExtent l="0" t="0" r="0" b="0"/>
                <wp:docPr id="45" name="Group 45"/>
                <wp:cNvGraphicFramePr>
                  <a:graphicFrameLocks/>
                </wp:cNvGraphicFramePr>
                <a:graphic>
                  <a:graphicData uri="http://schemas.microsoft.com/office/word/2010/wordprocessingGroup">
                    <wpg:wgp>
                      <wpg:cNvPr id="45" name="Group 45"/>
                      <wpg:cNvGrpSpPr/>
                      <wpg:grpSpPr>
                        <a:xfrm>
                          <a:off x="0" y="0"/>
                          <a:ext cx="5215255" cy="6350"/>
                          <a:chExt cx="5215255" cy="6350"/>
                        </a:xfrm>
                      </wpg:grpSpPr>
                      <wps:wsp>
                        <wps:cNvPr id="46" name="Graphic 46"/>
                        <wps:cNvSpPr/>
                        <wps:spPr>
                          <a:xfrm>
                            <a:off x="0" y="0"/>
                            <a:ext cx="5215255" cy="6350"/>
                          </a:xfrm>
                          <a:custGeom>
                            <a:avLst/>
                            <a:gdLst/>
                            <a:ahLst/>
                            <a:cxnLst/>
                            <a:rect l="l" t="t" r="r" b="b"/>
                            <a:pathLst>
                              <a:path w="5215255" h="6350">
                                <a:moveTo>
                                  <a:pt x="5215115" y="0"/>
                                </a:moveTo>
                                <a:lnTo>
                                  <a:pt x="2618232" y="0"/>
                                </a:lnTo>
                                <a:lnTo>
                                  <a:pt x="2615184" y="0"/>
                                </a:lnTo>
                                <a:lnTo>
                                  <a:pt x="2609088" y="0"/>
                                </a:lnTo>
                                <a:lnTo>
                                  <a:pt x="0" y="0"/>
                                </a:lnTo>
                                <a:lnTo>
                                  <a:pt x="0" y="6096"/>
                                </a:lnTo>
                                <a:lnTo>
                                  <a:pt x="2609088" y="6096"/>
                                </a:lnTo>
                                <a:lnTo>
                                  <a:pt x="2615184" y="6096"/>
                                </a:lnTo>
                                <a:lnTo>
                                  <a:pt x="2618232" y="6096"/>
                                </a:lnTo>
                                <a:lnTo>
                                  <a:pt x="5215115" y="6096"/>
                                </a:lnTo>
                                <a:lnTo>
                                  <a:pt x="52151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0.65pt;height:.5pt;mso-position-horizontal-relative:char;mso-position-vertical-relative:line" id="docshapegroup43" coordorigin="0,0" coordsize="8213,10">
                <v:shape style="position:absolute;left:0;top:0;width:8213;height:10" id="docshape44" coordorigin="0,0" coordsize="8213,10" path="m8213,0l4123,0,4118,0,4109,0,0,0,0,10,4109,10,4118,10,4123,10,8213,10,8213,0xe" filled="true" fillcolor="#000000" stroked="false">
                  <v:path arrowok="t"/>
                  <v:fill type="solid"/>
                </v:shape>
              </v:group>
            </w:pict>
          </mc:Fallback>
        </mc:AlternateContent>
      </w:r>
      <w:r>
        <w:rPr>
          <w:sz w:val="2"/>
        </w:rPr>
      </w:r>
    </w:p>
    <w:p>
      <w:pPr>
        <w:pStyle w:val="BodyText"/>
      </w:pPr>
    </w:p>
    <w:p>
      <w:pPr>
        <w:pStyle w:val="BodyText"/>
      </w:pPr>
    </w:p>
    <w:p>
      <w:pPr>
        <w:pStyle w:val="BodyText"/>
        <w:spacing w:before="81"/>
      </w:pPr>
    </w:p>
    <w:p>
      <w:pPr>
        <w:pStyle w:val="Heading2"/>
        <w:numPr>
          <w:ilvl w:val="1"/>
          <w:numId w:val="35"/>
        </w:numPr>
        <w:tabs>
          <w:tab w:pos="1236" w:val="left" w:leader="none"/>
        </w:tabs>
        <w:spacing w:line="240" w:lineRule="auto" w:before="0" w:after="0"/>
        <w:ind w:left="1236" w:right="0" w:hanging="571"/>
        <w:jc w:val="left"/>
      </w:pPr>
      <w:bookmarkStart w:name="_TOC_250036" w:id="125"/>
      <w:r>
        <w:rPr/>
        <w:t>Production</w:t>
      </w:r>
      <w:r>
        <w:rPr>
          <w:spacing w:val="12"/>
        </w:rPr>
        <w:t> </w:t>
      </w:r>
      <w:r>
        <w:rPr/>
        <w:t>of</w:t>
      </w:r>
      <w:r>
        <w:rPr>
          <w:spacing w:val="16"/>
        </w:rPr>
        <w:t> </w:t>
      </w:r>
      <w:r>
        <w:rPr/>
        <w:t>Microcrystalline</w:t>
      </w:r>
      <w:r>
        <w:rPr>
          <w:spacing w:val="14"/>
        </w:rPr>
        <w:t> </w:t>
      </w:r>
      <w:bookmarkEnd w:id="125"/>
      <w:r>
        <w:rPr>
          <w:spacing w:val="-2"/>
        </w:rPr>
        <w:t>Starch</w:t>
      </w:r>
    </w:p>
    <w:p>
      <w:pPr>
        <w:pStyle w:val="BodyText"/>
        <w:spacing w:line="491" w:lineRule="auto" w:before="241"/>
        <w:ind w:left="665" w:right="1855"/>
        <w:jc w:val="both"/>
      </w:pPr>
      <w:r>
        <w:rPr/>
        <w:t>The result for the percentage yield and colour of the microcrystalline starch (MCS) is presented</w:t>
      </w:r>
      <w:r>
        <w:rPr>
          <w:spacing w:val="29"/>
        </w:rPr>
        <w:t> </w:t>
      </w:r>
      <w:r>
        <w:rPr/>
        <w:t>in Table</w:t>
      </w:r>
      <w:r>
        <w:rPr>
          <w:spacing w:val="21"/>
        </w:rPr>
        <w:t> </w:t>
      </w:r>
      <w:r>
        <w:rPr/>
        <w:t>4.2.</w:t>
      </w:r>
      <w:r>
        <w:rPr>
          <w:spacing w:val="24"/>
        </w:rPr>
        <w:t> </w:t>
      </w:r>
      <w:r>
        <w:rPr>
          <w:i/>
        </w:rPr>
        <w:t>Digitaria iburua</w:t>
      </w:r>
      <w:r>
        <w:rPr>
          <w:i/>
          <w:spacing w:val="24"/>
        </w:rPr>
        <w:t> </w:t>
      </w:r>
      <w:r>
        <w:rPr/>
        <w:t>starch was subjected</w:t>
      </w:r>
      <w:r>
        <w:rPr>
          <w:spacing w:val="29"/>
        </w:rPr>
        <w:t> </w:t>
      </w:r>
      <w:r>
        <w:rPr/>
        <w:t>to</w:t>
      </w:r>
      <w:r>
        <w:rPr>
          <w:spacing w:val="24"/>
        </w:rPr>
        <w:t> </w:t>
      </w:r>
      <w:r>
        <w:rPr/>
        <w:t>acid</w:t>
      </w:r>
      <w:r>
        <w:rPr>
          <w:spacing w:val="29"/>
        </w:rPr>
        <w:t> </w:t>
      </w:r>
      <w:r>
        <w:rPr/>
        <w:t>hydrolysis at</w:t>
      </w:r>
      <w:r>
        <w:rPr>
          <w:spacing w:val="21"/>
        </w:rPr>
        <w:t> </w:t>
      </w:r>
      <w:r>
        <w:rPr/>
        <w:t>48.0 </w:t>
      </w:r>
      <w:r>
        <w:rPr>
          <w:vertAlign w:val="superscript"/>
        </w:rPr>
        <w:t>o</w:t>
      </w:r>
      <w:r>
        <w:rPr>
          <w:vertAlign w:val="baseline"/>
        </w:rPr>
        <w:t>C for 6 h, 12 h, 18 h and 24 h. The MCS derived, gave an impressive yield of 87.52 % w/w</w:t>
      </w:r>
      <w:r>
        <w:rPr>
          <w:spacing w:val="27"/>
          <w:vertAlign w:val="baseline"/>
        </w:rPr>
        <w:t> </w:t>
      </w:r>
      <w:r>
        <w:rPr>
          <w:vertAlign w:val="baseline"/>
        </w:rPr>
        <w:t>after</w:t>
      </w:r>
      <w:r>
        <w:rPr>
          <w:spacing w:val="28"/>
          <w:vertAlign w:val="baseline"/>
        </w:rPr>
        <w:t> </w:t>
      </w:r>
      <w:r>
        <w:rPr>
          <w:vertAlign w:val="baseline"/>
        </w:rPr>
        <w:t>6</w:t>
      </w:r>
      <w:r>
        <w:rPr>
          <w:spacing w:val="29"/>
          <w:vertAlign w:val="baseline"/>
        </w:rPr>
        <w:t> </w:t>
      </w:r>
      <w:r>
        <w:rPr>
          <w:vertAlign w:val="baseline"/>
        </w:rPr>
        <w:t>h</w:t>
      </w:r>
      <w:r>
        <w:rPr>
          <w:spacing w:val="24"/>
          <w:vertAlign w:val="baseline"/>
        </w:rPr>
        <w:t> </w:t>
      </w:r>
      <w:r>
        <w:rPr>
          <w:vertAlign w:val="baseline"/>
        </w:rPr>
        <w:t>but</w:t>
      </w:r>
      <w:r>
        <w:rPr>
          <w:spacing w:val="31"/>
          <w:vertAlign w:val="baseline"/>
        </w:rPr>
        <w:t> </w:t>
      </w:r>
      <w:r>
        <w:rPr>
          <w:vertAlign w:val="baseline"/>
        </w:rPr>
        <w:t>the</w:t>
      </w:r>
      <w:r>
        <w:rPr>
          <w:spacing w:val="32"/>
          <w:vertAlign w:val="baseline"/>
        </w:rPr>
        <w:t> </w:t>
      </w:r>
      <w:r>
        <w:rPr>
          <w:vertAlign w:val="baseline"/>
        </w:rPr>
        <w:t>yield</w:t>
      </w:r>
      <w:r>
        <w:rPr>
          <w:spacing w:val="29"/>
          <w:vertAlign w:val="baseline"/>
        </w:rPr>
        <w:t> </w:t>
      </w:r>
      <w:r>
        <w:rPr>
          <w:vertAlign w:val="baseline"/>
        </w:rPr>
        <w:t>decreased</w:t>
      </w:r>
      <w:r>
        <w:rPr>
          <w:spacing w:val="29"/>
          <w:vertAlign w:val="baseline"/>
        </w:rPr>
        <w:t> </w:t>
      </w:r>
      <w:r>
        <w:rPr>
          <w:vertAlign w:val="baseline"/>
        </w:rPr>
        <w:t>to</w:t>
      </w:r>
      <w:r>
        <w:rPr>
          <w:spacing w:val="29"/>
          <w:vertAlign w:val="baseline"/>
        </w:rPr>
        <w:t> </w:t>
      </w:r>
      <w:r>
        <w:rPr>
          <w:vertAlign w:val="baseline"/>
        </w:rPr>
        <w:t>84.14</w:t>
      </w:r>
      <w:r>
        <w:rPr>
          <w:spacing w:val="33"/>
          <w:vertAlign w:val="baseline"/>
        </w:rPr>
        <w:t> </w:t>
      </w:r>
      <w:r>
        <w:rPr>
          <w:vertAlign w:val="baseline"/>
        </w:rPr>
        <w:t>%</w:t>
      </w:r>
      <w:r>
        <w:rPr>
          <w:spacing w:val="15"/>
          <w:vertAlign w:val="baseline"/>
        </w:rPr>
        <w:t> </w:t>
      </w:r>
      <w:r>
        <w:rPr>
          <w:vertAlign w:val="baseline"/>
        </w:rPr>
        <w:t>w/w</w:t>
      </w:r>
      <w:r>
        <w:rPr>
          <w:spacing w:val="27"/>
          <w:vertAlign w:val="baseline"/>
        </w:rPr>
        <w:t> </w:t>
      </w:r>
      <w:r>
        <w:rPr>
          <w:vertAlign w:val="baseline"/>
        </w:rPr>
        <w:t>after</w:t>
      </w:r>
      <w:r>
        <w:rPr>
          <w:spacing w:val="28"/>
          <w:vertAlign w:val="baseline"/>
        </w:rPr>
        <w:t> </w:t>
      </w:r>
      <w:r>
        <w:rPr>
          <w:vertAlign w:val="baseline"/>
        </w:rPr>
        <w:t>24</w:t>
      </w:r>
      <w:r>
        <w:rPr>
          <w:spacing w:val="33"/>
          <w:vertAlign w:val="baseline"/>
        </w:rPr>
        <w:t> </w:t>
      </w:r>
      <w:r>
        <w:rPr>
          <w:vertAlign w:val="baseline"/>
        </w:rPr>
        <w:t>h.</w:t>
      </w:r>
      <w:r>
        <w:rPr>
          <w:spacing w:val="27"/>
          <w:vertAlign w:val="baseline"/>
        </w:rPr>
        <w:t> </w:t>
      </w:r>
      <w:r>
        <w:rPr>
          <w:vertAlign w:val="baseline"/>
        </w:rPr>
        <w:t>The</w:t>
      </w:r>
      <w:r>
        <w:rPr>
          <w:spacing w:val="27"/>
          <w:vertAlign w:val="baseline"/>
        </w:rPr>
        <w:t> </w:t>
      </w:r>
      <w:r>
        <w:rPr>
          <w:vertAlign w:val="baseline"/>
        </w:rPr>
        <w:t>change</w:t>
      </w:r>
      <w:r>
        <w:rPr>
          <w:spacing w:val="27"/>
          <w:vertAlign w:val="baseline"/>
        </w:rPr>
        <w:t> </w:t>
      </w:r>
      <w:r>
        <w:rPr>
          <w:vertAlign w:val="baseline"/>
        </w:rPr>
        <w:t>in</w:t>
      </w:r>
      <w:r>
        <w:rPr>
          <w:spacing w:val="34"/>
          <w:vertAlign w:val="baseline"/>
        </w:rPr>
        <w:t> </w:t>
      </w:r>
      <w:r>
        <w:rPr>
          <w:vertAlign w:val="baseline"/>
        </w:rPr>
        <w:t>yield</w:t>
      </w:r>
    </w:p>
    <w:p>
      <w:pPr>
        <w:spacing w:after="0" w:line="491" w:lineRule="auto"/>
        <w:jc w:val="both"/>
        <w:sectPr>
          <w:type w:val="continuous"/>
          <w:pgSz w:w="12240" w:h="15840"/>
          <w:pgMar w:header="0" w:footer="999" w:top="1780" w:bottom="1180" w:left="1720" w:right="0"/>
        </w:sectPr>
      </w:pPr>
    </w:p>
    <w:p>
      <w:pPr>
        <w:pStyle w:val="BodyText"/>
        <w:spacing w:line="491" w:lineRule="auto" w:before="75"/>
        <w:ind w:left="665" w:right="1861"/>
      </w:pPr>
      <w:r>
        <w:rPr/>
        <w:t>decreased as the hydrolyzing time increased. A colour change was noticed at 24 h as the off-white colour turned light brown.</w:t>
      </w:r>
    </w:p>
    <w:p>
      <w:pPr>
        <w:pStyle w:val="Heading2"/>
        <w:spacing w:before="4"/>
        <w:ind w:left="665" w:firstLine="0"/>
      </w:pPr>
      <w:r>
        <w:rPr/>
        <w:t>Table</w:t>
      </w:r>
      <w:r>
        <w:rPr>
          <w:spacing w:val="8"/>
        </w:rPr>
        <w:t> </w:t>
      </w:r>
      <w:r>
        <w:rPr/>
        <w:t>4.2:</w:t>
      </w:r>
      <w:r>
        <w:rPr>
          <w:spacing w:val="15"/>
        </w:rPr>
        <w:t> </w:t>
      </w:r>
      <w:r>
        <w:rPr/>
        <w:t>Percentage</w:t>
      </w:r>
      <w:r>
        <w:rPr>
          <w:spacing w:val="14"/>
        </w:rPr>
        <w:t> </w:t>
      </w:r>
      <w:r>
        <w:rPr/>
        <w:t>Yield</w:t>
      </w:r>
      <w:r>
        <w:rPr>
          <w:spacing w:val="7"/>
        </w:rPr>
        <w:t> </w:t>
      </w:r>
      <w:r>
        <w:rPr/>
        <w:t>and</w:t>
      </w:r>
      <w:r>
        <w:rPr>
          <w:spacing w:val="7"/>
        </w:rPr>
        <w:t> </w:t>
      </w:r>
      <w:r>
        <w:rPr/>
        <w:t>colour</w:t>
      </w:r>
      <w:r>
        <w:rPr>
          <w:spacing w:val="8"/>
        </w:rPr>
        <w:t> </w:t>
      </w:r>
      <w:r>
        <w:rPr/>
        <w:t>of</w:t>
      </w:r>
      <w:r>
        <w:rPr>
          <w:spacing w:val="15"/>
        </w:rPr>
        <w:t> </w:t>
      </w:r>
      <w:r>
        <w:rPr>
          <w:spacing w:val="-5"/>
        </w:rPr>
        <w:t>MCS</w:t>
      </w:r>
    </w:p>
    <w:p>
      <w:pPr>
        <w:pStyle w:val="BodyText"/>
        <w:rPr>
          <w:b/>
          <w:sz w:val="20"/>
        </w:rPr>
      </w:pPr>
    </w:p>
    <w:p>
      <w:pPr>
        <w:pStyle w:val="BodyText"/>
        <w:spacing w:before="64"/>
        <w:rPr>
          <w:b/>
          <w:sz w:val="20"/>
        </w:rPr>
      </w:pPr>
    </w:p>
    <w:tbl>
      <w:tblPr>
        <w:tblW w:w="0" w:type="auto"/>
        <w:jc w:val="left"/>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2116"/>
        <w:gridCol w:w="2691"/>
      </w:tblGrid>
      <w:tr>
        <w:trPr>
          <w:trHeight w:val="495" w:hRule="atLeast"/>
        </w:trPr>
        <w:tc>
          <w:tcPr>
            <w:tcW w:w="2570" w:type="dxa"/>
            <w:tcBorders>
              <w:top w:val="single" w:sz="4" w:space="0" w:color="000000"/>
              <w:bottom w:val="single" w:sz="4" w:space="0" w:color="000000"/>
            </w:tcBorders>
          </w:tcPr>
          <w:p>
            <w:pPr>
              <w:pStyle w:val="TableParagraph"/>
              <w:spacing w:before="5"/>
              <w:ind w:left="100"/>
              <w:rPr>
                <w:b/>
                <w:sz w:val="22"/>
              </w:rPr>
            </w:pPr>
            <w:r>
              <w:rPr>
                <w:b/>
                <w:sz w:val="22"/>
              </w:rPr>
              <w:t>Hydrolyzing</w:t>
            </w:r>
            <w:r>
              <w:rPr>
                <w:b/>
                <w:spacing w:val="25"/>
                <w:sz w:val="22"/>
              </w:rPr>
              <w:t> </w:t>
            </w:r>
            <w:r>
              <w:rPr>
                <w:b/>
                <w:spacing w:val="-2"/>
                <w:sz w:val="22"/>
              </w:rPr>
              <w:t>condition</w:t>
            </w:r>
          </w:p>
        </w:tc>
        <w:tc>
          <w:tcPr>
            <w:tcW w:w="2116" w:type="dxa"/>
            <w:tcBorders>
              <w:top w:val="single" w:sz="4" w:space="0" w:color="000000"/>
              <w:bottom w:val="single" w:sz="4" w:space="0" w:color="000000"/>
            </w:tcBorders>
          </w:tcPr>
          <w:p>
            <w:pPr>
              <w:pStyle w:val="TableParagraph"/>
              <w:spacing w:before="5"/>
              <w:ind w:left="305"/>
              <w:rPr>
                <w:b/>
                <w:sz w:val="22"/>
              </w:rPr>
            </w:pPr>
            <w:r>
              <w:rPr>
                <w:b/>
                <w:sz w:val="22"/>
              </w:rPr>
              <w:t>Yield</w:t>
            </w:r>
            <w:r>
              <w:rPr>
                <w:b/>
                <w:spacing w:val="12"/>
                <w:sz w:val="22"/>
              </w:rPr>
              <w:t> </w:t>
            </w:r>
            <w:r>
              <w:rPr>
                <w:b/>
                <w:sz w:val="22"/>
              </w:rPr>
              <w:t>(%</w:t>
            </w:r>
            <w:r>
              <w:rPr>
                <w:b/>
                <w:spacing w:val="13"/>
                <w:sz w:val="22"/>
              </w:rPr>
              <w:t> </w:t>
            </w:r>
            <w:r>
              <w:rPr>
                <w:b/>
                <w:spacing w:val="-4"/>
                <w:sz w:val="22"/>
              </w:rPr>
              <w:t>w/w)</w:t>
            </w:r>
          </w:p>
        </w:tc>
        <w:tc>
          <w:tcPr>
            <w:tcW w:w="2691" w:type="dxa"/>
            <w:tcBorders>
              <w:top w:val="single" w:sz="4" w:space="0" w:color="000000"/>
              <w:bottom w:val="single" w:sz="4" w:space="0" w:color="000000"/>
            </w:tcBorders>
          </w:tcPr>
          <w:p>
            <w:pPr>
              <w:pStyle w:val="TableParagraph"/>
              <w:spacing w:before="5"/>
              <w:ind w:left="421"/>
              <w:rPr>
                <w:b/>
                <w:sz w:val="22"/>
              </w:rPr>
            </w:pPr>
            <w:r>
              <w:rPr>
                <w:b/>
                <w:spacing w:val="-2"/>
                <w:sz w:val="22"/>
              </w:rPr>
              <w:t>Colour</w:t>
            </w:r>
          </w:p>
        </w:tc>
      </w:tr>
      <w:tr>
        <w:trPr>
          <w:trHeight w:val="395" w:hRule="atLeast"/>
        </w:trPr>
        <w:tc>
          <w:tcPr>
            <w:tcW w:w="2570" w:type="dxa"/>
            <w:tcBorders>
              <w:top w:val="single" w:sz="4" w:space="0" w:color="000000"/>
            </w:tcBorders>
          </w:tcPr>
          <w:p>
            <w:pPr>
              <w:pStyle w:val="TableParagraph"/>
              <w:spacing w:before="1"/>
              <w:ind w:left="100"/>
              <w:rPr>
                <w:sz w:val="22"/>
              </w:rPr>
            </w:pPr>
            <w:r>
              <w:rPr>
                <w:sz w:val="22"/>
              </w:rPr>
              <w:t>48</w:t>
            </w:r>
            <w:r>
              <w:rPr>
                <w:spacing w:val="3"/>
                <w:sz w:val="22"/>
              </w:rPr>
              <w:t> </w:t>
            </w:r>
            <w:r>
              <w:rPr>
                <w:sz w:val="22"/>
                <w:vertAlign w:val="superscript"/>
              </w:rPr>
              <w:t>o</w:t>
            </w:r>
            <w:r>
              <w:rPr>
                <w:sz w:val="22"/>
                <w:vertAlign w:val="baseline"/>
              </w:rPr>
              <w:t>C</w:t>
            </w:r>
            <w:r>
              <w:rPr>
                <w:spacing w:val="9"/>
                <w:sz w:val="22"/>
                <w:vertAlign w:val="baseline"/>
              </w:rPr>
              <w:t> </w:t>
            </w:r>
            <w:r>
              <w:rPr>
                <w:sz w:val="22"/>
                <w:vertAlign w:val="baseline"/>
              </w:rPr>
              <w:t>/ 6</w:t>
            </w:r>
            <w:r>
              <w:rPr>
                <w:spacing w:val="13"/>
                <w:sz w:val="22"/>
                <w:vertAlign w:val="baseline"/>
              </w:rPr>
              <w:t> </w:t>
            </w:r>
            <w:r>
              <w:rPr>
                <w:spacing w:val="-10"/>
                <w:sz w:val="22"/>
                <w:vertAlign w:val="baseline"/>
              </w:rPr>
              <w:t>h</w:t>
            </w:r>
          </w:p>
        </w:tc>
        <w:tc>
          <w:tcPr>
            <w:tcW w:w="2116" w:type="dxa"/>
            <w:tcBorders>
              <w:top w:val="single" w:sz="4" w:space="0" w:color="000000"/>
            </w:tcBorders>
          </w:tcPr>
          <w:p>
            <w:pPr>
              <w:pStyle w:val="TableParagraph"/>
              <w:spacing w:before="1"/>
              <w:ind w:left="305"/>
              <w:rPr>
                <w:sz w:val="22"/>
              </w:rPr>
            </w:pPr>
            <w:r>
              <w:rPr>
                <w:spacing w:val="-2"/>
                <w:sz w:val="22"/>
              </w:rPr>
              <w:t>87.52</w:t>
            </w:r>
          </w:p>
        </w:tc>
        <w:tc>
          <w:tcPr>
            <w:tcW w:w="2691" w:type="dxa"/>
            <w:tcBorders>
              <w:top w:val="single" w:sz="4" w:space="0" w:color="000000"/>
            </w:tcBorders>
          </w:tcPr>
          <w:p>
            <w:pPr>
              <w:pStyle w:val="TableParagraph"/>
              <w:spacing w:before="1"/>
              <w:ind w:left="421"/>
              <w:rPr>
                <w:sz w:val="22"/>
              </w:rPr>
            </w:pPr>
            <w:r>
              <w:rPr>
                <w:sz w:val="22"/>
              </w:rPr>
              <w:t>Off</w:t>
            </w:r>
            <w:r>
              <w:rPr>
                <w:spacing w:val="7"/>
                <w:sz w:val="22"/>
              </w:rPr>
              <w:t> </w:t>
            </w:r>
            <w:r>
              <w:rPr>
                <w:spacing w:val="-2"/>
                <w:sz w:val="22"/>
              </w:rPr>
              <w:t>White</w:t>
            </w:r>
          </w:p>
        </w:tc>
      </w:tr>
      <w:tr>
        <w:trPr>
          <w:trHeight w:val="518" w:hRule="atLeast"/>
        </w:trPr>
        <w:tc>
          <w:tcPr>
            <w:tcW w:w="2570" w:type="dxa"/>
          </w:tcPr>
          <w:p>
            <w:pPr>
              <w:pStyle w:val="TableParagraph"/>
              <w:spacing w:before="146"/>
              <w:ind w:left="100"/>
              <w:rPr>
                <w:sz w:val="22"/>
              </w:rPr>
            </w:pPr>
            <w:r>
              <w:rPr>
                <w:sz w:val="22"/>
              </w:rPr>
              <w:t>48</w:t>
            </w:r>
            <w:r>
              <w:rPr>
                <w:spacing w:val="3"/>
                <w:sz w:val="22"/>
              </w:rPr>
              <w:t> </w:t>
            </w:r>
            <w:r>
              <w:rPr>
                <w:sz w:val="22"/>
                <w:vertAlign w:val="superscript"/>
              </w:rPr>
              <w:t>o</w:t>
            </w:r>
            <w:r>
              <w:rPr>
                <w:sz w:val="22"/>
                <w:vertAlign w:val="baseline"/>
              </w:rPr>
              <w:t>C</w:t>
            </w:r>
            <w:r>
              <w:rPr>
                <w:spacing w:val="11"/>
                <w:sz w:val="22"/>
                <w:vertAlign w:val="baseline"/>
              </w:rPr>
              <w:t> </w:t>
            </w:r>
            <w:r>
              <w:rPr>
                <w:sz w:val="22"/>
                <w:vertAlign w:val="baseline"/>
              </w:rPr>
              <w:t>/12</w:t>
            </w:r>
            <w:r>
              <w:rPr>
                <w:spacing w:val="8"/>
                <w:sz w:val="22"/>
                <w:vertAlign w:val="baseline"/>
              </w:rPr>
              <w:t> </w:t>
            </w:r>
            <w:r>
              <w:rPr>
                <w:spacing w:val="-10"/>
                <w:sz w:val="22"/>
                <w:vertAlign w:val="baseline"/>
              </w:rPr>
              <w:t>h</w:t>
            </w:r>
          </w:p>
        </w:tc>
        <w:tc>
          <w:tcPr>
            <w:tcW w:w="2116" w:type="dxa"/>
          </w:tcPr>
          <w:p>
            <w:pPr>
              <w:pStyle w:val="TableParagraph"/>
              <w:spacing w:before="146"/>
              <w:ind w:left="305"/>
              <w:rPr>
                <w:sz w:val="22"/>
              </w:rPr>
            </w:pPr>
            <w:r>
              <w:rPr>
                <w:spacing w:val="-2"/>
                <w:sz w:val="22"/>
              </w:rPr>
              <w:t>86.17</w:t>
            </w:r>
          </w:p>
        </w:tc>
        <w:tc>
          <w:tcPr>
            <w:tcW w:w="2691" w:type="dxa"/>
          </w:tcPr>
          <w:p>
            <w:pPr>
              <w:pStyle w:val="TableParagraph"/>
              <w:spacing w:before="146"/>
              <w:ind w:left="421"/>
              <w:rPr>
                <w:sz w:val="22"/>
              </w:rPr>
            </w:pPr>
            <w:r>
              <w:rPr>
                <w:sz w:val="22"/>
              </w:rPr>
              <w:t>Off</w:t>
            </w:r>
            <w:r>
              <w:rPr>
                <w:spacing w:val="7"/>
                <w:sz w:val="22"/>
              </w:rPr>
              <w:t> </w:t>
            </w:r>
            <w:r>
              <w:rPr>
                <w:spacing w:val="-2"/>
                <w:sz w:val="22"/>
              </w:rPr>
              <w:t>white</w:t>
            </w:r>
          </w:p>
        </w:tc>
      </w:tr>
      <w:tr>
        <w:trPr>
          <w:trHeight w:val="518" w:hRule="atLeast"/>
        </w:trPr>
        <w:tc>
          <w:tcPr>
            <w:tcW w:w="2570" w:type="dxa"/>
          </w:tcPr>
          <w:p>
            <w:pPr>
              <w:pStyle w:val="TableParagraph"/>
              <w:spacing w:before="146"/>
              <w:ind w:left="100"/>
              <w:rPr>
                <w:sz w:val="22"/>
              </w:rPr>
            </w:pPr>
            <w:r>
              <w:rPr>
                <w:sz w:val="22"/>
              </w:rPr>
              <w:t>48</w:t>
            </w:r>
            <w:r>
              <w:rPr>
                <w:spacing w:val="3"/>
                <w:sz w:val="22"/>
              </w:rPr>
              <w:t> </w:t>
            </w:r>
            <w:r>
              <w:rPr>
                <w:sz w:val="22"/>
                <w:vertAlign w:val="superscript"/>
              </w:rPr>
              <w:t>o</w:t>
            </w:r>
            <w:r>
              <w:rPr>
                <w:sz w:val="22"/>
                <w:vertAlign w:val="baseline"/>
              </w:rPr>
              <w:t>C/</w:t>
            </w:r>
            <w:r>
              <w:rPr>
                <w:spacing w:val="9"/>
                <w:sz w:val="22"/>
                <w:vertAlign w:val="baseline"/>
              </w:rPr>
              <w:t> </w:t>
            </w:r>
            <w:r>
              <w:rPr>
                <w:sz w:val="22"/>
                <w:vertAlign w:val="baseline"/>
              </w:rPr>
              <w:t>18</w:t>
            </w:r>
            <w:r>
              <w:rPr>
                <w:spacing w:val="9"/>
                <w:sz w:val="22"/>
                <w:vertAlign w:val="baseline"/>
              </w:rPr>
              <w:t> </w:t>
            </w:r>
            <w:r>
              <w:rPr>
                <w:spacing w:val="-10"/>
                <w:sz w:val="22"/>
                <w:vertAlign w:val="baseline"/>
              </w:rPr>
              <w:t>h</w:t>
            </w:r>
          </w:p>
        </w:tc>
        <w:tc>
          <w:tcPr>
            <w:tcW w:w="2116" w:type="dxa"/>
          </w:tcPr>
          <w:p>
            <w:pPr>
              <w:pStyle w:val="TableParagraph"/>
              <w:spacing w:before="146"/>
              <w:ind w:left="305"/>
              <w:rPr>
                <w:sz w:val="22"/>
              </w:rPr>
            </w:pPr>
            <w:r>
              <w:rPr>
                <w:spacing w:val="-2"/>
                <w:sz w:val="22"/>
              </w:rPr>
              <w:t>86.46</w:t>
            </w:r>
          </w:p>
        </w:tc>
        <w:tc>
          <w:tcPr>
            <w:tcW w:w="2691" w:type="dxa"/>
          </w:tcPr>
          <w:p>
            <w:pPr>
              <w:pStyle w:val="TableParagraph"/>
              <w:spacing w:before="146"/>
              <w:ind w:left="421"/>
              <w:rPr>
                <w:sz w:val="22"/>
              </w:rPr>
            </w:pPr>
            <w:r>
              <w:rPr>
                <w:sz w:val="22"/>
              </w:rPr>
              <w:t>Off</w:t>
            </w:r>
            <w:r>
              <w:rPr>
                <w:spacing w:val="7"/>
                <w:sz w:val="22"/>
              </w:rPr>
              <w:t> </w:t>
            </w:r>
            <w:r>
              <w:rPr>
                <w:spacing w:val="-2"/>
                <w:sz w:val="22"/>
              </w:rPr>
              <w:t>white</w:t>
            </w:r>
          </w:p>
        </w:tc>
      </w:tr>
      <w:tr>
        <w:trPr>
          <w:trHeight w:val="405" w:hRule="atLeast"/>
        </w:trPr>
        <w:tc>
          <w:tcPr>
            <w:tcW w:w="2570" w:type="dxa"/>
          </w:tcPr>
          <w:p>
            <w:pPr>
              <w:pStyle w:val="TableParagraph"/>
              <w:spacing w:line="234" w:lineRule="exact" w:before="151"/>
              <w:ind w:left="100"/>
              <w:rPr>
                <w:sz w:val="22"/>
              </w:rPr>
            </w:pPr>
            <w:r>
              <w:rPr>
                <w:sz w:val="22"/>
              </w:rPr>
              <w:t>48</w:t>
            </w:r>
            <w:r>
              <w:rPr>
                <w:spacing w:val="6"/>
                <w:sz w:val="22"/>
              </w:rPr>
              <w:t> </w:t>
            </w:r>
            <w:r>
              <w:rPr>
                <w:sz w:val="22"/>
                <w:vertAlign w:val="superscript"/>
              </w:rPr>
              <w:t>o</w:t>
            </w:r>
            <w:r>
              <w:rPr>
                <w:sz w:val="22"/>
                <w:vertAlign w:val="baseline"/>
              </w:rPr>
              <w:t>C/24</w:t>
            </w:r>
            <w:r>
              <w:rPr>
                <w:spacing w:val="17"/>
                <w:sz w:val="22"/>
                <w:vertAlign w:val="baseline"/>
              </w:rPr>
              <w:t> </w:t>
            </w:r>
            <w:r>
              <w:rPr>
                <w:spacing w:val="-10"/>
                <w:sz w:val="22"/>
                <w:vertAlign w:val="baseline"/>
              </w:rPr>
              <w:t>h</w:t>
            </w:r>
          </w:p>
        </w:tc>
        <w:tc>
          <w:tcPr>
            <w:tcW w:w="2116" w:type="dxa"/>
          </w:tcPr>
          <w:p>
            <w:pPr>
              <w:pStyle w:val="TableParagraph"/>
              <w:spacing w:line="234" w:lineRule="exact" w:before="151"/>
              <w:ind w:left="305"/>
              <w:rPr>
                <w:sz w:val="22"/>
              </w:rPr>
            </w:pPr>
            <w:r>
              <w:rPr>
                <w:spacing w:val="-2"/>
                <w:sz w:val="22"/>
              </w:rPr>
              <w:t>85.14</w:t>
            </w:r>
          </w:p>
        </w:tc>
        <w:tc>
          <w:tcPr>
            <w:tcW w:w="2691" w:type="dxa"/>
          </w:tcPr>
          <w:p>
            <w:pPr>
              <w:pStyle w:val="TableParagraph"/>
              <w:spacing w:line="234" w:lineRule="exact" w:before="151"/>
              <w:ind w:left="421"/>
              <w:rPr>
                <w:sz w:val="22"/>
              </w:rPr>
            </w:pPr>
            <w:r>
              <w:rPr>
                <w:sz w:val="22"/>
              </w:rPr>
              <w:t>Light</w:t>
            </w:r>
            <w:r>
              <w:rPr>
                <w:spacing w:val="6"/>
                <w:sz w:val="22"/>
              </w:rPr>
              <w:t> </w:t>
            </w:r>
            <w:r>
              <w:rPr>
                <w:spacing w:val="-2"/>
                <w:sz w:val="22"/>
              </w:rPr>
              <w:t>brown</w:t>
            </w:r>
          </w:p>
        </w:tc>
      </w:tr>
    </w:tbl>
    <w:p>
      <w:pPr>
        <w:pStyle w:val="BodyText"/>
        <w:spacing w:before="1"/>
        <w:rPr>
          <w:b/>
          <w:sz w:val="20"/>
        </w:rPr>
      </w:pPr>
      <w:r>
        <w:rPr/>
        <mc:AlternateContent>
          <mc:Choice Requires="wps">
            <w:drawing>
              <wp:anchor distT="0" distB="0" distL="0" distR="0" allowOverlap="1" layoutInCell="1" locked="0" behindDoc="1" simplePos="0" relativeHeight="487604736">
                <wp:simplePos x="0" y="0"/>
                <wp:positionH relativeFrom="page">
                  <wp:posOffset>1688592</wp:posOffset>
                </wp:positionH>
                <wp:positionV relativeFrom="paragraph">
                  <wp:posOffset>162178</wp:posOffset>
                </wp:positionV>
                <wp:extent cx="4691380" cy="63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4691380" cy="6350"/>
                        </a:xfrm>
                        <a:custGeom>
                          <a:avLst/>
                          <a:gdLst/>
                          <a:ahLst/>
                          <a:cxnLst/>
                          <a:rect l="l" t="t" r="r" b="b"/>
                          <a:pathLst>
                            <a:path w="4691380" h="6350">
                              <a:moveTo>
                                <a:pt x="4690872" y="0"/>
                              </a:moveTo>
                              <a:lnTo>
                                <a:pt x="4690872" y="0"/>
                              </a:lnTo>
                              <a:lnTo>
                                <a:pt x="0" y="0"/>
                              </a:lnTo>
                              <a:lnTo>
                                <a:pt x="0" y="6096"/>
                              </a:lnTo>
                              <a:lnTo>
                                <a:pt x="4690872" y="6096"/>
                              </a:lnTo>
                              <a:lnTo>
                                <a:pt x="4690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960007pt;margin-top:12.769976pt;width:369.360018pt;height:.48pt;mso-position-horizontal-relative:page;mso-position-vertical-relative:paragraph;z-index:-15711744;mso-wrap-distance-left:0;mso-wrap-distance-right:0" id="docshape45" filled="true" fillcolor="#000000" stroked="false">
                <v:fill type="solid"/>
                <w10:wrap type="topAndBottom"/>
              </v:rect>
            </w:pict>
          </mc:Fallback>
        </mc:AlternateContent>
      </w:r>
    </w:p>
    <w:p>
      <w:pPr>
        <w:pStyle w:val="BodyText"/>
        <w:rPr>
          <w:b/>
        </w:rPr>
      </w:pPr>
    </w:p>
    <w:p>
      <w:pPr>
        <w:pStyle w:val="BodyText"/>
        <w:spacing w:before="248"/>
        <w:rPr>
          <w:b/>
        </w:rPr>
      </w:pPr>
    </w:p>
    <w:p>
      <w:pPr>
        <w:pStyle w:val="ListParagraph"/>
        <w:numPr>
          <w:ilvl w:val="1"/>
          <w:numId w:val="35"/>
        </w:numPr>
        <w:tabs>
          <w:tab w:pos="1342" w:val="left" w:leader="none"/>
        </w:tabs>
        <w:spacing w:line="240" w:lineRule="auto" w:before="0" w:after="0"/>
        <w:ind w:left="1342" w:right="0" w:hanging="677"/>
        <w:jc w:val="left"/>
        <w:rPr>
          <w:b/>
          <w:sz w:val="22"/>
        </w:rPr>
      </w:pPr>
      <w:r>
        <w:rPr>
          <w:b/>
          <w:sz w:val="22"/>
        </w:rPr>
        <w:t>Amylose</w:t>
      </w:r>
      <w:r>
        <w:rPr>
          <w:b/>
          <w:spacing w:val="10"/>
          <w:sz w:val="22"/>
        </w:rPr>
        <w:t> </w:t>
      </w:r>
      <w:r>
        <w:rPr>
          <w:b/>
          <w:sz w:val="22"/>
        </w:rPr>
        <w:t>–</w:t>
      </w:r>
      <w:r>
        <w:rPr>
          <w:b/>
          <w:spacing w:val="20"/>
          <w:sz w:val="22"/>
        </w:rPr>
        <w:t> </w:t>
      </w:r>
      <w:r>
        <w:rPr>
          <w:b/>
          <w:sz w:val="22"/>
        </w:rPr>
        <w:t>Amylopectin</w:t>
      </w:r>
      <w:r>
        <w:rPr>
          <w:b/>
          <w:spacing w:val="15"/>
          <w:sz w:val="22"/>
        </w:rPr>
        <w:t> </w:t>
      </w:r>
      <w:r>
        <w:rPr>
          <w:b/>
          <w:sz w:val="22"/>
        </w:rPr>
        <w:t>Content</w:t>
      </w:r>
      <w:r>
        <w:rPr>
          <w:b/>
          <w:spacing w:val="18"/>
          <w:sz w:val="22"/>
        </w:rPr>
        <w:t> </w:t>
      </w:r>
      <w:r>
        <w:rPr>
          <w:b/>
          <w:sz w:val="22"/>
        </w:rPr>
        <w:t>Determination</w:t>
      </w:r>
      <w:r>
        <w:rPr>
          <w:b/>
          <w:spacing w:val="16"/>
          <w:sz w:val="22"/>
        </w:rPr>
        <w:t> </w:t>
      </w:r>
      <w:r>
        <w:rPr>
          <w:b/>
          <w:sz w:val="22"/>
        </w:rPr>
        <w:t>for</w:t>
      </w:r>
      <w:r>
        <w:rPr>
          <w:b/>
          <w:spacing w:val="17"/>
          <w:sz w:val="22"/>
        </w:rPr>
        <w:t> </w:t>
      </w:r>
      <w:r>
        <w:rPr>
          <w:b/>
          <w:spacing w:val="-5"/>
          <w:sz w:val="22"/>
        </w:rPr>
        <w:t>MCS</w:t>
      </w:r>
    </w:p>
    <w:p>
      <w:pPr>
        <w:pStyle w:val="BodyText"/>
        <w:spacing w:line="491" w:lineRule="auto" w:before="242"/>
        <w:ind w:left="665" w:right="1861"/>
        <w:jc w:val="both"/>
      </w:pPr>
      <w:r>
        <w:rPr/>
        <w:t>Table 4.3 shows the various ratios of amylose and amylopectin content of MCS at the various times of hydrolysis. The amylose content decreased as the time of hydrolysis increased</w:t>
      </w:r>
      <w:r>
        <w:rPr>
          <w:spacing w:val="37"/>
        </w:rPr>
        <w:t> </w:t>
      </w:r>
      <w:r>
        <w:rPr/>
        <w:t>while the amylopectin content increased</w:t>
      </w:r>
      <w:r>
        <w:rPr>
          <w:spacing w:val="37"/>
        </w:rPr>
        <w:t> </w:t>
      </w:r>
      <w:r>
        <w:rPr/>
        <w:t>as the time of hydrolysis increased.</w:t>
      </w:r>
    </w:p>
    <w:p>
      <w:pPr>
        <w:pStyle w:val="Heading2"/>
        <w:spacing w:before="230"/>
        <w:ind w:left="665" w:firstLine="0"/>
        <w:jc w:val="both"/>
      </w:pPr>
      <w:r>
        <w:rPr/>
        <w:t>Table</w:t>
      </w:r>
      <w:r>
        <w:rPr>
          <w:spacing w:val="4"/>
        </w:rPr>
        <w:t> </w:t>
      </w:r>
      <w:r>
        <w:rPr/>
        <w:t>4.3:</w:t>
      </w:r>
      <w:r>
        <w:rPr>
          <w:spacing w:val="62"/>
          <w:w w:val="150"/>
        </w:rPr>
        <w:t>   </w:t>
      </w:r>
      <w:r>
        <w:rPr/>
        <w:t>Determination</w:t>
      </w:r>
      <w:r>
        <w:rPr>
          <w:spacing w:val="4"/>
        </w:rPr>
        <w:t> </w:t>
      </w:r>
      <w:r>
        <w:rPr/>
        <w:t>of</w:t>
      </w:r>
      <w:r>
        <w:rPr>
          <w:spacing w:val="12"/>
        </w:rPr>
        <w:t> </w:t>
      </w:r>
      <w:r>
        <w:rPr/>
        <w:t>Amylose</w:t>
      </w:r>
      <w:r>
        <w:rPr>
          <w:spacing w:val="5"/>
        </w:rPr>
        <w:t> </w:t>
      </w:r>
      <w:r>
        <w:rPr/>
        <w:t>–</w:t>
      </w:r>
      <w:r>
        <w:rPr>
          <w:spacing w:val="12"/>
        </w:rPr>
        <w:t> </w:t>
      </w:r>
      <w:r>
        <w:rPr/>
        <w:t>Amylopectin</w:t>
      </w:r>
      <w:r>
        <w:rPr>
          <w:spacing w:val="10"/>
        </w:rPr>
        <w:t> </w:t>
      </w:r>
      <w:r>
        <w:rPr/>
        <w:t>Content</w:t>
      </w:r>
      <w:r>
        <w:rPr>
          <w:spacing w:val="11"/>
        </w:rPr>
        <w:t> </w:t>
      </w:r>
      <w:r>
        <w:rPr/>
        <w:t>for</w:t>
      </w:r>
      <w:r>
        <w:rPr>
          <w:spacing w:val="5"/>
        </w:rPr>
        <w:t> </w:t>
      </w:r>
      <w:r>
        <w:rPr>
          <w:spacing w:val="-5"/>
        </w:rPr>
        <w:t>MCS</w:t>
      </w:r>
    </w:p>
    <w:p>
      <w:pPr>
        <w:pStyle w:val="BodyText"/>
        <w:spacing w:before="147"/>
        <w:rPr>
          <w:b/>
          <w:sz w:val="20"/>
        </w:rPr>
      </w:pPr>
    </w:p>
    <w:tbl>
      <w:tblPr>
        <w:tblW w:w="0" w:type="auto"/>
        <w:jc w:val="left"/>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5"/>
        <w:gridCol w:w="2268"/>
        <w:gridCol w:w="2536"/>
      </w:tblGrid>
      <w:tr>
        <w:trPr>
          <w:trHeight w:val="523" w:hRule="atLeast"/>
        </w:trPr>
        <w:tc>
          <w:tcPr>
            <w:tcW w:w="2575" w:type="dxa"/>
            <w:tcBorders>
              <w:top w:val="single" w:sz="2" w:space="0" w:color="000000"/>
              <w:bottom w:val="single" w:sz="2" w:space="0" w:color="000000"/>
            </w:tcBorders>
          </w:tcPr>
          <w:p>
            <w:pPr>
              <w:pStyle w:val="TableParagraph"/>
              <w:spacing w:before="10"/>
              <w:ind w:left="100"/>
              <w:rPr>
                <w:b/>
                <w:sz w:val="22"/>
              </w:rPr>
            </w:pPr>
            <w:r>
              <w:rPr>
                <w:b/>
                <w:sz w:val="22"/>
              </w:rPr>
              <w:t>Time</w:t>
            </w:r>
            <w:r>
              <w:rPr>
                <w:b/>
                <w:spacing w:val="10"/>
                <w:sz w:val="22"/>
              </w:rPr>
              <w:t> </w:t>
            </w:r>
            <w:r>
              <w:rPr>
                <w:b/>
                <w:sz w:val="22"/>
              </w:rPr>
              <w:t>of</w:t>
            </w:r>
            <w:r>
              <w:rPr>
                <w:b/>
                <w:spacing w:val="11"/>
                <w:sz w:val="22"/>
              </w:rPr>
              <w:t> </w:t>
            </w:r>
            <w:r>
              <w:rPr>
                <w:b/>
                <w:sz w:val="22"/>
              </w:rPr>
              <w:t>Hydrolysis</w:t>
            </w:r>
            <w:r>
              <w:rPr>
                <w:b/>
                <w:spacing w:val="8"/>
                <w:sz w:val="22"/>
              </w:rPr>
              <w:t> </w:t>
            </w:r>
            <w:r>
              <w:rPr>
                <w:b/>
                <w:spacing w:val="-5"/>
                <w:sz w:val="22"/>
              </w:rPr>
              <w:t>(h)</w:t>
            </w:r>
          </w:p>
        </w:tc>
        <w:tc>
          <w:tcPr>
            <w:tcW w:w="2268" w:type="dxa"/>
            <w:tcBorders>
              <w:top w:val="single" w:sz="2" w:space="0" w:color="000000"/>
              <w:bottom w:val="single" w:sz="2" w:space="0" w:color="000000"/>
            </w:tcBorders>
          </w:tcPr>
          <w:p>
            <w:pPr>
              <w:pStyle w:val="TableParagraph"/>
              <w:spacing w:before="10"/>
              <w:ind w:left="300"/>
              <w:rPr>
                <w:b/>
                <w:sz w:val="22"/>
              </w:rPr>
            </w:pPr>
            <w:r>
              <w:rPr>
                <w:b/>
                <w:sz w:val="22"/>
              </w:rPr>
              <w:t>Amylose</w:t>
            </w:r>
            <w:r>
              <w:rPr>
                <w:b/>
                <w:spacing w:val="5"/>
                <w:sz w:val="22"/>
              </w:rPr>
              <w:t> </w:t>
            </w:r>
            <w:r>
              <w:rPr>
                <w:b/>
                <w:sz w:val="22"/>
              </w:rPr>
              <w:t>(%</w:t>
            </w:r>
            <w:r>
              <w:rPr>
                <w:b/>
                <w:spacing w:val="24"/>
                <w:sz w:val="22"/>
              </w:rPr>
              <w:t> </w:t>
            </w:r>
            <w:r>
              <w:rPr>
                <w:b/>
                <w:spacing w:val="-4"/>
                <w:sz w:val="22"/>
              </w:rPr>
              <w:t>w/w)</w:t>
            </w:r>
          </w:p>
        </w:tc>
        <w:tc>
          <w:tcPr>
            <w:tcW w:w="2536" w:type="dxa"/>
            <w:tcBorders>
              <w:top w:val="single" w:sz="2" w:space="0" w:color="000000"/>
              <w:bottom w:val="single" w:sz="2" w:space="0" w:color="000000"/>
            </w:tcBorders>
          </w:tcPr>
          <w:p>
            <w:pPr>
              <w:pStyle w:val="TableParagraph"/>
              <w:spacing w:before="10"/>
              <w:ind w:left="264"/>
              <w:rPr>
                <w:b/>
                <w:sz w:val="22"/>
              </w:rPr>
            </w:pPr>
            <w:r>
              <w:rPr>
                <w:b/>
                <w:sz w:val="22"/>
              </w:rPr>
              <w:t>Amylopectin</w:t>
            </w:r>
            <w:r>
              <w:rPr>
                <w:b/>
                <w:spacing w:val="9"/>
                <w:sz w:val="22"/>
              </w:rPr>
              <w:t> </w:t>
            </w:r>
            <w:r>
              <w:rPr>
                <w:b/>
                <w:sz w:val="22"/>
              </w:rPr>
              <w:t>(%</w:t>
            </w:r>
            <w:r>
              <w:rPr>
                <w:b/>
                <w:spacing w:val="28"/>
                <w:sz w:val="22"/>
              </w:rPr>
              <w:t> </w:t>
            </w:r>
            <w:r>
              <w:rPr>
                <w:b/>
                <w:spacing w:val="-4"/>
                <w:sz w:val="22"/>
              </w:rPr>
              <w:t>w/w)</w:t>
            </w:r>
          </w:p>
        </w:tc>
      </w:tr>
      <w:tr>
        <w:trPr>
          <w:trHeight w:val="394" w:hRule="atLeast"/>
        </w:trPr>
        <w:tc>
          <w:tcPr>
            <w:tcW w:w="2575" w:type="dxa"/>
            <w:tcBorders>
              <w:top w:val="single" w:sz="2" w:space="0" w:color="000000"/>
            </w:tcBorders>
          </w:tcPr>
          <w:p>
            <w:pPr>
              <w:pStyle w:val="TableParagraph"/>
              <w:spacing w:before="5"/>
              <w:ind w:left="100"/>
              <w:rPr>
                <w:sz w:val="22"/>
              </w:rPr>
            </w:pPr>
            <w:r>
              <w:rPr>
                <w:spacing w:val="-10"/>
                <w:sz w:val="22"/>
              </w:rPr>
              <w:t>0</w:t>
            </w:r>
          </w:p>
        </w:tc>
        <w:tc>
          <w:tcPr>
            <w:tcW w:w="2268" w:type="dxa"/>
            <w:tcBorders>
              <w:top w:val="single" w:sz="2" w:space="0" w:color="000000"/>
            </w:tcBorders>
          </w:tcPr>
          <w:p>
            <w:pPr>
              <w:pStyle w:val="TableParagraph"/>
              <w:spacing w:before="5"/>
              <w:ind w:left="300"/>
              <w:rPr>
                <w:sz w:val="22"/>
              </w:rPr>
            </w:pPr>
            <w:r>
              <w:rPr>
                <w:spacing w:val="-2"/>
                <w:sz w:val="22"/>
              </w:rPr>
              <w:t>78.125</w:t>
            </w:r>
          </w:p>
        </w:tc>
        <w:tc>
          <w:tcPr>
            <w:tcW w:w="2536" w:type="dxa"/>
            <w:tcBorders>
              <w:top w:val="single" w:sz="2" w:space="0" w:color="000000"/>
            </w:tcBorders>
          </w:tcPr>
          <w:p>
            <w:pPr>
              <w:pStyle w:val="TableParagraph"/>
              <w:spacing w:before="5"/>
              <w:ind w:left="264"/>
              <w:rPr>
                <w:sz w:val="22"/>
              </w:rPr>
            </w:pPr>
            <w:r>
              <w:rPr>
                <w:spacing w:val="-2"/>
                <w:sz w:val="22"/>
              </w:rPr>
              <w:t>21.875</w:t>
            </w:r>
          </w:p>
        </w:tc>
      </w:tr>
      <w:tr>
        <w:trPr>
          <w:trHeight w:val="518" w:hRule="atLeast"/>
        </w:trPr>
        <w:tc>
          <w:tcPr>
            <w:tcW w:w="2575" w:type="dxa"/>
          </w:tcPr>
          <w:p>
            <w:pPr>
              <w:pStyle w:val="TableParagraph"/>
              <w:spacing w:before="130"/>
              <w:ind w:left="100"/>
              <w:rPr>
                <w:sz w:val="22"/>
              </w:rPr>
            </w:pPr>
            <w:r>
              <w:rPr>
                <w:spacing w:val="-10"/>
                <w:sz w:val="22"/>
              </w:rPr>
              <w:t>6</w:t>
            </w:r>
          </w:p>
        </w:tc>
        <w:tc>
          <w:tcPr>
            <w:tcW w:w="2268" w:type="dxa"/>
          </w:tcPr>
          <w:p>
            <w:pPr>
              <w:pStyle w:val="TableParagraph"/>
              <w:spacing w:before="130"/>
              <w:ind w:left="300"/>
              <w:rPr>
                <w:sz w:val="22"/>
              </w:rPr>
            </w:pPr>
            <w:r>
              <w:rPr>
                <w:spacing w:val="-2"/>
                <w:sz w:val="22"/>
              </w:rPr>
              <w:t>67.625</w:t>
            </w:r>
          </w:p>
        </w:tc>
        <w:tc>
          <w:tcPr>
            <w:tcW w:w="2536" w:type="dxa"/>
          </w:tcPr>
          <w:p>
            <w:pPr>
              <w:pStyle w:val="TableParagraph"/>
              <w:spacing w:before="130"/>
              <w:ind w:left="264"/>
              <w:rPr>
                <w:sz w:val="22"/>
              </w:rPr>
            </w:pPr>
            <w:r>
              <w:rPr>
                <w:spacing w:val="-2"/>
                <w:sz w:val="22"/>
              </w:rPr>
              <w:t>32.375</w:t>
            </w:r>
          </w:p>
        </w:tc>
      </w:tr>
      <w:tr>
        <w:trPr>
          <w:trHeight w:val="518" w:hRule="atLeast"/>
        </w:trPr>
        <w:tc>
          <w:tcPr>
            <w:tcW w:w="2575" w:type="dxa"/>
          </w:tcPr>
          <w:p>
            <w:pPr>
              <w:pStyle w:val="TableParagraph"/>
              <w:spacing w:before="130"/>
              <w:ind w:left="100"/>
              <w:rPr>
                <w:sz w:val="22"/>
              </w:rPr>
            </w:pPr>
            <w:r>
              <w:rPr>
                <w:spacing w:val="-5"/>
                <w:sz w:val="22"/>
              </w:rPr>
              <w:t>12</w:t>
            </w:r>
          </w:p>
        </w:tc>
        <w:tc>
          <w:tcPr>
            <w:tcW w:w="2268" w:type="dxa"/>
          </w:tcPr>
          <w:p>
            <w:pPr>
              <w:pStyle w:val="TableParagraph"/>
              <w:spacing w:before="130"/>
              <w:ind w:left="300"/>
              <w:rPr>
                <w:sz w:val="22"/>
              </w:rPr>
            </w:pPr>
            <w:r>
              <w:rPr>
                <w:spacing w:val="-2"/>
                <w:sz w:val="22"/>
              </w:rPr>
              <w:t>66.500</w:t>
            </w:r>
          </w:p>
        </w:tc>
        <w:tc>
          <w:tcPr>
            <w:tcW w:w="2536" w:type="dxa"/>
          </w:tcPr>
          <w:p>
            <w:pPr>
              <w:pStyle w:val="TableParagraph"/>
              <w:spacing w:before="130"/>
              <w:ind w:left="264"/>
              <w:rPr>
                <w:sz w:val="22"/>
              </w:rPr>
            </w:pPr>
            <w:r>
              <w:rPr>
                <w:spacing w:val="-2"/>
                <w:sz w:val="22"/>
              </w:rPr>
              <w:t>33.500</w:t>
            </w:r>
          </w:p>
        </w:tc>
      </w:tr>
      <w:tr>
        <w:trPr>
          <w:trHeight w:val="518" w:hRule="atLeast"/>
        </w:trPr>
        <w:tc>
          <w:tcPr>
            <w:tcW w:w="2575" w:type="dxa"/>
          </w:tcPr>
          <w:p>
            <w:pPr>
              <w:pStyle w:val="TableParagraph"/>
              <w:spacing w:before="130"/>
              <w:ind w:left="100"/>
              <w:rPr>
                <w:sz w:val="22"/>
              </w:rPr>
            </w:pPr>
            <w:r>
              <w:rPr>
                <w:spacing w:val="-5"/>
                <w:sz w:val="22"/>
              </w:rPr>
              <w:t>18</w:t>
            </w:r>
          </w:p>
        </w:tc>
        <w:tc>
          <w:tcPr>
            <w:tcW w:w="2268" w:type="dxa"/>
          </w:tcPr>
          <w:p>
            <w:pPr>
              <w:pStyle w:val="TableParagraph"/>
              <w:spacing w:before="130"/>
              <w:ind w:left="300"/>
              <w:rPr>
                <w:sz w:val="22"/>
              </w:rPr>
            </w:pPr>
            <w:r>
              <w:rPr>
                <w:spacing w:val="-2"/>
                <w:sz w:val="22"/>
              </w:rPr>
              <w:t>53.125</w:t>
            </w:r>
          </w:p>
        </w:tc>
        <w:tc>
          <w:tcPr>
            <w:tcW w:w="2536" w:type="dxa"/>
          </w:tcPr>
          <w:p>
            <w:pPr>
              <w:pStyle w:val="TableParagraph"/>
              <w:spacing w:before="130"/>
              <w:ind w:left="264"/>
              <w:rPr>
                <w:sz w:val="22"/>
              </w:rPr>
            </w:pPr>
            <w:r>
              <w:rPr>
                <w:spacing w:val="-2"/>
                <w:sz w:val="22"/>
              </w:rPr>
              <w:t>46.875</w:t>
            </w:r>
          </w:p>
        </w:tc>
      </w:tr>
      <w:tr>
        <w:trPr>
          <w:trHeight w:val="384" w:hRule="atLeast"/>
        </w:trPr>
        <w:tc>
          <w:tcPr>
            <w:tcW w:w="2575" w:type="dxa"/>
          </w:tcPr>
          <w:p>
            <w:pPr>
              <w:pStyle w:val="TableParagraph"/>
              <w:spacing w:line="234" w:lineRule="exact" w:before="130"/>
              <w:ind w:left="100"/>
              <w:rPr>
                <w:sz w:val="22"/>
              </w:rPr>
            </w:pPr>
            <w:r>
              <w:rPr>
                <w:spacing w:val="-5"/>
                <w:sz w:val="22"/>
              </w:rPr>
              <w:t>24</w:t>
            </w:r>
          </w:p>
        </w:tc>
        <w:tc>
          <w:tcPr>
            <w:tcW w:w="2268" w:type="dxa"/>
          </w:tcPr>
          <w:p>
            <w:pPr>
              <w:pStyle w:val="TableParagraph"/>
              <w:spacing w:line="234" w:lineRule="exact" w:before="130"/>
              <w:ind w:left="300"/>
              <w:rPr>
                <w:sz w:val="22"/>
              </w:rPr>
            </w:pPr>
            <w:r>
              <w:rPr>
                <w:spacing w:val="-2"/>
                <w:sz w:val="22"/>
              </w:rPr>
              <w:t>51.250</w:t>
            </w:r>
          </w:p>
        </w:tc>
        <w:tc>
          <w:tcPr>
            <w:tcW w:w="2536" w:type="dxa"/>
          </w:tcPr>
          <w:p>
            <w:pPr>
              <w:pStyle w:val="TableParagraph"/>
              <w:spacing w:line="234" w:lineRule="exact" w:before="130"/>
              <w:ind w:left="264"/>
              <w:rPr>
                <w:sz w:val="22"/>
              </w:rPr>
            </w:pPr>
            <w:r>
              <w:rPr>
                <w:spacing w:val="-2"/>
                <w:sz w:val="22"/>
              </w:rPr>
              <w:t>48.750</w:t>
            </w:r>
          </w:p>
        </w:tc>
      </w:tr>
    </w:tbl>
    <w:p>
      <w:pPr>
        <w:pStyle w:val="BodyText"/>
        <w:spacing w:before="8"/>
        <w:rPr>
          <w:b/>
          <w:sz w:val="20"/>
        </w:rPr>
      </w:pPr>
      <w:r>
        <w:rPr/>
        <mc:AlternateContent>
          <mc:Choice Requires="wps">
            <w:drawing>
              <wp:anchor distT="0" distB="0" distL="0" distR="0" allowOverlap="1" layoutInCell="1" locked="0" behindDoc="1" simplePos="0" relativeHeight="487605248">
                <wp:simplePos x="0" y="0"/>
                <wp:positionH relativeFrom="page">
                  <wp:posOffset>1688592</wp:posOffset>
                </wp:positionH>
                <wp:positionV relativeFrom="paragraph">
                  <wp:posOffset>166357</wp:posOffset>
                </wp:positionV>
                <wp:extent cx="4691380" cy="63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4691380" cy="6350"/>
                        </a:xfrm>
                        <a:custGeom>
                          <a:avLst/>
                          <a:gdLst/>
                          <a:ahLst/>
                          <a:cxnLst/>
                          <a:rect l="l" t="t" r="r" b="b"/>
                          <a:pathLst>
                            <a:path w="4691380" h="6350">
                              <a:moveTo>
                                <a:pt x="4690872" y="0"/>
                              </a:moveTo>
                              <a:lnTo>
                                <a:pt x="4690872" y="0"/>
                              </a:lnTo>
                              <a:lnTo>
                                <a:pt x="0" y="0"/>
                              </a:lnTo>
                              <a:lnTo>
                                <a:pt x="0" y="6096"/>
                              </a:lnTo>
                              <a:lnTo>
                                <a:pt x="4690872" y="6096"/>
                              </a:lnTo>
                              <a:lnTo>
                                <a:pt x="4690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960007pt;margin-top:13.099015pt;width:369.360018pt;height:.48pt;mso-position-horizontal-relative:page;mso-position-vertical-relative:paragraph;z-index:-15711232;mso-wrap-distance-left:0;mso-wrap-distance-right:0" id="docshape46" filled="true" fillcolor="#000000" stroked="false">
                <v:fill type="solid"/>
                <w10:wrap type="topAndBottom"/>
              </v:rect>
            </w:pict>
          </mc:Fallback>
        </mc:AlternateContent>
      </w:r>
    </w:p>
    <w:p>
      <w:pPr>
        <w:spacing w:after="0"/>
        <w:rPr>
          <w:sz w:val="20"/>
        </w:rPr>
        <w:sectPr>
          <w:pgSz w:w="12240" w:h="15840"/>
          <w:pgMar w:header="0" w:footer="999" w:top="1260" w:bottom="1180" w:left="1720" w:right="0"/>
        </w:sectPr>
      </w:pPr>
    </w:p>
    <w:p>
      <w:pPr>
        <w:pStyle w:val="Heading2"/>
        <w:numPr>
          <w:ilvl w:val="1"/>
          <w:numId w:val="35"/>
        </w:numPr>
        <w:tabs>
          <w:tab w:pos="1342" w:val="left" w:leader="none"/>
        </w:tabs>
        <w:spacing w:line="240" w:lineRule="auto" w:before="80" w:after="0"/>
        <w:ind w:left="1342" w:right="0" w:hanging="677"/>
        <w:jc w:val="left"/>
      </w:pPr>
      <w:bookmarkStart w:name="_TOC_250035" w:id="126"/>
      <w:r>
        <w:rPr/>
        <w:t>Physicochemical</w:t>
      </w:r>
      <w:r>
        <w:rPr>
          <w:spacing w:val="31"/>
        </w:rPr>
        <w:t> </w:t>
      </w:r>
      <w:bookmarkEnd w:id="126"/>
      <w:r>
        <w:rPr>
          <w:spacing w:val="-2"/>
        </w:rPr>
        <w:t>Properties</w:t>
      </w:r>
    </w:p>
    <w:p>
      <w:pPr>
        <w:pStyle w:val="BodyText"/>
        <w:spacing w:before="246"/>
        <w:ind w:left="1011"/>
      </w:pPr>
      <w:r>
        <w:rPr/>
        <w:t>The</w:t>
      </w:r>
      <w:r>
        <w:rPr>
          <w:spacing w:val="9"/>
        </w:rPr>
        <w:t> </w:t>
      </w:r>
      <w:r>
        <w:rPr/>
        <w:t>results</w:t>
      </w:r>
      <w:r>
        <w:rPr>
          <w:spacing w:val="7"/>
        </w:rPr>
        <w:t> </w:t>
      </w:r>
      <w:r>
        <w:rPr/>
        <w:t>for</w:t>
      </w:r>
      <w:r>
        <w:rPr>
          <w:spacing w:val="12"/>
        </w:rPr>
        <w:t> </w:t>
      </w:r>
      <w:r>
        <w:rPr/>
        <w:t>the</w:t>
      </w:r>
      <w:r>
        <w:rPr>
          <w:spacing w:val="9"/>
        </w:rPr>
        <w:t> </w:t>
      </w:r>
      <w:r>
        <w:rPr/>
        <w:t>flow</w:t>
      </w:r>
      <w:r>
        <w:rPr>
          <w:spacing w:val="8"/>
        </w:rPr>
        <w:t> </w:t>
      </w:r>
      <w:r>
        <w:rPr/>
        <w:t>properties</w:t>
      </w:r>
      <w:r>
        <w:rPr>
          <w:spacing w:val="8"/>
        </w:rPr>
        <w:t> </w:t>
      </w:r>
      <w:r>
        <w:rPr/>
        <w:t>and</w:t>
      </w:r>
      <w:r>
        <w:rPr>
          <w:spacing w:val="16"/>
        </w:rPr>
        <w:t> </w:t>
      </w:r>
      <w:r>
        <w:rPr/>
        <w:t>angle</w:t>
      </w:r>
      <w:r>
        <w:rPr>
          <w:spacing w:val="9"/>
        </w:rPr>
        <w:t> </w:t>
      </w:r>
      <w:r>
        <w:rPr/>
        <w:t>of</w:t>
      </w:r>
      <w:r>
        <w:rPr>
          <w:spacing w:val="5"/>
        </w:rPr>
        <w:t> </w:t>
      </w:r>
      <w:r>
        <w:rPr/>
        <w:t>repose</w:t>
      </w:r>
      <w:r>
        <w:rPr>
          <w:spacing w:val="9"/>
        </w:rPr>
        <w:t> </w:t>
      </w:r>
      <w:r>
        <w:rPr/>
        <w:t>are presented</w:t>
      </w:r>
      <w:r>
        <w:rPr>
          <w:spacing w:val="10"/>
        </w:rPr>
        <w:t> </w:t>
      </w:r>
      <w:r>
        <w:rPr/>
        <w:t>in</w:t>
      </w:r>
      <w:r>
        <w:rPr>
          <w:spacing w:val="6"/>
        </w:rPr>
        <w:t> </w:t>
      </w:r>
      <w:r>
        <w:rPr/>
        <w:t>Table</w:t>
      </w:r>
      <w:r>
        <w:rPr>
          <w:spacing w:val="10"/>
        </w:rPr>
        <w:t> </w:t>
      </w:r>
      <w:r>
        <w:rPr>
          <w:spacing w:val="-4"/>
        </w:rPr>
        <w:t>4.4.</w:t>
      </w:r>
    </w:p>
    <w:p>
      <w:pPr>
        <w:pStyle w:val="BodyText"/>
        <w:spacing w:before="12"/>
      </w:pPr>
    </w:p>
    <w:p>
      <w:pPr>
        <w:pStyle w:val="BodyText"/>
        <w:spacing w:line="491" w:lineRule="auto" w:before="1"/>
        <w:ind w:left="665" w:right="1856"/>
        <w:jc w:val="both"/>
      </w:pPr>
      <w:r>
        <w:rPr/>
        <w:t>The angle of repose obtained for DS (47.5</w:t>
      </w:r>
      <w:r>
        <w:rPr>
          <w:vertAlign w:val="superscript"/>
        </w:rPr>
        <w:t>o</w:t>
      </w:r>
      <w:r>
        <w:rPr>
          <w:vertAlign w:val="baseline"/>
        </w:rPr>
        <w:t>) and MCS at 24 h (46.3</w:t>
      </w:r>
      <w:r>
        <w:rPr>
          <w:vertAlign w:val="superscript"/>
        </w:rPr>
        <w:t>o</w:t>
      </w:r>
      <w:r>
        <w:rPr>
          <w:vertAlign w:val="baseline"/>
        </w:rPr>
        <w:t>) indicate that both starches possess poor flow properties. The bulk and tapped density values are also presented in Table 4.4. The values ranked in the following order; MCS&gt;MS&gt;DS. The Carr`s index and Hausner`s ratio were computed from the figures obtained for bulk and tapped</w:t>
      </w:r>
      <w:r>
        <w:rPr>
          <w:spacing w:val="40"/>
          <w:vertAlign w:val="baseline"/>
        </w:rPr>
        <w:t> </w:t>
      </w:r>
      <w:r>
        <w:rPr>
          <w:vertAlign w:val="baseline"/>
        </w:rPr>
        <w:t>densities.</w:t>
      </w:r>
      <w:r>
        <w:rPr>
          <w:spacing w:val="40"/>
          <w:vertAlign w:val="baseline"/>
        </w:rPr>
        <w:t> </w:t>
      </w:r>
      <w:r>
        <w:rPr>
          <w:vertAlign w:val="baseline"/>
        </w:rPr>
        <w:t>Powder</w:t>
      </w:r>
      <w:r>
        <w:rPr>
          <w:spacing w:val="40"/>
          <w:vertAlign w:val="baseline"/>
        </w:rPr>
        <w:t> </w:t>
      </w:r>
      <w:r>
        <w:rPr>
          <w:vertAlign w:val="baseline"/>
        </w:rPr>
        <w:t>having</w:t>
      </w:r>
      <w:r>
        <w:rPr>
          <w:spacing w:val="40"/>
          <w:vertAlign w:val="baseline"/>
        </w:rPr>
        <w:t> </w:t>
      </w:r>
      <w:r>
        <w:rPr>
          <w:vertAlign w:val="baseline"/>
        </w:rPr>
        <w:t>a</w:t>
      </w:r>
      <w:r>
        <w:rPr>
          <w:spacing w:val="40"/>
          <w:vertAlign w:val="baseline"/>
        </w:rPr>
        <w:t> </w:t>
      </w:r>
      <w:r>
        <w:rPr>
          <w:vertAlign w:val="baseline"/>
        </w:rPr>
        <w:t>Carr`s</w:t>
      </w:r>
      <w:r>
        <w:rPr>
          <w:spacing w:val="40"/>
          <w:vertAlign w:val="baseline"/>
        </w:rPr>
        <w:t> </w:t>
      </w:r>
      <w:r>
        <w:rPr>
          <w:vertAlign w:val="baseline"/>
        </w:rPr>
        <w:t>index</w:t>
      </w:r>
      <w:r>
        <w:rPr>
          <w:spacing w:val="40"/>
          <w:vertAlign w:val="baseline"/>
        </w:rPr>
        <w:t> </w:t>
      </w:r>
      <w:r>
        <w:rPr>
          <w:vertAlign w:val="baseline"/>
        </w:rPr>
        <w:t>above</w:t>
      </w:r>
      <w:r>
        <w:rPr>
          <w:spacing w:val="40"/>
          <w:vertAlign w:val="baseline"/>
        </w:rPr>
        <w:t> </w:t>
      </w:r>
      <w:r>
        <w:rPr>
          <w:vertAlign w:val="baseline"/>
        </w:rPr>
        <w:t>28</w:t>
      </w:r>
      <w:r>
        <w:rPr>
          <w:spacing w:val="40"/>
          <w:vertAlign w:val="baseline"/>
        </w:rPr>
        <w:t> </w:t>
      </w:r>
      <w:r>
        <w:rPr>
          <w:vertAlign w:val="baseline"/>
        </w:rPr>
        <w:t>%</w:t>
      </w:r>
      <w:r>
        <w:rPr>
          <w:spacing w:val="40"/>
          <w:vertAlign w:val="baseline"/>
        </w:rPr>
        <w:t> </w:t>
      </w:r>
      <w:r>
        <w:rPr>
          <w:vertAlign w:val="baseline"/>
        </w:rPr>
        <w:t>and</w:t>
      </w:r>
      <w:r>
        <w:rPr>
          <w:spacing w:val="40"/>
          <w:vertAlign w:val="baseline"/>
        </w:rPr>
        <w:t> </w:t>
      </w:r>
      <w:r>
        <w:rPr>
          <w:vertAlign w:val="baseline"/>
        </w:rPr>
        <w:t>a</w:t>
      </w:r>
      <w:r>
        <w:rPr>
          <w:spacing w:val="40"/>
          <w:vertAlign w:val="baseline"/>
        </w:rPr>
        <w:t> </w:t>
      </w:r>
      <w:r>
        <w:rPr>
          <w:vertAlign w:val="baseline"/>
        </w:rPr>
        <w:t>Hausner`s</w:t>
      </w:r>
      <w:r>
        <w:rPr>
          <w:spacing w:val="40"/>
          <w:vertAlign w:val="baseline"/>
        </w:rPr>
        <w:t> </w:t>
      </w:r>
      <w:r>
        <w:rPr>
          <w:vertAlign w:val="baseline"/>
        </w:rPr>
        <w:t>ratio greater</w:t>
      </w:r>
      <w:r>
        <w:rPr>
          <w:spacing w:val="40"/>
          <w:vertAlign w:val="baseline"/>
        </w:rPr>
        <w:t> </w:t>
      </w:r>
      <w:r>
        <w:rPr>
          <w:vertAlign w:val="baseline"/>
        </w:rPr>
        <w:t>than</w:t>
      </w:r>
      <w:r>
        <w:rPr>
          <w:spacing w:val="36"/>
          <w:vertAlign w:val="baseline"/>
        </w:rPr>
        <w:t> </w:t>
      </w:r>
      <w:r>
        <w:rPr>
          <w:vertAlign w:val="baseline"/>
        </w:rPr>
        <w:t>1.2</w:t>
      </w:r>
      <w:r>
        <w:rPr>
          <w:spacing w:val="36"/>
          <w:vertAlign w:val="baseline"/>
        </w:rPr>
        <w:t> </w:t>
      </w:r>
      <w:r>
        <w:rPr>
          <w:vertAlign w:val="baseline"/>
        </w:rPr>
        <w:t>possess</w:t>
      </w:r>
      <w:r>
        <w:rPr>
          <w:spacing w:val="37"/>
          <w:vertAlign w:val="baseline"/>
        </w:rPr>
        <w:t> </w:t>
      </w:r>
      <w:r>
        <w:rPr>
          <w:vertAlign w:val="baseline"/>
        </w:rPr>
        <w:t>poor</w:t>
      </w:r>
      <w:r>
        <w:rPr>
          <w:spacing w:val="40"/>
          <w:vertAlign w:val="baseline"/>
        </w:rPr>
        <w:t> </w:t>
      </w:r>
      <w:r>
        <w:rPr>
          <w:vertAlign w:val="baseline"/>
        </w:rPr>
        <w:t>compressibility</w:t>
      </w:r>
      <w:r>
        <w:rPr>
          <w:spacing w:val="30"/>
          <w:vertAlign w:val="baseline"/>
        </w:rPr>
        <w:t> </w:t>
      </w:r>
      <w:r>
        <w:rPr>
          <w:vertAlign w:val="baseline"/>
        </w:rPr>
        <w:t>profile.</w:t>
      </w:r>
      <w:r>
        <w:rPr>
          <w:spacing w:val="39"/>
          <w:vertAlign w:val="baseline"/>
        </w:rPr>
        <w:t> </w:t>
      </w:r>
      <w:r>
        <w:rPr>
          <w:vertAlign w:val="baseline"/>
        </w:rPr>
        <w:t>The</w:t>
      </w:r>
      <w:r>
        <w:rPr>
          <w:spacing w:val="33"/>
          <w:vertAlign w:val="baseline"/>
        </w:rPr>
        <w:t> </w:t>
      </w:r>
      <w:r>
        <w:rPr>
          <w:vertAlign w:val="baseline"/>
        </w:rPr>
        <w:t>true density of</w:t>
      </w:r>
      <w:r>
        <w:rPr>
          <w:spacing w:val="34"/>
          <w:vertAlign w:val="baseline"/>
        </w:rPr>
        <w:t> </w:t>
      </w:r>
      <w:r>
        <w:rPr>
          <w:vertAlign w:val="baseline"/>
        </w:rPr>
        <w:t>DS</w:t>
      </w:r>
      <w:r>
        <w:rPr>
          <w:spacing w:val="38"/>
          <w:vertAlign w:val="baseline"/>
        </w:rPr>
        <w:t> </w:t>
      </w:r>
      <w:r>
        <w:rPr>
          <w:vertAlign w:val="baseline"/>
        </w:rPr>
        <w:t>(1.43)</w:t>
      </w:r>
      <w:r>
        <w:rPr>
          <w:spacing w:val="40"/>
          <w:vertAlign w:val="baseline"/>
        </w:rPr>
        <w:t> </w:t>
      </w:r>
      <w:r>
        <w:rPr>
          <w:vertAlign w:val="baseline"/>
        </w:rPr>
        <w:t>is less than MS and MCS at 24 h (1.47). The powder porosity ranged form 60.45-72.03 %. The values obtained for swelling power rank in this order; MS&gt;MCS&gt;DS. The moisture sorption capacity values rank in the following order; MCS&gt;DS&gt;MS. The mean particle size values rank in the following order; MS&gt;DS&gt;MCS. The pH values for DS and MCS indicate those pHs are close to neutral.</w:t>
      </w:r>
    </w:p>
    <w:p>
      <w:pPr>
        <w:spacing w:after="0" w:line="491" w:lineRule="auto"/>
        <w:jc w:val="both"/>
        <w:sectPr>
          <w:pgSz w:w="12240" w:h="15840"/>
          <w:pgMar w:header="0" w:footer="999" w:top="1260" w:bottom="1180" w:left="1720" w:right="0"/>
        </w:sectPr>
      </w:pPr>
    </w:p>
    <w:p>
      <w:pPr>
        <w:spacing w:before="85"/>
        <w:ind w:left="665" w:right="0" w:firstLine="0"/>
        <w:jc w:val="left"/>
        <w:rPr>
          <w:b/>
          <w:sz w:val="22"/>
        </w:rPr>
      </w:pPr>
      <w:r>
        <w:rPr>
          <w:b/>
          <w:sz w:val="22"/>
        </w:rPr>
        <w:t>Table</w:t>
      </w:r>
      <w:r>
        <w:rPr>
          <w:b/>
          <w:spacing w:val="7"/>
          <w:sz w:val="22"/>
        </w:rPr>
        <w:t> </w:t>
      </w:r>
      <w:r>
        <w:rPr>
          <w:b/>
          <w:sz w:val="22"/>
        </w:rPr>
        <w:t>4.4:</w:t>
      </w:r>
      <w:r>
        <w:rPr>
          <w:b/>
          <w:spacing w:val="15"/>
          <w:sz w:val="22"/>
        </w:rPr>
        <w:t> </w:t>
      </w:r>
      <w:r>
        <w:rPr>
          <w:b/>
          <w:sz w:val="22"/>
        </w:rPr>
        <w:t>Physicochemical</w:t>
      </w:r>
      <w:r>
        <w:rPr>
          <w:b/>
          <w:spacing w:val="17"/>
          <w:sz w:val="22"/>
        </w:rPr>
        <w:t> </w:t>
      </w:r>
      <w:r>
        <w:rPr>
          <w:b/>
          <w:sz w:val="22"/>
        </w:rPr>
        <w:t>Parameters</w:t>
      </w:r>
      <w:r>
        <w:rPr>
          <w:b/>
          <w:spacing w:val="12"/>
          <w:sz w:val="22"/>
        </w:rPr>
        <w:t> </w:t>
      </w:r>
      <w:r>
        <w:rPr>
          <w:b/>
          <w:sz w:val="22"/>
        </w:rPr>
        <w:t>of</w:t>
      </w:r>
      <w:r>
        <w:rPr>
          <w:b/>
          <w:spacing w:val="9"/>
          <w:sz w:val="22"/>
        </w:rPr>
        <w:t> </w:t>
      </w:r>
      <w:r>
        <w:rPr>
          <w:b/>
          <w:sz w:val="22"/>
        </w:rPr>
        <w:t>DS</w:t>
      </w:r>
      <w:r>
        <w:rPr>
          <w:b/>
          <w:spacing w:val="6"/>
          <w:sz w:val="22"/>
        </w:rPr>
        <w:t> </w:t>
      </w:r>
      <w:r>
        <w:rPr>
          <w:b/>
          <w:sz w:val="22"/>
        </w:rPr>
        <w:t>and</w:t>
      </w:r>
      <w:r>
        <w:rPr>
          <w:b/>
          <w:spacing w:val="19"/>
          <w:sz w:val="22"/>
        </w:rPr>
        <w:t> </w:t>
      </w:r>
      <w:r>
        <w:rPr>
          <w:b/>
          <w:sz w:val="22"/>
        </w:rPr>
        <w:t>MCS</w:t>
      </w:r>
      <w:r>
        <w:rPr>
          <w:b/>
          <w:spacing w:val="12"/>
          <w:sz w:val="22"/>
        </w:rPr>
        <w:t> </w:t>
      </w:r>
      <w:r>
        <w:rPr>
          <w:b/>
          <w:sz w:val="22"/>
        </w:rPr>
        <w:t>compared</w:t>
      </w:r>
      <w:r>
        <w:rPr>
          <w:b/>
          <w:spacing w:val="19"/>
          <w:sz w:val="22"/>
        </w:rPr>
        <w:t> </w:t>
      </w:r>
      <w:r>
        <w:rPr>
          <w:b/>
          <w:sz w:val="22"/>
        </w:rPr>
        <w:t>with</w:t>
      </w:r>
      <w:r>
        <w:rPr>
          <w:b/>
          <w:spacing w:val="12"/>
          <w:sz w:val="22"/>
        </w:rPr>
        <w:t> </w:t>
      </w:r>
      <w:r>
        <w:rPr>
          <w:b/>
          <w:spacing w:val="-5"/>
          <w:sz w:val="22"/>
        </w:rPr>
        <w:t>MS.</w:t>
      </w:r>
    </w:p>
    <w:p>
      <w:pPr>
        <w:pStyle w:val="BodyText"/>
        <w:spacing w:before="140"/>
        <w:rPr>
          <w:b/>
          <w:sz w:val="20"/>
        </w:rPr>
      </w:pPr>
    </w:p>
    <w:p>
      <w:pPr>
        <w:pStyle w:val="BodyText"/>
        <w:spacing w:line="20" w:lineRule="exact"/>
        <w:ind w:left="665"/>
        <w:rPr>
          <w:sz w:val="2"/>
        </w:rPr>
      </w:pPr>
      <w:r>
        <w:rPr>
          <w:sz w:val="2"/>
        </w:rPr>
        <mc:AlternateContent>
          <mc:Choice Requires="wps">
            <w:drawing>
              <wp:inline distT="0" distB="0" distL="0" distR="0">
                <wp:extent cx="5587365" cy="6350"/>
                <wp:effectExtent l="0" t="0" r="0" b="0"/>
                <wp:docPr id="49" name="Group 49"/>
                <wp:cNvGraphicFramePr>
                  <a:graphicFrameLocks/>
                </wp:cNvGraphicFramePr>
                <a:graphic>
                  <a:graphicData uri="http://schemas.microsoft.com/office/word/2010/wordprocessingGroup">
                    <wpg:wgp>
                      <wpg:cNvPr id="49" name="Group 49"/>
                      <wpg:cNvGrpSpPr/>
                      <wpg:grpSpPr>
                        <a:xfrm>
                          <a:off x="0" y="0"/>
                          <a:ext cx="5587365" cy="6350"/>
                          <a:chExt cx="5587365" cy="6350"/>
                        </a:xfrm>
                      </wpg:grpSpPr>
                      <wps:wsp>
                        <wps:cNvPr id="50" name="Graphic 50"/>
                        <wps:cNvSpPr/>
                        <wps:spPr>
                          <a:xfrm>
                            <a:off x="0" y="0"/>
                            <a:ext cx="5587365" cy="6350"/>
                          </a:xfrm>
                          <a:custGeom>
                            <a:avLst/>
                            <a:gdLst/>
                            <a:ahLst/>
                            <a:cxnLst/>
                            <a:rect l="l" t="t" r="r" b="b"/>
                            <a:pathLst>
                              <a:path w="5587365" h="6350">
                                <a:moveTo>
                                  <a:pt x="1670291" y="0"/>
                                </a:moveTo>
                                <a:lnTo>
                                  <a:pt x="1664208" y="0"/>
                                </a:lnTo>
                                <a:lnTo>
                                  <a:pt x="0" y="0"/>
                                </a:lnTo>
                                <a:lnTo>
                                  <a:pt x="0" y="6096"/>
                                </a:lnTo>
                                <a:lnTo>
                                  <a:pt x="1664208" y="6096"/>
                                </a:lnTo>
                                <a:lnTo>
                                  <a:pt x="1670291" y="6096"/>
                                </a:lnTo>
                                <a:lnTo>
                                  <a:pt x="1670291" y="0"/>
                                </a:lnTo>
                                <a:close/>
                              </a:path>
                              <a:path w="5587365" h="6350">
                                <a:moveTo>
                                  <a:pt x="5586984" y="0"/>
                                </a:moveTo>
                                <a:lnTo>
                                  <a:pt x="5586984" y="0"/>
                                </a:lnTo>
                                <a:lnTo>
                                  <a:pt x="1670304" y="0"/>
                                </a:lnTo>
                                <a:lnTo>
                                  <a:pt x="1670304" y="6096"/>
                                </a:lnTo>
                                <a:lnTo>
                                  <a:pt x="5586984" y="6096"/>
                                </a:lnTo>
                                <a:lnTo>
                                  <a:pt x="5586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9.95pt;height:.5pt;mso-position-horizontal-relative:char;mso-position-vertical-relative:line" id="docshapegroup47" coordorigin="0,0" coordsize="8799,10">
                <v:shape style="position:absolute;left:0;top:0;width:8799;height:10" id="docshape48" coordorigin="0,0" coordsize="8799,10" path="m2630,0l2621,0,0,0,0,10,2621,10,2630,10,2630,0xm8798,0l4387,0,4378,0,3509,0,3504,0,2630,0,2630,10,3504,10,3509,10,4378,10,4387,10,8798,10,879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740" w:bottom="1180" w:left="1720" w:right="0"/>
        </w:sectPr>
      </w:pPr>
    </w:p>
    <w:p>
      <w:pPr>
        <w:spacing w:before="0"/>
        <w:ind w:left="766" w:right="38" w:firstLine="0"/>
        <w:jc w:val="left"/>
        <w:rPr>
          <w:b/>
          <w:sz w:val="22"/>
        </w:rPr>
      </w:pPr>
      <w:r>
        <w:rPr>
          <w:b/>
          <w:spacing w:val="-2"/>
          <w:sz w:val="22"/>
        </w:rPr>
        <w:t>Physicochemical Properties</w:t>
      </w:r>
    </w:p>
    <w:p>
      <w:pPr>
        <w:tabs>
          <w:tab w:pos="1644" w:val="left" w:leader="none"/>
        </w:tabs>
        <w:spacing w:before="0"/>
        <w:ind w:left="766" w:right="0" w:firstLine="0"/>
        <w:jc w:val="left"/>
        <w:rPr>
          <w:b/>
          <w:sz w:val="22"/>
        </w:rPr>
      </w:pPr>
      <w:r>
        <w:rPr/>
        <w:br w:type="column"/>
      </w:r>
      <w:r>
        <w:rPr>
          <w:b/>
          <w:spacing w:val="-2"/>
          <w:sz w:val="22"/>
        </w:rPr>
        <w:t>Maize</w:t>
      </w:r>
      <w:r>
        <w:rPr>
          <w:b/>
          <w:spacing w:val="40"/>
          <w:sz w:val="22"/>
        </w:rPr>
        <w:t> </w:t>
      </w:r>
      <w:r>
        <w:rPr>
          <w:b/>
          <w:spacing w:val="-2"/>
          <w:sz w:val="22"/>
        </w:rPr>
        <w:t>starch</w:t>
      </w:r>
      <w:r>
        <w:rPr>
          <w:b/>
          <w:sz w:val="22"/>
        </w:rPr>
        <w:tab/>
      </w:r>
      <w:r>
        <w:rPr>
          <w:b/>
          <w:spacing w:val="-6"/>
          <w:sz w:val="22"/>
        </w:rPr>
        <w:t>DS</w:t>
      </w:r>
    </w:p>
    <w:p>
      <w:pPr>
        <w:tabs>
          <w:tab w:pos="1342" w:val="left" w:leader="none"/>
          <w:tab w:pos="2297" w:val="left" w:leader="none"/>
          <w:tab w:pos="3175" w:val="left" w:leader="none"/>
          <w:tab w:pos="4870" w:val="left" w:leader="none"/>
        </w:tabs>
        <w:spacing w:line="254" w:lineRule="auto" w:before="0"/>
        <w:ind w:left="550" w:right="1055" w:hanging="101"/>
        <w:jc w:val="left"/>
        <w:rPr>
          <w:b/>
          <w:sz w:val="22"/>
        </w:rPr>
      </w:pPr>
      <w:r>
        <w:rPr/>
        <w:br w:type="column"/>
      </w:r>
      <w:r>
        <w:rPr>
          <w:b/>
          <w:spacing w:val="40"/>
          <w:sz w:val="22"/>
          <w:u w:val="single"/>
        </w:rPr>
        <w:t> </w:t>
      </w:r>
      <w:r>
        <w:rPr>
          <w:b/>
          <w:sz w:val="22"/>
          <w:u w:val="single"/>
        </w:rPr>
        <w:t>Microcrystalline Starch</w:t>
        <w:tab/>
        <w:tab/>
      </w:r>
      <w:r>
        <w:rPr>
          <w:b/>
          <w:sz w:val="22"/>
        </w:rPr>
        <w:t> 6 h</w:t>
        <w:tab/>
        <w:t>12 h</w:t>
        <w:tab/>
        <w:t>18 h</w:t>
        <w:tab/>
        <w:t>24 h</w:t>
      </w:r>
    </w:p>
    <w:p>
      <w:pPr>
        <w:spacing w:after="0" w:line="254" w:lineRule="auto"/>
        <w:jc w:val="left"/>
        <w:rPr>
          <w:sz w:val="22"/>
        </w:rPr>
        <w:sectPr>
          <w:type w:val="continuous"/>
          <w:pgSz w:w="12240" w:h="15840"/>
          <w:pgMar w:header="0" w:footer="999" w:top="1780" w:bottom="1180" w:left="1720" w:right="0"/>
          <w:cols w:num="3" w:equalWidth="0">
            <w:col w:w="2401" w:space="220"/>
            <w:col w:w="1934" w:space="39"/>
            <w:col w:w="5926"/>
          </w:cols>
        </w:sectPr>
      </w:pPr>
    </w:p>
    <w:p>
      <w:pPr>
        <w:tabs>
          <w:tab w:pos="3387" w:val="left" w:leader="none"/>
          <w:tab w:pos="9463" w:val="left" w:leader="none"/>
        </w:tabs>
        <w:spacing w:line="235" w:lineRule="exact" w:before="0" w:after="15"/>
        <w:ind w:left="665" w:right="0" w:firstLine="0"/>
        <w:jc w:val="left"/>
        <w:rPr>
          <w:b/>
          <w:sz w:val="22"/>
        </w:rPr>
      </w:pPr>
      <w:r>
        <w:rPr>
          <w:b/>
          <w:sz w:val="22"/>
          <w:u w:val="single"/>
        </w:rPr>
        <w:tab/>
      </w:r>
      <w:r>
        <w:rPr>
          <w:b/>
          <w:spacing w:val="-5"/>
          <w:sz w:val="22"/>
          <w:u w:val="single"/>
        </w:rPr>
        <w:t>BP</w:t>
      </w:r>
      <w:r>
        <w:rPr>
          <w:b/>
          <w:sz w:val="22"/>
          <w:u w:val="single"/>
        </w:rPr>
        <w:tab/>
      </w: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6"/>
        <w:gridCol w:w="833"/>
        <w:gridCol w:w="879"/>
        <w:gridCol w:w="834"/>
        <w:gridCol w:w="877"/>
        <w:gridCol w:w="918"/>
        <w:gridCol w:w="1882"/>
      </w:tblGrid>
      <w:tr>
        <w:trPr>
          <w:trHeight w:val="300" w:hRule="atLeast"/>
        </w:trPr>
        <w:tc>
          <w:tcPr>
            <w:tcW w:w="2596" w:type="dxa"/>
          </w:tcPr>
          <w:p>
            <w:pPr>
              <w:pStyle w:val="TableParagraph"/>
              <w:spacing w:line="249" w:lineRule="exact"/>
              <w:ind w:left="115"/>
              <w:rPr>
                <w:sz w:val="22"/>
              </w:rPr>
            </w:pPr>
            <w:r>
              <w:rPr>
                <w:sz w:val="22"/>
              </w:rPr>
              <w:t>Flow</w:t>
            </w:r>
            <w:r>
              <w:rPr>
                <w:spacing w:val="11"/>
                <w:sz w:val="22"/>
              </w:rPr>
              <w:t> </w:t>
            </w:r>
            <w:r>
              <w:rPr>
                <w:sz w:val="22"/>
              </w:rPr>
              <w:t>rate</w:t>
            </w:r>
            <w:r>
              <w:rPr>
                <w:spacing w:val="6"/>
                <w:sz w:val="22"/>
              </w:rPr>
              <w:t> </w:t>
            </w:r>
            <w:r>
              <w:rPr>
                <w:spacing w:val="-2"/>
                <w:sz w:val="22"/>
              </w:rPr>
              <w:t>(g/sec)</w:t>
            </w:r>
          </w:p>
        </w:tc>
        <w:tc>
          <w:tcPr>
            <w:tcW w:w="833" w:type="dxa"/>
          </w:tcPr>
          <w:p>
            <w:pPr>
              <w:pStyle w:val="TableParagraph"/>
              <w:spacing w:line="249" w:lineRule="exact"/>
              <w:ind w:left="140"/>
              <w:rPr>
                <w:sz w:val="22"/>
              </w:rPr>
            </w:pPr>
            <w:r>
              <w:rPr>
                <w:spacing w:val="-4"/>
                <w:sz w:val="22"/>
              </w:rPr>
              <w:t>0.93</w:t>
            </w:r>
          </w:p>
        </w:tc>
        <w:tc>
          <w:tcPr>
            <w:tcW w:w="879" w:type="dxa"/>
          </w:tcPr>
          <w:p>
            <w:pPr>
              <w:pStyle w:val="TableParagraph"/>
              <w:spacing w:line="249" w:lineRule="exact"/>
              <w:ind w:right="110"/>
              <w:jc w:val="center"/>
              <w:rPr>
                <w:sz w:val="22"/>
              </w:rPr>
            </w:pPr>
            <w:r>
              <w:rPr>
                <w:spacing w:val="-4"/>
                <w:sz w:val="22"/>
              </w:rPr>
              <w:t>0.96</w:t>
            </w:r>
          </w:p>
        </w:tc>
        <w:tc>
          <w:tcPr>
            <w:tcW w:w="834" w:type="dxa"/>
          </w:tcPr>
          <w:p>
            <w:pPr>
              <w:pStyle w:val="TableParagraph"/>
              <w:spacing w:line="249" w:lineRule="exact"/>
              <w:ind w:left="37" w:right="108"/>
              <w:jc w:val="center"/>
              <w:rPr>
                <w:sz w:val="22"/>
              </w:rPr>
            </w:pPr>
            <w:r>
              <w:rPr>
                <w:spacing w:val="-4"/>
                <w:sz w:val="22"/>
              </w:rPr>
              <w:t>0.97</w:t>
            </w:r>
          </w:p>
        </w:tc>
        <w:tc>
          <w:tcPr>
            <w:tcW w:w="877" w:type="dxa"/>
          </w:tcPr>
          <w:p>
            <w:pPr>
              <w:pStyle w:val="TableParagraph"/>
              <w:spacing w:line="249" w:lineRule="exact"/>
              <w:ind w:right="198"/>
              <w:jc w:val="center"/>
              <w:rPr>
                <w:sz w:val="22"/>
              </w:rPr>
            </w:pPr>
            <w:r>
              <w:rPr>
                <w:spacing w:val="-4"/>
                <w:sz w:val="22"/>
              </w:rPr>
              <w:t>1.01</w:t>
            </w:r>
          </w:p>
        </w:tc>
        <w:tc>
          <w:tcPr>
            <w:tcW w:w="918" w:type="dxa"/>
          </w:tcPr>
          <w:p>
            <w:pPr>
              <w:pStyle w:val="TableParagraph"/>
              <w:spacing w:line="249" w:lineRule="exact"/>
              <w:ind w:left="30" w:right="108"/>
              <w:jc w:val="center"/>
              <w:rPr>
                <w:sz w:val="22"/>
              </w:rPr>
            </w:pPr>
            <w:r>
              <w:rPr>
                <w:spacing w:val="-4"/>
                <w:sz w:val="22"/>
              </w:rPr>
              <w:t>1.13</w:t>
            </w:r>
          </w:p>
        </w:tc>
        <w:tc>
          <w:tcPr>
            <w:tcW w:w="1882" w:type="dxa"/>
          </w:tcPr>
          <w:p>
            <w:pPr>
              <w:pStyle w:val="TableParagraph"/>
              <w:spacing w:line="249" w:lineRule="exact"/>
              <w:ind w:left="181"/>
              <w:rPr>
                <w:sz w:val="22"/>
              </w:rPr>
            </w:pPr>
            <w:r>
              <w:rPr>
                <w:spacing w:val="-4"/>
                <w:sz w:val="22"/>
              </w:rPr>
              <w:t>0.97</w:t>
            </w:r>
          </w:p>
        </w:tc>
      </w:tr>
      <w:tr>
        <w:trPr>
          <w:trHeight w:val="414" w:hRule="atLeast"/>
        </w:trPr>
        <w:tc>
          <w:tcPr>
            <w:tcW w:w="2596" w:type="dxa"/>
          </w:tcPr>
          <w:p>
            <w:pPr>
              <w:pStyle w:val="TableParagraph"/>
              <w:spacing w:before="83"/>
              <w:ind w:left="115"/>
              <w:rPr>
                <w:sz w:val="22"/>
              </w:rPr>
            </w:pPr>
            <w:r>
              <w:rPr>
                <w:sz w:val="22"/>
              </w:rPr>
              <w:t>Angle</w:t>
            </w:r>
            <w:r>
              <w:rPr>
                <w:spacing w:val="9"/>
                <w:sz w:val="22"/>
              </w:rPr>
              <w:t> </w:t>
            </w:r>
            <w:r>
              <w:rPr>
                <w:sz w:val="22"/>
              </w:rPr>
              <w:t>of</w:t>
            </w:r>
            <w:r>
              <w:rPr>
                <w:spacing w:val="10"/>
                <w:sz w:val="22"/>
              </w:rPr>
              <w:t> </w:t>
            </w:r>
            <w:r>
              <w:rPr>
                <w:sz w:val="22"/>
              </w:rPr>
              <w:t>Repose</w:t>
            </w:r>
            <w:r>
              <w:rPr>
                <w:spacing w:val="10"/>
                <w:sz w:val="22"/>
              </w:rPr>
              <w:t> </w:t>
            </w:r>
            <w:r>
              <w:rPr>
                <w:spacing w:val="-5"/>
                <w:sz w:val="22"/>
              </w:rPr>
              <w:t>(</w:t>
            </w:r>
            <w:r>
              <w:rPr>
                <w:spacing w:val="-5"/>
                <w:sz w:val="22"/>
                <w:vertAlign w:val="superscript"/>
              </w:rPr>
              <w:t>o</w:t>
            </w:r>
            <w:r>
              <w:rPr>
                <w:spacing w:val="-5"/>
                <w:sz w:val="22"/>
                <w:vertAlign w:val="baseline"/>
              </w:rPr>
              <w:t>)</w:t>
            </w:r>
          </w:p>
        </w:tc>
        <w:tc>
          <w:tcPr>
            <w:tcW w:w="833" w:type="dxa"/>
          </w:tcPr>
          <w:p>
            <w:pPr>
              <w:pStyle w:val="TableParagraph"/>
              <w:spacing w:before="83"/>
              <w:ind w:left="140"/>
              <w:rPr>
                <w:sz w:val="22"/>
              </w:rPr>
            </w:pPr>
            <w:r>
              <w:rPr>
                <w:spacing w:val="-2"/>
                <w:sz w:val="22"/>
              </w:rPr>
              <w:t>43.69</w:t>
            </w:r>
          </w:p>
        </w:tc>
        <w:tc>
          <w:tcPr>
            <w:tcW w:w="879" w:type="dxa"/>
          </w:tcPr>
          <w:p>
            <w:pPr>
              <w:pStyle w:val="TableParagraph"/>
              <w:spacing w:before="83"/>
              <w:ind w:left="110" w:right="110"/>
              <w:jc w:val="center"/>
              <w:rPr>
                <w:sz w:val="22"/>
              </w:rPr>
            </w:pPr>
            <w:r>
              <w:rPr>
                <w:spacing w:val="-2"/>
                <w:sz w:val="22"/>
              </w:rPr>
              <w:t>47.50</w:t>
            </w:r>
          </w:p>
        </w:tc>
        <w:tc>
          <w:tcPr>
            <w:tcW w:w="834" w:type="dxa"/>
          </w:tcPr>
          <w:p>
            <w:pPr>
              <w:pStyle w:val="TableParagraph"/>
              <w:spacing w:before="83"/>
              <w:ind w:left="108" w:right="71"/>
              <w:jc w:val="center"/>
              <w:rPr>
                <w:sz w:val="22"/>
              </w:rPr>
            </w:pPr>
            <w:r>
              <w:rPr>
                <w:spacing w:val="-2"/>
                <w:sz w:val="22"/>
              </w:rPr>
              <w:t>46.36</w:t>
            </w:r>
          </w:p>
        </w:tc>
        <w:tc>
          <w:tcPr>
            <w:tcW w:w="877" w:type="dxa"/>
          </w:tcPr>
          <w:p>
            <w:pPr>
              <w:pStyle w:val="TableParagraph"/>
              <w:spacing w:before="83"/>
              <w:ind w:left="115" w:right="198"/>
              <w:jc w:val="center"/>
              <w:rPr>
                <w:sz w:val="22"/>
              </w:rPr>
            </w:pPr>
            <w:r>
              <w:rPr>
                <w:spacing w:val="-2"/>
                <w:sz w:val="22"/>
              </w:rPr>
              <w:t>49.27</w:t>
            </w:r>
          </w:p>
        </w:tc>
        <w:tc>
          <w:tcPr>
            <w:tcW w:w="918" w:type="dxa"/>
          </w:tcPr>
          <w:p>
            <w:pPr>
              <w:pStyle w:val="TableParagraph"/>
              <w:spacing w:before="83"/>
              <w:ind w:left="108" w:right="78"/>
              <w:jc w:val="center"/>
              <w:rPr>
                <w:sz w:val="22"/>
              </w:rPr>
            </w:pPr>
            <w:r>
              <w:rPr>
                <w:spacing w:val="-2"/>
                <w:sz w:val="22"/>
              </w:rPr>
              <w:t>48.90</w:t>
            </w:r>
          </w:p>
        </w:tc>
        <w:tc>
          <w:tcPr>
            <w:tcW w:w="1882" w:type="dxa"/>
          </w:tcPr>
          <w:p>
            <w:pPr>
              <w:pStyle w:val="TableParagraph"/>
              <w:spacing w:before="83"/>
              <w:ind w:left="181"/>
              <w:rPr>
                <w:sz w:val="22"/>
              </w:rPr>
            </w:pPr>
            <w:r>
              <w:rPr>
                <w:spacing w:val="-2"/>
                <w:sz w:val="22"/>
              </w:rPr>
              <w:t>46.30</w:t>
            </w:r>
          </w:p>
        </w:tc>
      </w:tr>
      <w:tr>
        <w:trPr>
          <w:trHeight w:val="398" w:hRule="atLeast"/>
        </w:trPr>
        <w:tc>
          <w:tcPr>
            <w:tcW w:w="2596" w:type="dxa"/>
          </w:tcPr>
          <w:p>
            <w:pPr>
              <w:pStyle w:val="TableParagraph"/>
              <w:spacing w:before="72"/>
              <w:ind w:left="115"/>
              <w:rPr>
                <w:sz w:val="22"/>
              </w:rPr>
            </w:pPr>
            <w:r>
              <w:rPr>
                <w:sz w:val="22"/>
              </w:rPr>
              <w:t>Carr’s</w:t>
            </w:r>
            <w:r>
              <w:rPr>
                <w:spacing w:val="11"/>
                <w:sz w:val="22"/>
              </w:rPr>
              <w:t> </w:t>
            </w:r>
            <w:r>
              <w:rPr>
                <w:sz w:val="22"/>
              </w:rPr>
              <w:t>Index</w:t>
            </w:r>
            <w:r>
              <w:rPr>
                <w:spacing w:val="6"/>
                <w:sz w:val="22"/>
              </w:rPr>
              <w:t> </w:t>
            </w:r>
            <w:r>
              <w:rPr>
                <w:spacing w:val="-5"/>
                <w:sz w:val="22"/>
              </w:rPr>
              <w:t>(%)</w:t>
            </w:r>
          </w:p>
        </w:tc>
        <w:tc>
          <w:tcPr>
            <w:tcW w:w="833" w:type="dxa"/>
          </w:tcPr>
          <w:p>
            <w:pPr>
              <w:pStyle w:val="TableParagraph"/>
              <w:spacing w:before="72"/>
              <w:ind w:left="140"/>
              <w:rPr>
                <w:sz w:val="22"/>
              </w:rPr>
            </w:pPr>
            <w:r>
              <w:rPr>
                <w:spacing w:val="-2"/>
                <w:sz w:val="22"/>
              </w:rPr>
              <w:t>30.26</w:t>
            </w:r>
          </w:p>
        </w:tc>
        <w:tc>
          <w:tcPr>
            <w:tcW w:w="879" w:type="dxa"/>
          </w:tcPr>
          <w:p>
            <w:pPr>
              <w:pStyle w:val="TableParagraph"/>
              <w:spacing w:before="72"/>
              <w:ind w:left="110" w:right="110"/>
              <w:jc w:val="center"/>
              <w:rPr>
                <w:sz w:val="22"/>
              </w:rPr>
            </w:pPr>
            <w:r>
              <w:rPr>
                <w:spacing w:val="-2"/>
                <w:sz w:val="22"/>
              </w:rPr>
              <w:t>41.18</w:t>
            </w:r>
          </w:p>
        </w:tc>
        <w:tc>
          <w:tcPr>
            <w:tcW w:w="834" w:type="dxa"/>
          </w:tcPr>
          <w:p>
            <w:pPr>
              <w:pStyle w:val="TableParagraph"/>
              <w:spacing w:before="72"/>
              <w:ind w:left="108" w:right="71"/>
              <w:jc w:val="center"/>
              <w:rPr>
                <w:sz w:val="22"/>
              </w:rPr>
            </w:pPr>
            <w:r>
              <w:rPr>
                <w:spacing w:val="-2"/>
                <w:sz w:val="22"/>
              </w:rPr>
              <w:t>32.05</w:t>
            </w:r>
          </w:p>
        </w:tc>
        <w:tc>
          <w:tcPr>
            <w:tcW w:w="877" w:type="dxa"/>
          </w:tcPr>
          <w:p>
            <w:pPr>
              <w:pStyle w:val="TableParagraph"/>
              <w:spacing w:before="72"/>
              <w:ind w:left="115" w:right="198"/>
              <w:jc w:val="center"/>
              <w:rPr>
                <w:sz w:val="22"/>
              </w:rPr>
            </w:pPr>
            <w:r>
              <w:rPr>
                <w:spacing w:val="-2"/>
                <w:sz w:val="22"/>
              </w:rPr>
              <w:t>31.16</w:t>
            </w:r>
          </w:p>
        </w:tc>
        <w:tc>
          <w:tcPr>
            <w:tcW w:w="918" w:type="dxa"/>
          </w:tcPr>
          <w:p>
            <w:pPr>
              <w:pStyle w:val="TableParagraph"/>
              <w:spacing w:before="72"/>
              <w:ind w:left="108" w:right="78"/>
              <w:jc w:val="center"/>
              <w:rPr>
                <w:sz w:val="22"/>
              </w:rPr>
            </w:pPr>
            <w:r>
              <w:rPr>
                <w:spacing w:val="-2"/>
                <w:sz w:val="22"/>
              </w:rPr>
              <w:t>31.64</w:t>
            </w:r>
          </w:p>
        </w:tc>
        <w:tc>
          <w:tcPr>
            <w:tcW w:w="1882" w:type="dxa"/>
          </w:tcPr>
          <w:p>
            <w:pPr>
              <w:pStyle w:val="TableParagraph"/>
              <w:spacing w:before="72"/>
              <w:ind w:left="181"/>
              <w:rPr>
                <w:sz w:val="22"/>
              </w:rPr>
            </w:pPr>
            <w:r>
              <w:rPr>
                <w:spacing w:val="-2"/>
                <w:sz w:val="22"/>
              </w:rPr>
              <w:t>32.05</w:t>
            </w:r>
          </w:p>
        </w:tc>
      </w:tr>
      <w:tr>
        <w:trPr>
          <w:trHeight w:val="393" w:hRule="atLeast"/>
        </w:trPr>
        <w:tc>
          <w:tcPr>
            <w:tcW w:w="2596" w:type="dxa"/>
          </w:tcPr>
          <w:p>
            <w:pPr>
              <w:pStyle w:val="TableParagraph"/>
              <w:spacing w:before="67"/>
              <w:ind w:left="115"/>
              <w:rPr>
                <w:sz w:val="22"/>
              </w:rPr>
            </w:pPr>
            <w:r>
              <w:rPr>
                <w:sz w:val="22"/>
              </w:rPr>
              <w:t>True</w:t>
            </w:r>
            <w:r>
              <w:rPr>
                <w:spacing w:val="13"/>
                <w:sz w:val="22"/>
              </w:rPr>
              <w:t> </w:t>
            </w:r>
            <w:r>
              <w:rPr>
                <w:sz w:val="22"/>
              </w:rPr>
              <w:t>Density </w:t>
            </w:r>
            <w:r>
              <w:rPr>
                <w:spacing w:val="-2"/>
                <w:sz w:val="22"/>
              </w:rPr>
              <w:t>(g/ml)</w:t>
            </w:r>
          </w:p>
        </w:tc>
        <w:tc>
          <w:tcPr>
            <w:tcW w:w="833" w:type="dxa"/>
          </w:tcPr>
          <w:p>
            <w:pPr>
              <w:pStyle w:val="TableParagraph"/>
              <w:spacing w:before="67"/>
              <w:ind w:left="140"/>
              <w:rPr>
                <w:sz w:val="22"/>
              </w:rPr>
            </w:pPr>
            <w:r>
              <w:rPr>
                <w:spacing w:val="-4"/>
                <w:sz w:val="22"/>
              </w:rPr>
              <w:t>1.47</w:t>
            </w:r>
          </w:p>
        </w:tc>
        <w:tc>
          <w:tcPr>
            <w:tcW w:w="879" w:type="dxa"/>
          </w:tcPr>
          <w:p>
            <w:pPr>
              <w:pStyle w:val="TableParagraph"/>
              <w:spacing w:before="67"/>
              <w:ind w:right="110"/>
              <w:jc w:val="center"/>
              <w:rPr>
                <w:sz w:val="22"/>
              </w:rPr>
            </w:pPr>
            <w:r>
              <w:rPr>
                <w:spacing w:val="-4"/>
                <w:sz w:val="22"/>
              </w:rPr>
              <w:t>1.43</w:t>
            </w:r>
          </w:p>
        </w:tc>
        <w:tc>
          <w:tcPr>
            <w:tcW w:w="834" w:type="dxa"/>
          </w:tcPr>
          <w:p>
            <w:pPr>
              <w:pStyle w:val="TableParagraph"/>
              <w:spacing w:before="67"/>
              <w:ind w:left="37" w:right="108"/>
              <w:jc w:val="center"/>
              <w:rPr>
                <w:sz w:val="22"/>
              </w:rPr>
            </w:pPr>
            <w:r>
              <w:rPr>
                <w:spacing w:val="-4"/>
                <w:sz w:val="22"/>
              </w:rPr>
              <w:t>1.47</w:t>
            </w:r>
          </w:p>
        </w:tc>
        <w:tc>
          <w:tcPr>
            <w:tcW w:w="877" w:type="dxa"/>
          </w:tcPr>
          <w:p>
            <w:pPr>
              <w:pStyle w:val="TableParagraph"/>
              <w:spacing w:before="67"/>
              <w:ind w:right="198"/>
              <w:jc w:val="center"/>
              <w:rPr>
                <w:sz w:val="22"/>
              </w:rPr>
            </w:pPr>
            <w:r>
              <w:rPr>
                <w:spacing w:val="-4"/>
                <w:sz w:val="22"/>
              </w:rPr>
              <w:t>1.34</w:t>
            </w:r>
          </w:p>
        </w:tc>
        <w:tc>
          <w:tcPr>
            <w:tcW w:w="918" w:type="dxa"/>
          </w:tcPr>
          <w:p>
            <w:pPr>
              <w:pStyle w:val="TableParagraph"/>
              <w:spacing w:before="67"/>
              <w:ind w:left="30" w:right="108"/>
              <w:jc w:val="center"/>
              <w:rPr>
                <w:sz w:val="22"/>
              </w:rPr>
            </w:pPr>
            <w:r>
              <w:rPr>
                <w:spacing w:val="-4"/>
                <w:sz w:val="22"/>
              </w:rPr>
              <w:t>1.47</w:t>
            </w:r>
          </w:p>
        </w:tc>
        <w:tc>
          <w:tcPr>
            <w:tcW w:w="1882" w:type="dxa"/>
          </w:tcPr>
          <w:p>
            <w:pPr>
              <w:pStyle w:val="TableParagraph"/>
              <w:spacing w:before="67"/>
              <w:ind w:left="181"/>
              <w:rPr>
                <w:sz w:val="22"/>
              </w:rPr>
            </w:pPr>
            <w:r>
              <w:rPr>
                <w:spacing w:val="-4"/>
                <w:sz w:val="22"/>
              </w:rPr>
              <w:t>1.47</w:t>
            </w:r>
          </w:p>
        </w:tc>
      </w:tr>
      <w:tr>
        <w:trPr>
          <w:trHeight w:val="395" w:hRule="atLeast"/>
        </w:trPr>
        <w:tc>
          <w:tcPr>
            <w:tcW w:w="2596" w:type="dxa"/>
          </w:tcPr>
          <w:p>
            <w:pPr>
              <w:pStyle w:val="TableParagraph"/>
              <w:spacing w:before="67"/>
              <w:ind w:left="115"/>
              <w:rPr>
                <w:sz w:val="22"/>
              </w:rPr>
            </w:pPr>
            <w:r>
              <w:rPr>
                <w:sz w:val="22"/>
              </w:rPr>
              <w:t>Bulk</w:t>
            </w:r>
            <w:r>
              <w:rPr>
                <w:spacing w:val="8"/>
                <w:sz w:val="22"/>
              </w:rPr>
              <w:t> </w:t>
            </w:r>
            <w:r>
              <w:rPr>
                <w:sz w:val="22"/>
              </w:rPr>
              <w:t>Density</w:t>
            </w:r>
            <w:r>
              <w:rPr>
                <w:spacing w:val="9"/>
                <w:sz w:val="22"/>
              </w:rPr>
              <w:t> </w:t>
            </w:r>
            <w:r>
              <w:rPr>
                <w:spacing w:val="-2"/>
                <w:sz w:val="22"/>
              </w:rPr>
              <w:t>(g/ml)</w:t>
            </w:r>
          </w:p>
        </w:tc>
        <w:tc>
          <w:tcPr>
            <w:tcW w:w="833" w:type="dxa"/>
          </w:tcPr>
          <w:p>
            <w:pPr>
              <w:pStyle w:val="TableParagraph"/>
              <w:spacing w:before="67"/>
              <w:ind w:left="140"/>
              <w:rPr>
                <w:sz w:val="22"/>
              </w:rPr>
            </w:pPr>
            <w:r>
              <w:rPr>
                <w:spacing w:val="-4"/>
                <w:sz w:val="22"/>
              </w:rPr>
              <w:t>0.53</w:t>
            </w:r>
          </w:p>
        </w:tc>
        <w:tc>
          <w:tcPr>
            <w:tcW w:w="879" w:type="dxa"/>
          </w:tcPr>
          <w:p>
            <w:pPr>
              <w:pStyle w:val="TableParagraph"/>
              <w:spacing w:before="67"/>
              <w:ind w:right="110"/>
              <w:jc w:val="center"/>
              <w:rPr>
                <w:sz w:val="22"/>
              </w:rPr>
            </w:pPr>
            <w:r>
              <w:rPr>
                <w:spacing w:val="-4"/>
                <w:sz w:val="22"/>
              </w:rPr>
              <w:t>0.40</w:t>
            </w:r>
          </w:p>
        </w:tc>
        <w:tc>
          <w:tcPr>
            <w:tcW w:w="834" w:type="dxa"/>
          </w:tcPr>
          <w:p>
            <w:pPr>
              <w:pStyle w:val="TableParagraph"/>
              <w:spacing w:before="67"/>
              <w:ind w:left="37" w:right="108"/>
              <w:jc w:val="center"/>
              <w:rPr>
                <w:sz w:val="22"/>
              </w:rPr>
            </w:pPr>
            <w:r>
              <w:rPr>
                <w:spacing w:val="-4"/>
                <w:sz w:val="22"/>
              </w:rPr>
              <w:t>0.53</w:t>
            </w:r>
          </w:p>
        </w:tc>
        <w:tc>
          <w:tcPr>
            <w:tcW w:w="877" w:type="dxa"/>
          </w:tcPr>
          <w:p>
            <w:pPr>
              <w:pStyle w:val="TableParagraph"/>
              <w:spacing w:before="67"/>
              <w:ind w:right="198"/>
              <w:jc w:val="center"/>
              <w:rPr>
                <w:sz w:val="22"/>
              </w:rPr>
            </w:pPr>
            <w:r>
              <w:rPr>
                <w:spacing w:val="-4"/>
                <w:sz w:val="22"/>
              </w:rPr>
              <w:t>0.53</w:t>
            </w:r>
          </w:p>
        </w:tc>
        <w:tc>
          <w:tcPr>
            <w:tcW w:w="918" w:type="dxa"/>
          </w:tcPr>
          <w:p>
            <w:pPr>
              <w:pStyle w:val="TableParagraph"/>
              <w:spacing w:before="67"/>
              <w:ind w:left="30" w:right="108"/>
              <w:jc w:val="center"/>
              <w:rPr>
                <w:sz w:val="22"/>
              </w:rPr>
            </w:pPr>
            <w:r>
              <w:rPr>
                <w:spacing w:val="-4"/>
                <w:sz w:val="22"/>
              </w:rPr>
              <w:t>0.54</w:t>
            </w:r>
          </w:p>
        </w:tc>
        <w:tc>
          <w:tcPr>
            <w:tcW w:w="1882" w:type="dxa"/>
          </w:tcPr>
          <w:p>
            <w:pPr>
              <w:pStyle w:val="TableParagraph"/>
              <w:spacing w:before="67"/>
              <w:ind w:left="181"/>
              <w:rPr>
                <w:sz w:val="22"/>
              </w:rPr>
            </w:pPr>
            <w:r>
              <w:rPr>
                <w:spacing w:val="-4"/>
                <w:sz w:val="22"/>
              </w:rPr>
              <w:t>0.53</w:t>
            </w:r>
          </w:p>
        </w:tc>
      </w:tr>
      <w:tr>
        <w:trPr>
          <w:trHeight w:val="395" w:hRule="atLeast"/>
        </w:trPr>
        <w:tc>
          <w:tcPr>
            <w:tcW w:w="2596" w:type="dxa"/>
          </w:tcPr>
          <w:p>
            <w:pPr>
              <w:pStyle w:val="TableParagraph"/>
              <w:spacing w:before="70"/>
              <w:ind w:left="115"/>
              <w:rPr>
                <w:sz w:val="22"/>
              </w:rPr>
            </w:pPr>
            <w:r>
              <w:rPr>
                <w:sz w:val="22"/>
              </w:rPr>
              <w:t>Tapped</w:t>
            </w:r>
            <w:r>
              <w:rPr>
                <w:spacing w:val="15"/>
                <w:sz w:val="22"/>
              </w:rPr>
              <w:t> </w:t>
            </w:r>
            <w:r>
              <w:rPr>
                <w:sz w:val="22"/>
              </w:rPr>
              <w:t>density</w:t>
            </w:r>
            <w:r>
              <w:rPr>
                <w:spacing w:val="3"/>
                <w:sz w:val="22"/>
              </w:rPr>
              <w:t> </w:t>
            </w:r>
            <w:r>
              <w:rPr>
                <w:spacing w:val="-2"/>
                <w:sz w:val="22"/>
              </w:rPr>
              <w:t>(g/ml)</w:t>
            </w:r>
          </w:p>
        </w:tc>
        <w:tc>
          <w:tcPr>
            <w:tcW w:w="833" w:type="dxa"/>
          </w:tcPr>
          <w:p>
            <w:pPr>
              <w:pStyle w:val="TableParagraph"/>
              <w:spacing w:before="70"/>
              <w:ind w:left="140"/>
              <w:rPr>
                <w:sz w:val="22"/>
              </w:rPr>
            </w:pPr>
            <w:r>
              <w:rPr>
                <w:spacing w:val="-4"/>
                <w:sz w:val="22"/>
              </w:rPr>
              <w:t>0.74</w:t>
            </w:r>
          </w:p>
        </w:tc>
        <w:tc>
          <w:tcPr>
            <w:tcW w:w="879" w:type="dxa"/>
          </w:tcPr>
          <w:p>
            <w:pPr>
              <w:pStyle w:val="TableParagraph"/>
              <w:spacing w:before="70"/>
              <w:ind w:right="110"/>
              <w:jc w:val="center"/>
              <w:rPr>
                <w:sz w:val="22"/>
              </w:rPr>
            </w:pPr>
            <w:r>
              <w:rPr>
                <w:spacing w:val="-4"/>
                <w:sz w:val="22"/>
              </w:rPr>
              <w:t>0.68</w:t>
            </w:r>
          </w:p>
        </w:tc>
        <w:tc>
          <w:tcPr>
            <w:tcW w:w="834" w:type="dxa"/>
          </w:tcPr>
          <w:p>
            <w:pPr>
              <w:pStyle w:val="TableParagraph"/>
              <w:spacing w:before="70"/>
              <w:ind w:left="37" w:right="108"/>
              <w:jc w:val="center"/>
              <w:rPr>
                <w:sz w:val="22"/>
              </w:rPr>
            </w:pPr>
            <w:r>
              <w:rPr>
                <w:spacing w:val="-4"/>
                <w:sz w:val="22"/>
              </w:rPr>
              <w:t>0.78</w:t>
            </w:r>
          </w:p>
        </w:tc>
        <w:tc>
          <w:tcPr>
            <w:tcW w:w="877" w:type="dxa"/>
          </w:tcPr>
          <w:p>
            <w:pPr>
              <w:pStyle w:val="TableParagraph"/>
              <w:spacing w:before="70"/>
              <w:ind w:right="198"/>
              <w:jc w:val="center"/>
              <w:rPr>
                <w:sz w:val="22"/>
              </w:rPr>
            </w:pPr>
            <w:r>
              <w:rPr>
                <w:spacing w:val="-4"/>
                <w:sz w:val="22"/>
              </w:rPr>
              <w:t>0.77</w:t>
            </w:r>
          </w:p>
        </w:tc>
        <w:tc>
          <w:tcPr>
            <w:tcW w:w="918" w:type="dxa"/>
          </w:tcPr>
          <w:p>
            <w:pPr>
              <w:pStyle w:val="TableParagraph"/>
              <w:spacing w:before="70"/>
              <w:ind w:left="30" w:right="108"/>
              <w:jc w:val="center"/>
              <w:rPr>
                <w:sz w:val="22"/>
              </w:rPr>
            </w:pPr>
            <w:r>
              <w:rPr>
                <w:spacing w:val="-4"/>
                <w:sz w:val="22"/>
              </w:rPr>
              <w:t>0.79</w:t>
            </w:r>
          </w:p>
        </w:tc>
        <w:tc>
          <w:tcPr>
            <w:tcW w:w="1882" w:type="dxa"/>
          </w:tcPr>
          <w:p>
            <w:pPr>
              <w:pStyle w:val="TableParagraph"/>
              <w:spacing w:before="70"/>
              <w:ind w:left="181"/>
              <w:rPr>
                <w:sz w:val="22"/>
              </w:rPr>
            </w:pPr>
            <w:r>
              <w:rPr>
                <w:spacing w:val="-4"/>
                <w:sz w:val="22"/>
              </w:rPr>
              <w:t>0.78</w:t>
            </w:r>
          </w:p>
        </w:tc>
      </w:tr>
      <w:tr>
        <w:trPr>
          <w:trHeight w:val="388" w:hRule="atLeast"/>
        </w:trPr>
        <w:tc>
          <w:tcPr>
            <w:tcW w:w="2596" w:type="dxa"/>
          </w:tcPr>
          <w:p>
            <w:pPr>
              <w:pStyle w:val="TableParagraph"/>
              <w:spacing w:before="67"/>
              <w:ind w:left="115"/>
              <w:rPr>
                <w:sz w:val="22"/>
              </w:rPr>
            </w:pPr>
            <w:r>
              <w:rPr>
                <w:sz w:val="22"/>
              </w:rPr>
              <w:t>Relative</w:t>
            </w:r>
            <w:r>
              <w:rPr>
                <w:spacing w:val="12"/>
                <w:sz w:val="22"/>
              </w:rPr>
              <w:t> </w:t>
            </w:r>
            <w:r>
              <w:rPr>
                <w:spacing w:val="-2"/>
                <w:sz w:val="22"/>
              </w:rPr>
              <w:t>density</w:t>
            </w:r>
          </w:p>
        </w:tc>
        <w:tc>
          <w:tcPr>
            <w:tcW w:w="833" w:type="dxa"/>
          </w:tcPr>
          <w:p>
            <w:pPr>
              <w:pStyle w:val="TableParagraph"/>
              <w:spacing w:before="67"/>
              <w:ind w:left="140"/>
              <w:rPr>
                <w:sz w:val="22"/>
              </w:rPr>
            </w:pPr>
            <w:r>
              <w:rPr>
                <w:spacing w:val="-4"/>
                <w:sz w:val="22"/>
              </w:rPr>
              <w:t>0.64</w:t>
            </w:r>
          </w:p>
        </w:tc>
        <w:tc>
          <w:tcPr>
            <w:tcW w:w="879" w:type="dxa"/>
          </w:tcPr>
          <w:p>
            <w:pPr>
              <w:pStyle w:val="TableParagraph"/>
              <w:spacing w:before="67"/>
              <w:ind w:right="110"/>
              <w:jc w:val="center"/>
              <w:rPr>
                <w:sz w:val="22"/>
              </w:rPr>
            </w:pPr>
            <w:r>
              <w:rPr>
                <w:spacing w:val="-4"/>
                <w:sz w:val="22"/>
              </w:rPr>
              <w:t>0.72</w:t>
            </w:r>
          </w:p>
        </w:tc>
        <w:tc>
          <w:tcPr>
            <w:tcW w:w="834" w:type="dxa"/>
          </w:tcPr>
          <w:p>
            <w:pPr>
              <w:pStyle w:val="TableParagraph"/>
              <w:spacing w:before="67"/>
              <w:ind w:left="37" w:right="108"/>
              <w:jc w:val="center"/>
              <w:rPr>
                <w:sz w:val="22"/>
              </w:rPr>
            </w:pPr>
            <w:r>
              <w:rPr>
                <w:spacing w:val="-4"/>
                <w:sz w:val="22"/>
              </w:rPr>
              <w:t>0.64</w:t>
            </w:r>
          </w:p>
        </w:tc>
        <w:tc>
          <w:tcPr>
            <w:tcW w:w="877" w:type="dxa"/>
          </w:tcPr>
          <w:p>
            <w:pPr>
              <w:pStyle w:val="TableParagraph"/>
              <w:spacing w:before="67"/>
              <w:ind w:right="198"/>
              <w:jc w:val="center"/>
              <w:rPr>
                <w:sz w:val="22"/>
              </w:rPr>
            </w:pPr>
            <w:r>
              <w:rPr>
                <w:spacing w:val="-4"/>
                <w:sz w:val="22"/>
              </w:rPr>
              <w:t>0.60</w:t>
            </w:r>
          </w:p>
        </w:tc>
        <w:tc>
          <w:tcPr>
            <w:tcW w:w="918" w:type="dxa"/>
          </w:tcPr>
          <w:p>
            <w:pPr>
              <w:pStyle w:val="TableParagraph"/>
              <w:spacing w:before="67"/>
              <w:ind w:left="30" w:right="108"/>
              <w:jc w:val="center"/>
              <w:rPr>
                <w:sz w:val="22"/>
              </w:rPr>
            </w:pPr>
            <w:r>
              <w:rPr>
                <w:spacing w:val="-4"/>
                <w:sz w:val="22"/>
              </w:rPr>
              <w:t>0.63</w:t>
            </w:r>
          </w:p>
        </w:tc>
        <w:tc>
          <w:tcPr>
            <w:tcW w:w="1882" w:type="dxa"/>
          </w:tcPr>
          <w:p>
            <w:pPr>
              <w:pStyle w:val="TableParagraph"/>
              <w:spacing w:before="67"/>
              <w:ind w:left="181"/>
              <w:rPr>
                <w:sz w:val="22"/>
              </w:rPr>
            </w:pPr>
            <w:r>
              <w:rPr>
                <w:spacing w:val="-4"/>
                <w:sz w:val="22"/>
              </w:rPr>
              <w:t>0.64</w:t>
            </w:r>
          </w:p>
        </w:tc>
      </w:tr>
      <w:tr>
        <w:trPr>
          <w:trHeight w:val="386" w:hRule="atLeast"/>
        </w:trPr>
        <w:tc>
          <w:tcPr>
            <w:tcW w:w="2596" w:type="dxa"/>
          </w:tcPr>
          <w:p>
            <w:pPr>
              <w:pStyle w:val="TableParagraph"/>
              <w:spacing w:before="62"/>
              <w:ind w:left="115"/>
              <w:rPr>
                <w:sz w:val="22"/>
              </w:rPr>
            </w:pPr>
            <w:r>
              <w:rPr>
                <w:sz w:val="22"/>
              </w:rPr>
              <w:t>Porosity</w:t>
            </w:r>
            <w:r>
              <w:rPr>
                <w:spacing w:val="6"/>
                <w:sz w:val="22"/>
              </w:rPr>
              <w:t> </w:t>
            </w:r>
            <w:r>
              <w:rPr>
                <w:spacing w:val="-5"/>
                <w:sz w:val="22"/>
              </w:rPr>
              <w:t>(%)</w:t>
            </w:r>
          </w:p>
        </w:tc>
        <w:tc>
          <w:tcPr>
            <w:tcW w:w="833" w:type="dxa"/>
          </w:tcPr>
          <w:p>
            <w:pPr>
              <w:pStyle w:val="TableParagraph"/>
              <w:spacing w:before="62"/>
              <w:ind w:left="140"/>
              <w:rPr>
                <w:sz w:val="22"/>
              </w:rPr>
            </w:pPr>
            <w:r>
              <w:rPr>
                <w:spacing w:val="-2"/>
                <w:sz w:val="22"/>
              </w:rPr>
              <w:t>63.94</w:t>
            </w:r>
          </w:p>
        </w:tc>
        <w:tc>
          <w:tcPr>
            <w:tcW w:w="879" w:type="dxa"/>
          </w:tcPr>
          <w:p>
            <w:pPr>
              <w:pStyle w:val="TableParagraph"/>
              <w:spacing w:before="62"/>
              <w:ind w:left="110" w:right="110"/>
              <w:jc w:val="center"/>
              <w:rPr>
                <w:sz w:val="22"/>
              </w:rPr>
            </w:pPr>
            <w:r>
              <w:rPr>
                <w:spacing w:val="-2"/>
                <w:sz w:val="22"/>
              </w:rPr>
              <w:t>72.03</w:t>
            </w:r>
          </w:p>
        </w:tc>
        <w:tc>
          <w:tcPr>
            <w:tcW w:w="834" w:type="dxa"/>
          </w:tcPr>
          <w:p>
            <w:pPr>
              <w:pStyle w:val="TableParagraph"/>
              <w:spacing w:before="62"/>
              <w:ind w:left="108" w:right="71"/>
              <w:jc w:val="center"/>
              <w:rPr>
                <w:sz w:val="22"/>
              </w:rPr>
            </w:pPr>
            <w:r>
              <w:rPr>
                <w:spacing w:val="-2"/>
                <w:sz w:val="22"/>
              </w:rPr>
              <w:t>63.94</w:t>
            </w:r>
          </w:p>
        </w:tc>
        <w:tc>
          <w:tcPr>
            <w:tcW w:w="877" w:type="dxa"/>
          </w:tcPr>
          <w:p>
            <w:pPr>
              <w:pStyle w:val="TableParagraph"/>
              <w:spacing w:before="62"/>
              <w:ind w:left="115" w:right="198"/>
              <w:jc w:val="center"/>
              <w:rPr>
                <w:sz w:val="22"/>
              </w:rPr>
            </w:pPr>
            <w:r>
              <w:rPr>
                <w:spacing w:val="-2"/>
                <w:sz w:val="22"/>
              </w:rPr>
              <w:t>60.45</w:t>
            </w:r>
          </w:p>
        </w:tc>
        <w:tc>
          <w:tcPr>
            <w:tcW w:w="918" w:type="dxa"/>
          </w:tcPr>
          <w:p>
            <w:pPr>
              <w:pStyle w:val="TableParagraph"/>
              <w:spacing w:before="62"/>
              <w:ind w:left="108" w:right="78"/>
              <w:jc w:val="center"/>
              <w:rPr>
                <w:sz w:val="22"/>
              </w:rPr>
            </w:pPr>
            <w:r>
              <w:rPr>
                <w:spacing w:val="-2"/>
                <w:sz w:val="22"/>
              </w:rPr>
              <w:t>63.27</w:t>
            </w:r>
          </w:p>
        </w:tc>
        <w:tc>
          <w:tcPr>
            <w:tcW w:w="1882" w:type="dxa"/>
          </w:tcPr>
          <w:p>
            <w:pPr>
              <w:pStyle w:val="TableParagraph"/>
              <w:spacing w:before="62"/>
              <w:ind w:left="181"/>
              <w:rPr>
                <w:sz w:val="22"/>
              </w:rPr>
            </w:pPr>
            <w:r>
              <w:rPr>
                <w:spacing w:val="-2"/>
                <w:sz w:val="22"/>
              </w:rPr>
              <w:t>63.94</w:t>
            </w:r>
          </w:p>
        </w:tc>
      </w:tr>
      <w:tr>
        <w:trPr>
          <w:trHeight w:val="396" w:hRule="atLeast"/>
        </w:trPr>
        <w:tc>
          <w:tcPr>
            <w:tcW w:w="2596" w:type="dxa"/>
          </w:tcPr>
          <w:p>
            <w:pPr>
              <w:pStyle w:val="TableParagraph"/>
              <w:spacing w:before="65"/>
              <w:ind w:left="115"/>
              <w:rPr>
                <w:sz w:val="22"/>
              </w:rPr>
            </w:pPr>
            <w:r>
              <w:rPr>
                <w:sz w:val="22"/>
              </w:rPr>
              <w:t>Hausner`s</w:t>
            </w:r>
            <w:r>
              <w:rPr>
                <w:spacing w:val="14"/>
                <w:sz w:val="22"/>
              </w:rPr>
              <w:t> </w:t>
            </w:r>
            <w:r>
              <w:rPr>
                <w:spacing w:val="-4"/>
                <w:sz w:val="22"/>
              </w:rPr>
              <w:t>Ratio</w:t>
            </w:r>
          </w:p>
        </w:tc>
        <w:tc>
          <w:tcPr>
            <w:tcW w:w="833" w:type="dxa"/>
          </w:tcPr>
          <w:p>
            <w:pPr>
              <w:pStyle w:val="TableParagraph"/>
              <w:spacing w:before="65"/>
              <w:ind w:left="140"/>
              <w:rPr>
                <w:sz w:val="22"/>
              </w:rPr>
            </w:pPr>
            <w:r>
              <w:rPr>
                <w:spacing w:val="-4"/>
                <w:sz w:val="22"/>
              </w:rPr>
              <w:t>1.43</w:t>
            </w:r>
          </w:p>
        </w:tc>
        <w:tc>
          <w:tcPr>
            <w:tcW w:w="879" w:type="dxa"/>
          </w:tcPr>
          <w:p>
            <w:pPr>
              <w:pStyle w:val="TableParagraph"/>
              <w:spacing w:before="65"/>
              <w:ind w:right="110"/>
              <w:jc w:val="center"/>
              <w:rPr>
                <w:sz w:val="22"/>
              </w:rPr>
            </w:pPr>
            <w:r>
              <w:rPr>
                <w:spacing w:val="-4"/>
                <w:sz w:val="22"/>
              </w:rPr>
              <w:t>1.70</w:t>
            </w:r>
          </w:p>
        </w:tc>
        <w:tc>
          <w:tcPr>
            <w:tcW w:w="834" w:type="dxa"/>
          </w:tcPr>
          <w:p>
            <w:pPr>
              <w:pStyle w:val="TableParagraph"/>
              <w:spacing w:before="65"/>
              <w:ind w:left="37" w:right="108"/>
              <w:jc w:val="center"/>
              <w:rPr>
                <w:sz w:val="22"/>
              </w:rPr>
            </w:pPr>
            <w:r>
              <w:rPr>
                <w:spacing w:val="-4"/>
                <w:sz w:val="22"/>
              </w:rPr>
              <w:t>1.47</w:t>
            </w:r>
          </w:p>
        </w:tc>
        <w:tc>
          <w:tcPr>
            <w:tcW w:w="877" w:type="dxa"/>
          </w:tcPr>
          <w:p>
            <w:pPr>
              <w:pStyle w:val="TableParagraph"/>
              <w:spacing w:before="65"/>
              <w:ind w:right="198"/>
              <w:jc w:val="center"/>
              <w:rPr>
                <w:sz w:val="22"/>
              </w:rPr>
            </w:pPr>
            <w:r>
              <w:rPr>
                <w:spacing w:val="-4"/>
                <w:sz w:val="22"/>
              </w:rPr>
              <w:t>1.45</w:t>
            </w:r>
          </w:p>
        </w:tc>
        <w:tc>
          <w:tcPr>
            <w:tcW w:w="918" w:type="dxa"/>
          </w:tcPr>
          <w:p>
            <w:pPr>
              <w:pStyle w:val="TableParagraph"/>
              <w:spacing w:before="65"/>
              <w:ind w:left="30" w:right="108"/>
              <w:jc w:val="center"/>
              <w:rPr>
                <w:sz w:val="22"/>
              </w:rPr>
            </w:pPr>
            <w:r>
              <w:rPr>
                <w:spacing w:val="-4"/>
                <w:sz w:val="22"/>
              </w:rPr>
              <w:t>1.46</w:t>
            </w:r>
          </w:p>
        </w:tc>
        <w:tc>
          <w:tcPr>
            <w:tcW w:w="1882" w:type="dxa"/>
          </w:tcPr>
          <w:p>
            <w:pPr>
              <w:pStyle w:val="TableParagraph"/>
              <w:spacing w:before="65"/>
              <w:ind w:left="181"/>
              <w:rPr>
                <w:sz w:val="22"/>
              </w:rPr>
            </w:pPr>
            <w:r>
              <w:rPr>
                <w:spacing w:val="-4"/>
                <w:sz w:val="22"/>
              </w:rPr>
              <w:t>1.47</w:t>
            </w:r>
          </w:p>
        </w:tc>
      </w:tr>
      <w:tr>
        <w:trPr>
          <w:trHeight w:val="403" w:hRule="atLeast"/>
        </w:trPr>
        <w:tc>
          <w:tcPr>
            <w:tcW w:w="2596" w:type="dxa"/>
          </w:tcPr>
          <w:p>
            <w:pPr>
              <w:pStyle w:val="TableParagraph"/>
              <w:spacing w:before="72"/>
              <w:ind w:left="115"/>
              <w:rPr>
                <w:sz w:val="22"/>
              </w:rPr>
            </w:pPr>
            <w:r>
              <w:rPr>
                <w:sz w:val="22"/>
              </w:rPr>
              <w:t>Swelling</w:t>
            </w:r>
            <w:r>
              <w:rPr>
                <w:spacing w:val="10"/>
                <w:sz w:val="22"/>
              </w:rPr>
              <w:t> </w:t>
            </w:r>
            <w:r>
              <w:rPr>
                <w:sz w:val="22"/>
              </w:rPr>
              <w:t>power</w:t>
            </w:r>
            <w:r>
              <w:rPr>
                <w:spacing w:val="15"/>
                <w:sz w:val="22"/>
              </w:rPr>
              <w:t> </w:t>
            </w:r>
            <w:r>
              <w:rPr>
                <w:spacing w:val="-5"/>
                <w:sz w:val="22"/>
              </w:rPr>
              <w:t>(%)</w:t>
            </w:r>
          </w:p>
        </w:tc>
        <w:tc>
          <w:tcPr>
            <w:tcW w:w="833" w:type="dxa"/>
          </w:tcPr>
          <w:p>
            <w:pPr>
              <w:pStyle w:val="TableParagraph"/>
              <w:spacing w:before="72"/>
              <w:ind w:left="140"/>
              <w:rPr>
                <w:sz w:val="22"/>
              </w:rPr>
            </w:pPr>
            <w:r>
              <w:rPr>
                <w:spacing w:val="-2"/>
                <w:sz w:val="22"/>
              </w:rPr>
              <w:t>12.73</w:t>
            </w:r>
          </w:p>
        </w:tc>
        <w:tc>
          <w:tcPr>
            <w:tcW w:w="879" w:type="dxa"/>
          </w:tcPr>
          <w:p>
            <w:pPr>
              <w:pStyle w:val="TableParagraph"/>
              <w:spacing w:before="72"/>
              <w:ind w:right="110"/>
              <w:jc w:val="center"/>
              <w:rPr>
                <w:sz w:val="22"/>
              </w:rPr>
            </w:pPr>
            <w:r>
              <w:rPr>
                <w:spacing w:val="-4"/>
                <w:sz w:val="22"/>
              </w:rPr>
              <w:t>8.50</w:t>
            </w:r>
          </w:p>
        </w:tc>
        <w:tc>
          <w:tcPr>
            <w:tcW w:w="834" w:type="dxa"/>
          </w:tcPr>
          <w:p>
            <w:pPr>
              <w:pStyle w:val="TableParagraph"/>
              <w:spacing w:before="72"/>
              <w:ind w:left="37" w:right="108"/>
              <w:jc w:val="center"/>
              <w:rPr>
                <w:sz w:val="22"/>
              </w:rPr>
            </w:pPr>
            <w:r>
              <w:rPr>
                <w:spacing w:val="-4"/>
                <w:sz w:val="22"/>
              </w:rPr>
              <w:t>9.58</w:t>
            </w:r>
          </w:p>
        </w:tc>
        <w:tc>
          <w:tcPr>
            <w:tcW w:w="877" w:type="dxa"/>
          </w:tcPr>
          <w:p>
            <w:pPr>
              <w:pStyle w:val="TableParagraph"/>
              <w:spacing w:before="72"/>
              <w:ind w:right="198"/>
              <w:jc w:val="center"/>
              <w:rPr>
                <w:sz w:val="22"/>
              </w:rPr>
            </w:pPr>
            <w:r>
              <w:rPr>
                <w:spacing w:val="-4"/>
                <w:sz w:val="22"/>
              </w:rPr>
              <w:t>9.60</w:t>
            </w:r>
          </w:p>
        </w:tc>
        <w:tc>
          <w:tcPr>
            <w:tcW w:w="918" w:type="dxa"/>
          </w:tcPr>
          <w:p>
            <w:pPr>
              <w:pStyle w:val="TableParagraph"/>
              <w:spacing w:before="72"/>
              <w:ind w:left="30" w:right="108"/>
              <w:jc w:val="center"/>
              <w:rPr>
                <w:sz w:val="22"/>
              </w:rPr>
            </w:pPr>
            <w:r>
              <w:rPr>
                <w:spacing w:val="-4"/>
                <w:sz w:val="22"/>
              </w:rPr>
              <w:t>9.68</w:t>
            </w:r>
          </w:p>
        </w:tc>
        <w:tc>
          <w:tcPr>
            <w:tcW w:w="1882" w:type="dxa"/>
          </w:tcPr>
          <w:p>
            <w:pPr>
              <w:pStyle w:val="TableParagraph"/>
              <w:spacing w:before="72"/>
              <w:ind w:left="181"/>
              <w:rPr>
                <w:sz w:val="22"/>
              </w:rPr>
            </w:pPr>
            <w:r>
              <w:rPr>
                <w:spacing w:val="-4"/>
                <w:sz w:val="22"/>
              </w:rPr>
              <w:t>9.81</w:t>
            </w:r>
          </w:p>
        </w:tc>
      </w:tr>
      <w:tr>
        <w:trPr>
          <w:trHeight w:val="792" w:hRule="atLeast"/>
        </w:trPr>
        <w:tc>
          <w:tcPr>
            <w:tcW w:w="2596" w:type="dxa"/>
          </w:tcPr>
          <w:p>
            <w:pPr>
              <w:pStyle w:val="TableParagraph"/>
              <w:spacing w:before="72"/>
              <w:ind w:left="115"/>
              <w:rPr>
                <w:sz w:val="22"/>
              </w:rPr>
            </w:pPr>
            <w:r>
              <w:rPr>
                <w:sz w:val="22"/>
              </w:rPr>
              <w:t>Moisture</w:t>
            </w:r>
            <w:r>
              <w:rPr>
                <w:spacing w:val="17"/>
                <w:sz w:val="22"/>
              </w:rPr>
              <w:t> </w:t>
            </w:r>
            <w:r>
              <w:rPr>
                <w:spacing w:val="-2"/>
                <w:sz w:val="22"/>
              </w:rPr>
              <w:t>Sorption</w:t>
            </w:r>
          </w:p>
          <w:p>
            <w:pPr>
              <w:pStyle w:val="TableParagraph"/>
              <w:spacing w:before="131"/>
              <w:ind w:left="115"/>
              <w:rPr>
                <w:sz w:val="22"/>
              </w:rPr>
            </w:pPr>
            <w:r>
              <w:rPr>
                <w:sz w:val="22"/>
              </w:rPr>
              <w:t>Capacity</w:t>
            </w:r>
            <w:r>
              <w:rPr>
                <w:spacing w:val="10"/>
                <w:sz w:val="22"/>
              </w:rPr>
              <w:t> </w:t>
            </w:r>
            <w:r>
              <w:rPr>
                <w:spacing w:val="-5"/>
                <w:sz w:val="22"/>
              </w:rPr>
              <w:t>(%)</w:t>
            </w:r>
          </w:p>
        </w:tc>
        <w:tc>
          <w:tcPr>
            <w:tcW w:w="833" w:type="dxa"/>
          </w:tcPr>
          <w:p>
            <w:pPr>
              <w:pStyle w:val="TableParagraph"/>
              <w:spacing w:before="72"/>
              <w:ind w:left="140"/>
              <w:rPr>
                <w:sz w:val="22"/>
              </w:rPr>
            </w:pPr>
            <w:r>
              <w:rPr>
                <w:spacing w:val="-2"/>
                <w:sz w:val="22"/>
              </w:rPr>
              <w:t>19.50</w:t>
            </w:r>
          </w:p>
        </w:tc>
        <w:tc>
          <w:tcPr>
            <w:tcW w:w="879" w:type="dxa"/>
          </w:tcPr>
          <w:p>
            <w:pPr>
              <w:pStyle w:val="TableParagraph"/>
              <w:spacing w:before="72"/>
              <w:ind w:left="110" w:right="110"/>
              <w:jc w:val="center"/>
              <w:rPr>
                <w:sz w:val="22"/>
              </w:rPr>
            </w:pPr>
            <w:r>
              <w:rPr>
                <w:spacing w:val="-2"/>
                <w:sz w:val="22"/>
              </w:rPr>
              <w:t>24.50</w:t>
            </w:r>
          </w:p>
        </w:tc>
        <w:tc>
          <w:tcPr>
            <w:tcW w:w="834" w:type="dxa"/>
          </w:tcPr>
          <w:p>
            <w:pPr>
              <w:pStyle w:val="TableParagraph"/>
              <w:spacing w:before="72"/>
              <w:ind w:left="108" w:right="71"/>
              <w:jc w:val="center"/>
              <w:rPr>
                <w:sz w:val="22"/>
              </w:rPr>
            </w:pPr>
            <w:r>
              <w:rPr>
                <w:spacing w:val="-2"/>
                <w:sz w:val="22"/>
              </w:rPr>
              <w:t>25.00</w:t>
            </w:r>
          </w:p>
        </w:tc>
        <w:tc>
          <w:tcPr>
            <w:tcW w:w="877" w:type="dxa"/>
          </w:tcPr>
          <w:p>
            <w:pPr>
              <w:pStyle w:val="TableParagraph"/>
              <w:spacing w:before="72"/>
              <w:ind w:left="115" w:right="198"/>
              <w:jc w:val="center"/>
              <w:rPr>
                <w:sz w:val="22"/>
              </w:rPr>
            </w:pPr>
            <w:r>
              <w:rPr>
                <w:spacing w:val="-2"/>
                <w:sz w:val="22"/>
              </w:rPr>
              <w:t>25.00</w:t>
            </w:r>
          </w:p>
        </w:tc>
        <w:tc>
          <w:tcPr>
            <w:tcW w:w="918" w:type="dxa"/>
          </w:tcPr>
          <w:p>
            <w:pPr>
              <w:pStyle w:val="TableParagraph"/>
              <w:spacing w:before="72"/>
              <w:ind w:left="108" w:right="78"/>
              <w:jc w:val="center"/>
              <w:rPr>
                <w:sz w:val="22"/>
              </w:rPr>
            </w:pPr>
            <w:r>
              <w:rPr>
                <w:spacing w:val="-2"/>
                <w:sz w:val="22"/>
              </w:rPr>
              <w:t>25.50</w:t>
            </w:r>
          </w:p>
        </w:tc>
        <w:tc>
          <w:tcPr>
            <w:tcW w:w="1882" w:type="dxa"/>
          </w:tcPr>
          <w:p>
            <w:pPr>
              <w:pStyle w:val="TableParagraph"/>
              <w:spacing w:before="72"/>
              <w:ind w:left="181"/>
              <w:rPr>
                <w:sz w:val="22"/>
              </w:rPr>
            </w:pPr>
            <w:r>
              <w:rPr>
                <w:spacing w:val="-2"/>
                <w:sz w:val="22"/>
              </w:rPr>
              <w:t>27.00</w:t>
            </w:r>
          </w:p>
        </w:tc>
      </w:tr>
      <w:tr>
        <w:trPr>
          <w:trHeight w:val="407" w:hRule="atLeast"/>
        </w:trPr>
        <w:tc>
          <w:tcPr>
            <w:tcW w:w="2596" w:type="dxa"/>
          </w:tcPr>
          <w:p>
            <w:pPr>
              <w:pStyle w:val="TableParagraph"/>
              <w:spacing w:before="77"/>
              <w:ind w:left="115"/>
              <w:rPr>
                <w:sz w:val="22"/>
              </w:rPr>
            </w:pPr>
            <w:r>
              <w:rPr>
                <w:sz w:val="22"/>
              </w:rPr>
              <w:t>Moisture</w:t>
            </w:r>
            <w:r>
              <w:rPr>
                <w:spacing w:val="12"/>
                <w:sz w:val="22"/>
              </w:rPr>
              <w:t> </w:t>
            </w:r>
            <w:r>
              <w:rPr>
                <w:sz w:val="22"/>
              </w:rPr>
              <w:t>Content</w:t>
            </w:r>
            <w:r>
              <w:rPr>
                <w:spacing w:val="11"/>
                <w:sz w:val="22"/>
              </w:rPr>
              <w:t> </w:t>
            </w:r>
            <w:r>
              <w:rPr>
                <w:spacing w:val="-5"/>
                <w:sz w:val="22"/>
              </w:rPr>
              <w:t>(%)</w:t>
            </w:r>
          </w:p>
        </w:tc>
        <w:tc>
          <w:tcPr>
            <w:tcW w:w="833" w:type="dxa"/>
          </w:tcPr>
          <w:p>
            <w:pPr>
              <w:pStyle w:val="TableParagraph"/>
              <w:spacing w:before="77"/>
              <w:ind w:left="140"/>
              <w:rPr>
                <w:sz w:val="22"/>
              </w:rPr>
            </w:pPr>
            <w:r>
              <w:rPr>
                <w:spacing w:val="-4"/>
                <w:sz w:val="22"/>
              </w:rPr>
              <w:t>5.60</w:t>
            </w:r>
          </w:p>
        </w:tc>
        <w:tc>
          <w:tcPr>
            <w:tcW w:w="879" w:type="dxa"/>
          </w:tcPr>
          <w:p>
            <w:pPr>
              <w:pStyle w:val="TableParagraph"/>
              <w:spacing w:before="77"/>
              <w:ind w:right="110"/>
              <w:jc w:val="center"/>
              <w:rPr>
                <w:sz w:val="22"/>
              </w:rPr>
            </w:pPr>
            <w:r>
              <w:rPr>
                <w:spacing w:val="-4"/>
                <w:sz w:val="22"/>
              </w:rPr>
              <w:t>3.20</w:t>
            </w:r>
          </w:p>
        </w:tc>
        <w:tc>
          <w:tcPr>
            <w:tcW w:w="834" w:type="dxa"/>
          </w:tcPr>
          <w:p>
            <w:pPr>
              <w:pStyle w:val="TableParagraph"/>
              <w:spacing w:before="77"/>
              <w:ind w:left="37" w:right="108"/>
              <w:jc w:val="center"/>
              <w:rPr>
                <w:sz w:val="22"/>
              </w:rPr>
            </w:pPr>
            <w:r>
              <w:rPr>
                <w:spacing w:val="-4"/>
                <w:sz w:val="22"/>
              </w:rPr>
              <w:t>5.80</w:t>
            </w:r>
          </w:p>
        </w:tc>
        <w:tc>
          <w:tcPr>
            <w:tcW w:w="877" w:type="dxa"/>
          </w:tcPr>
          <w:p>
            <w:pPr>
              <w:pStyle w:val="TableParagraph"/>
              <w:spacing w:before="77"/>
              <w:ind w:right="198"/>
              <w:jc w:val="center"/>
              <w:rPr>
                <w:sz w:val="22"/>
              </w:rPr>
            </w:pPr>
            <w:r>
              <w:rPr>
                <w:spacing w:val="-4"/>
                <w:sz w:val="22"/>
              </w:rPr>
              <w:t>7.60</w:t>
            </w:r>
          </w:p>
        </w:tc>
        <w:tc>
          <w:tcPr>
            <w:tcW w:w="918" w:type="dxa"/>
          </w:tcPr>
          <w:p>
            <w:pPr>
              <w:pStyle w:val="TableParagraph"/>
              <w:spacing w:before="77"/>
              <w:ind w:left="30" w:right="108"/>
              <w:jc w:val="center"/>
              <w:rPr>
                <w:sz w:val="22"/>
              </w:rPr>
            </w:pPr>
            <w:r>
              <w:rPr>
                <w:spacing w:val="-4"/>
                <w:sz w:val="22"/>
              </w:rPr>
              <w:t>7.80</w:t>
            </w:r>
          </w:p>
        </w:tc>
        <w:tc>
          <w:tcPr>
            <w:tcW w:w="1882" w:type="dxa"/>
          </w:tcPr>
          <w:p>
            <w:pPr>
              <w:pStyle w:val="TableParagraph"/>
              <w:spacing w:before="77"/>
              <w:ind w:left="181"/>
              <w:rPr>
                <w:sz w:val="22"/>
              </w:rPr>
            </w:pPr>
            <w:r>
              <w:rPr>
                <w:spacing w:val="-4"/>
                <w:sz w:val="22"/>
              </w:rPr>
              <w:t>8.00</w:t>
            </w:r>
          </w:p>
        </w:tc>
      </w:tr>
      <w:tr>
        <w:trPr>
          <w:trHeight w:val="411" w:hRule="atLeast"/>
        </w:trPr>
        <w:tc>
          <w:tcPr>
            <w:tcW w:w="2596" w:type="dxa"/>
          </w:tcPr>
          <w:p>
            <w:pPr>
              <w:pStyle w:val="TableParagraph"/>
              <w:spacing w:before="68"/>
              <w:ind w:left="115"/>
              <w:rPr>
                <w:sz w:val="22"/>
              </w:rPr>
            </w:pPr>
            <w:r>
              <w:rPr>
                <w:sz w:val="22"/>
              </w:rPr>
              <w:t>Mean</w:t>
            </w:r>
            <w:r>
              <w:rPr>
                <w:spacing w:val="6"/>
                <w:sz w:val="22"/>
              </w:rPr>
              <w:t> </w:t>
            </w:r>
            <w:r>
              <w:rPr>
                <w:sz w:val="22"/>
              </w:rPr>
              <w:t>Particle</w:t>
            </w:r>
            <w:r>
              <w:rPr>
                <w:spacing w:val="11"/>
                <w:sz w:val="22"/>
              </w:rPr>
              <w:t> </w:t>
            </w:r>
            <w:r>
              <w:rPr>
                <w:sz w:val="22"/>
              </w:rPr>
              <w:t>Size</w:t>
            </w:r>
            <w:r>
              <w:rPr>
                <w:spacing w:val="11"/>
                <w:sz w:val="22"/>
              </w:rPr>
              <w:t> </w:t>
            </w:r>
            <w:r>
              <w:rPr>
                <w:spacing w:val="-4"/>
                <w:sz w:val="22"/>
              </w:rPr>
              <w:t>(</w:t>
            </w:r>
            <w:r>
              <w:rPr>
                <w:rFonts w:ascii="Calibri" w:hAnsi="Calibri"/>
                <w:spacing w:val="-4"/>
                <w:sz w:val="22"/>
              </w:rPr>
              <w:t>µ</w:t>
            </w:r>
            <w:r>
              <w:rPr>
                <w:spacing w:val="-4"/>
                <w:sz w:val="22"/>
              </w:rPr>
              <w:t>m)</w:t>
            </w:r>
          </w:p>
        </w:tc>
        <w:tc>
          <w:tcPr>
            <w:tcW w:w="833" w:type="dxa"/>
          </w:tcPr>
          <w:p>
            <w:pPr>
              <w:pStyle w:val="TableParagraph"/>
              <w:spacing w:before="72"/>
              <w:ind w:left="140"/>
              <w:rPr>
                <w:sz w:val="22"/>
              </w:rPr>
            </w:pPr>
            <w:r>
              <w:rPr>
                <w:spacing w:val="-2"/>
                <w:sz w:val="22"/>
              </w:rPr>
              <w:t>12.73</w:t>
            </w:r>
          </w:p>
        </w:tc>
        <w:tc>
          <w:tcPr>
            <w:tcW w:w="879" w:type="dxa"/>
          </w:tcPr>
          <w:p>
            <w:pPr>
              <w:pStyle w:val="TableParagraph"/>
              <w:spacing w:before="72"/>
              <w:ind w:left="110" w:right="110"/>
              <w:jc w:val="center"/>
              <w:rPr>
                <w:sz w:val="22"/>
              </w:rPr>
            </w:pPr>
            <w:r>
              <w:rPr>
                <w:spacing w:val="-2"/>
                <w:sz w:val="22"/>
              </w:rPr>
              <w:t>10.50</w:t>
            </w:r>
          </w:p>
        </w:tc>
        <w:tc>
          <w:tcPr>
            <w:tcW w:w="834" w:type="dxa"/>
          </w:tcPr>
          <w:p>
            <w:pPr>
              <w:pStyle w:val="TableParagraph"/>
              <w:spacing w:before="72"/>
              <w:ind w:left="37" w:right="108"/>
              <w:jc w:val="center"/>
              <w:rPr>
                <w:sz w:val="22"/>
              </w:rPr>
            </w:pPr>
            <w:r>
              <w:rPr>
                <w:spacing w:val="-4"/>
                <w:sz w:val="22"/>
              </w:rPr>
              <w:t>9.58</w:t>
            </w:r>
          </w:p>
        </w:tc>
        <w:tc>
          <w:tcPr>
            <w:tcW w:w="877" w:type="dxa"/>
          </w:tcPr>
          <w:p>
            <w:pPr>
              <w:pStyle w:val="TableParagraph"/>
              <w:spacing w:before="72"/>
              <w:ind w:right="198"/>
              <w:jc w:val="center"/>
              <w:rPr>
                <w:sz w:val="22"/>
              </w:rPr>
            </w:pPr>
            <w:r>
              <w:rPr>
                <w:spacing w:val="-4"/>
                <w:sz w:val="22"/>
              </w:rPr>
              <w:t>9.60</w:t>
            </w:r>
          </w:p>
        </w:tc>
        <w:tc>
          <w:tcPr>
            <w:tcW w:w="918" w:type="dxa"/>
          </w:tcPr>
          <w:p>
            <w:pPr>
              <w:pStyle w:val="TableParagraph"/>
              <w:spacing w:before="72"/>
              <w:ind w:left="30" w:right="108"/>
              <w:jc w:val="center"/>
              <w:rPr>
                <w:sz w:val="22"/>
              </w:rPr>
            </w:pPr>
            <w:r>
              <w:rPr>
                <w:spacing w:val="-4"/>
                <w:sz w:val="22"/>
              </w:rPr>
              <w:t>9.68</w:t>
            </w:r>
          </w:p>
        </w:tc>
        <w:tc>
          <w:tcPr>
            <w:tcW w:w="1882" w:type="dxa"/>
          </w:tcPr>
          <w:p>
            <w:pPr>
              <w:pStyle w:val="TableParagraph"/>
              <w:spacing w:before="72"/>
              <w:ind w:left="181"/>
              <w:rPr>
                <w:sz w:val="22"/>
              </w:rPr>
            </w:pPr>
            <w:r>
              <w:rPr>
                <w:spacing w:val="-4"/>
                <w:sz w:val="22"/>
              </w:rPr>
              <w:t>9.61</w:t>
            </w:r>
          </w:p>
        </w:tc>
      </w:tr>
      <w:tr>
        <w:trPr>
          <w:trHeight w:val="396" w:hRule="atLeast"/>
        </w:trPr>
        <w:tc>
          <w:tcPr>
            <w:tcW w:w="2596" w:type="dxa"/>
          </w:tcPr>
          <w:p>
            <w:pPr>
              <w:pStyle w:val="TableParagraph"/>
              <w:spacing w:before="73"/>
              <w:ind w:left="225"/>
              <w:rPr>
                <w:sz w:val="22"/>
              </w:rPr>
            </w:pPr>
            <w:r>
              <w:rPr>
                <w:spacing w:val="-5"/>
                <w:sz w:val="22"/>
              </w:rPr>
              <w:t>pH</w:t>
            </w:r>
          </w:p>
        </w:tc>
        <w:tc>
          <w:tcPr>
            <w:tcW w:w="833" w:type="dxa"/>
          </w:tcPr>
          <w:p>
            <w:pPr>
              <w:pStyle w:val="TableParagraph"/>
              <w:spacing w:before="73"/>
              <w:ind w:left="140"/>
              <w:rPr>
                <w:sz w:val="22"/>
              </w:rPr>
            </w:pPr>
            <w:r>
              <w:rPr>
                <w:spacing w:val="-4"/>
                <w:sz w:val="22"/>
              </w:rPr>
              <w:t>6.50</w:t>
            </w:r>
          </w:p>
        </w:tc>
        <w:tc>
          <w:tcPr>
            <w:tcW w:w="879" w:type="dxa"/>
          </w:tcPr>
          <w:p>
            <w:pPr>
              <w:pStyle w:val="TableParagraph"/>
              <w:spacing w:before="73"/>
              <w:ind w:right="110"/>
              <w:jc w:val="center"/>
              <w:rPr>
                <w:sz w:val="22"/>
              </w:rPr>
            </w:pPr>
            <w:r>
              <w:rPr>
                <w:spacing w:val="-4"/>
                <w:sz w:val="22"/>
              </w:rPr>
              <w:t>6.46</w:t>
            </w:r>
          </w:p>
        </w:tc>
        <w:tc>
          <w:tcPr>
            <w:tcW w:w="834" w:type="dxa"/>
          </w:tcPr>
          <w:p>
            <w:pPr>
              <w:pStyle w:val="TableParagraph"/>
              <w:spacing w:before="73"/>
              <w:ind w:left="37" w:right="108"/>
              <w:jc w:val="center"/>
              <w:rPr>
                <w:sz w:val="22"/>
              </w:rPr>
            </w:pPr>
            <w:r>
              <w:rPr>
                <w:spacing w:val="-4"/>
                <w:sz w:val="22"/>
              </w:rPr>
              <w:t>6.36</w:t>
            </w:r>
          </w:p>
        </w:tc>
        <w:tc>
          <w:tcPr>
            <w:tcW w:w="877" w:type="dxa"/>
          </w:tcPr>
          <w:p>
            <w:pPr>
              <w:pStyle w:val="TableParagraph"/>
              <w:spacing w:before="73"/>
              <w:ind w:right="198"/>
              <w:jc w:val="center"/>
              <w:rPr>
                <w:sz w:val="22"/>
              </w:rPr>
            </w:pPr>
            <w:r>
              <w:rPr>
                <w:spacing w:val="-4"/>
                <w:sz w:val="22"/>
              </w:rPr>
              <w:t>6.30</w:t>
            </w:r>
          </w:p>
        </w:tc>
        <w:tc>
          <w:tcPr>
            <w:tcW w:w="918" w:type="dxa"/>
          </w:tcPr>
          <w:p>
            <w:pPr>
              <w:pStyle w:val="TableParagraph"/>
              <w:spacing w:before="73"/>
              <w:ind w:left="30" w:right="108"/>
              <w:jc w:val="center"/>
              <w:rPr>
                <w:sz w:val="22"/>
              </w:rPr>
            </w:pPr>
            <w:r>
              <w:rPr>
                <w:spacing w:val="-4"/>
                <w:sz w:val="22"/>
              </w:rPr>
              <w:t>6.28</w:t>
            </w:r>
          </w:p>
        </w:tc>
        <w:tc>
          <w:tcPr>
            <w:tcW w:w="1882" w:type="dxa"/>
          </w:tcPr>
          <w:p>
            <w:pPr>
              <w:pStyle w:val="TableParagraph"/>
              <w:spacing w:before="73"/>
              <w:ind w:left="181"/>
              <w:rPr>
                <w:sz w:val="22"/>
              </w:rPr>
            </w:pPr>
            <w:r>
              <w:rPr>
                <w:spacing w:val="-4"/>
                <w:sz w:val="22"/>
              </w:rPr>
              <w:t>6.05</w:t>
            </w:r>
          </w:p>
        </w:tc>
      </w:tr>
      <w:tr>
        <w:trPr>
          <w:trHeight w:val="396" w:hRule="atLeast"/>
        </w:trPr>
        <w:tc>
          <w:tcPr>
            <w:tcW w:w="2596" w:type="dxa"/>
          </w:tcPr>
          <w:p>
            <w:pPr>
              <w:pStyle w:val="TableParagraph"/>
              <w:spacing w:before="65"/>
              <w:ind w:left="115"/>
              <w:rPr>
                <w:sz w:val="22"/>
              </w:rPr>
            </w:pPr>
            <w:r>
              <w:rPr>
                <w:sz w:val="22"/>
              </w:rPr>
              <w:t>Ash</w:t>
            </w:r>
            <w:r>
              <w:rPr>
                <w:spacing w:val="4"/>
                <w:sz w:val="22"/>
              </w:rPr>
              <w:t> </w:t>
            </w:r>
            <w:r>
              <w:rPr>
                <w:sz w:val="22"/>
              </w:rPr>
              <w:t>content</w:t>
            </w:r>
            <w:r>
              <w:rPr>
                <w:spacing w:val="12"/>
                <w:sz w:val="22"/>
              </w:rPr>
              <w:t> </w:t>
            </w:r>
            <w:r>
              <w:rPr>
                <w:spacing w:val="-5"/>
                <w:sz w:val="22"/>
              </w:rPr>
              <w:t>(%)</w:t>
            </w:r>
          </w:p>
        </w:tc>
        <w:tc>
          <w:tcPr>
            <w:tcW w:w="833" w:type="dxa"/>
          </w:tcPr>
          <w:p>
            <w:pPr>
              <w:pStyle w:val="TableParagraph"/>
              <w:spacing w:before="65"/>
              <w:ind w:left="140"/>
              <w:rPr>
                <w:sz w:val="22"/>
              </w:rPr>
            </w:pPr>
            <w:r>
              <w:rPr>
                <w:spacing w:val="-4"/>
                <w:sz w:val="22"/>
              </w:rPr>
              <w:t>4.10</w:t>
            </w:r>
          </w:p>
        </w:tc>
        <w:tc>
          <w:tcPr>
            <w:tcW w:w="879" w:type="dxa"/>
          </w:tcPr>
          <w:p>
            <w:pPr>
              <w:pStyle w:val="TableParagraph"/>
              <w:spacing w:before="65"/>
              <w:ind w:right="110"/>
              <w:jc w:val="center"/>
              <w:rPr>
                <w:sz w:val="22"/>
              </w:rPr>
            </w:pPr>
            <w:r>
              <w:rPr>
                <w:spacing w:val="-4"/>
                <w:sz w:val="22"/>
              </w:rPr>
              <w:t>1.40</w:t>
            </w:r>
          </w:p>
        </w:tc>
        <w:tc>
          <w:tcPr>
            <w:tcW w:w="834" w:type="dxa"/>
          </w:tcPr>
          <w:p>
            <w:pPr>
              <w:pStyle w:val="TableParagraph"/>
              <w:spacing w:before="65"/>
              <w:ind w:left="37" w:right="108"/>
              <w:jc w:val="center"/>
              <w:rPr>
                <w:sz w:val="22"/>
              </w:rPr>
            </w:pPr>
            <w:r>
              <w:rPr>
                <w:spacing w:val="-4"/>
                <w:sz w:val="22"/>
              </w:rPr>
              <w:t>1.38</w:t>
            </w:r>
          </w:p>
        </w:tc>
        <w:tc>
          <w:tcPr>
            <w:tcW w:w="877" w:type="dxa"/>
          </w:tcPr>
          <w:p>
            <w:pPr>
              <w:pStyle w:val="TableParagraph"/>
              <w:spacing w:before="65"/>
              <w:ind w:right="198"/>
              <w:jc w:val="center"/>
              <w:rPr>
                <w:sz w:val="22"/>
              </w:rPr>
            </w:pPr>
            <w:r>
              <w:rPr>
                <w:spacing w:val="-4"/>
                <w:sz w:val="22"/>
              </w:rPr>
              <w:t>1.26</w:t>
            </w:r>
          </w:p>
        </w:tc>
        <w:tc>
          <w:tcPr>
            <w:tcW w:w="918" w:type="dxa"/>
          </w:tcPr>
          <w:p>
            <w:pPr>
              <w:pStyle w:val="TableParagraph"/>
              <w:spacing w:before="65"/>
              <w:ind w:left="30" w:right="108"/>
              <w:jc w:val="center"/>
              <w:rPr>
                <w:sz w:val="22"/>
              </w:rPr>
            </w:pPr>
            <w:r>
              <w:rPr>
                <w:spacing w:val="-4"/>
                <w:sz w:val="22"/>
              </w:rPr>
              <w:t>1.08</w:t>
            </w:r>
          </w:p>
        </w:tc>
        <w:tc>
          <w:tcPr>
            <w:tcW w:w="1882" w:type="dxa"/>
          </w:tcPr>
          <w:p>
            <w:pPr>
              <w:pStyle w:val="TableParagraph"/>
              <w:spacing w:before="65"/>
              <w:ind w:left="181"/>
              <w:rPr>
                <w:sz w:val="22"/>
              </w:rPr>
            </w:pPr>
            <w:r>
              <w:rPr>
                <w:spacing w:val="-4"/>
                <w:sz w:val="22"/>
              </w:rPr>
              <w:t>1.02</w:t>
            </w:r>
          </w:p>
        </w:tc>
      </w:tr>
      <w:tr>
        <w:trPr>
          <w:trHeight w:val="393" w:hRule="atLeast"/>
        </w:trPr>
        <w:tc>
          <w:tcPr>
            <w:tcW w:w="2596" w:type="dxa"/>
          </w:tcPr>
          <w:p>
            <w:pPr>
              <w:pStyle w:val="TableParagraph"/>
              <w:spacing w:before="72"/>
              <w:ind w:left="115"/>
              <w:rPr>
                <w:sz w:val="22"/>
              </w:rPr>
            </w:pPr>
            <w:r>
              <w:rPr>
                <w:sz w:val="22"/>
              </w:rPr>
              <w:t>Lipid</w:t>
            </w:r>
            <w:r>
              <w:rPr>
                <w:spacing w:val="13"/>
                <w:sz w:val="22"/>
              </w:rPr>
              <w:t> </w:t>
            </w:r>
            <w:r>
              <w:rPr>
                <w:sz w:val="22"/>
              </w:rPr>
              <w:t>content</w:t>
            </w:r>
            <w:r>
              <w:rPr>
                <w:spacing w:val="6"/>
                <w:sz w:val="22"/>
              </w:rPr>
              <w:t> </w:t>
            </w:r>
            <w:r>
              <w:rPr>
                <w:spacing w:val="-5"/>
                <w:sz w:val="22"/>
              </w:rPr>
              <w:t>(%)</w:t>
            </w:r>
          </w:p>
        </w:tc>
        <w:tc>
          <w:tcPr>
            <w:tcW w:w="833" w:type="dxa"/>
          </w:tcPr>
          <w:p>
            <w:pPr>
              <w:pStyle w:val="TableParagraph"/>
              <w:spacing w:before="72"/>
              <w:ind w:left="140"/>
              <w:rPr>
                <w:sz w:val="22"/>
              </w:rPr>
            </w:pPr>
            <w:r>
              <w:rPr>
                <w:spacing w:val="-2"/>
                <w:sz w:val="22"/>
              </w:rPr>
              <w:t>13.00</w:t>
            </w:r>
          </w:p>
        </w:tc>
        <w:tc>
          <w:tcPr>
            <w:tcW w:w="879" w:type="dxa"/>
          </w:tcPr>
          <w:p>
            <w:pPr>
              <w:pStyle w:val="TableParagraph"/>
              <w:spacing w:before="72"/>
              <w:ind w:right="110"/>
              <w:jc w:val="center"/>
              <w:rPr>
                <w:sz w:val="22"/>
              </w:rPr>
            </w:pPr>
            <w:r>
              <w:rPr>
                <w:spacing w:val="-4"/>
                <w:sz w:val="22"/>
              </w:rPr>
              <w:t>4.47</w:t>
            </w:r>
          </w:p>
        </w:tc>
        <w:tc>
          <w:tcPr>
            <w:tcW w:w="834" w:type="dxa"/>
          </w:tcPr>
          <w:p>
            <w:pPr>
              <w:pStyle w:val="TableParagraph"/>
              <w:spacing w:before="72"/>
              <w:ind w:left="37" w:right="108"/>
              <w:jc w:val="center"/>
              <w:rPr>
                <w:sz w:val="22"/>
              </w:rPr>
            </w:pPr>
            <w:r>
              <w:rPr>
                <w:spacing w:val="-4"/>
                <w:sz w:val="22"/>
              </w:rPr>
              <w:t>4.36</w:t>
            </w:r>
          </w:p>
        </w:tc>
        <w:tc>
          <w:tcPr>
            <w:tcW w:w="877" w:type="dxa"/>
          </w:tcPr>
          <w:p>
            <w:pPr>
              <w:pStyle w:val="TableParagraph"/>
              <w:spacing w:before="72"/>
              <w:ind w:right="198"/>
              <w:jc w:val="center"/>
              <w:rPr>
                <w:sz w:val="22"/>
              </w:rPr>
            </w:pPr>
            <w:r>
              <w:rPr>
                <w:spacing w:val="-4"/>
                <w:sz w:val="22"/>
              </w:rPr>
              <w:t>4.15</w:t>
            </w:r>
          </w:p>
        </w:tc>
        <w:tc>
          <w:tcPr>
            <w:tcW w:w="918" w:type="dxa"/>
          </w:tcPr>
          <w:p>
            <w:pPr>
              <w:pStyle w:val="TableParagraph"/>
              <w:spacing w:before="72"/>
              <w:ind w:left="30" w:right="108"/>
              <w:jc w:val="center"/>
              <w:rPr>
                <w:sz w:val="22"/>
              </w:rPr>
            </w:pPr>
            <w:r>
              <w:rPr>
                <w:spacing w:val="-4"/>
                <w:sz w:val="22"/>
              </w:rPr>
              <w:t>4.06</w:t>
            </w:r>
          </w:p>
        </w:tc>
        <w:tc>
          <w:tcPr>
            <w:tcW w:w="1882" w:type="dxa"/>
          </w:tcPr>
          <w:p>
            <w:pPr>
              <w:pStyle w:val="TableParagraph"/>
              <w:spacing w:before="72"/>
              <w:ind w:left="181"/>
              <w:rPr>
                <w:sz w:val="22"/>
              </w:rPr>
            </w:pPr>
            <w:r>
              <w:rPr>
                <w:spacing w:val="-4"/>
                <w:sz w:val="22"/>
              </w:rPr>
              <w:t>3.99</w:t>
            </w:r>
          </w:p>
        </w:tc>
      </w:tr>
      <w:tr>
        <w:trPr>
          <w:trHeight w:val="393" w:hRule="atLeast"/>
        </w:trPr>
        <w:tc>
          <w:tcPr>
            <w:tcW w:w="2596" w:type="dxa"/>
          </w:tcPr>
          <w:p>
            <w:pPr>
              <w:pStyle w:val="TableParagraph"/>
              <w:spacing w:before="62"/>
              <w:ind w:left="115"/>
              <w:rPr>
                <w:sz w:val="22"/>
              </w:rPr>
            </w:pPr>
            <w:r>
              <w:rPr>
                <w:sz w:val="22"/>
              </w:rPr>
              <w:t>Protein</w:t>
            </w:r>
            <w:r>
              <w:rPr>
                <w:spacing w:val="7"/>
                <w:sz w:val="22"/>
              </w:rPr>
              <w:t> </w:t>
            </w:r>
            <w:r>
              <w:rPr>
                <w:sz w:val="22"/>
              </w:rPr>
              <w:t>content</w:t>
            </w:r>
            <w:r>
              <w:rPr>
                <w:spacing w:val="16"/>
                <w:sz w:val="22"/>
              </w:rPr>
              <w:t> </w:t>
            </w:r>
            <w:r>
              <w:rPr>
                <w:spacing w:val="-5"/>
                <w:sz w:val="22"/>
              </w:rPr>
              <w:t>(%)</w:t>
            </w:r>
          </w:p>
        </w:tc>
        <w:tc>
          <w:tcPr>
            <w:tcW w:w="833" w:type="dxa"/>
          </w:tcPr>
          <w:p>
            <w:pPr>
              <w:pStyle w:val="TableParagraph"/>
              <w:spacing w:before="62"/>
              <w:ind w:left="140"/>
              <w:rPr>
                <w:sz w:val="22"/>
              </w:rPr>
            </w:pPr>
            <w:r>
              <w:rPr>
                <w:spacing w:val="-2"/>
                <w:sz w:val="22"/>
              </w:rPr>
              <w:t>14.00</w:t>
            </w:r>
          </w:p>
        </w:tc>
        <w:tc>
          <w:tcPr>
            <w:tcW w:w="879" w:type="dxa"/>
          </w:tcPr>
          <w:p>
            <w:pPr>
              <w:pStyle w:val="TableParagraph"/>
              <w:spacing w:before="62"/>
              <w:ind w:right="110"/>
              <w:jc w:val="center"/>
              <w:rPr>
                <w:sz w:val="22"/>
              </w:rPr>
            </w:pPr>
            <w:r>
              <w:rPr>
                <w:spacing w:val="-4"/>
                <w:sz w:val="22"/>
              </w:rPr>
              <w:t>6.13</w:t>
            </w:r>
          </w:p>
        </w:tc>
        <w:tc>
          <w:tcPr>
            <w:tcW w:w="834" w:type="dxa"/>
          </w:tcPr>
          <w:p>
            <w:pPr>
              <w:pStyle w:val="TableParagraph"/>
              <w:spacing w:before="62"/>
              <w:ind w:left="37" w:right="108"/>
              <w:jc w:val="center"/>
              <w:rPr>
                <w:sz w:val="22"/>
              </w:rPr>
            </w:pPr>
            <w:r>
              <w:rPr>
                <w:spacing w:val="-4"/>
                <w:sz w:val="22"/>
              </w:rPr>
              <w:t>4.30</w:t>
            </w:r>
          </w:p>
        </w:tc>
        <w:tc>
          <w:tcPr>
            <w:tcW w:w="877" w:type="dxa"/>
          </w:tcPr>
          <w:p>
            <w:pPr>
              <w:pStyle w:val="TableParagraph"/>
              <w:spacing w:before="62"/>
              <w:ind w:right="198"/>
              <w:jc w:val="center"/>
              <w:rPr>
                <w:sz w:val="22"/>
              </w:rPr>
            </w:pPr>
            <w:r>
              <w:rPr>
                <w:spacing w:val="-4"/>
                <w:sz w:val="22"/>
              </w:rPr>
              <w:t>4.30</w:t>
            </w:r>
          </w:p>
        </w:tc>
        <w:tc>
          <w:tcPr>
            <w:tcW w:w="918" w:type="dxa"/>
          </w:tcPr>
          <w:p>
            <w:pPr>
              <w:pStyle w:val="TableParagraph"/>
              <w:spacing w:before="62"/>
              <w:ind w:left="30" w:right="108"/>
              <w:jc w:val="center"/>
              <w:rPr>
                <w:sz w:val="22"/>
              </w:rPr>
            </w:pPr>
            <w:r>
              <w:rPr>
                <w:spacing w:val="-4"/>
                <w:sz w:val="22"/>
              </w:rPr>
              <w:t>4.15</w:t>
            </w:r>
          </w:p>
        </w:tc>
        <w:tc>
          <w:tcPr>
            <w:tcW w:w="1882" w:type="dxa"/>
          </w:tcPr>
          <w:p>
            <w:pPr>
              <w:pStyle w:val="TableParagraph"/>
              <w:spacing w:before="62"/>
              <w:ind w:left="181"/>
              <w:rPr>
                <w:sz w:val="22"/>
              </w:rPr>
            </w:pPr>
            <w:r>
              <w:rPr>
                <w:spacing w:val="-4"/>
                <w:sz w:val="22"/>
              </w:rPr>
              <w:t>4.02</w:t>
            </w:r>
          </w:p>
        </w:tc>
      </w:tr>
      <w:tr>
        <w:trPr>
          <w:trHeight w:val="469" w:hRule="atLeast"/>
        </w:trPr>
        <w:tc>
          <w:tcPr>
            <w:tcW w:w="2596" w:type="dxa"/>
            <w:tcBorders>
              <w:bottom w:val="single" w:sz="4" w:space="0" w:color="000000"/>
            </w:tcBorders>
          </w:tcPr>
          <w:p>
            <w:pPr>
              <w:pStyle w:val="TableParagraph"/>
              <w:spacing w:before="72"/>
              <w:ind w:left="115"/>
              <w:rPr>
                <w:sz w:val="22"/>
              </w:rPr>
            </w:pPr>
            <w:r>
              <w:rPr>
                <w:sz w:val="22"/>
              </w:rPr>
              <w:t>Carbohydrate</w:t>
            </w:r>
            <w:r>
              <w:rPr>
                <w:spacing w:val="15"/>
                <w:sz w:val="22"/>
              </w:rPr>
              <w:t> </w:t>
            </w:r>
            <w:r>
              <w:rPr>
                <w:sz w:val="22"/>
              </w:rPr>
              <w:t>content</w:t>
            </w:r>
            <w:r>
              <w:rPr>
                <w:spacing w:val="14"/>
                <w:sz w:val="22"/>
              </w:rPr>
              <w:t> </w:t>
            </w:r>
            <w:r>
              <w:rPr>
                <w:spacing w:val="-5"/>
                <w:sz w:val="22"/>
              </w:rPr>
              <w:t>(%)</w:t>
            </w:r>
          </w:p>
        </w:tc>
        <w:tc>
          <w:tcPr>
            <w:tcW w:w="833" w:type="dxa"/>
            <w:tcBorders>
              <w:bottom w:val="single" w:sz="4" w:space="0" w:color="000000"/>
            </w:tcBorders>
          </w:tcPr>
          <w:p>
            <w:pPr>
              <w:pStyle w:val="TableParagraph"/>
              <w:spacing w:before="72"/>
              <w:ind w:left="140"/>
              <w:rPr>
                <w:sz w:val="22"/>
              </w:rPr>
            </w:pPr>
            <w:r>
              <w:rPr>
                <w:spacing w:val="-2"/>
                <w:sz w:val="22"/>
              </w:rPr>
              <w:t>63.30</w:t>
            </w:r>
          </w:p>
        </w:tc>
        <w:tc>
          <w:tcPr>
            <w:tcW w:w="879" w:type="dxa"/>
            <w:tcBorders>
              <w:bottom w:val="single" w:sz="4" w:space="0" w:color="000000"/>
            </w:tcBorders>
          </w:tcPr>
          <w:p>
            <w:pPr>
              <w:pStyle w:val="TableParagraph"/>
              <w:spacing w:before="72"/>
              <w:ind w:left="110" w:right="110"/>
              <w:jc w:val="center"/>
              <w:rPr>
                <w:sz w:val="22"/>
              </w:rPr>
            </w:pPr>
            <w:r>
              <w:rPr>
                <w:spacing w:val="-2"/>
                <w:sz w:val="22"/>
              </w:rPr>
              <w:t>86.02</w:t>
            </w:r>
          </w:p>
        </w:tc>
        <w:tc>
          <w:tcPr>
            <w:tcW w:w="834" w:type="dxa"/>
            <w:tcBorders>
              <w:bottom w:val="single" w:sz="4" w:space="0" w:color="000000"/>
            </w:tcBorders>
          </w:tcPr>
          <w:p>
            <w:pPr>
              <w:pStyle w:val="TableParagraph"/>
              <w:spacing w:before="72"/>
              <w:ind w:left="108" w:right="71"/>
              <w:jc w:val="center"/>
              <w:rPr>
                <w:sz w:val="22"/>
              </w:rPr>
            </w:pPr>
            <w:r>
              <w:rPr>
                <w:spacing w:val="-2"/>
                <w:sz w:val="22"/>
              </w:rPr>
              <w:t>84.12</w:t>
            </w:r>
          </w:p>
        </w:tc>
        <w:tc>
          <w:tcPr>
            <w:tcW w:w="877" w:type="dxa"/>
            <w:tcBorders>
              <w:bottom w:val="single" w:sz="4" w:space="0" w:color="000000"/>
            </w:tcBorders>
          </w:tcPr>
          <w:p>
            <w:pPr>
              <w:pStyle w:val="TableParagraph"/>
              <w:spacing w:before="72"/>
              <w:ind w:left="115" w:right="198"/>
              <w:jc w:val="center"/>
              <w:rPr>
                <w:sz w:val="22"/>
              </w:rPr>
            </w:pPr>
            <w:r>
              <w:rPr>
                <w:spacing w:val="-2"/>
                <w:sz w:val="22"/>
              </w:rPr>
              <w:t>82.69</w:t>
            </w:r>
          </w:p>
        </w:tc>
        <w:tc>
          <w:tcPr>
            <w:tcW w:w="918" w:type="dxa"/>
            <w:tcBorders>
              <w:bottom w:val="single" w:sz="4" w:space="0" w:color="000000"/>
            </w:tcBorders>
          </w:tcPr>
          <w:p>
            <w:pPr>
              <w:pStyle w:val="TableParagraph"/>
              <w:spacing w:before="72"/>
              <w:ind w:left="108" w:right="78"/>
              <w:jc w:val="center"/>
              <w:rPr>
                <w:sz w:val="22"/>
              </w:rPr>
            </w:pPr>
            <w:r>
              <w:rPr>
                <w:spacing w:val="-2"/>
                <w:sz w:val="22"/>
              </w:rPr>
              <w:t>82.91</w:t>
            </w:r>
          </w:p>
        </w:tc>
        <w:tc>
          <w:tcPr>
            <w:tcW w:w="1882" w:type="dxa"/>
            <w:tcBorders>
              <w:bottom w:val="single" w:sz="4" w:space="0" w:color="000000"/>
            </w:tcBorders>
          </w:tcPr>
          <w:p>
            <w:pPr>
              <w:pStyle w:val="TableParagraph"/>
              <w:spacing w:before="72"/>
              <w:ind w:left="181"/>
              <w:rPr>
                <w:sz w:val="22"/>
              </w:rPr>
            </w:pPr>
            <w:r>
              <w:rPr>
                <w:spacing w:val="-2"/>
                <w:sz w:val="22"/>
              </w:rPr>
              <w:t>82.97</w:t>
            </w:r>
          </w:p>
        </w:tc>
      </w:tr>
    </w:tbl>
    <w:p>
      <w:pPr>
        <w:pStyle w:val="BodyText"/>
        <w:rPr>
          <w:b/>
        </w:rPr>
      </w:pPr>
    </w:p>
    <w:p>
      <w:pPr>
        <w:pStyle w:val="BodyText"/>
        <w:rPr>
          <w:b/>
        </w:rPr>
      </w:pPr>
    </w:p>
    <w:p>
      <w:pPr>
        <w:pStyle w:val="BodyText"/>
        <w:rPr>
          <w:b/>
        </w:rPr>
      </w:pPr>
    </w:p>
    <w:p>
      <w:pPr>
        <w:pStyle w:val="BodyText"/>
        <w:spacing w:before="7"/>
        <w:rPr>
          <w:b/>
        </w:rPr>
      </w:pPr>
    </w:p>
    <w:p>
      <w:pPr>
        <w:pStyle w:val="Heading2"/>
        <w:numPr>
          <w:ilvl w:val="1"/>
          <w:numId w:val="35"/>
        </w:numPr>
        <w:tabs>
          <w:tab w:pos="1174" w:val="left" w:leader="none"/>
        </w:tabs>
        <w:spacing w:line="240" w:lineRule="auto" w:before="0" w:after="0"/>
        <w:ind w:left="1174" w:right="0" w:hanging="509"/>
        <w:jc w:val="left"/>
      </w:pPr>
      <w:bookmarkStart w:name="_TOC_250034" w:id="127"/>
      <w:bookmarkEnd w:id="127"/>
      <w:r>
        <w:rPr>
          <w:spacing w:val="-2"/>
        </w:rPr>
        <w:t>Microscopy</w:t>
      </w:r>
    </w:p>
    <w:p>
      <w:pPr>
        <w:pStyle w:val="BodyText"/>
        <w:spacing w:line="491" w:lineRule="auto" w:before="246"/>
        <w:ind w:left="665" w:right="1851"/>
        <w:jc w:val="both"/>
      </w:pPr>
      <w:r>
        <w:rPr/>
        <w:t>Plates 4.1, 4.2 and 4.3 showed photomicrographs of the DS, MCS and MS respectively when</w:t>
      </w:r>
      <w:r>
        <w:rPr>
          <w:spacing w:val="40"/>
        </w:rPr>
        <w:t> </w:t>
      </w:r>
      <w:r>
        <w:rPr/>
        <w:t>viewed</w:t>
      </w:r>
      <w:r>
        <w:rPr>
          <w:spacing w:val="40"/>
        </w:rPr>
        <w:t> </w:t>
      </w:r>
      <w:r>
        <w:rPr/>
        <w:t>under</w:t>
      </w:r>
      <w:r>
        <w:rPr>
          <w:spacing w:val="40"/>
        </w:rPr>
        <w:t> </w:t>
      </w:r>
      <w:r>
        <w:rPr/>
        <w:t>the microscope at 400</w:t>
      </w:r>
      <w:r>
        <w:rPr>
          <w:spacing w:val="40"/>
        </w:rPr>
        <w:t> </w:t>
      </w:r>
      <w:r>
        <w:rPr/>
        <w:t>x magnification. On examination, DS and MCS appeared to be spherical in shape with a mean particle size range of 9.58-9.61</w:t>
      </w:r>
      <w:r>
        <w:rPr>
          <w:spacing w:val="25"/>
        </w:rPr>
        <w:t> </w:t>
      </w:r>
      <w:r>
        <w:rPr/>
        <w:t>µm for MCS and 10.5 µm for DS.</w:t>
      </w:r>
    </w:p>
    <w:p>
      <w:pPr>
        <w:spacing w:after="0" w:line="491" w:lineRule="auto"/>
        <w:jc w:val="both"/>
        <w:sectPr>
          <w:type w:val="continuous"/>
          <w:pgSz w:w="12240" w:h="15840"/>
          <w:pgMar w:header="0" w:footer="999" w:top="1780" w:bottom="1180" w:left="17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689"/>
        <w:rPr>
          <w:sz w:val="20"/>
        </w:rPr>
      </w:pPr>
      <w:r>
        <w:rPr>
          <w:sz w:val="20"/>
        </w:rPr>
        <w:drawing>
          <wp:inline distT="0" distB="0" distL="0" distR="0">
            <wp:extent cx="5074112" cy="364045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9" cstate="print"/>
                    <a:stretch>
                      <a:fillRect/>
                    </a:stretch>
                  </pic:blipFill>
                  <pic:spPr>
                    <a:xfrm>
                      <a:off x="0" y="0"/>
                      <a:ext cx="5074112" cy="3640454"/>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spacing w:before="44"/>
      </w:pPr>
    </w:p>
    <w:p>
      <w:pPr>
        <w:spacing w:line="244" w:lineRule="auto" w:before="0"/>
        <w:ind w:left="2023" w:right="2226" w:hanging="994"/>
        <w:jc w:val="left"/>
        <w:rPr>
          <w:b/>
          <w:sz w:val="22"/>
        </w:rPr>
      </w:pPr>
      <w:r>
        <w:rPr>
          <w:b/>
          <w:sz w:val="22"/>
        </w:rPr>
        <w:t>Plate 4.1: Photomicrograph of </w:t>
      </w:r>
      <w:r>
        <w:rPr>
          <w:b/>
          <w:i/>
          <w:sz w:val="22"/>
        </w:rPr>
        <w:t>Digitaria iburua </w:t>
      </w:r>
      <w:r>
        <w:rPr>
          <w:b/>
          <w:sz w:val="22"/>
        </w:rPr>
        <w:t>starch (Mag. X 400) (Fisher, Rochester – New York).</w:t>
      </w:r>
    </w:p>
    <w:p>
      <w:pPr>
        <w:spacing w:after="0" w:line="244" w:lineRule="auto"/>
        <w:jc w:val="left"/>
        <w:rPr>
          <w:sz w:val="22"/>
        </w:rPr>
        <w:sectPr>
          <w:pgSz w:w="12240" w:h="15840"/>
          <w:pgMar w:header="0" w:footer="999" w:top="1820" w:bottom="1180" w:left="172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3"/>
        <w:rPr>
          <w:b/>
          <w:sz w:val="20"/>
        </w:rPr>
      </w:pPr>
    </w:p>
    <w:p>
      <w:pPr>
        <w:pStyle w:val="BodyText"/>
        <w:ind w:left="689"/>
        <w:rPr>
          <w:sz w:val="20"/>
        </w:rPr>
      </w:pPr>
      <w:r>
        <w:rPr>
          <w:sz w:val="20"/>
        </w:rPr>
        <w:drawing>
          <wp:inline distT="0" distB="0" distL="0" distR="0">
            <wp:extent cx="5073593" cy="364617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0" cstate="print"/>
                    <a:stretch>
                      <a:fillRect/>
                    </a:stretch>
                  </pic:blipFill>
                  <pic:spPr>
                    <a:xfrm>
                      <a:off x="0" y="0"/>
                      <a:ext cx="5073593" cy="3646170"/>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34"/>
        <w:rPr>
          <w:b/>
        </w:rPr>
      </w:pPr>
    </w:p>
    <w:p>
      <w:pPr>
        <w:spacing w:before="0"/>
        <w:ind w:left="1572" w:right="3082" w:hanging="908"/>
        <w:jc w:val="left"/>
        <w:rPr>
          <w:b/>
          <w:sz w:val="22"/>
        </w:rPr>
      </w:pPr>
      <w:r>
        <w:rPr>
          <w:b/>
          <w:sz w:val="22"/>
        </w:rPr>
        <w:t>Plate 4.2: Photomicrograph of </w:t>
      </w:r>
      <w:r>
        <w:rPr>
          <w:b/>
          <w:i/>
          <w:sz w:val="22"/>
        </w:rPr>
        <w:t>Digitaria iburua M</w:t>
      </w:r>
      <w:r>
        <w:rPr>
          <w:b/>
          <w:sz w:val="22"/>
        </w:rPr>
        <w:t>icrocrystalline Starch (Mag. X 400) (Fisher, Rochester – New York).</w:t>
      </w:r>
    </w:p>
    <w:p>
      <w:pPr>
        <w:spacing w:after="0"/>
        <w:jc w:val="left"/>
        <w:rPr>
          <w:sz w:val="22"/>
        </w:rPr>
        <w:sectPr>
          <w:pgSz w:w="12240" w:h="15840"/>
          <w:pgMar w:header="0" w:footer="999" w:top="1820" w:bottom="1180" w:left="172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8" w:after="1"/>
        <w:rPr>
          <w:b/>
          <w:sz w:val="20"/>
        </w:rPr>
      </w:pPr>
    </w:p>
    <w:p>
      <w:pPr>
        <w:pStyle w:val="BodyText"/>
        <w:ind w:left="862"/>
        <w:rPr>
          <w:sz w:val="20"/>
        </w:rPr>
      </w:pPr>
      <w:r>
        <w:rPr>
          <w:sz w:val="20"/>
        </w:rPr>
        <w:drawing>
          <wp:inline distT="0" distB="0" distL="0" distR="0">
            <wp:extent cx="5149579" cy="3857625"/>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1" cstate="print"/>
                    <a:stretch>
                      <a:fillRect/>
                    </a:stretch>
                  </pic:blipFill>
                  <pic:spPr>
                    <a:xfrm>
                      <a:off x="0" y="0"/>
                      <a:ext cx="5149579" cy="3857625"/>
                    </a:xfrm>
                    <a:prstGeom prst="rect">
                      <a:avLst/>
                    </a:prstGeom>
                  </pic:spPr>
                </pic:pic>
              </a:graphicData>
            </a:graphic>
          </wp:inline>
        </w:drawing>
      </w:r>
      <w:r>
        <w:rPr>
          <w:sz w:val="20"/>
        </w:rPr>
      </w:r>
    </w:p>
    <w:p>
      <w:pPr>
        <w:pStyle w:val="BodyText"/>
        <w:rPr>
          <w:b/>
        </w:rPr>
      </w:pPr>
    </w:p>
    <w:p>
      <w:pPr>
        <w:pStyle w:val="BodyText"/>
        <w:rPr>
          <w:b/>
        </w:rPr>
      </w:pPr>
    </w:p>
    <w:p>
      <w:pPr>
        <w:pStyle w:val="BodyText"/>
        <w:spacing w:before="93"/>
        <w:rPr>
          <w:b/>
        </w:rPr>
      </w:pPr>
    </w:p>
    <w:p>
      <w:pPr>
        <w:spacing w:line="249" w:lineRule="auto" w:before="0"/>
        <w:ind w:left="1572" w:right="2566" w:hanging="908"/>
        <w:jc w:val="left"/>
        <w:rPr>
          <w:b/>
          <w:sz w:val="22"/>
        </w:rPr>
      </w:pPr>
      <w:r>
        <w:rPr>
          <w:b/>
          <w:sz w:val="22"/>
        </w:rPr>
        <w:t>Plate 4.3: Photomicrograph of Maize Starch BP (Mag. X 400) (Fisher, Rochester – New York).</w:t>
      </w:r>
    </w:p>
    <w:p>
      <w:pPr>
        <w:spacing w:after="0" w:line="249" w:lineRule="auto"/>
        <w:jc w:val="left"/>
        <w:rPr>
          <w:sz w:val="22"/>
        </w:rPr>
        <w:sectPr>
          <w:pgSz w:w="12240" w:h="15840"/>
          <w:pgMar w:header="0" w:footer="999" w:top="1820" w:bottom="1180" w:left="1720" w:right="0"/>
        </w:sectPr>
      </w:pPr>
    </w:p>
    <w:p>
      <w:pPr>
        <w:pStyle w:val="Heading2"/>
        <w:numPr>
          <w:ilvl w:val="1"/>
          <w:numId w:val="35"/>
        </w:numPr>
        <w:tabs>
          <w:tab w:pos="1342" w:val="left" w:leader="none"/>
        </w:tabs>
        <w:spacing w:line="240" w:lineRule="auto" w:before="80" w:after="0"/>
        <w:ind w:left="1342" w:right="0" w:hanging="677"/>
        <w:jc w:val="left"/>
      </w:pPr>
      <w:bookmarkStart w:name="_TOC_250033" w:id="128"/>
      <w:r>
        <w:rPr/>
        <w:t>Particle</w:t>
      </w:r>
      <w:r>
        <w:rPr>
          <w:spacing w:val="9"/>
        </w:rPr>
        <w:t> </w:t>
      </w:r>
      <w:r>
        <w:rPr/>
        <w:t>size</w:t>
      </w:r>
      <w:r>
        <w:rPr>
          <w:spacing w:val="10"/>
        </w:rPr>
        <w:t> </w:t>
      </w:r>
      <w:bookmarkEnd w:id="128"/>
      <w:r>
        <w:rPr>
          <w:spacing w:val="-2"/>
        </w:rPr>
        <w:t>analysis</w:t>
      </w:r>
    </w:p>
    <w:p>
      <w:pPr>
        <w:pStyle w:val="BodyText"/>
        <w:spacing w:line="491" w:lineRule="auto" w:before="251"/>
        <w:ind w:left="665" w:right="1862"/>
        <w:jc w:val="both"/>
      </w:pPr>
      <w:r>
        <w:rPr/>
        <w:t>Figure</w:t>
      </w:r>
      <w:r>
        <w:rPr>
          <w:spacing w:val="32"/>
        </w:rPr>
        <w:t> </w:t>
      </w:r>
      <w:r>
        <w:rPr/>
        <w:t>4.1</w:t>
      </w:r>
      <w:r>
        <w:rPr>
          <w:spacing w:val="38"/>
        </w:rPr>
        <w:t> </w:t>
      </w:r>
      <w:r>
        <w:rPr/>
        <w:t>and</w:t>
      </w:r>
      <w:r>
        <w:rPr>
          <w:spacing w:val="38"/>
        </w:rPr>
        <w:t> </w:t>
      </w:r>
      <w:r>
        <w:rPr/>
        <w:t>4.2</w:t>
      </w:r>
      <w:r>
        <w:rPr>
          <w:spacing w:val="40"/>
        </w:rPr>
        <w:t> </w:t>
      </w:r>
      <w:r>
        <w:rPr/>
        <w:t>shows</w:t>
      </w:r>
      <w:r>
        <w:rPr>
          <w:spacing w:val="35"/>
        </w:rPr>
        <w:t> </w:t>
      </w:r>
      <w:r>
        <w:rPr/>
        <w:t>the</w:t>
      </w:r>
      <w:r>
        <w:rPr>
          <w:spacing w:val="40"/>
        </w:rPr>
        <w:t> </w:t>
      </w:r>
      <w:r>
        <w:rPr/>
        <w:t>graphs</w:t>
      </w:r>
      <w:r>
        <w:rPr>
          <w:spacing w:val="35"/>
        </w:rPr>
        <w:t> </w:t>
      </w:r>
      <w:r>
        <w:rPr/>
        <w:t>of</w:t>
      </w:r>
      <w:r>
        <w:rPr>
          <w:spacing w:val="33"/>
        </w:rPr>
        <w:t> </w:t>
      </w:r>
      <w:r>
        <w:rPr/>
        <w:t>percentage</w:t>
      </w:r>
      <w:r>
        <w:rPr>
          <w:spacing w:val="37"/>
        </w:rPr>
        <w:t> </w:t>
      </w:r>
      <w:r>
        <w:rPr/>
        <w:t>frequency</w:t>
      </w:r>
      <w:r>
        <w:rPr>
          <w:spacing w:val="28"/>
        </w:rPr>
        <w:t> </w:t>
      </w:r>
      <w:r>
        <w:rPr/>
        <w:t>against</w:t>
      </w:r>
      <w:r>
        <w:rPr>
          <w:spacing w:val="36"/>
        </w:rPr>
        <w:t> </w:t>
      </w:r>
      <w:r>
        <w:rPr/>
        <w:t>the</w:t>
      </w:r>
      <w:r>
        <w:rPr>
          <w:spacing w:val="37"/>
        </w:rPr>
        <w:t> </w:t>
      </w:r>
      <w:r>
        <w:rPr/>
        <w:t>particle</w:t>
      </w:r>
      <w:r>
        <w:rPr>
          <w:spacing w:val="40"/>
        </w:rPr>
        <w:t> </w:t>
      </w:r>
      <w:r>
        <w:rPr/>
        <w:t>size and cumulative frequency undersize against the particle size respectively for DS and</w:t>
      </w:r>
      <w:r>
        <w:rPr>
          <w:spacing w:val="40"/>
        </w:rPr>
        <w:t> </w:t>
      </w:r>
      <w:r>
        <w:rPr/>
        <w:t>MCS. The result showed that particle sizes range from 2.0-18.0 µm for MCS and 2.0-22 µm for DS.</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79"/>
        <w:rPr>
          <w:sz w:val="19"/>
        </w:rPr>
      </w:pPr>
    </w:p>
    <w:p>
      <w:pPr>
        <w:spacing w:before="0"/>
        <w:ind w:left="1231" w:right="0" w:firstLine="0"/>
        <w:jc w:val="left"/>
        <w:rPr>
          <w:rFonts w:ascii="Calibri"/>
          <w:sz w:val="19"/>
        </w:rPr>
      </w:pPr>
      <w:r>
        <w:rPr/>
        <mc:AlternateContent>
          <mc:Choice Requires="wps">
            <w:drawing>
              <wp:anchor distT="0" distB="0" distL="0" distR="0" allowOverlap="1" layoutInCell="1" locked="0" behindDoc="1" simplePos="0" relativeHeight="481997824">
                <wp:simplePos x="0" y="0"/>
                <wp:positionH relativeFrom="page">
                  <wp:posOffset>2066544</wp:posOffset>
                </wp:positionH>
                <wp:positionV relativeFrom="paragraph">
                  <wp:posOffset>-15881</wp:posOffset>
                </wp:positionV>
                <wp:extent cx="3627120" cy="345376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627120" cy="3453765"/>
                          <a:chExt cx="3627120" cy="3453765"/>
                        </a:xfrm>
                      </wpg:grpSpPr>
                      <pic:pic>
                        <pic:nvPicPr>
                          <pic:cNvPr id="55" name="Image 55"/>
                          <pic:cNvPicPr/>
                        </pic:nvPicPr>
                        <pic:blipFill>
                          <a:blip r:embed="rId12" cstate="print"/>
                          <a:stretch>
                            <a:fillRect/>
                          </a:stretch>
                        </pic:blipFill>
                        <pic:spPr>
                          <a:xfrm>
                            <a:off x="12191" y="0"/>
                            <a:ext cx="3614928" cy="3444240"/>
                          </a:xfrm>
                          <a:prstGeom prst="rect">
                            <a:avLst/>
                          </a:prstGeom>
                        </pic:spPr>
                      </pic:pic>
                      <wps:wsp>
                        <wps:cNvPr id="56" name="Graphic 56"/>
                        <wps:cNvSpPr/>
                        <wps:spPr>
                          <a:xfrm>
                            <a:off x="0" y="85343"/>
                            <a:ext cx="3520440" cy="3368675"/>
                          </a:xfrm>
                          <a:custGeom>
                            <a:avLst/>
                            <a:gdLst/>
                            <a:ahLst/>
                            <a:cxnLst/>
                            <a:rect l="l" t="t" r="r" b="b"/>
                            <a:pathLst>
                              <a:path w="3520440" h="3368675">
                                <a:moveTo>
                                  <a:pt x="39624" y="2657856"/>
                                </a:moveTo>
                                <a:lnTo>
                                  <a:pt x="0" y="2657856"/>
                                </a:lnTo>
                                <a:lnTo>
                                  <a:pt x="0" y="2667000"/>
                                </a:lnTo>
                                <a:lnTo>
                                  <a:pt x="39624" y="2667000"/>
                                </a:lnTo>
                                <a:lnTo>
                                  <a:pt x="39624" y="2657856"/>
                                </a:lnTo>
                                <a:close/>
                              </a:path>
                              <a:path w="3520440" h="3368675">
                                <a:moveTo>
                                  <a:pt x="39624" y="1993392"/>
                                </a:moveTo>
                                <a:lnTo>
                                  <a:pt x="0" y="1993392"/>
                                </a:lnTo>
                                <a:lnTo>
                                  <a:pt x="0" y="2002536"/>
                                </a:lnTo>
                                <a:lnTo>
                                  <a:pt x="39624" y="2002536"/>
                                </a:lnTo>
                                <a:lnTo>
                                  <a:pt x="39624" y="1993392"/>
                                </a:lnTo>
                                <a:close/>
                              </a:path>
                              <a:path w="3520440" h="3368675">
                                <a:moveTo>
                                  <a:pt x="39624" y="1328928"/>
                                </a:moveTo>
                                <a:lnTo>
                                  <a:pt x="0" y="1328928"/>
                                </a:lnTo>
                                <a:lnTo>
                                  <a:pt x="0" y="1338072"/>
                                </a:lnTo>
                                <a:lnTo>
                                  <a:pt x="39624" y="1338072"/>
                                </a:lnTo>
                                <a:lnTo>
                                  <a:pt x="39624" y="1328928"/>
                                </a:lnTo>
                                <a:close/>
                              </a:path>
                              <a:path w="3520440" h="3368675">
                                <a:moveTo>
                                  <a:pt x="39624" y="664464"/>
                                </a:moveTo>
                                <a:lnTo>
                                  <a:pt x="0" y="664464"/>
                                </a:lnTo>
                                <a:lnTo>
                                  <a:pt x="0" y="673608"/>
                                </a:lnTo>
                                <a:lnTo>
                                  <a:pt x="39624" y="673608"/>
                                </a:lnTo>
                                <a:lnTo>
                                  <a:pt x="39624" y="664464"/>
                                </a:lnTo>
                                <a:close/>
                              </a:path>
                              <a:path w="3520440" h="3368675">
                                <a:moveTo>
                                  <a:pt x="39624" y="0"/>
                                </a:moveTo>
                                <a:lnTo>
                                  <a:pt x="0" y="0"/>
                                </a:lnTo>
                                <a:lnTo>
                                  <a:pt x="0" y="9144"/>
                                </a:lnTo>
                                <a:lnTo>
                                  <a:pt x="39624" y="9144"/>
                                </a:lnTo>
                                <a:lnTo>
                                  <a:pt x="39624" y="0"/>
                                </a:lnTo>
                                <a:close/>
                              </a:path>
                              <a:path w="3520440" h="3368675">
                                <a:moveTo>
                                  <a:pt x="45720" y="3331464"/>
                                </a:moveTo>
                                <a:lnTo>
                                  <a:pt x="39624" y="3331464"/>
                                </a:lnTo>
                                <a:lnTo>
                                  <a:pt x="39624" y="3325368"/>
                                </a:lnTo>
                                <a:lnTo>
                                  <a:pt x="0" y="3325368"/>
                                </a:lnTo>
                                <a:lnTo>
                                  <a:pt x="0" y="3334512"/>
                                </a:lnTo>
                                <a:lnTo>
                                  <a:pt x="36576" y="3334512"/>
                                </a:lnTo>
                                <a:lnTo>
                                  <a:pt x="36576" y="3368052"/>
                                </a:lnTo>
                                <a:lnTo>
                                  <a:pt x="45720" y="3368052"/>
                                </a:lnTo>
                                <a:lnTo>
                                  <a:pt x="45720" y="3331464"/>
                                </a:lnTo>
                                <a:close/>
                              </a:path>
                              <a:path w="3520440" h="3368675">
                                <a:moveTo>
                                  <a:pt x="313944" y="3331464"/>
                                </a:moveTo>
                                <a:lnTo>
                                  <a:pt x="304800" y="3331464"/>
                                </a:lnTo>
                                <a:lnTo>
                                  <a:pt x="304800" y="3368052"/>
                                </a:lnTo>
                                <a:lnTo>
                                  <a:pt x="313944" y="3368052"/>
                                </a:lnTo>
                                <a:lnTo>
                                  <a:pt x="313944" y="3331464"/>
                                </a:lnTo>
                                <a:close/>
                              </a:path>
                              <a:path w="3520440" h="3368675">
                                <a:moveTo>
                                  <a:pt x="579120" y="3331464"/>
                                </a:moveTo>
                                <a:lnTo>
                                  <a:pt x="569976" y="3331464"/>
                                </a:lnTo>
                                <a:lnTo>
                                  <a:pt x="569976" y="3368052"/>
                                </a:lnTo>
                                <a:lnTo>
                                  <a:pt x="579120" y="3368052"/>
                                </a:lnTo>
                                <a:lnTo>
                                  <a:pt x="579120" y="3331464"/>
                                </a:lnTo>
                                <a:close/>
                              </a:path>
                              <a:path w="3520440" h="3368675">
                                <a:moveTo>
                                  <a:pt x="847344" y="3331464"/>
                                </a:moveTo>
                                <a:lnTo>
                                  <a:pt x="838200" y="3331464"/>
                                </a:lnTo>
                                <a:lnTo>
                                  <a:pt x="838200" y="3368052"/>
                                </a:lnTo>
                                <a:lnTo>
                                  <a:pt x="847344" y="3368052"/>
                                </a:lnTo>
                                <a:lnTo>
                                  <a:pt x="847344" y="3331464"/>
                                </a:lnTo>
                                <a:close/>
                              </a:path>
                              <a:path w="3520440" h="3368675">
                                <a:moveTo>
                                  <a:pt x="1115568" y="3331464"/>
                                </a:moveTo>
                                <a:lnTo>
                                  <a:pt x="1106424" y="3331464"/>
                                </a:lnTo>
                                <a:lnTo>
                                  <a:pt x="1106424" y="3368052"/>
                                </a:lnTo>
                                <a:lnTo>
                                  <a:pt x="1115568" y="3368052"/>
                                </a:lnTo>
                                <a:lnTo>
                                  <a:pt x="1115568" y="3331464"/>
                                </a:lnTo>
                                <a:close/>
                              </a:path>
                              <a:path w="3520440" h="3368675">
                                <a:moveTo>
                                  <a:pt x="1380744" y="3331464"/>
                                </a:moveTo>
                                <a:lnTo>
                                  <a:pt x="1371600" y="3331464"/>
                                </a:lnTo>
                                <a:lnTo>
                                  <a:pt x="1371600" y="3368052"/>
                                </a:lnTo>
                                <a:lnTo>
                                  <a:pt x="1380744" y="3368052"/>
                                </a:lnTo>
                                <a:lnTo>
                                  <a:pt x="1380744" y="3331464"/>
                                </a:lnTo>
                                <a:close/>
                              </a:path>
                              <a:path w="3520440" h="3368675">
                                <a:moveTo>
                                  <a:pt x="1648968" y="3331464"/>
                                </a:moveTo>
                                <a:lnTo>
                                  <a:pt x="1639824" y="3331464"/>
                                </a:lnTo>
                                <a:lnTo>
                                  <a:pt x="1639824" y="3368052"/>
                                </a:lnTo>
                                <a:lnTo>
                                  <a:pt x="1648968" y="3368052"/>
                                </a:lnTo>
                                <a:lnTo>
                                  <a:pt x="1648968" y="3331464"/>
                                </a:lnTo>
                                <a:close/>
                              </a:path>
                              <a:path w="3520440" h="3368675">
                                <a:moveTo>
                                  <a:pt x="1917192" y="3331464"/>
                                </a:moveTo>
                                <a:lnTo>
                                  <a:pt x="1908048" y="3331464"/>
                                </a:lnTo>
                                <a:lnTo>
                                  <a:pt x="1908048" y="3368052"/>
                                </a:lnTo>
                                <a:lnTo>
                                  <a:pt x="1917192" y="3368052"/>
                                </a:lnTo>
                                <a:lnTo>
                                  <a:pt x="1917192" y="3331464"/>
                                </a:lnTo>
                                <a:close/>
                              </a:path>
                              <a:path w="3520440" h="3368675">
                                <a:moveTo>
                                  <a:pt x="2182368" y="3331464"/>
                                </a:moveTo>
                                <a:lnTo>
                                  <a:pt x="2173224" y="3331464"/>
                                </a:lnTo>
                                <a:lnTo>
                                  <a:pt x="2173224" y="3368052"/>
                                </a:lnTo>
                                <a:lnTo>
                                  <a:pt x="2182368" y="3368052"/>
                                </a:lnTo>
                                <a:lnTo>
                                  <a:pt x="2182368" y="3331464"/>
                                </a:lnTo>
                                <a:close/>
                              </a:path>
                              <a:path w="3520440" h="3368675">
                                <a:moveTo>
                                  <a:pt x="2450592" y="3331464"/>
                                </a:moveTo>
                                <a:lnTo>
                                  <a:pt x="2441448" y="3331464"/>
                                </a:lnTo>
                                <a:lnTo>
                                  <a:pt x="2441448" y="3368052"/>
                                </a:lnTo>
                                <a:lnTo>
                                  <a:pt x="2450592" y="3368052"/>
                                </a:lnTo>
                                <a:lnTo>
                                  <a:pt x="2450592" y="3331464"/>
                                </a:lnTo>
                                <a:close/>
                              </a:path>
                              <a:path w="3520440" h="3368675">
                                <a:moveTo>
                                  <a:pt x="2718816" y="3331464"/>
                                </a:moveTo>
                                <a:lnTo>
                                  <a:pt x="2709672" y="3331464"/>
                                </a:lnTo>
                                <a:lnTo>
                                  <a:pt x="2709672" y="3368052"/>
                                </a:lnTo>
                                <a:lnTo>
                                  <a:pt x="2718816" y="3368052"/>
                                </a:lnTo>
                                <a:lnTo>
                                  <a:pt x="2718816" y="3331464"/>
                                </a:lnTo>
                                <a:close/>
                              </a:path>
                              <a:path w="3520440" h="3368675">
                                <a:moveTo>
                                  <a:pt x="2983992" y="3331464"/>
                                </a:moveTo>
                                <a:lnTo>
                                  <a:pt x="2977896" y="3331464"/>
                                </a:lnTo>
                                <a:lnTo>
                                  <a:pt x="2977896" y="3368052"/>
                                </a:lnTo>
                                <a:lnTo>
                                  <a:pt x="2983992" y="3368052"/>
                                </a:lnTo>
                                <a:lnTo>
                                  <a:pt x="2983992" y="3331464"/>
                                </a:lnTo>
                                <a:close/>
                              </a:path>
                              <a:path w="3520440" h="3368675">
                                <a:moveTo>
                                  <a:pt x="3252216" y="3331464"/>
                                </a:moveTo>
                                <a:lnTo>
                                  <a:pt x="3243072" y="3331464"/>
                                </a:lnTo>
                                <a:lnTo>
                                  <a:pt x="3243072" y="3368052"/>
                                </a:lnTo>
                                <a:lnTo>
                                  <a:pt x="3252216" y="3368052"/>
                                </a:lnTo>
                                <a:lnTo>
                                  <a:pt x="3252216" y="3331464"/>
                                </a:lnTo>
                                <a:close/>
                              </a:path>
                              <a:path w="3520440" h="3368675">
                                <a:moveTo>
                                  <a:pt x="3520440" y="3331464"/>
                                </a:moveTo>
                                <a:lnTo>
                                  <a:pt x="3511296" y="3331464"/>
                                </a:lnTo>
                                <a:lnTo>
                                  <a:pt x="3511296" y="3368052"/>
                                </a:lnTo>
                                <a:lnTo>
                                  <a:pt x="3520440" y="3368052"/>
                                </a:lnTo>
                                <a:lnTo>
                                  <a:pt x="3520440" y="3331464"/>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style="position:absolute;margin-left:162.720001pt;margin-top:-1.250479pt;width:285.6pt;height:271.95pt;mso-position-horizontal-relative:page;mso-position-vertical-relative:paragraph;z-index:-21318656" id="docshapegroup49" coordorigin="3254,-25" coordsize="5712,5439">
                <v:shape style="position:absolute;left:3273;top:-25;width:5693;height:5424" type="#_x0000_t75" id="docshape50" stroked="false">
                  <v:imagedata r:id="rId12" o:title=""/>
                </v:shape>
                <v:shape style="position:absolute;left:3254;top:109;width:5544;height:5305" id="docshape51" coordorigin="3254,109" coordsize="5544,5305" path="m3317,4295l3254,4295,3254,4309,3317,4309,3317,4295xm3317,3249l3254,3249,3254,3263,3317,3263,3317,3249xm3317,2202l3254,2202,3254,2217,3317,2217,3317,2202xm3317,1156l3254,1156,3254,1170,3317,1170,3317,1156xm3317,109l3254,109,3254,124,3317,124,3317,109xm3326,5356l3317,5356,3317,5346,3254,5346,3254,5361,3312,5361,3312,5413,3326,5413,3326,5356xm3749,5356l3734,5356,3734,5413,3749,5413,3749,5356xm4166,5356l4152,5356,4152,5413,4166,5413,4166,5356xm4589,5356l4574,5356,4574,5413,4589,5413,4589,5356xm5011,5356l4997,5356,4997,5413,5011,5413,5011,5356xm5429,5356l5414,5356,5414,5413,5429,5413,5429,5356xm5851,5356l5837,5356,5837,5413,5851,5413,5851,5356xm6274,5356l6259,5356,6259,5413,6274,5413,6274,5356xm6691,5356l6677,5356,6677,5413,6691,5413,6691,5356xm7114,5356l7099,5356,7099,5413,7114,5413,7114,5356xm7536,5356l7522,5356,7522,5413,7536,5413,7536,5356xm7954,5356l7944,5356,7944,5413,7954,5413,7954,5356xm8376,5356l8362,5356,8362,5413,8376,5413,8376,5356xm8798,5356l8784,5356,8784,5413,8798,5413,8798,5356xe" filled="true" fillcolor="#858585" stroked="false">
                  <v:path arrowok="t"/>
                  <v:fill type="solid"/>
                </v:shape>
                <w10:wrap type="none"/>
              </v:group>
            </w:pict>
          </mc:Fallback>
        </mc:AlternateContent>
      </w:r>
      <w:r>
        <w:rPr>
          <w:rFonts w:ascii="Calibri"/>
          <w:spacing w:val="-5"/>
          <w:sz w:val="19"/>
        </w:rPr>
        <w:t>25</w:t>
      </w:r>
    </w:p>
    <w:p>
      <w:pPr>
        <w:pStyle w:val="BodyText"/>
        <w:rPr>
          <w:rFonts w:ascii="Calibri"/>
          <w:sz w:val="19"/>
        </w:rPr>
      </w:pPr>
    </w:p>
    <w:p>
      <w:pPr>
        <w:pStyle w:val="BodyText"/>
        <w:rPr>
          <w:rFonts w:ascii="Calibri"/>
          <w:sz w:val="19"/>
        </w:rPr>
      </w:pPr>
    </w:p>
    <w:p>
      <w:pPr>
        <w:pStyle w:val="BodyText"/>
        <w:spacing w:before="119"/>
        <w:rPr>
          <w:rFonts w:ascii="Calibri"/>
          <w:sz w:val="19"/>
        </w:rPr>
      </w:pPr>
    </w:p>
    <w:p>
      <w:pPr>
        <w:spacing w:before="0"/>
        <w:ind w:left="1231"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118"/>
        <w:rPr>
          <w:rFonts w:ascii="Calibri"/>
          <w:sz w:val="19"/>
        </w:rPr>
      </w:pPr>
    </w:p>
    <w:p>
      <w:pPr>
        <w:spacing w:before="1"/>
        <w:ind w:left="1231" w:right="0" w:firstLine="0"/>
        <w:jc w:val="left"/>
        <w:rPr>
          <w:rFonts w:ascii="Calibri"/>
          <w:sz w:val="19"/>
        </w:rPr>
      </w:pPr>
      <w:r>
        <w:rPr/>
        <mc:AlternateContent>
          <mc:Choice Requires="wps">
            <w:drawing>
              <wp:anchor distT="0" distB="0" distL="0" distR="0" allowOverlap="1" layoutInCell="1" locked="0" behindDoc="0" simplePos="0" relativeHeight="15747584">
                <wp:simplePos x="0" y="0"/>
                <wp:positionH relativeFrom="page">
                  <wp:posOffset>1701470</wp:posOffset>
                </wp:positionH>
                <wp:positionV relativeFrom="paragraph">
                  <wp:posOffset>-239456</wp:posOffset>
                </wp:positionV>
                <wp:extent cx="146050" cy="129730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46050" cy="129730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Percentage</w:t>
                            </w:r>
                            <w:r>
                              <w:rPr>
                                <w:rFonts w:ascii="Calibri"/>
                                <w:b/>
                                <w:sz w:val="19"/>
                              </w:rPr>
                              <w:t> </w:t>
                            </w:r>
                            <w:r>
                              <w:rPr>
                                <w:rFonts w:ascii="Calibri"/>
                                <w:b/>
                                <w:spacing w:val="-2"/>
                                <w:sz w:val="19"/>
                              </w:rPr>
                              <w:t>frequency</w:t>
                            </w:r>
                            <w:r>
                              <w:rPr>
                                <w:rFonts w:ascii="Calibri"/>
                                <w:b/>
                                <w:spacing w:val="-6"/>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33.974075pt;margin-top:-18.85482pt;width:11.5pt;height:102.15pt;mso-position-horizontal-relative:page;mso-position-vertical-relative:paragraph;z-index:15747584" type="#_x0000_t202" id="docshape52"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Percentage</w:t>
                      </w:r>
                      <w:r>
                        <w:rPr>
                          <w:rFonts w:ascii="Calibri"/>
                          <w:b/>
                          <w:sz w:val="19"/>
                        </w:rPr>
                        <w:t> </w:t>
                      </w:r>
                      <w:r>
                        <w:rPr>
                          <w:rFonts w:ascii="Calibri"/>
                          <w:b/>
                          <w:spacing w:val="-2"/>
                          <w:sz w:val="19"/>
                        </w:rPr>
                        <w:t>frequency</w:t>
                      </w:r>
                      <w:r>
                        <w:rPr>
                          <w:rFonts w:ascii="Calibri"/>
                          <w:b/>
                          <w:spacing w:val="-6"/>
                          <w:sz w:val="19"/>
                        </w:rPr>
                        <w:t> </w:t>
                      </w:r>
                      <w:r>
                        <w:rPr>
                          <w:rFonts w:ascii="Calibri"/>
                          <w:b/>
                          <w:spacing w:val="-5"/>
                          <w:sz w:val="19"/>
                        </w:rPr>
                        <w:t>(%)</w:t>
                      </w:r>
                    </w:p>
                  </w:txbxContent>
                </v:textbox>
                <w10:wrap type="none"/>
              </v:shape>
            </w:pict>
          </mc:Fallback>
        </mc:AlternateContent>
      </w:r>
      <w:r>
        <w:rPr>
          <w:rFonts w:ascii="Calibri"/>
          <w:spacing w:val="-5"/>
          <w:sz w:val="19"/>
        </w:rPr>
        <w:t>15</w:t>
      </w:r>
    </w:p>
    <w:p>
      <w:pPr>
        <w:pStyle w:val="BodyText"/>
        <w:spacing w:before="174"/>
        <w:rPr>
          <w:rFonts w:ascii="Calibri"/>
          <w:sz w:val="19"/>
        </w:rPr>
      </w:pPr>
    </w:p>
    <w:p>
      <w:pPr>
        <w:spacing w:before="0"/>
        <w:ind w:left="0" w:right="2613" w:firstLine="0"/>
        <w:jc w:val="right"/>
        <w:rPr>
          <w:rFonts w:ascii="Calibri"/>
          <w:sz w:val="19"/>
        </w:rPr>
      </w:pPr>
      <w:r>
        <w:rPr/>
        <w:drawing>
          <wp:inline distT="0" distB="0" distL="0" distR="0">
            <wp:extent cx="64008" cy="67055"/>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3" cstate="print"/>
                    <a:stretch>
                      <a:fillRect/>
                    </a:stretch>
                  </pic:blipFill>
                  <pic:spPr>
                    <a:xfrm>
                      <a:off x="0" y="0"/>
                      <a:ext cx="64008" cy="67055"/>
                    </a:xfrm>
                    <a:prstGeom prst="rect">
                      <a:avLst/>
                    </a:prstGeom>
                  </pic:spPr>
                </pic:pic>
              </a:graphicData>
            </a:graphic>
          </wp:inline>
        </w:drawing>
      </w:r>
      <w:r>
        <w:rPr/>
      </w:r>
      <w:r>
        <w:rPr>
          <w:spacing w:val="-5"/>
          <w:sz w:val="20"/>
        </w:rPr>
        <w:t> </w:t>
      </w:r>
      <w:r>
        <w:rPr>
          <w:rFonts w:ascii="Calibri"/>
          <w:sz w:val="19"/>
        </w:rPr>
        <w:t>DS</w:t>
      </w:r>
    </w:p>
    <w:p>
      <w:pPr>
        <w:tabs>
          <w:tab w:pos="7553" w:val="left" w:leader="none"/>
        </w:tabs>
        <w:spacing w:before="99"/>
        <w:ind w:left="1231" w:right="0" w:firstLine="0"/>
        <w:jc w:val="left"/>
        <w:rPr>
          <w:rFonts w:ascii="Calibri"/>
          <w:sz w:val="19"/>
        </w:rPr>
      </w:pPr>
      <w:r>
        <w:rPr>
          <w:rFonts w:ascii="Calibri"/>
          <w:spacing w:val="-5"/>
          <w:position w:val="-7"/>
          <w:sz w:val="19"/>
        </w:rPr>
        <w:t>10</w:t>
      </w:r>
      <w:r>
        <w:rPr>
          <w:rFonts w:ascii="Calibri"/>
          <w:position w:val="-7"/>
          <w:sz w:val="19"/>
        </w:rPr>
        <w:tab/>
      </w:r>
      <w:r>
        <w:rPr>
          <w:rFonts w:ascii="Calibri"/>
          <w:sz w:val="19"/>
        </w:rPr>
        <w:drawing>
          <wp:inline distT="0" distB="0" distL="0" distR="0">
            <wp:extent cx="64008" cy="67055"/>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4" cstate="print"/>
                    <a:stretch>
                      <a:fillRect/>
                    </a:stretch>
                  </pic:blipFill>
                  <pic:spPr>
                    <a:xfrm>
                      <a:off x="0" y="0"/>
                      <a:ext cx="64008" cy="67055"/>
                    </a:xfrm>
                    <a:prstGeom prst="rect">
                      <a:avLst/>
                    </a:prstGeom>
                  </pic:spPr>
                </pic:pic>
              </a:graphicData>
            </a:graphic>
          </wp:inline>
        </w:drawing>
      </w:r>
      <w:r>
        <w:rPr>
          <w:rFonts w:ascii="Calibri"/>
          <w:sz w:val="19"/>
        </w:rPr>
      </w:r>
      <w:r>
        <w:rPr>
          <w:spacing w:val="-3"/>
          <w:sz w:val="19"/>
        </w:rPr>
        <w:t> </w:t>
      </w:r>
      <w:r>
        <w:rPr>
          <w:rFonts w:ascii="Calibri"/>
          <w:sz w:val="19"/>
        </w:rPr>
        <w:t>MCS</w:t>
      </w:r>
    </w:p>
    <w:p>
      <w:pPr>
        <w:pStyle w:val="BodyText"/>
        <w:rPr>
          <w:rFonts w:ascii="Calibri"/>
          <w:sz w:val="19"/>
        </w:rPr>
      </w:pPr>
    </w:p>
    <w:p>
      <w:pPr>
        <w:pStyle w:val="BodyText"/>
        <w:rPr>
          <w:rFonts w:ascii="Calibri"/>
          <w:sz w:val="19"/>
        </w:rPr>
      </w:pPr>
    </w:p>
    <w:p>
      <w:pPr>
        <w:pStyle w:val="BodyText"/>
        <w:spacing w:before="120"/>
        <w:rPr>
          <w:rFonts w:ascii="Calibri"/>
          <w:sz w:val="19"/>
        </w:rPr>
      </w:pPr>
    </w:p>
    <w:p>
      <w:pPr>
        <w:spacing w:before="1"/>
        <w:ind w:left="1323" w:right="0" w:firstLine="0"/>
        <w:jc w:val="left"/>
        <w:rPr>
          <w:rFonts w:ascii="Calibri"/>
          <w:sz w:val="19"/>
        </w:rPr>
      </w:pPr>
      <w:r>
        <w:rPr>
          <w:rFonts w:ascii="Calibri"/>
          <w:spacing w:val="-10"/>
          <w:sz w:val="19"/>
        </w:rPr>
        <w:t>5</w:t>
      </w:r>
    </w:p>
    <w:p>
      <w:pPr>
        <w:pStyle w:val="BodyText"/>
        <w:rPr>
          <w:rFonts w:ascii="Calibri"/>
          <w:sz w:val="19"/>
        </w:rPr>
      </w:pPr>
    </w:p>
    <w:p>
      <w:pPr>
        <w:pStyle w:val="BodyText"/>
        <w:rPr>
          <w:rFonts w:ascii="Calibri"/>
          <w:sz w:val="19"/>
        </w:rPr>
      </w:pPr>
    </w:p>
    <w:p>
      <w:pPr>
        <w:pStyle w:val="BodyText"/>
        <w:spacing w:before="118"/>
        <w:rPr>
          <w:rFonts w:ascii="Calibri"/>
          <w:sz w:val="19"/>
        </w:rPr>
      </w:pPr>
    </w:p>
    <w:p>
      <w:pPr>
        <w:spacing w:before="0"/>
        <w:ind w:left="1323" w:right="0" w:firstLine="0"/>
        <w:jc w:val="left"/>
        <w:rPr>
          <w:rFonts w:ascii="Calibri"/>
          <w:sz w:val="19"/>
        </w:rPr>
      </w:pPr>
      <w:r>
        <w:rPr>
          <w:rFonts w:ascii="Calibri"/>
          <w:spacing w:val="-10"/>
          <w:sz w:val="19"/>
        </w:rPr>
        <w:t>0</w:t>
      </w:r>
    </w:p>
    <w:p>
      <w:pPr>
        <w:tabs>
          <w:tab w:pos="2177" w:val="left" w:leader="none"/>
          <w:tab w:pos="2599" w:val="left" w:leader="none"/>
          <w:tab w:pos="3022" w:val="left" w:leader="none"/>
          <w:tab w:pos="3444" w:val="left" w:leader="none"/>
          <w:tab w:pos="3862" w:val="left" w:leader="none"/>
          <w:tab w:pos="4284" w:val="left" w:leader="none"/>
          <w:tab w:pos="4707" w:val="left" w:leader="none"/>
          <w:tab w:pos="5081" w:val="left" w:leader="none"/>
          <w:tab w:pos="5499" w:val="left" w:leader="none"/>
          <w:tab w:pos="5921" w:val="left" w:leader="none"/>
          <w:tab w:pos="6343" w:val="left" w:leader="none"/>
          <w:tab w:pos="6761" w:val="left" w:leader="none"/>
        </w:tabs>
        <w:spacing w:before="4"/>
        <w:ind w:left="1760" w:right="0" w:firstLine="0"/>
        <w:jc w:val="left"/>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5</w:t>
      </w:r>
      <w:r>
        <w:rPr>
          <w:rFonts w:ascii="Calibri"/>
          <w:sz w:val="19"/>
        </w:rPr>
        <w:tab/>
      </w:r>
      <w:r>
        <w:rPr>
          <w:rFonts w:ascii="Calibri"/>
          <w:spacing w:val="-10"/>
          <w:sz w:val="19"/>
        </w:rPr>
        <w:t>6</w:t>
      </w:r>
      <w:r>
        <w:rPr>
          <w:rFonts w:ascii="Calibri"/>
          <w:sz w:val="19"/>
        </w:rPr>
        <w:tab/>
      </w:r>
      <w:r>
        <w:rPr>
          <w:rFonts w:ascii="Calibri"/>
          <w:spacing w:val="-10"/>
          <w:sz w:val="19"/>
        </w:rPr>
        <w:t>7</w:t>
      </w:r>
      <w:r>
        <w:rPr>
          <w:rFonts w:ascii="Calibri"/>
          <w:sz w:val="19"/>
        </w:rPr>
        <w:tab/>
      </w:r>
      <w:r>
        <w:rPr>
          <w:rFonts w:ascii="Calibri"/>
          <w:spacing w:val="-10"/>
          <w:sz w:val="19"/>
        </w:rPr>
        <w:t>8</w:t>
      </w:r>
      <w:r>
        <w:rPr>
          <w:rFonts w:ascii="Calibri"/>
          <w:sz w:val="19"/>
        </w:rPr>
        <w:tab/>
      </w:r>
      <w:r>
        <w:rPr>
          <w:rFonts w:ascii="Calibri"/>
          <w:spacing w:val="-10"/>
          <w:sz w:val="19"/>
        </w:rPr>
        <w:t>9</w:t>
      </w:r>
      <w:r>
        <w:rPr>
          <w:rFonts w:ascii="Calibri"/>
          <w:sz w:val="19"/>
        </w:rPr>
        <w:tab/>
      </w:r>
      <w:r>
        <w:rPr>
          <w:rFonts w:ascii="Calibri"/>
          <w:spacing w:val="-5"/>
          <w:sz w:val="19"/>
        </w:rPr>
        <w:t>12</w:t>
      </w:r>
      <w:r>
        <w:rPr>
          <w:rFonts w:ascii="Calibri"/>
          <w:sz w:val="19"/>
        </w:rPr>
        <w:tab/>
      </w:r>
      <w:r>
        <w:rPr>
          <w:rFonts w:ascii="Calibri"/>
          <w:spacing w:val="-5"/>
          <w:sz w:val="19"/>
        </w:rPr>
        <w:t>14</w:t>
      </w:r>
      <w:r>
        <w:rPr>
          <w:rFonts w:ascii="Calibri"/>
          <w:sz w:val="19"/>
        </w:rPr>
        <w:tab/>
      </w:r>
      <w:r>
        <w:rPr>
          <w:rFonts w:ascii="Calibri"/>
          <w:spacing w:val="-5"/>
          <w:sz w:val="19"/>
        </w:rPr>
        <w:t>15</w:t>
      </w:r>
      <w:r>
        <w:rPr>
          <w:rFonts w:ascii="Calibri"/>
          <w:sz w:val="19"/>
        </w:rPr>
        <w:tab/>
      </w:r>
      <w:r>
        <w:rPr>
          <w:rFonts w:ascii="Calibri"/>
          <w:spacing w:val="-5"/>
          <w:sz w:val="19"/>
        </w:rPr>
        <w:t>18</w:t>
      </w:r>
      <w:r>
        <w:rPr>
          <w:rFonts w:ascii="Calibri"/>
          <w:sz w:val="19"/>
        </w:rPr>
        <w:tab/>
      </w:r>
      <w:r>
        <w:rPr>
          <w:rFonts w:ascii="Calibri"/>
          <w:spacing w:val="-5"/>
          <w:sz w:val="19"/>
        </w:rPr>
        <w:t>22</w:t>
      </w:r>
    </w:p>
    <w:p>
      <w:pPr>
        <w:spacing w:before="17"/>
        <w:ind w:left="3896" w:right="0" w:firstLine="0"/>
        <w:jc w:val="left"/>
        <w:rPr>
          <w:b/>
          <w:sz w:val="19"/>
        </w:rPr>
      </w:pPr>
      <w:r>
        <w:rPr>
          <w:rFonts w:ascii="Calibri" w:hAnsi="Calibri"/>
          <w:b/>
          <w:spacing w:val="-2"/>
          <w:sz w:val="19"/>
        </w:rPr>
        <w:t>Particle</w:t>
      </w:r>
      <w:r>
        <w:rPr>
          <w:rFonts w:ascii="Calibri" w:hAnsi="Calibri"/>
          <w:b/>
          <w:spacing w:val="1"/>
          <w:sz w:val="19"/>
        </w:rPr>
        <w:t> </w:t>
      </w:r>
      <w:r>
        <w:rPr>
          <w:rFonts w:ascii="Calibri" w:hAnsi="Calibri"/>
          <w:b/>
          <w:spacing w:val="-2"/>
          <w:sz w:val="19"/>
        </w:rPr>
        <w:t>size</w:t>
      </w:r>
      <w:r>
        <w:rPr>
          <w:rFonts w:ascii="Calibri" w:hAnsi="Calibri"/>
          <w:b/>
          <w:spacing w:val="1"/>
          <w:sz w:val="19"/>
        </w:rPr>
        <w:t> </w:t>
      </w:r>
      <w:r>
        <w:rPr>
          <w:rFonts w:ascii="Calibri" w:hAnsi="Calibri"/>
          <w:b/>
          <w:spacing w:val="-4"/>
          <w:sz w:val="19"/>
        </w:rPr>
        <w:t>(</w:t>
      </w:r>
      <w:r>
        <w:rPr>
          <w:b/>
          <w:spacing w:val="-4"/>
          <w:sz w:val="19"/>
        </w:rPr>
        <w:t>µm)</w:t>
      </w:r>
    </w:p>
    <w:p>
      <w:pPr>
        <w:pStyle w:val="BodyText"/>
        <w:rPr>
          <w:b/>
        </w:rPr>
      </w:pPr>
    </w:p>
    <w:p>
      <w:pPr>
        <w:pStyle w:val="BodyText"/>
        <w:spacing w:before="73"/>
        <w:rPr>
          <w:b/>
        </w:rPr>
      </w:pPr>
    </w:p>
    <w:p>
      <w:pPr>
        <w:pStyle w:val="Heading2"/>
        <w:ind w:left="665" w:firstLine="0"/>
      </w:pPr>
      <w:r>
        <w:rPr/>
        <w:t>Figure</w:t>
      </w:r>
      <w:r>
        <w:rPr>
          <w:spacing w:val="7"/>
        </w:rPr>
        <w:t> </w:t>
      </w:r>
      <w:r>
        <w:rPr/>
        <w:t>4.1:</w:t>
      </w:r>
      <w:r>
        <w:rPr>
          <w:spacing w:val="14"/>
        </w:rPr>
        <w:t> </w:t>
      </w:r>
      <w:r>
        <w:rPr/>
        <w:t>Graph</w:t>
      </w:r>
      <w:r>
        <w:rPr>
          <w:spacing w:val="7"/>
        </w:rPr>
        <w:t> </w:t>
      </w:r>
      <w:r>
        <w:rPr/>
        <w:t>of</w:t>
      </w:r>
      <w:r>
        <w:rPr>
          <w:spacing w:val="8"/>
        </w:rPr>
        <w:t> </w:t>
      </w:r>
      <w:r>
        <w:rPr/>
        <w:t>Percentage</w:t>
      </w:r>
      <w:r>
        <w:rPr>
          <w:spacing w:val="8"/>
        </w:rPr>
        <w:t> </w:t>
      </w:r>
      <w:r>
        <w:rPr/>
        <w:t>frequency</w:t>
      </w:r>
      <w:r>
        <w:rPr>
          <w:spacing w:val="4"/>
        </w:rPr>
        <w:t> </w:t>
      </w:r>
      <w:r>
        <w:rPr/>
        <w:t>(%)</w:t>
      </w:r>
      <w:r>
        <w:rPr>
          <w:spacing w:val="8"/>
        </w:rPr>
        <w:t> </w:t>
      </w:r>
      <w:r>
        <w:rPr/>
        <w:t>against</w:t>
      </w:r>
      <w:r>
        <w:rPr>
          <w:spacing w:val="21"/>
        </w:rPr>
        <w:t> </w:t>
      </w:r>
      <w:r>
        <w:rPr/>
        <w:t>particle</w:t>
      </w:r>
      <w:r>
        <w:rPr>
          <w:spacing w:val="13"/>
        </w:rPr>
        <w:t> </w:t>
      </w:r>
      <w:r>
        <w:rPr/>
        <w:t>size</w:t>
      </w:r>
      <w:r>
        <w:rPr>
          <w:spacing w:val="14"/>
        </w:rPr>
        <w:t> </w:t>
      </w:r>
      <w:r>
        <w:rPr/>
        <w:t>(µm)</w:t>
      </w:r>
      <w:r>
        <w:rPr>
          <w:spacing w:val="14"/>
        </w:rPr>
        <w:t> </w:t>
      </w:r>
      <w:r>
        <w:rPr/>
        <w:t>for</w:t>
      </w:r>
      <w:r>
        <w:rPr>
          <w:spacing w:val="13"/>
        </w:rPr>
        <w:t> </w:t>
      </w:r>
      <w:r>
        <w:rPr>
          <w:spacing w:val="-5"/>
        </w:rPr>
        <w:t>DS</w:t>
      </w:r>
    </w:p>
    <w:p>
      <w:pPr>
        <w:spacing w:before="121"/>
        <w:ind w:left="1793" w:right="0" w:firstLine="0"/>
        <w:jc w:val="left"/>
        <w:rPr>
          <w:b/>
          <w:sz w:val="22"/>
        </w:rPr>
      </w:pPr>
      <w:r>
        <w:rPr>
          <w:b/>
          <w:sz w:val="22"/>
        </w:rPr>
        <w:t>and</w:t>
      </w:r>
      <w:r>
        <w:rPr>
          <w:b/>
          <w:spacing w:val="15"/>
          <w:sz w:val="22"/>
        </w:rPr>
        <w:t> </w:t>
      </w:r>
      <w:r>
        <w:rPr>
          <w:b/>
          <w:spacing w:val="-4"/>
          <w:sz w:val="22"/>
        </w:rPr>
        <w:t>MCS.</w:t>
      </w:r>
    </w:p>
    <w:p>
      <w:pPr>
        <w:spacing w:after="0"/>
        <w:jc w:val="left"/>
        <w:rPr>
          <w:sz w:val="22"/>
        </w:rPr>
        <w:sectPr>
          <w:pgSz w:w="12240" w:h="15840"/>
          <w:pgMar w:header="0" w:footer="999" w:top="1260" w:bottom="1180" w:left="1720" w:right="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4"/>
        <w:rPr>
          <w:b/>
          <w:sz w:val="19"/>
        </w:rPr>
      </w:pPr>
    </w:p>
    <w:p>
      <w:pPr>
        <w:spacing w:before="0"/>
        <w:ind w:left="1231" w:right="0" w:firstLine="0"/>
        <w:jc w:val="left"/>
        <w:rPr>
          <w:rFonts w:ascii="Calibri"/>
          <w:sz w:val="19"/>
        </w:rPr>
      </w:pPr>
      <w:r>
        <w:rPr/>
        <mc:AlternateContent>
          <mc:Choice Requires="wps">
            <w:drawing>
              <wp:anchor distT="0" distB="0" distL="0" distR="0" allowOverlap="1" layoutInCell="1" locked="0" behindDoc="1" simplePos="0" relativeHeight="481998848">
                <wp:simplePos x="0" y="0"/>
                <wp:positionH relativeFrom="page">
                  <wp:posOffset>2127504</wp:posOffset>
                </wp:positionH>
                <wp:positionV relativeFrom="paragraph">
                  <wp:posOffset>-18852</wp:posOffset>
                </wp:positionV>
                <wp:extent cx="3648710" cy="38227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3648710" cy="3822700"/>
                          <a:chExt cx="3648710" cy="3822700"/>
                        </a:xfrm>
                      </wpg:grpSpPr>
                      <pic:pic>
                        <pic:nvPicPr>
                          <pic:cNvPr id="61" name="Image 61"/>
                          <pic:cNvPicPr/>
                        </pic:nvPicPr>
                        <pic:blipFill>
                          <a:blip r:embed="rId15" cstate="print"/>
                          <a:stretch>
                            <a:fillRect/>
                          </a:stretch>
                        </pic:blipFill>
                        <pic:spPr>
                          <a:xfrm>
                            <a:off x="12191" y="0"/>
                            <a:ext cx="3636263" cy="3813048"/>
                          </a:xfrm>
                          <a:prstGeom prst="rect">
                            <a:avLst/>
                          </a:prstGeom>
                        </pic:spPr>
                      </pic:pic>
                      <wps:wsp>
                        <wps:cNvPr id="62" name="Graphic 62"/>
                        <wps:cNvSpPr/>
                        <wps:spPr>
                          <a:xfrm>
                            <a:off x="0" y="85343"/>
                            <a:ext cx="3542029" cy="3736975"/>
                          </a:xfrm>
                          <a:custGeom>
                            <a:avLst/>
                            <a:gdLst/>
                            <a:ahLst/>
                            <a:cxnLst/>
                            <a:rect l="l" t="t" r="r" b="b"/>
                            <a:pathLst>
                              <a:path w="3542029" h="3736975">
                                <a:moveTo>
                                  <a:pt x="39624" y="3325368"/>
                                </a:moveTo>
                                <a:lnTo>
                                  <a:pt x="0" y="3325368"/>
                                </a:lnTo>
                                <a:lnTo>
                                  <a:pt x="0" y="3334512"/>
                                </a:lnTo>
                                <a:lnTo>
                                  <a:pt x="39624" y="3334512"/>
                                </a:lnTo>
                                <a:lnTo>
                                  <a:pt x="39624" y="3325368"/>
                                </a:lnTo>
                                <a:close/>
                              </a:path>
                              <a:path w="3542029" h="3736975">
                                <a:moveTo>
                                  <a:pt x="39624" y="2956560"/>
                                </a:moveTo>
                                <a:lnTo>
                                  <a:pt x="0" y="2956560"/>
                                </a:lnTo>
                                <a:lnTo>
                                  <a:pt x="0" y="2965704"/>
                                </a:lnTo>
                                <a:lnTo>
                                  <a:pt x="39624" y="2965704"/>
                                </a:lnTo>
                                <a:lnTo>
                                  <a:pt x="39624" y="2956560"/>
                                </a:lnTo>
                                <a:close/>
                              </a:path>
                              <a:path w="3542029" h="3736975">
                                <a:moveTo>
                                  <a:pt x="39624" y="2587752"/>
                                </a:moveTo>
                                <a:lnTo>
                                  <a:pt x="0" y="2587752"/>
                                </a:lnTo>
                                <a:lnTo>
                                  <a:pt x="0" y="2596896"/>
                                </a:lnTo>
                                <a:lnTo>
                                  <a:pt x="39624" y="2596896"/>
                                </a:lnTo>
                                <a:lnTo>
                                  <a:pt x="39624" y="2587752"/>
                                </a:lnTo>
                                <a:close/>
                              </a:path>
                              <a:path w="3542029" h="3736975">
                                <a:moveTo>
                                  <a:pt x="39624" y="2218944"/>
                                </a:moveTo>
                                <a:lnTo>
                                  <a:pt x="0" y="2218944"/>
                                </a:lnTo>
                                <a:lnTo>
                                  <a:pt x="0" y="2228088"/>
                                </a:lnTo>
                                <a:lnTo>
                                  <a:pt x="39624" y="2228088"/>
                                </a:lnTo>
                                <a:lnTo>
                                  <a:pt x="39624" y="2218944"/>
                                </a:lnTo>
                                <a:close/>
                              </a:path>
                              <a:path w="3542029" h="3736975">
                                <a:moveTo>
                                  <a:pt x="39624" y="1847088"/>
                                </a:moveTo>
                                <a:lnTo>
                                  <a:pt x="0" y="1847088"/>
                                </a:lnTo>
                                <a:lnTo>
                                  <a:pt x="0" y="1856232"/>
                                </a:lnTo>
                                <a:lnTo>
                                  <a:pt x="39624" y="1856232"/>
                                </a:lnTo>
                                <a:lnTo>
                                  <a:pt x="39624" y="1847088"/>
                                </a:lnTo>
                                <a:close/>
                              </a:path>
                              <a:path w="3542029" h="3736975">
                                <a:moveTo>
                                  <a:pt x="39624" y="1478280"/>
                                </a:moveTo>
                                <a:lnTo>
                                  <a:pt x="0" y="1478280"/>
                                </a:lnTo>
                                <a:lnTo>
                                  <a:pt x="0" y="1487424"/>
                                </a:lnTo>
                                <a:lnTo>
                                  <a:pt x="39624" y="1487424"/>
                                </a:lnTo>
                                <a:lnTo>
                                  <a:pt x="39624" y="1478280"/>
                                </a:lnTo>
                                <a:close/>
                              </a:path>
                              <a:path w="3542029" h="3736975">
                                <a:moveTo>
                                  <a:pt x="39624" y="1109472"/>
                                </a:moveTo>
                                <a:lnTo>
                                  <a:pt x="0" y="1109472"/>
                                </a:lnTo>
                                <a:lnTo>
                                  <a:pt x="0" y="1118616"/>
                                </a:lnTo>
                                <a:lnTo>
                                  <a:pt x="39624" y="1118616"/>
                                </a:lnTo>
                                <a:lnTo>
                                  <a:pt x="39624" y="1109472"/>
                                </a:lnTo>
                                <a:close/>
                              </a:path>
                              <a:path w="3542029" h="3736975">
                                <a:moveTo>
                                  <a:pt x="39624" y="740664"/>
                                </a:moveTo>
                                <a:lnTo>
                                  <a:pt x="0" y="740664"/>
                                </a:lnTo>
                                <a:lnTo>
                                  <a:pt x="0" y="749808"/>
                                </a:lnTo>
                                <a:lnTo>
                                  <a:pt x="39624" y="749808"/>
                                </a:lnTo>
                                <a:lnTo>
                                  <a:pt x="39624" y="740664"/>
                                </a:lnTo>
                                <a:close/>
                              </a:path>
                              <a:path w="3542029" h="3736975">
                                <a:moveTo>
                                  <a:pt x="39624" y="368808"/>
                                </a:moveTo>
                                <a:lnTo>
                                  <a:pt x="0" y="368808"/>
                                </a:lnTo>
                                <a:lnTo>
                                  <a:pt x="0" y="377952"/>
                                </a:lnTo>
                                <a:lnTo>
                                  <a:pt x="39624" y="377952"/>
                                </a:lnTo>
                                <a:lnTo>
                                  <a:pt x="39624" y="368808"/>
                                </a:lnTo>
                                <a:close/>
                              </a:path>
                              <a:path w="3542029" h="3736975">
                                <a:moveTo>
                                  <a:pt x="39624" y="0"/>
                                </a:moveTo>
                                <a:lnTo>
                                  <a:pt x="0" y="0"/>
                                </a:lnTo>
                                <a:lnTo>
                                  <a:pt x="0" y="9144"/>
                                </a:lnTo>
                                <a:lnTo>
                                  <a:pt x="39624" y="9144"/>
                                </a:lnTo>
                                <a:lnTo>
                                  <a:pt x="39624" y="0"/>
                                </a:lnTo>
                                <a:close/>
                              </a:path>
                              <a:path w="3542029" h="3736975">
                                <a:moveTo>
                                  <a:pt x="45720" y="3700272"/>
                                </a:moveTo>
                                <a:lnTo>
                                  <a:pt x="39624" y="3700272"/>
                                </a:lnTo>
                                <a:lnTo>
                                  <a:pt x="39624" y="3694176"/>
                                </a:lnTo>
                                <a:lnTo>
                                  <a:pt x="0" y="3694176"/>
                                </a:lnTo>
                                <a:lnTo>
                                  <a:pt x="0" y="3703320"/>
                                </a:lnTo>
                                <a:lnTo>
                                  <a:pt x="36576" y="3703320"/>
                                </a:lnTo>
                                <a:lnTo>
                                  <a:pt x="36576" y="3736848"/>
                                </a:lnTo>
                                <a:lnTo>
                                  <a:pt x="45720" y="3736848"/>
                                </a:lnTo>
                                <a:lnTo>
                                  <a:pt x="45720" y="3700272"/>
                                </a:lnTo>
                                <a:close/>
                              </a:path>
                              <a:path w="3542029" h="3736975">
                                <a:moveTo>
                                  <a:pt x="313944" y="3700272"/>
                                </a:moveTo>
                                <a:lnTo>
                                  <a:pt x="304800" y="3700272"/>
                                </a:lnTo>
                                <a:lnTo>
                                  <a:pt x="304800" y="3736848"/>
                                </a:lnTo>
                                <a:lnTo>
                                  <a:pt x="313944" y="3736848"/>
                                </a:lnTo>
                                <a:lnTo>
                                  <a:pt x="313944" y="3700272"/>
                                </a:lnTo>
                                <a:close/>
                              </a:path>
                              <a:path w="3542029" h="3736975">
                                <a:moveTo>
                                  <a:pt x="585216" y="3700272"/>
                                </a:moveTo>
                                <a:lnTo>
                                  <a:pt x="576072" y="3700272"/>
                                </a:lnTo>
                                <a:lnTo>
                                  <a:pt x="576072" y="3736848"/>
                                </a:lnTo>
                                <a:lnTo>
                                  <a:pt x="585216" y="3736848"/>
                                </a:lnTo>
                                <a:lnTo>
                                  <a:pt x="585216" y="3700272"/>
                                </a:lnTo>
                                <a:close/>
                              </a:path>
                              <a:path w="3542029" h="3736975">
                                <a:moveTo>
                                  <a:pt x="850392" y="3700272"/>
                                </a:moveTo>
                                <a:lnTo>
                                  <a:pt x="841248" y="3700272"/>
                                </a:lnTo>
                                <a:lnTo>
                                  <a:pt x="841248" y="3736848"/>
                                </a:lnTo>
                                <a:lnTo>
                                  <a:pt x="850392" y="3736848"/>
                                </a:lnTo>
                                <a:lnTo>
                                  <a:pt x="850392" y="3700272"/>
                                </a:lnTo>
                                <a:close/>
                              </a:path>
                              <a:path w="3542029" h="3736975">
                                <a:moveTo>
                                  <a:pt x="1118616" y="3700272"/>
                                </a:moveTo>
                                <a:lnTo>
                                  <a:pt x="1109472" y="3700272"/>
                                </a:lnTo>
                                <a:lnTo>
                                  <a:pt x="1109472" y="3736848"/>
                                </a:lnTo>
                                <a:lnTo>
                                  <a:pt x="1118616" y="3736848"/>
                                </a:lnTo>
                                <a:lnTo>
                                  <a:pt x="1118616" y="3700272"/>
                                </a:lnTo>
                                <a:close/>
                              </a:path>
                              <a:path w="3542029" h="3736975">
                                <a:moveTo>
                                  <a:pt x="1389888" y="3700272"/>
                                </a:moveTo>
                                <a:lnTo>
                                  <a:pt x="1380744" y="3700272"/>
                                </a:lnTo>
                                <a:lnTo>
                                  <a:pt x="1380744" y="3736848"/>
                                </a:lnTo>
                                <a:lnTo>
                                  <a:pt x="1389888" y="3736848"/>
                                </a:lnTo>
                                <a:lnTo>
                                  <a:pt x="1389888" y="3700272"/>
                                </a:lnTo>
                                <a:close/>
                              </a:path>
                              <a:path w="3542029" h="3736975">
                                <a:moveTo>
                                  <a:pt x="1658112" y="3700272"/>
                                </a:moveTo>
                                <a:lnTo>
                                  <a:pt x="1648968" y="3700272"/>
                                </a:lnTo>
                                <a:lnTo>
                                  <a:pt x="1648968" y="3736848"/>
                                </a:lnTo>
                                <a:lnTo>
                                  <a:pt x="1658112" y="3736848"/>
                                </a:lnTo>
                                <a:lnTo>
                                  <a:pt x="1658112" y="3700272"/>
                                </a:lnTo>
                                <a:close/>
                              </a:path>
                              <a:path w="3542029" h="3736975">
                                <a:moveTo>
                                  <a:pt x="1926336" y="3700272"/>
                                </a:moveTo>
                                <a:lnTo>
                                  <a:pt x="1917192" y="3700272"/>
                                </a:lnTo>
                                <a:lnTo>
                                  <a:pt x="1917192" y="3736848"/>
                                </a:lnTo>
                                <a:lnTo>
                                  <a:pt x="1926336" y="3736848"/>
                                </a:lnTo>
                                <a:lnTo>
                                  <a:pt x="1926336" y="3700272"/>
                                </a:lnTo>
                                <a:close/>
                              </a:path>
                              <a:path w="3542029" h="3736975">
                                <a:moveTo>
                                  <a:pt x="2197608" y="3700272"/>
                                </a:moveTo>
                                <a:lnTo>
                                  <a:pt x="2188464" y="3700272"/>
                                </a:lnTo>
                                <a:lnTo>
                                  <a:pt x="2188464" y="3736848"/>
                                </a:lnTo>
                                <a:lnTo>
                                  <a:pt x="2197608" y="3736848"/>
                                </a:lnTo>
                                <a:lnTo>
                                  <a:pt x="2197608" y="3700272"/>
                                </a:lnTo>
                                <a:close/>
                              </a:path>
                              <a:path w="3542029" h="3736975">
                                <a:moveTo>
                                  <a:pt x="2465832" y="3700272"/>
                                </a:moveTo>
                                <a:lnTo>
                                  <a:pt x="2456688" y="3700272"/>
                                </a:lnTo>
                                <a:lnTo>
                                  <a:pt x="2456688" y="3736848"/>
                                </a:lnTo>
                                <a:lnTo>
                                  <a:pt x="2465832" y="3736848"/>
                                </a:lnTo>
                                <a:lnTo>
                                  <a:pt x="2465832" y="3700272"/>
                                </a:lnTo>
                                <a:close/>
                              </a:path>
                              <a:path w="3542029" h="3736975">
                                <a:moveTo>
                                  <a:pt x="2734056" y="3700272"/>
                                </a:moveTo>
                                <a:lnTo>
                                  <a:pt x="2724912" y="3700272"/>
                                </a:lnTo>
                                <a:lnTo>
                                  <a:pt x="2724912" y="3736848"/>
                                </a:lnTo>
                                <a:lnTo>
                                  <a:pt x="2734056" y="3736848"/>
                                </a:lnTo>
                                <a:lnTo>
                                  <a:pt x="2734056" y="3700272"/>
                                </a:lnTo>
                                <a:close/>
                              </a:path>
                              <a:path w="3542029" h="3736975">
                                <a:moveTo>
                                  <a:pt x="3005328" y="3700272"/>
                                </a:moveTo>
                                <a:lnTo>
                                  <a:pt x="2996184" y="3700272"/>
                                </a:lnTo>
                                <a:lnTo>
                                  <a:pt x="2996184" y="3736848"/>
                                </a:lnTo>
                                <a:lnTo>
                                  <a:pt x="3005328" y="3736848"/>
                                </a:lnTo>
                                <a:lnTo>
                                  <a:pt x="3005328" y="3700272"/>
                                </a:lnTo>
                                <a:close/>
                              </a:path>
                              <a:path w="3542029" h="3736975">
                                <a:moveTo>
                                  <a:pt x="3273552" y="3700272"/>
                                </a:moveTo>
                                <a:lnTo>
                                  <a:pt x="3264408" y="3700272"/>
                                </a:lnTo>
                                <a:lnTo>
                                  <a:pt x="3264408" y="3736848"/>
                                </a:lnTo>
                                <a:lnTo>
                                  <a:pt x="3273552" y="3736848"/>
                                </a:lnTo>
                                <a:lnTo>
                                  <a:pt x="3273552" y="3700272"/>
                                </a:lnTo>
                                <a:close/>
                              </a:path>
                              <a:path w="3542029" h="3736975">
                                <a:moveTo>
                                  <a:pt x="3541776" y="3700272"/>
                                </a:moveTo>
                                <a:lnTo>
                                  <a:pt x="3532632" y="3700272"/>
                                </a:lnTo>
                                <a:lnTo>
                                  <a:pt x="3532632" y="3736848"/>
                                </a:lnTo>
                                <a:lnTo>
                                  <a:pt x="3541776" y="3736848"/>
                                </a:lnTo>
                                <a:lnTo>
                                  <a:pt x="3541776" y="3700272"/>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style="position:absolute;margin-left:167.520004pt;margin-top:-1.484434pt;width:287.3pt;height:301pt;mso-position-horizontal-relative:page;mso-position-vertical-relative:paragraph;z-index:-21317632" id="docshapegroup53" coordorigin="3350,-30" coordsize="5746,6020">
                <v:shape style="position:absolute;left:3369;top:-30;width:5727;height:6005" type="#_x0000_t75" id="docshape54" stroked="false">
                  <v:imagedata r:id="rId15" o:title=""/>
                </v:shape>
                <v:shape style="position:absolute;left:3350;top:104;width:5578;height:5885" id="docshape55" coordorigin="3350,105" coordsize="5578,5885" path="m3413,5342l3350,5342,3350,5356,3413,5356,3413,5342xm3413,4761l3350,4761,3350,4775,3413,4775,3413,4761xm3413,4180l3350,4180,3350,4194,3413,4194,3413,4180xm3413,3599l3350,3599,3350,3614,3413,3614,3413,3599xm3413,3014l3350,3014,3350,3028,3413,3028,3413,3014xm3413,2433l3350,2433,3350,2447,3413,2447,3413,2433xm3413,1852l3350,1852,3350,1866,3413,1866,3413,1852xm3413,1271l3350,1271,3350,1286,3413,1286,3413,1271xm3413,686l3350,686,3350,700,3413,700,3413,686xm3413,105l3350,105,3350,119,3413,119,3413,105xm3422,5932l3413,5932,3413,5922,3350,5922,3350,5937,3408,5937,3408,5990,3422,5990,3422,5932xm3845,5932l3830,5932,3830,5990,3845,5990,3845,5932xm4272,5932l4258,5932,4258,5990,4272,5990,4272,5932xm4690,5932l4675,5932,4675,5990,4690,5990,4690,5932xm5112,5932l5098,5932,5098,5990,5112,5990,5112,5932xm5539,5932l5525,5932,5525,5990,5539,5990,5539,5932xm5962,5932l5947,5932,5947,5990,5962,5990,5962,5932xm6384,5932l6370,5932,6370,5990,6384,5990,6384,5932xm6811,5932l6797,5932,6797,5990,6811,5990,6811,5932xm7234,5932l7219,5932,7219,5990,7234,5990,7234,5932xm7656,5932l7642,5932,7642,5990,7656,5990,7656,5932xm8083,5932l8069,5932,8069,5990,8083,5990,8083,5932xm8506,5932l8491,5932,8491,5990,8506,5990,8506,5932xm8928,5932l8914,5932,8914,5990,8928,5990,8928,5932xe" filled="true" fillcolor="#858585" stroked="false">
                  <v:path arrowok="t"/>
                  <v:fill type="solid"/>
                </v:shape>
                <w10:wrap type="none"/>
              </v:group>
            </w:pict>
          </mc:Fallback>
        </mc:AlternateContent>
      </w:r>
      <w:r>
        <w:rPr>
          <w:rFonts w:ascii="Calibri"/>
          <w:spacing w:val="-5"/>
          <w:sz w:val="19"/>
        </w:rPr>
        <w:t>100</w:t>
      </w:r>
    </w:p>
    <w:p>
      <w:pPr>
        <w:pStyle w:val="BodyText"/>
        <w:spacing w:before="117"/>
        <w:rPr>
          <w:rFonts w:ascii="Calibri"/>
          <w:sz w:val="19"/>
        </w:rPr>
      </w:pPr>
    </w:p>
    <w:p>
      <w:pPr>
        <w:spacing w:before="0"/>
        <w:ind w:left="1323" w:right="0" w:firstLine="0"/>
        <w:jc w:val="left"/>
        <w:rPr>
          <w:rFonts w:ascii="Calibri"/>
          <w:sz w:val="19"/>
        </w:rPr>
      </w:pPr>
      <w:r>
        <w:rPr>
          <w:rFonts w:ascii="Calibri"/>
          <w:spacing w:val="-5"/>
          <w:sz w:val="19"/>
        </w:rPr>
        <w:t>90</w:t>
      </w:r>
    </w:p>
    <w:p>
      <w:pPr>
        <w:pStyle w:val="BodyText"/>
        <w:spacing w:before="117"/>
        <w:rPr>
          <w:rFonts w:ascii="Calibri"/>
          <w:sz w:val="19"/>
        </w:rPr>
      </w:pPr>
    </w:p>
    <w:p>
      <w:pPr>
        <w:spacing w:before="0"/>
        <w:ind w:left="1323" w:right="0" w:firstLine="0"/>
        <w:jc w:val="left"/>
        <w:rPr>
          <w:rFonts w:ascii="Calibri"/>
          <w:sz w:val="19"/>
        </w:rPr>
      </w:pPr>
      <w:r>
        <w:rPr>
          <w:rFonts w:ascii="Calibri"/>
          <w:spacing w:val="-5"/>
          <w:sz w:val="19"/>
        </w:rPr>
        <w:t>80</w:t>
      </w:r>
    </w:p>
    <w:p>
      <w:pPr>
        <w:pStyle w:val="BodyText"/>
        <w:spacing w:before="117"/>
        <w:rPr>
          <w:rFonts w:ascii="Calibri"/>
          <w:sz w:val="19"/>
        </w:rPr>
      </w:pPr>
    </w:p>
    <w:p>
      <w:pPr>
        <w:spacing w:before="0"/>
        <w:ind w:left="1323" w:right="0" w:firstLine="0"/>
        <w:jc w:val="left"/>
        <w:rPr>
          <w:rFonts w:ascii="Calibri"/>
          <w:sz w:val="19"/>
        </w:rPr>
      </w:pPr>
      <w:r>
        <w:rPr>
          <w:rFonts w:ascii="Calibri"/>
          <w:spacing w:val="-5"/>
          <w:sz w:val="19"/>
        </w:rPr>
        <w:t>70</w:t>
      </w:r>
    </w:p>
    <w:p>
      <w:pPr>
        <w:pStyle w:val="BodyText"/>
        <w:spacing w:before="117"/>
        <w:rPr>
          <w:rFonts w:ascii="Calibri"/>
          <w:sz w:val="19"/>
        </w:rPr>
      </w:pPr>
    </w:p>
    <w:p>
      <w:pPr>
        <w:spacing w:before="0"/>
        <w:ind w:left="1323" w:right="0" w:firstLine="0"/>
        <w:jc w:val="left"/>
        <w:rPr>
          <w:rFonts w:ascii="Calibri"/>
          <w:sz w:val="19"/>
        </w:rPr>
      </w:pPr>
      <w:r>
        <w:rPr/>
        <mc:AlternateContent>
          <mc:Choice Requires="wps">
            <w:drawing>
              <wp:anchor distT="0" distB="0" distL="0" distR="0" allowOverlap="1" layoutInCell="1" locked="0" behindDoc="0" simplePos="0" relativeHeight="15748608">
                <wp:simplePos x="0" y="0"/>
                <wp:positionH relativeFrom="page">
                  <wp:posOffset>1701470</wp:posOffset>
                </wp:positionH>
                <wp:positionV relativeFrom="paragraph">
                  <wp:posOffset>-209540</wp:posOffset>
                </wp:positionV>
                <wp:extent cx="146050" cy="130683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46050" cy="130683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33.974075pt;margin-top:-16.499289pt;width:11.5pt;height:102.9pt;mso-position-horizontal-relative:page;mso-position-vertical-relative:paragraph;z-index:15748608" type="#_x0000_t202" id="docshape56"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60</w:t>
      </w:r>
    </w:p>
    <w:p>
      <w:pPr>
        <w:pStyle w:val="BodyText"/>
        <w:spacing w:before="118"/>
        <w:rPr>
          <w:rFonts w:ascii="Calibri"/>
          <w:sz w:val="19"/>
        </w:rPr>
      </w:pPr>
    </w:p>
    <w:p>
      <w:pPr>
        <w:tabs>
          <w:tab w:pos="7673" w:val="left" w:leader="none"/>
        </w:tabs>
        <w:spacing w:before="0"/>
        <w:ind w:left="1323" w:right="0" w:firstLine="0"/>
        <w:jc w:val="left"/>
        <w:rPr>
          <w:rFonts w:ascii="Calibri"/>
          <w:sz w:val="19"/>
        </w:rPr>
      </w:pPr>
      <w:r>
        <w:rPr>
          <w:rFonts w:ascii="Calibri"/>
          <w:spacing w:val="-5"/>
          <w:position w:val="10"/>
          <w:sz w:val="19"/>
        </w:rPr>
        <w:t>50</w:t>
      </w:r>
      <w:r>
        <w:rPr>
          <w:rFonts w:ascii="Calibri"/>
          <w:position w:val="10"/>
          <w:sz w:val="19"/>
        </w:rPr>
        <w:tab/>
      </w:r>
      <w:r>
        <w:rPr>
          <w:rFonts w:ascii="Calibri"/>
          <w:sz w:val="19"/>
        </w:rPr>
        <w:drawing>
          <wp:inline distT="0" distB="0" distL="0" distR="0">
            <wp:extent cx="64008" cy="67055"/>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13" cstate="print"/>
                    <a:stretch>
                      <a:fillRect/>
                    </a:stretch>
                  </pic:blipFill>
                  <pic:spPr>
                    <a:xfrm>
                      <a:off x="0" y="0"/>
                      <a:ext cx="64008" cy="67055"/>
                    </a:xfrm>
                    <a:prstGeom prst="rect">
                      <a:avLst/>
                    </a:prstGeom>
                  </pic:spPr>
                </pic:pic>
              </a:graphicData>
            </a:graphic>
          </wp:inline>
        </w:drawing>
      </w:r>
      <w:r>
        <w:rPr>
          <w:rFonts w:ascii="Calibri"/>
          <w:sz w:val="19"/>
        </w:rPr>
      </w:r>
      <w:r>
        <w:rPr>
          <w:spacing w:val="-3"/>
          <w:sz w:val="19"/>
        </w:rPr>
        <w:t> </w:t>
      </w:r>
      <w:r>
        <w:rPr>
          <w:rFonts w:ascii="Calibri"/>
          <w:sz w:val="19"/>
        </w:rPr>
        <w:t>DS</w:t>
      </w:r>
    </w:p>
    <w:p>
      <w:pPr>
        <w:spacing w:line="188" w:lineRule="exact" w:before="109"/>
        <w:ind w:left="0" w:right="2349" w:firstLine="0"/>
        <w:jc w:val="right"/>
        <w:rPr>
          <w:rFonts w:ascii="Calibri"/>
          <w:sz w:val="19"/>
        </w:rPr>
      </w:pPr>
      <w:r>
        <w:rPr/>
        <w:drawing>
          <wp:inline distT="0" distB="0" distL="0" distR="0">
            <wp:extent cx="64008" cy="64008"/>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16" cstate="print"/>
                    <a:stretch>
                      <a:fillRect/>
                    </a:stretch>
                  </pic:blipFill>
                  <pic:spPr>
                    <a:xfrm>
                      <a:off x="0" y="0"/>
                      <a:ext cx="64008" cy="64008"/>
                    </a:xfrm>
                    <a:prstGeom prst="rect">
                      <a:avLst/>
                    </a:prstGeom>
                  </pic:spPr>
                </pic:pic>
              </a:graphicData>
            </a:graphic>
          </wp:inline>
        </w:drawing>
      </w:r>
      <w:r>
        <w:rPr/>
      </w:r>
      <w:r>
        <w:rPr>
          <w:spacing w:val="-5"/>
          <w:sz w:val="20"/>
        </w:rPr>
        <w:t> </w:t>
      </w:r>
      <w:r>
        <w:rPr>
          <w:rFonts w:ascii="Calibri"/>
          <w:sz w:val="19"/>
        </w:rPr>
        <w:t>MCS</w:t>
      </w:r>
    </w:p>
    <w:p>
      <w:pPr>
        <w:spacing w:line="188" w:lineRule="exact" w:before="0"/>
        <w:ind w:left="1323" w:right="0" w:firstLine="0"/>
        <w:jc w:val="left"/>
        <w:rPr>
          <w:rFonts w:ascii="Calibri"/>
          <w:sz w:val="19"/>
        </w:rPr>
      </w:pPr>
      <w:r>
        <w:rPr>
          <w:rFonts w:ascii="Calibri"/>
          <w:spacing w:val="-5"/>
          <w:sz w:val="19"/>
        </w:rPr>
        <w:t>40</w:t>
      </w:r>
    </w:p>
    <w:p>
      <w:pPr>
        <w:pStyle w:val="BodyText"/>
        <w:spacing w:before="116"/>
        <w:rPr>
          <w:rFonts w:ascii="Calibri"/>
          <w:sz w:val="19"/>
        </w:rPr>
      </w:pPr>
    </w:p>
    <w:p>
      <w:pPr>
        <w:spacing w:before="1"/>
        <w:ind w:left="1323" w:right="0" w:firstLine="0"/>
        <w:jc w:val="left"/>
        <w:rPr>
          <w:rFonts w:ascii="Calibri"/>
          <w:sz w:val="19"/>
        </w:rPr>
      </w:pPr>
      <w:r>
        <w:rPr>
          <w:rFonts w:ascii="Calibri"/>
          <w:spacing w:val="-5"/>
          <w:sz w:val="19"/>
        </w:rPr>
        <w:t>30</w:t>
      </w:r>
    </w:p>
    <w:p>
      <w:pPr>
        <w:pStyle w:val="BodyText"/>
        <w:spacing w:before="116"/>
        <w:rPr>
          <w:rFonts w:ascii="Calibri"/>
          <w:sz w:val="19"/>
        </w:rPr>
      </w:pPr>
    </w:p>
    <w:p>
      <w:pPr>
        <w:spacing w:before="0"/>
        <w:ind w:left="1323" w:right="0" w:firstLine="0"/>
        <w:jc w:val="left"/>
        <w:rPr>
          <w:rFonts w:ascii="Calibri"/>
          <w:sz w:val="19"/>
        </w:rPr>
      </w:pPr>
      <w:r>
        <w:rPr>
          <w:rFonts w:ascii="Calibri"/>
          <w:spacing w:val="-5"/>
          <w:sz w:val="19"/>
        </w:rPr>
        <w:t>20</w:t>
      </w:r>
    </w:p>
    <w:p>
      <w:pPr>
        <w:pStyle w:val="BodyText"/>
        <w:spacing w:before="117"/>
        <w:rPr>
          <w:rFonts w:ascii="Calibri"/>
          <w:sz w:val="19"/>
        </w:rPr>
      </w:pPr>
    </w:p>
    <w:p>
      <w:pPr>
        <w:spacing w:before="0"/>
        <w:ind w:left="1323" w:right="0" w:firstLine="0"/>
        <w:jc w:val="left"/>
        <w:rPr>
          <w:rFonts w:ascii="Calibri"/>
          <w:sz w:val="19"/>
        </w:rPr>
      </w:pPr>
      <w:r>
        <w:rPr>
          <w:rFonts w:ascii="Calibri"/>
          <w:spacing w:val="-5"/>
          <w:sz w:val="19"/>
        </w:rPr>
        <w:t>10</w:t>
      </w:r>
    </w:p>
    <w:p>
      <w:pPr>
        <w:pStyle w:val="BodyText"/>
        <w:spacing w:before="117"/>
        <w:rPr>
          <w:rFonts w:ascii="Calibri"/>
          <w:sz w:val="19"/>
        </w:rPr>
      </w:pPr>
    </w:p>
    <w:p>
      <w:pPr>
        <w:spacing w:before="0"/>
        <w:ind w:left="1419" w:right="0" w:firstLine="0"/>
        <w:jc w:val="left"/>
        <w:rPr>
          <w:rFonts w:ascii="Calibri"/>
          <w:sz w:val="19"/>
        </w:rPr>
      </w:pPr>
      <w:r>
        <w:rPr>
          <w:rFonts w:ascii="Calibri"/>
          <w:spacing w:val="-10"/>
          <w:sz w:val="19"/>
        </w:rPr>
        <w:t>0</w:t>
      </w:r>
    </w:p>
    <w:p>
      <w:pPr>
        <w:tabs>
          <w:tab w:pos="2278" w:val="left" w:leader="none"/>
          <w:tab w:pos="2700" w:val="left" w:leader="none"/>
          <w:tab w:pos="3127" w:val="left" w:leader="none"/>
          <w:tab w:pos="3550" w:val="left" w:leader="none"/>
          <w:tab w:pos="3972" w:val="left" w:leader="none"/>
          <w:tab w:pos="4399" w:val="left" w:leader="none"/>
          <w:tab w:pos="4822" w:val="left" w:leader="none"/>
          <w:tab w:pos="5196" w:val="left" w:leader="none"/>
          <w:tab w:pos="5623" w:val="left" w:leader="none"/>
          <w:tab w:pos="6046" w:val="left" w:leader="none"/>
          <w:tab w:pos="6468" w:val="left" w:leader="none"/>
          <w:tab w:pos="6891" w:val="left" w:leader="none"/>
        </w:tabs>
        <w:spacing w:before="4"/>
        <w:ind w:left="1856" w:right="0" w:firstLine="0"/>
        <w:jc w:val="left"/>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5</w:t>
      </w:r>
      <w:r>
        <w:rPr>
          <w:rFonts w:ascii="Calibri"/>
          <w:sz w:val="19"/>
        </w:rPr>
        <w:tab/>
      </w:r>
      <w:r>
        <w:rPr>
          <w:rFonts w:ascii="Calibri"/>
          <w:spacing w:val="-10"/>
          <w:sz w:val="19"/>
        </w:rPr>
        <w:t>6</w:t>
      </w:r>
      <w:r>
        <w:rPr>
          <w:rFonts w:ascii="Calibri"/>
          <w:sz w:val="19"/>
        </w:rPr>
        <w:tab/>
      </w:r>
      <w:r>
        <w:rPr>
          <w:rFonts w:ascii="Calibri"/>
          <w:spacing w:val="-10"/>
          <w:sz w:val="19"/>
        </w:rPr>
        <w:t>7</w:t>
      </w:r>
      <w:r>
        <w:rPr>
          <w:rFonts w:ascii="Calibri"/>
          <w:sz w:val="19"/>
        </w:rPr>
        <w:tab/>
      </w:r>
      <w:r>
        <w:rPr>
          <w:rFonts w:ascii="Calibri"/>
          <w:spacing w:val="-10"/>
          <w:sz w:val="19"/>
        </w:rPr>
        <w:t>8</w:t>
      </w:r>
      <w:r>
        <w:rPr>
          <w:rFonts w:ascii="Calibri"/>
          <w:sz w:val="19"/>
        </w:rPr>
        <w:tab/>
      </w:r>
      <w:r>
        <w:rPr>
          <w:rFonts w:ascii="Calibri"/>
          <w:spacing w:val="-10"/>
          <w:sz w:val="19"/>
        </w:rPr>
        <w:t>9</w:t>
      </w:r>
      <w:r>
        <w:rPr>
          <w:rFonts w:ascii="Calibri"/>
          <w:sz w:val="19"/>
        </w:rPr>
        <w:tab/>
      </w:r>
      <w:r>
        <w:rPr>
          <w:rFonts w:ascii="Calibri"/>
          <w:spacing w:val="-5"/>
          <w:sz w:val="19"/>
        </w:rPr>
        <w:t>12</w:t>
      </w:r>
      <w:r>
        <w:rPr>
          <w:rFonts w:ascii="Calibri"/>
          <w:sz w:val="19"/>
        </w:rPr>
        <w:tab/>
      </w:r>
      <w:r>
        <w:rPr>
          <w:rFonts w:ascii="Calibri"/>
          <w:spacing w:val="-5"/>
          <w:sz w:val="19"/>
        </w:rPr>
        <w:t>14</w:t>
      </w:r>
      <w:r>
        <w:rPr>
          <w:rFonts w:ascii="Calibri"/>
          <w:sz w:val="19"/>
        </w:rPr>
        <w:tab/>
      </w:r>
      <w:r>
        <w:rPr>
          <w:rFonts w:ascii="Calibri"/>
          <w:spacing w:val="-5"/>
          <w:sz w:val="19"/>
        </w:rPr>
        <w:t>15</w:t>
      </w:r>
      <w:r>
        <w:rPr>
          <w:rFonts w:ascii="Calibri"/>
          <w:sz w:val="19"/>
        </w:rPr>
        <w:tab/>
      </w:r>
      <w:r>
        <w:rPr>
          <w:rFonts w:ascii="Calibri"/>
          <w:spacing w:val="-5"/>
          <w:sz w:val="19"/>
        </w:rPr>
        <w:t>18</w:t>
      </w:r>
      <w:r>
        <w:rPr>
          <w:rFonts w:ascii="Calibri"/>
          <w:sz w:val="19"/>
        </w:rPr>
        <w:tab/>
      </w:r>
      <w:r>
        <w:rPr>
          <w:rFonts w:ascii="Calibri"/>
          <w:spacing w:val="-5"/>
          <w:sz w:val="19"/>
        </w:rPr>
        <w:t>22</w:t>
      </w:r>
    </w:p>
    <w:p>
      <w:pPr>
        <w:spacing w:before="60"/>
        <w:ind w:left="3771" w:right="0" w:firstLine="0"/>
        <w:jc w:val="left"/>
        <w:rPr>
          <w:b/>
          <w:sz w:val="19"/>
        </w:rPr>
      </w:pPr>
      <w:r>
        <w:rPr>
          <w:rFonts w:ascii="Calibri" w:hAnsi="Calibri"/>
          <w:b/>
          <w:spacing w:val="-2"/>
          <w:sz w:val="19"/>
        </w:rPr>
        <w:t>Particle size</w:t>
      </w:r>
      <w:r>
        <w:rPr>
          <w:rFonts w:ascii="Calibri" w:hAnsi="Calibri"/>
          <w:b/>
          <w:spacing w:val="4"/>
          <w:sz w:val="19"/>
        </w:rPr>
        <w:t> </w:t>
      </w:r>
      <w:r>
        <w:rPr>
          <w:rFonts w:ascii="Calibri" w:hAnsi="Calibri"/>
          <w:b/>
          <w:spacing w:val="-4"/>
          <w:sz w:val="19"/>
        </w:rPr>
        <w:t>(</w:t>
      </w:r>
      <w:r>
        <w:rPr>
          <w:b/>
          <w:spacing w:val="-4"/>
          <w:sz w:val="19"/>
        </w:rPr>
        <w:t>µm)</w:t>
      </w:r>
    </w:p>
    <w:p>
      <w:pPr>
        <w:pStyle w:val="BodyText"/>
        <w:rPr>
          <w:b/>
        </w:rPr>
      </w:pPr>
    </w:p>
    <w:p>
      <w:pPr>
        <w:pStyle w:val="BodyText"/>
        <w:spacing w:before="40"/>
        <w:rPr>
          <w:b/>
        </w:rPr>
      </w:pPr>
    </w:p>
    <w:p>
      <w:pPr>
        <w:pStyle w:val="Heading2"/>
        <w:spacing w:line="247" w:lineRule="auto"/>
        <w:ind w:left="1793" w:right="2065" w:hanging="1128"/>
      </w:pPr>
      <w:r>
        <w:rPr/>
        <w:t>Figure 4.2: Graph of Cumulative frequency (%) against particle size (</w:t>
      </w:r>
      <w:r>
        <w:rPr>
          <w:rFonts w:ascii="Calibri" w:hAnsi="Calibri"/>
        </w:rPr>
        <w:t>µ</w:t>
      </w:r>
      <w:r>
        <w:rPr/>
        <w:t>m) for DS and MCS.</w:t>
      </w:r>
    </w:p>
    <w:p>
      <w:pPr>
        <w:spacing w:after="0" w:line="247" w:lineRule="auto"/>
        <w:sectPr>
          <w:pgSz w:w="12240" w:h="15840"/>
          <w:pgMar w:header="0" w:footer="999" w:top="1820" w:bottom="1180" w:left="1720" w:right="0"/>
        </w:sectPr>
      </w:pPr>
    </w:p>
    <w:p>
      <w:pPr>
        <w:pStyle w:val="Heading2"/>
        <w:numPr>
          <w:ilvl w:val="1"/>
          <w:numId w:val="35"/>
        </w:numPr>
        <w:tabs>
          <w:tab w:pos="1119" w:val="left" w:leader="none"/>
        </w:tabs>
        <w:spacing w:line="240" w:lineRule="auto" w:before="80" w:after="0"/>
        <w:ind w:left="1119" w:right="0" w:hanging="454"/>
        <w:jc w:val="left"/>
      </w:pPr>
      <w:bookmarkStart w:name="_TOC_250032" w:id="129"/>
      <w:r>
        <w:rPr/>
        <w:t>Dilution</w:t>
      </w:r>
      <w:r>
        <w:rPr>
          <w:spacing w:val="16"/>
        </w:rPr>
        <w:t> </w:t>
      </w:r>
      <w:bookmarkEnd w:id="129"/>
      <w:r>
        <w:rPr>
          <w:spacing w:val="-2"/>
        </w:rPr>
        <w:t>Potential</w:t>
      </w:r>
    </w:p>
    <w:p>
      <w:pPr>
        <w:pStyle w:val="BodyText"/>
        <w:spacing w:line="491" w:lineRule="auto" w:before="246"/>
        <w:ind w:left="665" w:right="1858" w:firstLine="336"/>
      </w:pPr>
      <w:r>
        <w:rPr/>
        <w:t>The results for dilution potential are displayed on Table 4.5 below. The results show that MCS was unable to bind</w:t>
      </w:r>
      <w:r>
        <w:rPr>
          <w:spacing w:val="30"/>
        </w:rPr>
        <w:t> </w:t>
      </w:r>
      <w:r>
        <w:rPr/>
        <w:t>MET; thus compressibility was not</w:t>
      </w:r>
      <w:r>
        <w:rPr>
          <w:spacing w:val="28"/>
        </w:rPr>
        <w:t> </w:t>
      </w:r>
      <w:r>
        <w:rPr/>
        <w:t>achieved at all ratios.</w:t>
      </w:r>
    </w:p>
    <w:p>
      <w:pPr>
        <w:pStyle w:val="Heading2"/>
        <w:spacing w:before="230"/>
        <w:ind w:left="665" w:firstLine="0"/>
      </w:pPr>
      <w:r>
        <w:rPr/>
        <w:t>Table</w:t>
      </w:r>
      <w:r>
        <w:rPr>
          <w:spacing w:val="7"/>
        </w:rPr>
        <w:t> </w:t>
      </w:r>
      <w:r>
        <w:rPr/>
        <w:t>4.5:</w:t>
      </w:r>
      <w:r>
        <w:rPr>
          <w:spacing w:val="14"/>
        </w:rPr>
        <w:t> </w:t>
      </w:r>
      <w:r>
        <w:rPr/>
        <w:t>Dilution</w:t>
      </w:r>
      <w:r>
        <w:rPr>
          <w:spacing w:val="13"/>
        </w:rPr>
        <w:t> </w:t>
      </w:r>
      <w:r>
        <w:rPr/>
        <w:t>Potential</w:t>
      </w:r>
      <w:r>
        <w:rPr>
          <w:spacing w:val="12"/>
        </w:rPr>
        <w:t> </w:t>
      </w:r>
      <w:r>
        <w:rPr/>
        <w:t>for</w:t>
      </w:r>
      <w:r>
        <w:rPr>
          <w:spacing w:val="7"/>
        </w:rPr>
        <w:t> </w:t>
      </w:r>
      <w:r>
        <w:rPr/>
        <w:t>MET:</w:t>
      </w:r>
      <w:r>
        <w:rPr>
          <w:spacing w:val="15"/>
        </w:rPr>
        <w:t> </w:t>
      </w:r>
      <w:r>
        <w:rPr>
          <w:spacing w:val="-5"/>
        </w:rPr>
        <w:t>MCS</w:t>
      </w:r>
    </w:p>
    <w:p>
      <w:pPr>
        <w:pStyle w:val="BodyText"/>
        <w:spacing w:before="145"/>
        <w:rPr>
          <w:b/>
          <w:sz w:val="20"/>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5"/>
        <w:gridCol w:w="2616"/>
        <w:gridCol w:w="4870"/>
      </w:tblGrid>
      <w:tr>
        <w:trPr>
          <w:trHeight w:val="685" w:hRule="atLeast"/>
        </w:trPr>
        <w:tc>
          <w:tcPr>
            <w:tcW w:w="2375" w:type="dxa"/>
            <w:tcBorders>
              <w:top w:val="single" w:sz="4" w:space="0" w:color="000000"/>
              <w:bottom w:val="single" w:sz="4" w:space="0" w:color="000000"/>
            </w:tcBorders>
          </w:tcPr>
          <w:p>
            <w:pPr>
              <w:pStyle w:val="TableParagraph"/>
              <w:spacing w:before="73"/>
              <w:ind w:left="141"/>
              <w:rPr>
                <w:rFonts w:ascii="Calibri"/>
                <w:b/>
                <w:sz w:val="22"/>
              </w:rPr>
            </w:pPr>
            <w:r>
              <w:rPr>
                <w:rFonts w:ascii="Calibri"/>
                <w:b/>
                <w:sz w:val="22"/>
              </w:rPr>
              <w:t>Binary</w:t>
            </w:r>
            <w:r>
              <w:rPr>
                <w:rFonts w:ascii="Calibri"/>
                <w:b/>
                <w:spacing w:val="13"/>
                <w:sz w:val="22"/>
              </w:rPr>
              <w:t> </w:t>
            </w:r>
            <w:r>
              <w:rPr>
                <w:rFonts w:ascii="Calibri"/>
                <w:b/>
                <w:sz w:val="22"/>
              </w:rPr>
              <w:t>Mix</w:t>
            </w:r>
            <w:r>
              <w:rPr>
                <w:rFonts w:ascii="Calibri"/>
                <w:b/>
                <w:spacing w:val="12"/>
                <w:sz w:val="22"/>
              </w:rPr>
              <w:t> </w:t>
            </w:r>
            <w:r>
              <w:rPr>
                <w:rFonts w:ascii="Calibri"/>
                <w:b/>
                <w:spacing w:val="-2"/>
                <w:sz w:val="22"/>
              </w:rPr>
              <w:t>(MET:MCS)</w:t>
            </w:r>
          </w:p>
        </w:tc>
        <w:tc>
          <w:tcPr>
            <w:tcW w:w="2616" w:type="dxa"/>
            <w:tcBorders>
              <w:top w:val="single" w:sz="4" w:space="0" w:color="000000"/>
              <w:bottom w:val="single" w:sz="4" w:space="0" w:color="000000"/>
            </w:tcBorders>
          </w:tcPr>
          <w:p>
            <w:pPr>
              <w:pStyle w:val="TableParagraph"/>
              <w:spacing w:before="73"/>
              <w:ind w:left="137"/>
              <w:rPr>
                <w:rFonts w:ascii="Calibri"/>
                <w:b/>
                <w:sz w:val="22"/>
              </w:rPr>
            </w:pPr>
            <w:r>
              <w:rPr>
                <w:rFonts w:ascii="Calibri"/>
                <w:b/>
                <w:sz w:val="22"/>
              </w:rPr>
              <w:t>Crushing</w:t>
            </w:r>
            <w:r>
              <w:rPr>
                <w:rFonts w:ascii="Calibri"/>
                <w:b/>
                <w:spacing w:val="11"/>
                <w:sz w:val="22"/>
              </w:rPr>
              <w:t> </w:t>
            </w:r>
            <w:r>
              <w:rPr>
                <w:rFonts w:ascii="Calibri"/>
                <w:b/>
                <w:sz w:val="22"/>
              </w:rPr>
              <w:t>Strength</w:t>
            </w:r>
            <w:r>
              <w:rPr>
                <w:rFonts w:ascii="Calibri"/>
                <w:b/>
                <w:spacing w:val="13"/>
                <w:sz w:val="22"/>
              </w:rPr>
              <w:t> </w:t>
            </w:r>
            <w:r>
              <w:rPr>
                <w:rFonts w:ascii="Calibri"/>
                <w:b/>
                <w:spacing w:val="-4"/>
                <w:sz w:val="22"/>
              </w:rPr>
              <w:t>(Kgf)</w:t>
            </w:r>
          </w:p>
        </w:tc>
        <w:tc>
          <w:tcPr>
            <w:tcW w:w="4870" w:type="dxa"/>
            <w:tcBorders>
              <w:top w:val="single" w:sz="4" w:space="0" w:color="000000"/>
              <w:bottom w:val="single" w:sz="4" w:space="0" w:color="000000"/>
            </w:tcBorders>
          </w:tcPr>
          <w:p>
            <w:pPr>
              <w:pStyle w:val="TableParagraph"/>
              <w:spacing w:line="244" w:lineRule="auto" w:before="73"/>
              <w:ind w:left="310" w:right="2195"/>
              <w:rPr>
                <w:rFonts w:ascii="Calibri"/>
                <w:b/>
                <w:sz w:val="22"/>
              </w:rPr>
            </w:pPr>
            <w:r>
              <w:rPr>
                <w:rFonts w:ascii="Calibri"/>
                <w:b/>
                <w:spacing w:val="-2"/>
                <w:sz w:val="22"/>
              </w:rPr>
              <w:t>Compressibility description</w:t>
            </w:r>
          </w:p>
        </w:tc>
      </w:tr>
      <w:tr>
        <w:trPr>
          <w:trHeight w:val="440" w:hRule="atLeast"/>
        </w:trPr>
        <w:tc>
          <w:tcPr>
            <w:tcW w:w="2375" w:type="dxa"/>
            <w:tcBorders>
              <w:top w:val="single" w:sz="4" w:space="0" w:color="000000"/>
            </w:tcBorders>
          </w:tcPr>
          <w:p>
            <w:pPr>
              <w:pStyle w:val="TableParagraph"/>
              <w:spacing w:before="68"/>
              <w:ind w:left="141"/>
              <w:rPr>
                <w:rFonts w:ascii="Calibri"/>
                <w:sz w:val="22"/>
              </w:rPr>
            </w:pPr>
            <w:r>
              <w:rPr>
                <w:rFonts w:ascii="Calibri"/>
                <w:spacing w:val="-2"/>
                <w:sz w:val="22"/>
              </w:rPr>
              <w:t>10:90</w:t>
            </w:r>
          </w:p>
        </w:tc>
        <w:tc>
          <w:tcPr>
            <w:tcW w:w="2616" w:type="dxa"/>
            <w:tcBorders>
              <w:top w:val="single" w:sz="4" w:space="0" w:color="000000"/>
            </w:tcBorders>
          </w:tcPr>
          <w:p>
            <w:pPr>
              <w:pStyle w:val="TableParagraph"/>
              <w:spacing w:before="68"/>
              <w:ind w:left="137"/>
              <w:rPr>
                <w:rFonts w:ascii="Calibri"/>
                <w:sz w:val="22"/>
              </w:rPr>
            </w:pPr>
            <w:r>
              <w:rPr>
                <w:rFonts w:ascii="Calibri"/>
                <w:spacing w:val="-5"/>
                <w:sz w:val="22"/>
              </w:rPr>
              <w:t>3.5</w:t>
            </w:r>
          </w:p>
        </w:tc>
        <w:tc>
          <w:tcPr>
            <w:tcW w:w="4870" w:type="dxa"/>
            <w:tcBorders>
              <w:top w:val="single" w:sz="4" w:space="0" w:color="000000"/>
            </w:tcBorders>
          </w:tcPr>
          <w:p>
            <w:pPr>
              <w:pStyle w:val="TableParagraph"/>
              <w:spacing w:before="68"/>
              <w:ind w:left="310"/>
              <w:rPr>
                <w:rFonts w:ascii="Calibri"/>
                <w:sz w:val="22"/>
              </w:rPr>
            </w:pPr>
            <w:r>
              <w:rPr>
                <w:rFonts w:ascii="Calibri"/>
                <w:spacing w:val="-4"/>
                <w:sz w:val="22"/>
              </w:rPr>
              <w:t>Fair</w:t>
            </w:r>
          </w:p>
        </w:tc>
      </w:tr>
      <w:tr>
        <w:trPr>
          <w:trHeight w:val="460" w:hRule="atLeast"/>
        </w:trPr>
        <w:tc>
          <w:tcPr>
            <w:tcW w:w="2375" w:type="dxa"/>
          </w:tcPr>
          <w:p>
            <w:pPr>
              <w:pStyle w:val="TableParagraph"/>
              <w:spacing w:before="65"/>
              <w:ind w:left="141"/>
              <w:rPr>
                <w:rFonts w:ascii="Calibri"/>
                <w:sz w:val="22"/>
              </w:rPr>
            </w:pPr>
            <w:r>
              <w:rPr>
                <w:rFonts w:ascii="Calibri"/>
                <w:spacing w:val="-2"/>
                <w:sz w:val="22"/>
              </w:rPr>
              <w:t>20:80</w:t>
            </w:r>
          </w:p>
        </w:tc>
        <w:tc>
          <w:tcPr>
            <w:tcW w:w="2616" w:type="dxa"/>
          </w:tcPr>
          <w:p>
            <w:pPr>
              <w:pStyle w:val="TableParagraph"/>
              <w:spacing w:before="65"/>
              <w:ind w:left="137"/>
              <w:rPr>
                <w:rFonts w:ascii="Calibri"/>
                <w:sz w:val="22"/>
              </w:rPr>
            </w:pPr>
            <w:r>
              <w:rPr>
                <w:rFonts w:ascii="Calibri"/>
                <w:spacing w:val="-5"/>
                <w:sz w:val="22"/>
              </w:rPr>
              <w:t>3.0</w:t>
            </w:r>
          </w:p>
        </w:tc>
        <w:tc>
          <w:tcPr>
            <w:tcW w:w="4870" w:type="dxa"/>
          </w:tcPr>
          <w:p>
            <w:pPr>
              <w:pStyle w:val="TableParagraph"/>
              <w:spacing w:before="65"/>
              <w:ind w:left="310"/>
              <w:rPr>
                <w:rFonts w:ascii="Calibri"/>
                <w:sz w:val="22"/>
              </w:rPr>
            </w:pPr>
            <w:r>
              <w:rPr>
                <w:rFonts w:ascii="Calibri"/>
                <w:spacing w:val="-4"/>
                <w:sz w:val="22"/>
              </w:rPr>
              <w:t>Fair</w:t>
            </w:r>
          </w:p>
        </w:tc>
      </w:tr>
      <w:tr>
        <w:trPr>
          <w:trHeight w:val="448" w:hRule="atLeast"/>
        </w:trPr>
        <w:tc>
          <w:tcPr>
            <w:tcW w:w="2375" w:type="dxa"/>
          </w:tcPr>
          <w:p>
            <w:pPr>
              <w:pStyle w:val="TableParagraph"/>
              <w:spacing w:before="89"/>
              <w:ind w:left="141"/>
              <w:rPr>
                <w:rFonts w:ascii="Calibri"/>
                <w:sz w:val="22"/>
              </w:rPr>
            </w:pPr>
            <w:r>
              <w:rPr>
                <w:rFonts w:ascii="Calibri"/>
                <w:spacing w:val="-2"/>
                <w:sz w:val="22"/>
              </w:rPr>
              <w:t>30:70</w:t>
            </w:r>
          </w:p>
        </w:tc>
        <w:tc>
          <w:tcPr>
            <w:tcW w:w="2616" w:type="dxa"/>
          </w:tcPr>
          <w:p>
            <w:pPr>
              <w:pStyle w:val="TableParagraph"/>
              <w:spacing w:before="89"/>
              <w:ind w:left="137"/>
              <w:rPr>
                <w:rFonts w:ascii="Calibri"/>
                <w:sz w:val="22"/>
              </w:rPr>
            </w:pPr>
            <w:r>
              <w:rPr>
                <w:rFonts w:ascii="Calibri"/>
                <w:spacing w:val="-5"/>
                <w:sz w:val="22"/>
              </w:rPr>
              <w:t>3.0</w:t>
            </w:r>
          </w:p>
        </w:tc>
        <w:tc>
          <w:tcPr>
            <w:tcW w:w="4870" w:type="dxa"/>
          </w:tcPr>
          <w:p>
            <w:pPr>
              <w:pStyle w:val="TableParagraph"/>
              <w:spacing w:before="89"/>
              <w:ind w:left="310"/>
              <w:rPr>
                <w:rFonts w:ascii="Calibri"/>
                <w:sz w:val="22"/>
              </w:rPr>
            </w:pPr>
            <w:r>
              <w:rPr>
                <w:rFonts w:ascii="Calibri"/>
                <w:spacing w:val="-4"/>
                <w:sz w:val="22"/>
              </w:rPr>
              <w:t>Fair</w:t>
            </w:r>
          </w:p>
        </w:tc>
      </w:tr>
      <w:tr>
        <w:trPr>
          <w:trHeight w:val="432" w:hRule="atLeast"/>
        </w:trPr>
        <w:tc>
          <w:tcPr>
            <w:tcW w:w="2375" w:type="dxa"/>
          </w:tcPr>
          <w:p>
            <w:pPr>
              <w:pStyle w:val="TableParagraph"/>
              <w:spacing w:before="53"/>
              <w:ind w:left="141"/>
              <w:rPr>
                <w:rFonts w:ascii="Calibri"/>
                <w:sz w:val="22"/>
              </w:rPr>
            </w:pPr>
            <w:r>
              <w:rPr>
                <w:rFonts w:ascii="Calibri"/>
                <w:spacing w:val="-2"/>
                <w:sz w:val="22"/>
              </w:rPr>
              <w:t>40:60</w:t>
            </w:r>
          </w:p>
        </w:tc>
        <w:tc>
          <w:tcPr>
            <w:tcW w:w="2616" w:type="dxa"/>
          </w:tcPr>
          <w:p>
            <w:pPr>
              <w:pStyle w:val="TableParagraph"/>
              <w:spacing w:before="53"/>
              <w:ind w:left="137"/>
              <w:rPr>
                <w:rFonts w:ascii="Calibri"/>
                <w:sz w:val="22"/>
              </w:rPr>
            </w:pPr>
            <w:r>
              <w:rPr>
                <w:rFonts w:ascii="Calibri"/>
                <w:spacing w:val="-5"/>
                <w:sz w:val="22"/>
              </w:rPr>
              <w:t>2.5</w:t>
            </w:r>
          </w:p>
        </w:tc>
        <w:tc>
          <w:tcPr>
            <w:tcW w:w="4870" w:type="dxa"/>
          </w:tcPr>
          <w:p>
            <w:pPr>
              <w:pStyle w:val="TableParagraph"/>
              <w:spacing w:before="53"/>
              <w:ind w:left="310"/>
              <w:rPr>
                <w:rFonts w:ascii="Calibri"/>
                <w:sz w:val="22"/>
              </w:rPr>
            </w:pPr>
            <w:r>
              <w:rPr>
                <w:rFonts w:ascii="Calibri"/>
                <w:spacing w:val="-4"/>
                <w:sz w:val="22"/>
              </w:rPr>
              <w:t>Poor</w:t>
            </w:r>
          </w:p>
        </w:tc>
      </w:tr>
      <w:tr>
        <w:trPr>
          <w:trHeight w:val="436" w:hRule="atLeast"/>
        </w:trPr>
        <w:tc>
          <w:tcPr>
            <w:tcW w:w="2375" w:type="dxa"/>
          </w:tcPr>
          <w:p>
            <w:pPr>
              <w:pStyle w:val="TableParagraph"/>
              <w:spacing w:before="72"/>
              <w:ind w:left="141"/>
              <w:rPr>
                <w:rFonts w:ascii="Calibri"/>
                <w:sz w:val="22"/>
              </w:rPr>
            </w:pPr>
            <w:r>
              <w:rPr>
                <w:rFonts w:ascii="Calibri"/>
                <w:spacing w:val="-2"/>
                <w:sz w:val="22"/>
              </w:rPr>
              <w:t>50:50</w:t>
            </w:r>
          </w:p>
        </w:tc>
        <w:tc>
          <w:tcPr>
            <w:tcW w:w="2616" w:type="dxa"/>
          </w:tcPr>
          <w:p>
            <w:pPr>
              <w:pStyle w:val="TableParagraph"/>
              <w:spacing w:before="72"/>
              <w:ind w:left="137"/>
              <w:rPr>
                <w:rFonts w:ascii="Calibri"/>
                <w:sz w:val="22"/>
              </w:rPr>
            </w:pPr>
            <w:r>
              <w:rPr>
                <w:rFonts w:ascii="Calibri"/>
                <w:spacing w:val="-5"/>
                <w:sz w:val="22"/>
              </w:rPr>
              <w:t>2.0</w:t>
            </w:r>
          </w:p>
        </w:tc>
        <w:tc>
          <w:tcPr>
            <w:tcW w:w="4870" w:type="dxa"/>
          </w:tcPr>
          <w:p>
            <w:pPr>
              <w:pStyle w:val="TableParagraph"/>
              <w:spacing w:before="72"/>
              <w:ind w:left="310"/>
              <w:rPr>
                <w:rFonts w:ascii="Calibri"/>
                <w:sz w:val="22"/>
              </w:rPr>
            </w:pPr>
            <w:r>
              <w:rPr>
                <w:rFonts w:ascii="Calibri"/>
                <w:spacing w:val="-4"/>
                <w:sz w:val="22"/>
              </w:rPr>
              <w:t>Poor</w:t>
            </w:r>
          </w:p>
        </w:tc>
      </w:tr>
      <w:tr>
        <w:trPr>
          <w:trHeight w:val="417" w:hRule="atLeast"/>
        </w:trPr>
        <w:tc>
          <w:tcPr>
            <w:tcW w:w="2375" w:type="dxa"/>
          </w:tcPr>
          <w:p>
            <w:pPr>
              <w:pStyle w:val="TableParagraph"/>
              <w:spacing w:before="58"/>
              <w:ind w:left="141"/>
              <w:rPr>
                <w:rFonts w:ascii="Calibri"/>
                <w:sz w:val="22"/>
              </w:rPr>
            </w:pPr>
            <w:r>
              <w:rPr>
                <w:rFonts w:ascii="Calibri"/>
                <w:spacing w:val="-2"/>
                <w:sz w:val="22"/>
              </w:rPr>
              <w:t>60:40</w:t>
            </w:r>
          </w:p>
        </w:tc>
        <w:tc>
          <w:tcPr>
            <w:tcW w:w="2616" w:type="dxa"/>
          </w:tcPr>
          <w:p>
            <w:pPr>
              <w:pStyle w:val="TableParagraph"/>
              <w:spacing w:before="58"/>
              <w:ind w:left="137"/>
              <w:rPr>
                <w:rFonts w:ascii="Calibri"/>
                <w:sz w:val="22"/>
              </w:rPr>
            </w:pPr>
            <w:r>
              <w:rPr>
                <w:rFonts w:ascii="Calibri"/>
                <w:spacing w:val="-5"/>
                <w:sz w:val="22"/>
              </w:rPr>
              <w:t>2.0</w:t>
            </w:r>
          </w:p>
        </w:tc>
        <w:tc>
          <w:tcPr>
            <w:tcW w:w="4870" w:type="dxa"/>
          </w:tcPr>
          <w:p>
            <w:pPr>
              <w:pStyle w:val="TableParagraph"/>
              <w:spacing w:before="58"/>
              <w:ind w:left="310"/>
              <w:rPr>
                <w:rFonts w:ascii="Calibri"/>
                <w:sz w:val="22"/>
              </w:rPr>
            </w:pPr>
            <w:r>
              <w:rPr>
                <w:rFonts w:ascii="Calibri"/>
                <w:spacing w:val="-4"/>
                <w:sz w:val="22"/>
              </w:rPr>
              <w:t>Poor</w:t>
            </w:r>
          </w:p>
        </w:tc>
      </w:tr>
      <w:tr>
        <w:trPr>
          <w:trHeight w:val="420" w:hRule="atLeast"/>
        </w:trPr>
        <w:tc>
          <w:tcPr>
            <w:tcW w:w="2375" w:type="dxa"/>
          </w:tcPr>
          <w:p>
            <w:pPr>
              <w:pStyle w:val="TableParagraph"/>
              <w:spacing w:before="53"/>
              <w:ind w:left="141"/>
              <w:rPr>
                <w:rFonts w:ascii="Calibri"/>
                <w:sz w:val="22"/>
              </w:rPr>
            </w:pPr>
            <w:r>
              <w:rPr>
                <w:rFonts w:ascii="Calibri"/>
                <w:spacing w:val="-2"/>
                <w:sz w:val="22"/>
              </w:rPr>
              <w:t>70:30</w:t>
            </w:r>
          </w:p>
        </w:tc>
        <w:tc>
          <w:tcPr>
            <w:tcW w:w="2616" w:type="dxa"/>
          </w:tcPr>
          <w:p>
            <w:pPr>
              <w:pStyle w:val="TableParagraph"/>
              <w:spacing w:before="53"/>
              <w:ind w:left="137"/>
              <w:rPr>
                <w:rFonts w:ascii="Calibri"/>
                <w:sz w:val="22"/>
              </w:rPr>
            </w:pPr>
            <w:r>
              <w:rPr>
                <w:rFonts w:ascii="Calibri"/>
                <w:spacing w:val="-5"/>
                <w:sz w:val="22"/>
              </w:rPr>
              <w:t>1.5</w:t>
            </w:r>
          </w:p>
        </w:tc>
        <w:tc>
          <w:tcPr>
            <w:tcW w:w="4870" w:type="dxa"/>
          </w:tcPr>
          <w:p>
            <w:pPr>
              <w:pStyle w:val="TableParagraph"/>
              <w:spacing w:before="53"/>
              <w:ind w:left="310"/>
              <w:rPr>
                <w:rFonts w:ascii="Calibri"/>
                <w:sz w:val="22"/>
              </w:rPr>
            </w:pPr>
            <w:r>
              <w:rPr>
                <w:rFonts w:ascii="Calibri"/>
                <w:spacing w:val="-4"/>
                <w:sz w:val="22"/>
              </w:rPr>
              <w:t>Poor</w:t>
            </w:r>
          </w:p>
        </w:tc>
      </w:tr>
      <w:tr>
        <w:trPr>
          <w:trHeight w:val="427" w:hRule="atLeast"/>
        </w:trPr>
        <w:tc>
          <w:tcPr>
            <w:tcW w:w="2375" w:type="dxa"/>
          </w:tcPr>
          <w:p>
            <w:pPr>
              <w:pStyle w:val="TableParagraph"/>
              <w:spacing w:before="60"/>
              <w:ind w:left="141"/>
              <w:rPr>
                <w:rFonts w:ascii="Calibri"/>
                <w:sz w:val="22"/>
              </w:rPr>
            </w:pPr>
            <w:r>
              <w:rPr>
                <w:rFonts w:ascii="Calibri"/>
                <w:spacing w:val="-2"/>
                <w:sz w:val="22"/>
              </w:rPr>
              <w:t>80:20</w:t>
            </w:r>
          </w:p>
        </w:tc>
        <w:tc>
          <w:tcPr>
            <w:tcW w:w="2616" w:type="dxa"/>
          </w:tcPr>
          <w:p>
            <w:pPr>
              <w:pStyle w:val="TableParagraph"/>
              <w:spacing w:before="60"/>
              <w:ind w:left="137"/>
              <w:rPr>
                <w:rFonts w:ascii="Calibri"/>
                <w:sz w:val="22"/>
              </w:rPr>
            </w:pPr>
            <w:r>
              <w:rPr>
                <w:rFonts w:ascii="Calibri"/>
                <w:spacing w:val="-5"/>
                <w:sz w:val="22"/>
              </w:rPr>
              <w:t>1.5</w:t>
            </w:r>
          </w:p>
        </w:tc>
        <w:tc>
          <w:tcPr>
            <w:tcW w:w="4870" w:type="dxa"/>
          </w:tcPr>
          <w:p>
            <w:pPr>
              <w:pStyle w:val="TableParagraph"/>
              <w:spacing w:before="60"/>
              <w:ind w:left="310"/>
              <w:rPr>
                <w:rFonts w:ascii="Calibri"/>
                <w:sz w:val="22"/>
              </w:rPr>
            </w:pPr>
            <w:r>
              <w:rPr>
                <w:rFonts w:ascii="Calibri"/>
                <w:spacing w:val="-4"/>
                <w:sz w:val="22"/>
              </w:rPr>
              <w:t>Poor</w:t>
            </w:r>
          </w:p>
        </w:tc>
      </w:tr>
      <w:tr>
        <w:trPr>
          <w:trHeight w:val="500" w:hRule="atLeast"/>
        </w:trPr>
        <w:tc>
          <w:tcPr>
            <w:tcW w:w="2375" w:type="dxa"/>
            <w:tcBorders>
              <w:bottom w:val="single" w:sz="4" w:space="0" w:color="000000"/>
            </w:tcBorders>
          </w:tcPr>
          <w:p>
            <w:pPr>
              <w:pStyle w:val="TableParagraph"/>
              <w:spacing w:before="60"/>
              <w:ind w:left="141"/>
              <w:rPr>
                <w:rFonts w:ascii="Calibri"/>
                <w:sz w:val="22"/>
              </w:rPr>
            </w:pPr>
            <w:r>
              <w:rPr>
                <w:rFonts w:ascii="Calibri"/>
                <w:spacing w:val="-2"/>
                <w:sz w:val="22"/>
              </w:rPr>
              <w:t>90:10</w:t>
            </w:r>
          </w:p>
        </w:tc>
        <w:tc>
          <w:tcPr>
            <w:tcW w:w="2616" w:type="dxa"/>
            <w:tcBorders>
              <w:bottom w:val="single" w:sz="4" w:space="0" w:color="000000"/>
            </w:tcBorders>
          </w:tcPr>
          <w:p>
            <w:pPr>
              <w:pStyle w:val="TableParagraph"/>
              <w:spacing w:before="60"/>
              <w:ind w:left="137"/>
              <w:rPr>
                <w:rFonts w:ascii="Calibri"/>
                <w:sz w:val="22"/>
              </w:rPr>
            </w:pPr>
            <w:r>
              <w:rPr>
                <w:rFonts w:ascii="Calibri"/>
                <w:spacing w:val="-5"/>
                <w:sz w:val="22"/>
              </w:rPr>
              <w:t>1.0</w:t>
            </w:r>
          </w:p>
        </w:tc>
        <w:tc>
          <w:tcPr>
            <w:tcW w:w="4870" w:type="dxa"/>
            <w:tcBorders>
              <w:bottom w:val="single" w:sz="4" w:space="0" w:color="000000"/>
            </w:tcBorders>
          </w:tcPr>
          <w:p>
            <w:pPr>
              <w:pStyle w:val="TableParagraph"/>
              <w:spacing w:before="60"/>
              <w:ind w:left="310"/>
              <w:rPr>
                <w:rFonts w:ascii="Calibri"/>
                <w:sz w:val="22"/>
              </w:rPr>
            </w:pPr>
            <w:r>
              <w:rPr>
                <w:rFonts w:ascii="Calibri"/>
                <w:spacing w:val="-4"/>
                <w:sz w:val="22"/>
              </w:rPr>
              <w:t>Poor</w:t>
            </w:r>
          </w:p>
        </w:tc>
      </w:tr>
    </w:tbl>
    <w:p>
      <w:pPr>
        <w:pStyle w:val="BodyText"/>
        <w:spacing w:before="237"/>
        <w:rPr>
          <w:b/>
        </w:rPr>
      </w:pPr>
    </w:p>
    <w:p>
      <w:pPr>
        <w:pStyle w:val="BodyText"/>
        <w:ind w:left="2201"/>
      </w:pPr>
      <w:r>
        <w:rPr/>
        <w:t>MCS</w:t>
      </w:r>
      <w:r>
        <w:rPr>
          <w:spacing w:val="11"/>
        </w:rPr>
        <w:t> </w:t>
      </w:r>
      <w:r>
        <w:rPr/>
        <w:t>=</w:t>
      </w:r>
      <w:r>
        <w:rPr>
          <w:spacing w:val="9"/>
        </w:rPr>
        <w:t> </w:t>
      </w:r>
      <w:r>
        <w:rPr/>
        <w:t>Microcrystalline</w:t>
      </w:r>
      <w:r>
        <w:rPr>
          <w:spacing w:val="13"/>
        </w:rPr>
        <w:t> </w:t>
      </w:r>
      <w:r>
        <w:rPr/>
        <w:t>Starch,</w:t>
      </w:r>
      <w:r>
        <w:rPr>
          <w:spacing w:val="18"/>
        </w:rPr>
        <w:t> </w:t>
      </w:r>
      <w:r>
        <w:rPr/>
        <w:t>MET=</w:t>
      </w:r>
      <w:r>
        <w:rPr>
          <w:spacing w:val="15"/>
        </w:rPr>
        <w:t> </w:t>
      </w:r>
      <w:r>
        <w:rPr>
          <w:spacing w:val="-2"/>
        </w:rPr>
        <w:t>Metronidazole</w:t>
      </w:r>
    </w:p>
    <w:p>
      <w:pPr>
        <w:pStyle w:val="BodyText"/>
        <w:spacing w:before="108"/>
      </w:pPr>
    </w:p>
    <w:p>
      <w:pPr>
        <w:pStyle w:val="Heading2"/>
        <w:numPr>
          <w:ilvl w:val="1"/>
          <w:numId w:val="35"/>
        </w:numPr>
        <w:tabs>
          <w:tab w:pos="1342" w:val="left" w:leader="none"/>
        </w:tabs>
        <w:spacing w:line="240" w:lineRule="auto" w:before="0" w:after="0"/>
        <w:ind w:left="1342" w:right="0" w:hanging="677"/>
        <w:jc w:val="left"/>
      </w:pPr>
      <w:bookmarkStart w:name="_TOC_250031" w:id="130"/>
      <w:r>
        <w:rPr/>
        <w:t>Physical</w:t>
      </w:r>
      <w:r>
        <w:rPr>
          <w:spacing w:val="21"/>
        </w:rPr>
        <w:t> </w:t>
      </w:r>
      <w:r>
        <w:rPr/>
        <w:t>properties</w:t>
      </w:r>
      <w:r>
        <w:rPr>
          <w:spacing w:val="9"/>
        </w:rPr>
        <w:t> </w:t>
      </w:r>
      <w:r>
        <w:rPr/>
        <w:t>of</w:t>
      </w:r>
      <w:r>
        <w:rPr>
          <w:spacing w:val="19"/>
        </w:rPr>
        <w:t> </w:t>
      </w:r>
      <w:r>
        <w:rPr/>
        <w:t>metronidazole</w:t>
      </w:r>
      <w:r>
        <w:rPr>
          <w:spacing w:val="12"/>
        </w:rPr>
        <w:t> </w:t>
      </w:r>
      <w:bookmarkEnd w:id="130"/>
      <w:r>
        <w:rPr>
          <w:spacing w:val="-2"/>
        </w:rPr>
        <w:t>granules</w:t>
      </w:r>
    </w:p>
    <w:p>
      <w:pPr>
        <w:pStyle w:val="BodyText"/>
        <w:spacing w:line="491" w:lineRule="auto" w:before="206"/>
        <w:ind w:left="665" w:right="1856"/>
        <w:jc w:val="both"/>
      </w:pPr>
      <w:r>
        <w:rPr/>
        <w:t>The effects of disintegrant and binder concentrations on the physical properties of metronidazole granules are presented in Table 4.6 and 4.7 respectively. Table 4.6 show that the values of angle of repose at all disintegrant concentrations was ≤ 36.03 </w:t>
      </w:r>
      <w:r>
        <w:rPr>
          <w:vertAlign w:val="superscript"/>
        </w:rPr>
        <w:t>o</w:t>
      </w:r>
      <w:r>
        <w:rPr>
          <w:vertAlign w:val="baseline"/>
        </w:rPr>
        <w:t>. The values of the flow parameters indicate that the granules have good flow properties. The Carr`s index and Hausner`s ratio values were computed from bulk density and tapped density values. The Carr`s index values at all concentrations were ≤ 16.67 % and the Hausner`s ratio values were ≤ 1.2.</w:t>
      </w:r>
      <w:r>
        <w:rPr>
          <w:spacing w:val="40"/>
          <w:vertAlign w:val="baseline"/>
        </w:rPr>
        <w:t> </w:t>
      </w:r>
      <w:r>
        <w:rPr>
          <w:vertAlign w:val="baseline"/>
        </w:rPr>
        <w:t>These parameters indicate that the granules have a</w:t>
      </w:r>
      <w:r>
        <w:rPr>
          <w:spacing w:val="40"/>
          <w:vertAlign w:val="baseline"/>
        </w:rPr>
        <w:t> </w:t>
      </w:r>
      <w:r>
        <w:rPr>
          <w:vertAlign w:val="baseline"/>
        </w:rPr>
        <w:t>good</w:t>
      </w:r>
      <w:r>
        <w:rPr>
          <w:spacing w:val="21"/>
          <w:vertAlign w:val="baseline"/>
        </w:rPr>
        <w:t> </w:t>
      </w:r>
      <w:r>
        <w:rPr>
          <w:vertAlign w:val="baseline"/>
        </w:rPr>
        <w:t>compressibility profile.</w:t>
      </w:r>
      <w:r>
        <w:rPr>
          <w:spacing w:val="24"/>
          <w:vertAlign w:val="baseline"/>
        </w:rPr>
        <w:t> </w:t>
      </w:r>
      <w:r>
        <w:rPr>
          <w:vertAlign w:val="baseline"/>
        </w:rPr>
        <w:t>A</w:t>
      </w:r>
      <w:r>
        <w:rPr>
          <w:spacing w:val="23"/>
          <w:vertAlign w:val="baseline"/>
        </w:rPr>
        <w:t> </w:t>
      </w:r>
      <w:r>
        <w:rPr>
          <w:vertAlign w:val="baseline"/>
        </w:rPr>
        <w:t>similar</w:t>
      </w:r>
      <w:r>
        <w:rPr>
          <w:spacing w:val="24"/>
          <w:vertAlign w:val="baseline"/>
        </w:rPr>
        <w:t> </w:t>
      </w:r>
      <w:r>
        <w:rPr>
          <w:vertAlign w:val="baseline"/>
        </w:rPr>
        <w:t>result</w:t>
      </w:r>
      <w:r>
        <w:rPr>
          <w:spacing w:val="28"/>
          <w:vertAlign w:val="baseline"/>
        </w:rPr>
        <w:t> </w:t>
      </w:r>
      <w:r>
        <w:rPr>
          <w:vertAlign w:val="baseline"/>
        </w:rPr>
        <w:t>was</w:t>
      </w:r>
      <w:r>
        <w:rPr>
          <w:spacing w:val="21"/>
          <w:vertAlign w:val="baseline"/>
        </w:rPr>
        <w:t> </w:t>
      </w:r>
      <w:r>
        <w:rPr>
          <w:vertAlign w:val="baseline"/>
        </w:rPr>
        <w:t>also</w:t>
      </w:r>
      <w:r>
        <w:rPr>
          <w:spacing w:val="19"/>
          <w:vertAlign w:val="baseline"/>
        </w:rPr>
        <w:t> </w:t>
      </w:r>
      <w:r>
        <w:rPr>
          <w:vertAlign w:val="baseline"/>
        </w:rPr>
        <w:t>obtained</w:t>
      </w:r>
      <w:r>
        <w:rPr>
          <w:spacing w:val="25"/>
          <w:vertAlign w:val="baseline"/>
        </w:rPr>
        <w:t> </w:t>
      </w:r>
      <w:r>
        <w:rPr>
          <w:vertAlign w:val="baseline"/>
        </w:rPr>
        <w:t>in</w:t>
      </w:r>
      <w:r>
        <w:rPr>
          <w:spacing w:val="21"/>
          <w:vertAlign w:val="baseline"/>
        </w:rPr>
        <w:t> </w:t>
      </w:r>
      <w:r>
        <w:rPr>
          <w:vertAlign w:val="baseline"/>
        </w:rPr>
        <w:t>Table 4.7</w:t>
      </w:r>
      <w:r>
        <w:rPr>
          <w:spacing w:val="25"/>
          <w:vertAlign w:val="baseline"/>
        </w:rPr>
        <w:t> </w:t>
      </w:r>
      <w:r>
        <w:rPr>
          <w:vertAlign w:val="baseline"/>
        </w:rPr>
        <w:t>with angle of</w:t>
      </w:r>
      <w:r>
        <w:rPr>
          <w:spacing w:val="14"/>
          <w:vertAlign w:val="baseline"/>
        </w:rPr>
        <w:t> </w:t>
      </w:r>
      <w:r>
        <w:rPr>
          <w:vertAlign w:val="baseline"/>
        </w:rPr>
        <w:t>repose,</w:t>
      </w:r>
      <w:r>
        <w:rPr>
          <w:spacing w:val="19"/>
          <w:vertAlign w:val="baseline"/>
        </w:rPr>
        <w:t> </w:t>
      </w:r>
      <w:r>
        <w:rPr>
          <w:vertAlign w:val="baseline"/>
        </w:rPr>
        <w:t>Carr`s</w:t>
      </w:r>
      <w:r>
        <w:rPr>
          <w:spacing w:val="17"/>
          <w:vertAlign w:val="baseline"/>
        </w:rPr>
        <w:t> </w:t>
      </w:r>
      <w:r>
        <w:rPr>
          <w:vertAlign w:val="baseline"/>
        </w:rPr>
        <w:t>index</w:t>
      </w:r>
      <w:r>
        <w:rPr>
          <w:spacing w:val="15"/>
          <w:vertAlign w:val="baseline"/>
        </w:rPr>
        <w:t> </w:t>
      </w:r>
      <w:r>
        <w:rPr>
          <w:vertAlign w:val="baseline"/>
        </w:rPr>
        <w:t>and</w:t>
      </w:r>
      <w:r>
        <w:rPr>
          <w:spacing w:val="20"/>
          <w:vertAlign w:val="baseline"/>
        </w:rPr>
        <w:t> </w:t>
      </w:r>
      <w:r>
        <w:rPr>
          <w:vertAlign w:val="baseline"/>
        </w:rPr>
        <w:t>Hausner`s</w:t>
      </w:r>
      <w:r>
        <w:rPr>
          <w:spacing w:val="17"/>
          <w:vertAlign w:val="baseline"/>
        </w:rPr>
        <w:t> </w:t>
      </w:r>
      <w:r>
        <w:rPr>
          <w:vertAlign w:val="baseline"/>
        </w:rPr>
        <w:t>ratio</w:t>
      </w:r>
      <w:r>
        <w:rPr>
          <w:spacing w:val="26"/>
          <w:vertAlign w:val="baseline"/>
        </w:rPr>
        <w:t> </w:t>
      </w:r>
      <w:r>
        <w:rPr>
          <w:vertAlign w:val="baseline"/>
        </w:rPr>
        <w:t>values</w:t>
      </w:r>
      <w:r>
        <w:rPr>
          <w:spacing w:val="21"/>
          <w:vertAlign w:val="baseline"/>
        </w:rPr>
        <w:t> </w:t>
      </w:r>
      <w:r>
        <w:rPr>
          <w:vertAlign w:val="baseline"/>
        </w:rPr>
        <w:t>at</w:t>
      </w:r>
      <w:r>
        <w:rPr>
          <w:spacing w:val="24"/>
          <w:vertAlign w:val="baseline"/>
        </w:rPr>
        <w:t> </w:t>
      </w:r>
      <w:r>
        <w:rPr>
          <w:vertAlign w:val="baseline"/>
        </w:rPr>
        <w:t>all</w:t>
      </w:r>
      <w:r>
        <w:rPr>
          <w:spacing w:val="18"/>
          <w:vertAlign w:val="baseline"/>
        </w:rPr>
        <w:t> </w:t>
      </w:r>
      <w:r>
        <w:rPr>
          <w:vertAlign w:val="baseline"/>
        </w:rPr>
        <w:t>binder</w:t>
      </w:r>
      <w:r>
        <w:rPr>
          <w:spacing w:val="20"/>
          <w:vertAlign w:val="baseline"/>
        </w:rPr>
        <w:t> </w:t>
      </w:r>
      <w:r>
        <w:rPr>
          <w:vertAlign w:val="baseline"/>
        </w:rPr>
        <w:t>concentrations</w:t>
      </w:r>
      <w:r>
        <w:rPr>
          <w:spacing w:val="17"/>
          <w:vertAlign w:val="baseline"/>
        </w:rPr>
        <w:t> </w:t>
      </w:r>
      <w:r>
        <w:rPr>
          <w:vertAlign w:val="baseline"/>
        </w:rPr>
        <w:t>≤</w:t>
      </w:r>
      <w:r>
        <w:rPr>
          <w:spacing w:val="19"/>
          <w:vertAlign w:val="baseline"/>
        </w:rPr>
        <w:t> </w:t>
      </w:r>
      <w:r>
        <w:rPr>
          <w:vertAlign w:val="baseline"/>
        </w:rPr>
        <w:t>36.03</w:t>
      </w:r>
      <w:r>
        <w:rPr>
          <w:vertAlign w:val="superscript"/>
        </w:rPr>
        <w:t>o</w:t>
      </w:r>
      <w:r>
        <w:rPr>
          <w:vertAlign w:val="baseline"/>
        </w:rPr>
        <w:t>,</w:t>
      </w:r>
    </w:p>
    <w:p>
      <w:pPr>
        <w:spacing w:after="0" w:line="491" w:lineRule="auto"/>
        <w:jc w:val="both"/>
        <w:sectPr>
          <w:pgSz w:w="12240" w:h="15840"/>
          <w:pgMar w:header="0" w:footer="999" w:top="1260" w:bottom="1180" w:left="1720" w:right="0"/>
        </w:sectPr>
      </w:pPr>
    </w:p>
    <w:p>
      <w:pPr>
        <w:pStyle w:val="BodyText"/>
        <w:spacing w:line="491" w:lineRule="auto" w:before="75"/>
        <w:ind w:left="665" w:right="1858"/>
      </w:pPr>
      <w:r>
        <w:rPr/>
        <w:t>13.56</w:t>
      </w:r>
      <w:r>
        <w:rPr>
          <w:spacing w:val="80"/>
        </w:rPr>
        <w:t> </w:t>
      </w:r>
      <w:r>
        <w:rPr/>
        <w:t>%</w:t>
      </w:r>
      <w:r>
        <w:rPr>
          <w:spacing w:val="79"/>
        </w:rPr>
        <w:t> </w:t>
      </w:r>
      <w:r>
        <w:rPr/>
        <w:t>and</w:t>
      </w:r>
      <w:r>
        <w:rPr>
          <w:spacing w:val="80"/>
        </w:rPr>
        <w:t> </w:t>
      </w:r>
      <w:r>
        <w:rPr/>
        <w:t>1.16</w:t>
      </w:r>
      <w:r>
        <w:rPr>
          <w:spacing w:val="80"/>
        </w:rPr>
        <w:t> </w:t>
      </w:r>
      <w:r>
        <w:rPr/>
        <w:t>respectively.</w:t>
      </w:r>
      <w:r>
        <w:rPr>
          <w:spacing w:val="80"/>
        </w:rPr>
        <w:t> </w:t>
      </w:r>
      <w:r>
        <w:rPr/>
        <w:t>These</w:t>
      </w:r>
      <w:r>
        <w:rPr>
          <w:spacing w:val="80"/>
        </w:rPr>
        <w:t> </w:t>
      </w:r>
      <w:r>
        <w:rPr/>
        <w:t>parameters</w:t>
      </w:r>
      <w:r>
        <w:rPr>
          <w:spacing w:val="80"/>
        </w:rPr>
        <w:t> </w:t>
      </w:r>
      <w:r>
        <w:rPr/>
        <w:t>reveal</w:t>
      </w:r>
      <w:r>
        <w:rPr>
          <w:spacing w:val="80"/>
        </w:rPr>
        <w:t> </w:t>
      </w:r>
      <w:r>
        <w:rPr/>
        <w:t>the</w:t>
      </w:r>
      <w:r>
        <w:rPr>
          <w:spacing w:val="80"/>
        </w:rPr>
        <w:t> </w:t>
      </w:r>
      <w:r>
        <w:rPr/>
        <w:t>granules</w:t>
      </w:r>
      <w:r>
        <w:rPr>
          <w:spacing w:val="80"/>
        </w:rPr>
        <w:t> </w:t>
      </w:r>
      <w:r>
        <w:rPr/>
        <w:t>good</w:t>
      </w:r>
      <w:r>
        <w:rPr>
          <w:spacing w:val="80"/>
        </w:rPr>
        <w:t> </w:t>
      </w:r>
      <w:r>
        <w:rPr/>
        <w:t>flow properties and compressibility profile.</w:t>
      </w:r>
    </w:p>
    <w:p>
      <w:pPr>
        <w:pStyle w:val="Heading2"/>
        <w:spacing w:line="244" w:lineRule="auto" w:before="4"/>
        <w:ind w:left="1683" w:right="1858" w:hanging="1018"/>
      </w:pPr>
      <w:r>
        <w:rPr/>
        <w:t>Table 4.6: Effects of Disintegrant Concentration on the Physical Properties of the </w:t>
      </w:r>
      <w:r>
        <w:rPr>
          <w:spacing w:val="-2"/>
        </w:rPr>
        <w:t>granules.</w:t>
      </w:r>
    </w:p>
    <w:p>
      <w:pPr>
        <w:pStyle w:val="BodyText"/>
        <w:spacing w:before="31"/>
        <w:rPr>
          <w:b/>
          <w:sz w:val="20"/>
        </w:rPr>
      </w:pP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6"/>
        <w:gridCol w:w="1036"/>
        <w:gridCol w:w="922"/>
        <w:gridCol w:w="1075"/>
        <w:gridCol w:w="1010"/>
        <w:gridCol w:w="1032"/>
        <w:gridCol w:w="1807"/>
      </w:tblGrid>
      <w:tr>
        <w:trPr>
          <w:trHeight w:val="507" w:hRule="atLeast"/>
        </w:trPr>
        <w:tc>
          <w:tcPr>
            <w:tcW w:w="1596" w:type="dxa"/>
            <w:tcBorders>
              <w:top w:val="single" w:sz="4" w:space="0" w:color="000000"/>
            </w:tcBorders>
          </w:tcPr>
          <w:p>
            <w:pPr>
              <w:pStyle w:val="TableParagraph"/>
              <w:spacing w:line="260" w:lineRule="exact"/>
              <w:ind w:left="100"/>
              <w:rPr>
                <w:b/>
                <w:sz w:val="22"/>
              </w:rPr>
            </w:pPr>
            <w:r>
              <w:rPr>
                <w:b/>
                <w:spacing w:val="-2"/>
                <w:sz w:val="22"/>
              </w:rPr>
              <w:t>Disintegrant Concentration</w:t>
            </w:r>
          </w:p>
        </w:tc>
        <w:tc>
          <w:tcPr>
            <w:tcW w:w="1036" w:type="dxa"/>
            <w:tcBorders>
              <w:top w:val="single" w:sz="4" w:space="0" w:color="000000"/>
            </w:tcBorders>
          </w:tcPr>
          <w:p>
            <w:pPr>
              <w:pStyle w:val="TableParagraph"/>
              <w:spacing w:line="260" w:lineRule="exact"/>
              <w:ind w:left="103"/>
              <w:rPr>
                <w:b/>
                <w:sz w:val="22"/>
              </w:rPr>
            </w:pPr>
            <w:r>
              <w:rPr>
                <w:b/>
                <w:sz w:val="22"/>
              </w:rPr>
              <w:t>Angle</w:t>
            </w:r>
            <w:r>
              <w:rPr>
                <w:b/>
                <w:spacing w:val="-14"/>
                <w:sz w:val="22"/>
              </w:rPr>
              <w:t> </w:t>
            </w:r>
            <w:r>
              <w:rPr>
                <w:b/>
                <w:sz w:val="22"/>
              </w:rPr>
              <w:t>of </w:t>
            </w:r>
            <w:r>
              <w:rPr>
                <w:b/>
                <w:spacing w:val="-2"/>
                <w:sz w:val="22"/>
              </w:rPr>
              <w:t>Repose</w:t>
            </w:r>
          </w:p>
        </w:tc>
        <w:tc>
          <w:tcPr>
            <w:tcW w:w="922" w:type="dxa"/>
            <w:tcBorders>
              <w:top w:val="single" w:sz="4" w:space="0" w:color="000000"/>
            </w:tcBorders>
          </w:tcPr>
          <w:p>
            <w:pPr>
              <w:pStyle w:val="TableParagraph"/>
              <w:spacing w:line="260" w:lineRule="exact"/>
              <w:ind w:left="123"/>
              <w:rPr>
                <w:b/>
                <w:sz w:val="22"/>
              </w:rPr>
            </w:pPr>
            <w:r>
              <w:rPr>
                <w:b/>
                <w:spacing w:val="-4"/>
                <w:sz w:val="22"/>
              </w:rPr>
              <w:t>Flow Rate</w:t>
            </w:r>
          </w:p>
        </w:tc>
        <w:tc>
          <w:tcPr>
            <w:tcW w:w="1075" w:type="dxa"/>
            <w:tcBorders>
              <w:top w:val="single" w:sz="4" w:space="0" w:color="000000"/>
            </w:tcBorders>
          </w:tcPr>
          <w:p>
            <w:pPr>
              <w:pStyle w:val="TableParagraph"/>
              <w:spacing w:line="260" w:lineRule="exact"/>
              <w:ind w:left="180"/>
              <w:rPr>
                <w:b/>
                <w:sz w:val="22"/>
              </w:rPr>
            </w:pPr>
            <w:r>
              <w:rPr>
                <w:b/>
                <w:spacing w:val="-4"/>
                <w:sz w:val="22"/>
              </w:rPr>
              <w:t>Bulk </w:t>
            </w:r>
            <w:r>
              <w:rPr>
                <w:b/>
                <w:spacing w:val="-2"/>
                <w:sz w:val="22"/>
              </w:rPr>
              <w:t>Density</w:t>
            </w:r>
          </w:p>
        </w:tc>
        <w:tc>
          <w:tcPr>
            <w:tcW w:w="1010" w:type="dxa"/>
            <w:tcBorders>
              <w:top w:val="single" w:sz="4" w:space="0" w:color="000000"/>
            </w:tcBorders>
          </w:tcPr>
          <w:p>
            <w:pPr>
              <w:pStyle w:val="TableParagraph"/>
              <w:spacing w:line="260" w:lineRule="exact"/>
              <w:ind w:left="166" w:right="102"/>
              <w:rPr>
                <w:b/>
                <w:sz w:val="22"/>
              </w:rPr>
            </w:pPr>
            <w:r>
              <w:rPr>
                <w:b/>
                <w:spacing w:val="-2"/>
                <w:sz w:val="22"/>
              </w:rPr>
              <w:t>Tapped density</w:t>
            </w:r>
          </w:p>
        </w:tc>
        <w:tc>
          <w:tcPr>
            <w:tcW w:w="1032" w:type="dxa"/>
            <w:tcBorders>
              <w:top w:val="single" w:sz="4" w:space="0" w:color="000000"/>
            </w:tcBorders>
          </w:tcPr>
          <w:p>
            <w:pPr>
              <w:pStyle w:val="TableParagraph"/>
              <w:spacing w:line="260" w:lineRule="exact"/>
              <w:ind w:left="101"/>
              <w:rPr>
                <w:b/>
                <w:sz w:val="22"/>
              </w:rPr>
            </w:pPr>
            <w:r>
              <w:rPr>
                <w:b/>
                <w:spacing w:val="-2"/>
                <w:sz w:val="22"/>
              </w:rPr>
              <w:t>Carr’s Index</w:t>
            </w:r>
          </w:p>
        </w:tc>
        <w:tc>
          <w:tcPr>
            <w:tcW w:w="1807" w:type="dxa"/>
            <w:tcBorders>
              <w:top w:val="single" w:sz="4" w:space="0" w:color="000000"/>
            </w:tcBorders>
          </w:tcPr>
          <w:p>
            <w:pPr>
              <w:pStyle w:val="TableParagraph"/>
              <w:spacing w:line="260" w:lineRule="exact"/>
              <w:ind w:left="284" w:right="92"/>
              <w:rPr>
                <w:b/>
                <w:sz w:val="22"/>
              </w:rPr>
            </w:pPr>
            <w:r>
              <w:rPr>
                <w:b/>
                <w:spacing w:val="-2"/>
                <w:sz w:val="22"/>
              </w:rPr>
              <w:t>Hausner`s Ratio</w:t>
            </w:r>
          </w:p>
        </w:tc>
      </w:tr>
      <w:tr>
        <w:trPr>
          <w:trHeight w:val="299" w:hRule="atLeast"/>
        </w:trPr>
        <w:tc>
          <w:tcPr>
            <w:tcW w:w="1596" w:type="dxa"/>
            <w:tcBorders>
              <w:bottom w:val="single" w:sz="4" w:space="0" w:color="000000"/>
            </w:tcBorders>
          </w:tcPr>
          <w:p>
            <w:pPr>
              <w:pStyle w:val="TableParagraph"/>
              <w:spacing w:before="4"/>
              <w:ind w:left="100"/>
              <w:rPr>
                <w:b/>
                <w:sz w:val="22"/>
              </w:rPr>
            </w:pPr>
            <w:r>
              <w:rPr>
                <w:b/>
                <w:sz w:val="22"/>
              </w:rPr>
              <w:t>(%</w:t>
            </w:r>
            <w:r>
              <w:rPr>
                <w:b/>
                <w:spacing w:val="8"/>
                <w:sz w:val="22"/>
              </w:rPr>
              <w:t> </w:t>
            </w:r>
            <w:r>
              <w:rPr>
                <w:b/>
                <w:spacing w:val="-4"/>
                <w:sz w:val="22"/>
              </w:rPr>
              <w:t>w/w)</w:t>
            </w:r>
          </w:p>
        </w:tc>
        <w:tc>
          <w:tcPr>
            <w:tcW w:w="1036" w:type="dxa"/>
            <w:tcBorders>
              <w:bottom w:val="single" w:sz="4" w:space="0" w:color="000000"/>
            </w:tcBorders>
          </w:tcPr>
          <w:p>
            <w:pPr>
              <w:pStyle w:val="TableParagraph"/>
              <w:spacing w:before="4"/>
              <w:ind w:left="103"/>
              <w:rPr>
                <w:b/>
                <w:sz w:val="22"/>
              </w:rPr>
            </w:pPr>
            <w:r>
              <w:rPr>
                <w:b/>
                <w:spacing w:val="-5"/>
                <w:w w:val="105"/>
                <w:sz w:val="22"/>
              </w:rPr>
              <w:t>(</w:t>
            </w:r>
            <w:r>
              <w:rPr>
                <w:b/>
                <w:spacing w:val="-5"/>
                <w:w w:val="105"/>
                <w:sz w:val="22"/>
                <w:vertAlign w:val="superscript"/>
              </w:rPr>
              <w:t>o</w:t>
            </w:r>
            <w:r>
              <w:rPr>
                <w:b/>
                <w:spacing w:val="-5"/>
                <w:w w:val="105"/>
                <w:sz w:val="22"/>
                <w:vertAlign w:val="baseline"/>
              </w:rPr>
              <w:t>)</w:t>
            </w:r>
          </w:p>
        </w:tc>
        <w:tc>
          <w:tcPr>
            <w:tcW w:w="922" w:type="dxa"/>
            <w:tcBorders>
              <w:bottom w:val="single" w:sz="4" w:space="0" w:color="000000"/>
            </w:tcBorders>
          </w:tcPr>
          <w:p>
            <w:pPr>
              <w:pStyle w:val="TableParagraph"/>
              <w:spacing w:before="4"/>
              <w:ind w:left="123"/>
              <w:rPr>
                <w:b/>
                <w:sz w:val="22"/>
              </w:rPr>
            </w:pPr>
            <w:r>
              <w:rPr>
                <w:b/>
                <w:spacing w:val="-2"/>
                <w:sz w:val="22"/>
              </w:rPr>
              <w:t>(g/sec)</w:t>
            </w:r>
          </w:p>
        </w:tc>
        <w:tc>
          <w:tcPr>
            <w:tcW w:w="1075" w:type="dxa"/>
            <w:tcBorders>
              <w:bottom w:val="single" w:sz="4" w:space="0" w:color="000000"/>
            </w:tcBorders>
          </w:tcPr>
          <w:p>
            <w:pPr>
              <w:pStyle w:val="TableParagraph"/>
              <w:spacing w:before="4"/>
              <w:ind w:left="180"/>
              <w:rPr>
                <w:b/>
                <w:sz w:val="22"/>
              </w:rPr>
            </w:pPr>
            <w:r>
              <w:rPr>
                <w:b/>
                <w:spacing w:val="-2"/>
                <w:sz w:val="22"/>
              </w:rPr>
              <w:t>(g/dm</w:t>
            </w:r>
            <w:r>
              <w:rPr>
                <w:b/>
                <w:spacing w:val="-2"/>
                <w:sz w:val="22"/>
                <w:vertAlign w:val="superscript"/>
              </w:rPr>
              <w:t>3</w:t>
            </w:r>
            <w:r>
              <w:rPr>
                <w:b/>
                <w:spacing w:val="-2"/>
                <w:sz w:val="22"/>
                <w:vertAlign w:val="baseline"/>
              </w:rPr>
              <w:t>)</w:t>
            </w:r>
          </w:p>
        </w:tc>
        <w:tc>
          <w:tcPr>
            <w:tcW w:w="1010" w:type="dxa"/>
            <w:tcBorders>
              <w:bottom w:val="single" w:sz="4" w:space="0" w:color="000000"/>
            </w:tcBorders>
          </w:tcPr>
          <w:p>
            <w:pPr>
              <w:pStyle w:val="TableParagraph"/>
              <w:spacing w:before="4"/>
              <w:ind w:left="166"/>
              <w:rPr>
                <w:b/>
                <w:sz w:val="22"/>
              </w:rPr>
            </w:pPr>
            <w:r>
              <w:rPr>
                <w:b/>
                <w:spacing w:val="-2"/>
                <w:sz w:val="22"/>
              </w:rPr>
              <w:t>(g/dm</w:t>
            </w:r>
            <w:r>
              <w:rPr>
                <w:b/>
                <w:spacing w:val="-2"/>
                <w:sz w:val="22"/>
                <w:vertAlign w:val="superscript"/>
              </w:rPr>
              <w:t>3</w:t>
            </w:r>
            <w:r>
              <w:rPr>
                <w:b/>
                <w:spacing w:val="-2"/>
                <w:sz w:val="22"/>
                <w:vertAlign w:val="baseline"/>
              </w:rPr>
              <w:t>)</w:t>
            </w:r>
          </w:p>
        </w:tc>
        <w:tc>
          <w:tcPr>
            <w:tcW w:w="1032" w:type="dxa"/>
            <w:tcBorders>
              <w:bottom w:val="single" w:sz="4" w:space="0" w:color="000000"/>
            </w:tcBorders>
          </w:tcPr>
          <w:p>
            <w:pPr>
              <w:pStyle w:val="TableParagraph"/>
              <w:spacing w:before="4"/>
              <w:ind w:left="101"/>
              <w:rPr>
                <w:b/>
                <w:sz w:val="22"/>
              </w:rPr>
            </w:pPr>
            <w:r>
              <w:rPr>
                <w:b/>
                <w:spacing w:val="-5"/>
                <w:sz w:val="22"/>
              </w:rPr>
              <w:t>(%)</w:t>
            </w:r>
          </w:p>
        </w:tc>
        <w:tc>
          <w:tcPr>
            <w:tcW w:w="1807" w:type="dxa"/>
            <w:tcBorders>
              <w:bottom w:val="single" w:sz="4" w:space="0" w:color="000000"/>
            </w:tcBorders>
          </w:tcPr>
          <w:p>
            <w:pPr>
              <w:pStyle w:val="TableParagraph"/>
              <w:rPr>
                <w:sz w:val="22"/>
              </w:rPr>
            </w:pPr>
          </w:p>
        </w:tc>
      </w:tr>
      <w:tr>
        <w:trPr>
          <w:trHeight w:val="324" w:hRule="atLeast"/>
        </w:trPr>
        <w:tc>
          <w:tcPr>
            <w:tcW w:w="1596" w:type="dxa"/>
            <w:tcBorders>
              <w:top w:val="single" w:sz="4" w:space="0" w:color="000000"/>
            </w:tcBorders>
          </w:tcPr>
          <w:p>
            <w:pPr>
              <w:pStyle w:val="TableParagraph"/>
              <w:spacing w:before="1"/>
              <w:ind w:left="100"/>
              <w:rPr>
                <w:sz w:val="22"/>
              </w:rPr>
            </w:pPr>
            <w:r>
              <w:rPr>
                <w:sz w:val="22"/>
                <w:u w:val="single"/>
              </w:rPr>
              <w:t>2.5</w:t>
            </w:r>
            <w:r>
              <w:rPr>
                <w:spacing w:val="8"/>
                <w:sz w:val="22"/>
                <w:u w:val="single"/>
              </w:rPr>
              <w:t> </w:t>
            </w:r>
            <w:r>
              <w:rPr>
                <w:spacing w:val="-10"/>
                <w:sz w:val="22"/>
                <w:u w:val="single"/>
              </w:rPr>
              <w:t>%</w:t>
            </w:r>
          </w:p>
        </w:tc>
        <w:tc>
          <w:tcPr>
            <w:tcW w:w="1036" w:type="dxa"/>
            <w:tcBorders>
              <w:top w:val="single" w:sz="4" w:space="0" w:color="000000"/>
            </w:tcBorders>
          </w:tcPr>
          <w:p>
            <w:pPr>
              <w:pStyle w:val="TableParagraph"/>
              <w:rPr>
                <w:sz w:val="22"/>
              </w:rPr>
            </w:pPr>
          </w:p>
        </w:tc>
        <w:tc>
          <w:tcPr>
            <w:tcW w:w="922" w:type="dxa"/>
            <w:tcBorders>
              <w:top w:val="single" w:sz="4" w:space="0" w:color="000000"/>
            </w:tcBorders>
          </w:tcPr>
          <w:p>
            <w:pPr>
              <w:pStyle w:val="TableParagraph"/>
              <w:rPr>
                <w:sz w:val="22"/>
              </w:rPr>
            </w:pPr>
          </w:p>
        </w:tc>
        <w:tc>
          <w:tcPr>
            <w:tcW w:w="1075" w:type="dxa"/>
            <w:tcBorders>
              <w:top w:val="single" w:sz="4" w:space="0" w:color="000000"/>
            </w:tcBorders>
          </w:tcPr>
          <w:p>
            <w:pPr>
              <w:pStyle w:val="TableParagraph"/>
              <w:rPr>
                <w:sz w:val="22"/>
              </w:rPr>
            </w:pPr>
          </w:p>
        </w:tc>
        <w:tc>
          <w:tcPr>
            <w:tcW w:w="1010" w:type="dxa"/>
            <w:tcBorders>
              <w:top w:val="single" w:sz="4" w:space="0" w:color="000000"/>
            </w:tcBorders>
          </w:tcPr>
          <w:p>
            <w:pPr>
              <w:pStyle w:val="TableParagraph"/>
              <w:rPr>
                <w:sz w:val="22"/>
              </w:rPr>
            </w:pPr>
          </w:p>
        </w:tc>
        <w:tc>
          <w:tcPr>
            <w:tcW w:w="1032" w:type="dxa"/>
            <w:tcBorders>
              <w:top w:val="single" w:sz="4" w:space="0" w:color="000000"/>
            </w:tcBorders>
          </w:tcPr>
          <w:p>
            <w:pPr>
              <w:pStyle w:val="TableParagraph"/>
              <w:rPr>
                <w:sz w:val="22"/>
              </w:rPr>
            </w:pPr>
          </w:p>
        </w:tc>
        <w:tc>
          <w:tcPr>
            <w:tcW w:w="1807" w:type="dxa"/>
            <w:tcBorders>
              <w:top w:val="single" w:sz="4" w:space="0" w:color="000000"/>
            </w:tcBorders>
          </w:tcPr>
          <w:p>
            <w:pPr>
              <w:pStyle w:val="TableParagraph"/>
              <w:rPr>
                <w:sz w:val="22"/>
              </w:rPr>
            </w:pPr>
          </w:p>
        </w:tc>
      </w:tr>
      <w:tr>
        <w:trPr>
          <w:trHeight w:val="391" w:hRule="atLeast"/>
        </w:trPr>
        <w:tc>
          <w:tcPr>
            <w:tcW w:w="1596" w:type="dxa"/>
          </w:tcPr>
          <w:p>
            <w:pPr>
              <w:pStyle w:val="TableParagraph"/>
              <w:spacing w:before="65"/>
              <w:ind w:left="100"/>
              <w:rPr>
                <w:sz w:val="22"/>
              </w:rPr>
            </w:pPr>
            <w:r>
              <w:rPr>
                <w:spacing w:val="-5"/>
                <w:sz w:val="22"/>
              </w:rPr>
              <w:t>DS</w:t>
            </w:r>
          </w:p>
        </w:tc>
        <w:tc>
          <w:tcPr>
            <w:tcW w:w="1036" w:type="dxa"/>
          </w:tcPr>
          <w:p>
            <w:pPr>
              <w:pStyle w:val="TableParagraph"/>
              <w:spacing w:before="65"/>
              <w:ind w:left="103"/>
              <w:rPr>
                <w:sz w:val="22"/>
              </w:rPr>
            </w:pPr>
            <w:r>
              <w:rPr>
                <w:spacing w:val="-2"/>
                <w:sz w:val="22"/>
              </w:rPr>
              <w:t>33.02</w:t>
            </w:r>
          </w:p>
        </w:tc>
        <w:tc>
          <w:tcPr>
            <w:tcW w:w="922" w:type="dxa"/>
          </w:tcPr>
          <w:p>
            <w:pPr>
              <w:pStyle w:val="TableParagraph"/>
              <w:spacing w:before="65"/>
              <w:ind w:left="123"/>
              <w:rPr>
                <w:sz w:val="22"/>
              </w:rPr>
            </w:pPr>
            <w:r>
              <w:rPr>
                <w:spacing w:val="-4"/>
                <w:sz w:val="22"/>
              </w:rPr>
              <w:t>3.38</w:t>
            </w:r>
          </w:p>
        </w:tc>
        <w:tc>
          <w:tcPr>
            <w:tcW w:w="1075" w:type="dxa"/>
          </w:tcPr>
          <w:p>
            <w:pPr>
              <w:pStyle w:val="TableParagraph"/>
              <w:spacing w:before="65"/>
              <w:ind w:left="180"/>
              <w:rPr>
                <w:sz w:val="22"/>
              </w:rPr>
            </w:pPr>
            <w:r>
              <w:rPr>
                <w:spacing w:val="-4"/>
                <w:sz w:val="22"/>
              </w:rPr>
              <w:t>0.45</w:t>
            </w:r>
          </w:p>
        </w:tc>
        <w:tc>
          <w:tcPr>
            <w:tcW w:w="1010" w:type="dxa"/>
          </w:tcPr>
          <w:p>
            <w:pPr>
              <w:pStyle w:val="TableParagraph"/>
              <w:spacing w:before="65"/>
              <w:ind w:left="166"/>
              <w:rPr>
                <w:sz w:val="22"/>
              </w:rPr>
            </w:pPr>
            <w:r>
              <w:rPr>
                <w:spacing w:val="-4"/>
                <w:sz w:val="22"/>
              </w:rPr>
              <w:t>0.53</w:t>
            </w:r>
          </w:p>
        </w:tc>
        <w:tc>
          <w:tcPr>
            <w:tcW w:w="1032" w:type="dxa"/>
          </w:tcPr>
          <w:p>
            <w:pPr>
              <w:pStyle w:val="TableParagraph"/>
              <w:spacing w:before="65"/>
              <w:ind w:left="101"/>
              <w:rPr>
                <w:sz w:val="22"/>
              </w:rPr>
            </w:pPr>
            <w:r>
              <w:rPr>
                <w:spacing w:val="-2"/>
                <w:sz w:val="22"/>
              </w:rPr>
              <w:t>15.09</w:t>
            </w:r>
          </w:p>
        </w:tc>
        <w:tc>
          <w:tcPr>
            <w:tcW w:w="1807" w:type="dxa"/>
          </w:tcPr>
          <w:p>
            <w:pPr>
              <w:pStyle w:val="TableParagraph"/>
              <w:spacing w:before="65"/>
              <w:ind w:left="284"/>
              <w:rPr>
                <w:sz w:val="22"/>
              </w:rPr>
            </w:pPr>
            <w:r>
              <w:rPr>
                <w:spacing w:val="-4"/>
                <w:sz w:val="22"/>
              </w:rPr>
              <w:t>1.18</w:t>
            </w:r>
          </w:p>
        </w:tc>
      </w:tr>
      <w:tr>
        <w:trPr>
          <w:trHeight w:val="391" w:hRule="atLeast"/>
        </w:trPr>
        <w:tc>
          <w:tcPr>
            <w:tcW w:w="1596" w:type="dxa"/>
          </w:tcPr>
          <w:p>
            <w:pPr>
              <w:pStyle w:val="TableParagraph"/>
              <w:spacing w:before="67"/>
              <w:ind w:left="100"/>
              <w:rPr>
                <w:sz w:val="22"/>
              </w:rPr>
            </w:pPr>
            <w:r>
              <w:rPr>
                <w:spacing w:val="-5"/>
                <w:sz w:val="22"/>
              </w:rPr>
              <w:t>MCS</w:t>
            </w:r>
          </w:p>
        </w:tc>
        <w:tc>
          <w:tcPr>
            <w:tcW w:w="1036" w:type="dxa"/>
          </w:tcPr>
          <w:p>
            <w:pPr>
              <w:pStyle w:val="TableParagraph"/>
              <w:spacing w:before="67"/>
              <w:ind w:left="103"/>
              <w:rPr>
                <w:sz w:val="22"/>
              </w:rPr>
            </w:pPr>
            <w:r>
              <w:rPr>
                <w:spacing w:val="-2"/>
                <w:sz w:val="22"/>
              </w:rPr>
              <w:t>36.03</w:t>
            </w:r>
          </w:p>
        </w:tc>
        <w:tc>
          <w:tcPr>
            <w:tcW w:w="922" w:type="dxa"/>
          </w:tcPr>
          <w:p>
            <w:pPr>
              <w:pStyle w:val="TableParagraph"/>
              <w:spacing w:before="67"/>
              <w:ind w:left="123"/>
              <w:rPr>
                <w:sz w:val="22"/>
              </w:rPr>
            </w:pPr>
            <w:r>
              <w:rPr>
                <w:spacing w:val="-4"/>
                <w:sz w:val="22"/>
              </w:rPr>
              <w:t>3.44</w:t>
            </w:r>
          </w:p>
        </w:tc>
        <w:tc>
          <w:tcPr>
            <w:tcW w:w="1075" w:type="dxa"/>
          </w:tcPr>
          <w:p>
            <w:pPr>
              <w:pStyle w:val="TableParagraph"/>
              <w:spacing w:before="67"/>
              <w:ind w:left="180"/>
              <w:rPr>
                <w:sz w:val="22"/>
              </w:rPr>
            </w:pPr>
            <w:r>
              <w:rPr>
                <w:spacing w:val="-4"/>
                <w:sz w:val="22"/>
              </w:rPr>
              <w:t>0.50</w:t>
            </w:r>
          </w:p>
        </w:tc>
        <w:tc>
          <w:tcPr>
            <w:tcW w:w="1010" w:type="dxa"/>
          </w:tcPr>
          <w:p>
            <w:pPr>
              <w:pStyle w:val="TableParagraph"/>
              <w:spacing w:before="67"/>
              <w:ind w:left="166"/>
              <w:rPr>
                <w:sz w:val="22"/>
              </w:rPr>
            </w:pPr>
            <w:r>
              <w:rPr>
                <w:spacing w:val="-4"/>
                <w:sz w:val="22"/>
              </w:rPr>
              <w:t>0.54</w:t>
            </w:r>
          </w:p>
        </w:tc>
        <w:tc>
          <w:tcPr>
            <w:tcW w:w="1032" w:type="dxa"/>
          </w:tcPr>
          <w:p>
            <w:pPr>
              <w:pStyle w:val="TableParagraph"/>
              <w:spacing w:before="67"/>
              <w:ind w:left="101"/>
              <w:rPr>
                <w:sz w:val="22"/>
              </w:rPr>
            </w:pPr>
            <w:r>
              <w:rPr>
                <w:spacing w:val="-4"/>
                <w:sz w:val="22"/>
              </w:rPr>
              <w:t>7.41</w:t>
            </w:r>
          </w:p>
        </w:tc>
        <w:tc>
          <w:tcPr>
            <w:tcW w:w="1807" w:type="dxa"/>
          </w:tcPr>
          <w:p>
            <w:pPr>
              <w:pStyle w:val="TableParagraph"/>
              <w:spacing w:before="67"/>
              <w:ind w:left="284"/>
              <w:rPr>
                <w:sz w:val="22"/>
              </w:rPr>
            </w:pPr>
            <w:r>
              <w:rPr>
                <w:spacing w:val="-4"/>
                <w:sz w:val="22"/>
              </w:rPr>
              <w:t>1.08</w:t>
            </w:r>
          </w:p>
        </w:tc>
      </w:tr>
      <w:tr>
        <w:trPr>
          <w:trHeight w:val="434" w:hRule="atLeast"/>
        </w:trPr>
        <w:tc>
          <w:tcPr>
            <w:tcW w:w="1596" w:type="dxa"/>
          </w:tcPr>
          <w:p>
            <w:pPr>
              <w:pStyle w:val="TableParagraph"/>
              <w:spacing w:before="65"/>
              <w:ind w:left="100"/>
              <w:rPr>
                <w:sz w:val="22"/>
              </w:rPr>
            </w:pPr>
            <w:r>
              <w:rPr>
                <w:spacing w:val="-5"/>
                <w:sz w:val="22"/>
              </w:rPr>
              <w:t>MS</w:t>
            </w:r>
          </w:p>
        </w:tc>
        <w:tc>
          <w:tcPr>
            <w:tcW w:w="1036" w:type="dxa"/>
          </w:tcPr>
          <w:p>
            <w:pPr>
              <w:pStyle w:val="TableParagraph"/>
              <w:spacing w:before="65"/>
              <w:ind w:left="103"/>
              <w:rPr>
                <w:sz w:val="22"/>
              </w:rPr>
            </w:pPr>
            <w:r>
              <w:rPr>
                <w:spacing w:val="-2"/>
                <w:sz w:val="22"/>
              </w:rPr>
              <w:t>34.25</w:t>
            </w:r>
          </w:p>
        </w:tc>
        <w:tc>
          <w:tcPr>
            <w:tcW w:w="922" w:type="dxa"/>
          </w:tcPr>
          <w:p>
            <w:pPr>
              <w:pStyle w:val="TableParagraph"/>
              <w:spacing w:before="65"/>
              <w:ind w:left="123"/>
              <w:rPr>
                <w:sz w:val="22"/>
              </w:rPr>
            </w:pPr>
            <w:r>
              <w:rPr>
                <w:spacing w:val="-4"/>
                <w:sz w:val="22"/>
              </w:rPr>
              <w:t>2.78</w:t>
            </w:r>
          </w:p>
        </w:tc>
        <w:tc>
          <w:tcPr>
            <w:tcW w:w="1075" w:type="dxa"/>
          </w:tcPr>
          <w:p>
            <w:pPr>
              <w:pStyle w:val="TableParagraph"/>
              <w:spacing w:before="65"/>
              <w:ind w:left="180"/>
              <w:rPr>
                <w:sz w:val="22"/>
              </w:rPr>
            </w:pPr>
            <w:r>
              <w:rPr>
                <w:spacing w:val="-4"/>
                <w:sz w:val="22"/>
              </w:rPr>
              <w:t>0.43</w:t>
            </w:r>
          </w:p>
        </w:tc>
        <w:tc>
          <w:tcPr>
            <w:tcW w:w="1010" w:type="dxa"/>
          </w:tcPr>
          <w:p>
            <w:pPr>
              <w:pStyle w:val="TableParagraph"/>
              <w:spacing w:before="65"/>
              <w:ind w:left="166"/>
              <w:rPr>
                <w:sz w:val="22"/>
              </w:rPr>
            </w:pPr>
            <w:r>
              <w:rPr>
                <w:spacing w:val="-4"/>
                <w:sz w:val="22"/>
              </w:rPr>
              <w:t>0.47</w:t>
            </w:r>
          </w:p>
        </w:tc>
        <w:tc>
          <w:tcPr>
            <w:tcW w:w="1032" w:type="dxa"/>
          </w:tcPr>
          <w:p>
            <w:pPr>
              <w:pStyle w:val="TableParagraph"/>
              <w:spacing w:before="65"/>
              <w:ind w:left="101"/>
              <w:rPr>
                <w:sz w:val="22"/>
              </w:rPr>
            </w:pPr>
            <w:r>
              <w:rPr>
                <w:spacing w:val="-4"/>
                <w:sz w:val="22"/>
              </w:rPr>
              <w:t>8.50</w:t>
            </w:r>
          </w:p>
        </w:tc>
        <w:tc>
          <w:tcPr>
            <w:tcW w:w="1807" w:type="dxa"/>
          </w:tcPr>
          <w:p>
            <w:pPr>
              <w:pStyle w:val="TableParagraph"/>
              <w:spacing w:before="65"/>
              <w:ind w:left="284"/>
              <w:rPr>
                <w:sz w:val="22"/>
              </w:rPr>
            </w:pPr>
            <w:r>
              <w:rPr>
                <w:spacing w:val="-4"/>
                <w:sz w:val="22"/>
              </w:rPr>
              <w:t>1.09</w:t>
            </w:r>
          </w:p>
        </w:tc>
      </w:tr>
      <w:tr>
        <w:trPr>
          <w:trHeight w:val="434" w:hRule="atLeast"/>
        </w:trPr>
        <w:tc>
          <w:tcPr>
            <w:tcW w:w="1596" w:type="dxa"/>
          </w:tcPr>
          <w:p>
            <w:pPr>
              <w:pStyle w:val="TableParagraph"/>
              <w:spacing w:before="110"/>
              <w:ind w:left="100"/>
              <w:rPr>
                <w:sz w:val="22"/>
              </w:rPr>
            </w:pPr>
            <w:r>
              <w:rPr>
                <w:sz w:val="22"/>
                <w:u w:val="single"/>
              </w:rPr>
              <w:t>5.0</w:t>
            </w:r>
            <w:r>
              <w:rPr>
                <w:spacing w:val="8"/>
                <w:sz w:val="22"/>
                <w:u w:val="single"/>
              </w:rPr>
              <w:t> </w:t>
            </w:r>
            <w:r>
              <w:rPr>
                <w:spacing w:val="-10"/>
                <w:sz w:val="22"/>
                <w:u w:val="single"/>
              </w:rPr>
              <w:t>%</w:t>
            </w:r>
          </w:p>
        </w:tc>
        <w:tc>
          <w:tcPr>
            <w:tcW w:w="1036" w:type="dxa"/>
          </w:tcPr>
          <w:p>
            <w:pPr>
              <w:pStyle w:val="TableParagraph"/>
              <w:rPr>
                <w:sz w:val="22"/>
              </w:rPr>
            </w:pPr>
          </w:p>
        </w:tc>
        <w:tc>
          <w:tcPr>
            <w:tcW w:w="922" w:type="dxa"/>
          </w:tcPr>
          <w:p>
            <w:pPr>
              <w:pStyle w:val="TableParagraph"/>
              <w:rPr>
                <w:sz w:val="22"/>
              </w:rPr>
            </w:pPr>
          </w:p>
        </w:tc>
        <w:tc>
          <w:tcPr>
            <w:tcW w:w="1075" w:type="dxa"/>
          </w:tcPr>
          <w:p>
            <w:pPr>
              <w:pStyle w:val="TableParagraph"/>
              <w:rPr>
                <w:sz w:val="22"/>
              </w:rPr>
            </w:pPr>
          </w:p>
        </w:tc>
        <w:tc>
          <w:tcPr>
            <w:tcW w:w="1010" w:type="dxa"/>
          </w:tcPr>
          <w:p>
            <w:pPr>
              <w:pStyle w:val="TableParagraph"/>
              <w:rPr>
                <w:sz w:val="22"/>
              </w:rPr>
            </w:pPr>
          </w:p>
        </w:tc>
        <w:tc>
          <w:tcPr>
            <w:tcW w:w="1032" w:type="dxa"/>
          </w:tcPr>
          <w:p>
            <w:pPr>
              <w:pStyle w:val="TableParagraph"/>
              <w:rPr>
                <w:sz w:val="22"/>
              </w:rPr>
            </w:pPr>
          </w:p>
        </w:tc>
        <w:tc>
          <w:tcPr>
            <w:tcW w:w="1807" w:type="dxa"/>
          </w:tcPr>
          <w:p>
            <w:pPr>
              <w:pStyle w:val="TableParagraph"/>
              <w:rPr>
                <w:sz w:val="22"/>
              </w:rPr>
            </w:pPr>
          </w:p>
        </w:tc>
      </w:tr>
      <w:tr>
        <w:trPr>
          <w:trHeight w:val="391" w:hRule="atLeast"/>
        </w:trPr>
        <w:tc>
          <w:tcPr>
            <w:tcW w:w="1596" w:type="dxa"/>
          </w:tcPr>
          <w:p>
            <w:pPr>
              <w:pStyle w:val="TableParagraph"/>
              <w:spacing w:before="65"/>
              <w:ind w:left="100"/>
              <w:rPr>
                <w:sz w:val="22"/>
              </w:rPr>
            </w:pPr>
            <w:r>
              <w:rPr>
                <w:spacing w:val="-5"/>
                <w:sz w:val="22"/>
              </w:rPr>
              <w:t>DS</w:t>
            </w:r>
          </w:p>
        </w:tc>
        <w:tc>
          <w:tcPr>
            <w:tcW w:w="1036" w:type="dxa"/>
          </w:tcPr>
          <w:p>
            <w:pPr>
              <w:pStyle w:val="TableParagraph"/>
              <w:spacing w:before="65"/>
              <w:ind w:left="103"/>
              <w:rPr>
                <w:sz w:val="22"/>
              </w:rPr>
            </w:pPr>
            <w:r>
              <w:rPr>
                <w:spacing w:val="-2"/>
                <w:sz w:val="22"/>
              </w:rPr>
              <w:t>35.75</w:t>
            </w:r>
          </w:p>
        </w:tc>
        <w:tc>
          <w:tcPr>
            <w:tcW w:w="922" w:type="dxa"/>
          </w:tcPr>
          <w:p>
            <w:pPr>
              <w:pStyle w:val="TableParagraph"/>
              <w:spacing w:before="65"/>
              <w:ind w:left="123"/>
              <w:rPr>
                <w:sz w:val="22"/>
              </w:rPr>
            </w:pPr>
            <w:r>
              <w:rPr>
                <w:spacing w:val="-4"/>
                <w:sz w:val="22"/>
              </w:rPr>
              <w:t>3.80</w:t>
            </w:r>
          </w:p>
        </w:tc>
        <w:tc>
          <w:tcPr>
            <w:tcW w:w="1075" w:type="dxa"/>
          </w:tcPr>
          <w:p>
            <w:pPr>
              <w:pStyle w:val="TableParagraph"/>
              <w:spacing w:before="65"/>
              <w:ind w:left="180"/>
              <w:rPr>
                <w:sz w:val="22"/>
              </w:rPr>
            </w:pPr>
            <w:r>
              <w:rPr>
                <w:spacing w:val="-4"/>
                <w:sz w:val="22"/>
              </w:rPr>
              <w:t>0.45</w:t>
            </w:r>
          </w:p>
        </w:tc>
        <w:tc>
          <w:tcPr>
            <w:tcW w:w="1010" w:type="dxa"/>
          </w:tcPr>
          <w:p>
            <w:pPr>
              <w:pStyle w:val="TableParagraph"/>
              <w:spacing w:before="65"/>
              <w:ind w:left="166"/>
              <w:rPr>
                <w:sz w:val="22"/>
              </w:rPr>
            </w:pPr>
            <w:r>
              <w:rPr>
                <w:spacing w:val="-4"/>
                <w:sz w:val="22"/>
              </w:rPr>
              <w:t>0.54</w:t>
            </w:r>
          </w:p>
        </w:tc>
        <w:tc>
          <w:tcPr>
            <w:tcW w:w="1032" w:type="dxa"/>
          </w:tcPr>
          <w:p>
            <w:pPr>
              <w:pStyle w:val="TableParagraph"/>
              <w:spacing w:before="65"/>
              <w:ind w:left="101"/>
              <w:rPr>
                <w:sz w:val="22"/>
              </w:rPr>
            </w:pPr>
            <w:r>
              <w:rPr>
                <w:spacing w:val="-2"/>
                <w:sz w:val="22"/>
              </w:rPr>
              <w:t>16.67</w:t>
            </w:r>
          </w:p>
        </w:tc>
        <w:tc>
          <w:tcPr>
            <w:tcW w:w="1807" w:type="dxa"/>
          </w:tcPr>
          <w:p>
            <w:pPr>
              <w:pStyle w:val="TableParagraph"/>
              <w:spacing w:before="65"/>
              <w:ind w:left="284"/>
              <w:rPr>
                <w:sz w:val="22"/>
              </w:rPr>
            </w:pPr>
            <w:r>
              <w:rPr>
                <w:spacing w:val="-4"/>
                <w:sz w:val="22"/>
              </w:rPr>
              <w:t>1.20</w:t>
            </w:r>
          </w:p>
        </w:tc>
      </w:tr>
      <w:tr>
        <w:trPr>
          <w:trHeight w:val="391" w:hRule="atLeast"/>
        </w:trPr>
        <w:tc>
          <w:tcPr>
            <w:tcW w:w="1596" w:type="dxa"/>
          </w:tcPr>
          <w:p>
            <w:pPr>
              <w:pStyle w:val="TableParagraph"/>
              <w:spacing w:before="67"/>
              <w:ind w:left="100"/>
              <w:rPr>
                <w:sz w:val="22"/>
              </w:rPr>
            </w:pPr>
            <w:r>
              <w:rPr>
                <w:spacing w:val="-5"/>
                <w:sz w:val="22"/>
              </w:rPr>
              <w:t>MCS</w:t>
            </w:r>
          </w:p>
        </w:tc>
        <w:tc>
          <w:tcPr>
            <w:tcW w:w="1036" w:type="dxa"/>
          </w:tcPr>
          <w:p>
            <w:pPr>
              <w:pStyle w:val="TableParagraph"/>
              <w:spacing w:before="67"/>
              <w:ind w:left="103"/>
              <w:rPr>
                <w:sz w:val="22"/>
              </w:rPr>
            </w:pPr>
            <w:r>
              <w:rPr>
                <w:spacing w:val="-2"/>
                <w:sz w:val="22"/>
              </w:rPr>
              <w:t>34.66</w:t>
            </w:r>
          </w:p>
        </w:tc>
        <w:tc>
          <w:tcPr>
            <w:tcW w:w="922" w:type="dxa"/>
          </w:tcPr>
          <w:p>
            <w:pPr>
              <w:pStyle w:val="TableParagraph"/>
              <w:spacing w:before="67"/>
              <w:ind w:left="123"/>
              <w:rPr>
                <w:sz w:val="22"/>
              </w:rPr>
            </w:pPr>
            <w:r>
              <w:rPr>
                <w:spacing w:val="-4"/>
                <w:sz w:val="22"/>
              </w:rPr>
              <w:t>3.90</w:t>
            </w:r>
          </w:p>
        </w:tc>
        <w:tc>
          <w:tcPr>
            <w:tcW w:w="1075" w:type="dxa"/>
          </w:tcPr>
          <w:p>
            <w:pPr>
              <w:pStyle w:val="TableParagraph"/>
              <w:spacing w:before="67"/>
              <w:ind w:left="180"/>
              <w:rPr>
                <w:sz w:val="22"/>
              </w:rPr>
            </w:pPr>
            <w:r>
              <w:rPr>
                <w:spacing w:val="-4"/>
                <w:sz w:val="22"/>
              </w:rPr>
              <w:t>0.47</w:t>
            </w:r>
          </w:p>
        </w:tc>
        <w:tc>
          <w:tcPr>
            <w:tcW w:w="1010" w:type="dxa"/>
          </w:tcPr>
          <w:p>
            <w:pPr>
              <w:pStyle w:val="TableParagraph"/>
              <w:spacing w:before="67"/>
              <w:ind w:left="166"/>
              <w:rPr>
                <w:sz w:val="22"/>
              </w:rPr>
            </w:pPr>
            <w:r>
              <w:rPr>
                <w:spacing w:val="-4"/>
                <w:sz w:val="22"/>
              </w:rPr>
              <w:t>0.56</w:t>
            </w:r>
          </w:p>
        </w:tc>
        <w:tc>
          <w:tcPr>
            <w:tcW w:w="1032" w:type="dxa"/>
          </w:tcPr>
          <w:p>
            <w:pPr>
              <w:pStyle w:val="TableParagraph"/>
              <w:spacing w:before="67"/>
              <w:ind w:left="101"/>
              <w:rPr>
                <w:sz w:val="22"/>
              </w:rPr>
            </w:pPr>
            <w:r>
              <w:rPr>
                <w:spacing w:val="-2"/>
                <w:sz w:val="22"/>
              </w:rPr>
              <w:t>16.07</w:t>
            </w:r>
          </w:p>
        </w:tc>
        <w:tc>
          <w:tcPr>
            <w:tcW w:w="1807" w:type="dxa"/>
          </w:tcPr>
          <w:p>
            <w:pPr>
              <w:pStyle w:val="TableParagraph"/>
              <w:spacing w:before="67"/>
              <w:ind w:left="284"/>
              <w:rPr>
                <w:sz w:val="22"/>
              </w:rPr>
            </w:pPr>
            <w:r>
              <w:rPr>
                <w:spacing w:val="-4"/>
                <w:sz w:val="22"/>
              </w:rPr>
              <w:t>1.19</w:t>
            </w:r>
          </w:p>
        </w:tc>
      </w:tr>
      <w:tr>
        <w:trPr>
          <w:trHeight w:val="398" w:hRule="atLeast"/>
        </w:trPr>
        <w:tc>
          <w:tcPr>
            <w:tcW w:w="1596" w:type="dxa"/>
          </w:tcPr>
          <w:p>
            <w:pPr>
              <w:pStyle w:val="TableParagraph"/>
              <w:spacing w:before="65"/>
              <w:ind w:left="100"/>
              <w:rPr>
                <w:sz w:val="22"/>
              </w:rPr>
            </w:pPr>
            <w:r>
              <w:rPr>
                <w:spacing w:val="-5"/>
                <w:sz w:val="22"/>
              </w:rPr>
              <w:t>MS</w:t>
            </w:r>
          </w:p>
        </w:tc>
        <w:tc>
          <w:tcPr>
            <w:tcW w:w="1036" w:type="dxa"/>
          </w:tcPr>
          <w:p>
            <w:pPr>
              <w:pStyle w:val="TableParagraph"/>
              <w:spacing w:before="65"/>
              <w:ind w:left="103"/>
              <w:rPr>
                <w:sz w:val="22"/>
              </w:rPr>
            </w:pPr>
            <w:r>
              <w:rPr>
                <w:spacing w:val="-2"/>
                <w:sz w:val="22"/>
              </w:rPr>
              <w:t>35.82</w:t>
            </w:r>
          </w:p>
        </w:tc>
        <w:tc>
          <w:tcPr>
            <w:tcW w:w="922" w:type="dxa"/>
          </w:tcPr>
          <w:p>
            <w:pPr>
              <w:pStyle w:val="TableParagraph"/>
              <w:spacing w:before="65"/>
              <w:ind w:left="123"/>
              <w:rPr>
                <w:sz w:val="22"/>
              </w:rPr>
            </w:pPr>
            <w:r>
              <w:rPr>
                <w:spacing w:val="-4"/>
                <w:sz w:val="22"/>
              </w:rPr>
              <w:t>2.84</w:t>
            </w:r>
          </w:p>
        </w:tc>
        <w:tc>
          <w:tcPr>
            <w:tcW w:w="1075" w:type="dxa"/>
          </w:tcPr>
          <w:p>
            <w:pPr>
              <w:pStyle w:val="TableParagraph"/>
              <w:spacing w:before="65"/>
              <w:ind w:left="180"/>
              <w:rPr>
                <w:sz w:val="22"/>
              </w:rPr>
            </w:pPr>
            <w:r>
              <w:rPr>
                <w:spacing w:val="-4"/>
                <w:sz w:val="22"/>
              </w:rPr>
              <w:t>0.43</w:t>
            </w:r>
          </w:p>
        </w:tc>
        <w:tc>
          <w:tcPr>
            <w:tcW w:w="1010" w:type="dxa"/>
          </w:tcPr>
          <w:p>
            <w:pPr>
              <w:pStyle w:val="TableParagraph"/>
              <w:spacing w:before="65"/>
              <w:ind w:left="166"/>
              <w:rPr>
                <w:sz w:val="22"/>
              </w:rPr>
            </w:pPr>
            <w:r>
              <w:rPr>
                <w:spacing w:val="-4"/>
                <w:sz w:val="22"/>
              </w:rPr>
              <w:t>0.45</w:t>
            </w:r>
          </w:p>
        </w:tc>
        <w:tc>
          <w:tcPr>
            <w:tcW w:w="1032" w:type="dxa"/>
          </w:tcPr>
          <w:p>
            <w:pPr>
              <w:pStyle w:val="TableParagraph"/>
              <w:spacing w:before="65"/>
              <w:ind w:left="101"/>
              <w:rPr>
                <w:sz w:val="22"/>
              </w:rPr>
            </w:pPr>
            <w:r>
              <w:rPr>
                <w:spacing w:val="-4"/>
                <w:sz w:val="22"/>
              </w:rPr>
              <w:t>4.40</w:t>
            </w:r>
          </w:p>
        </w:tc>
        <w:tc>
          <w:tcPr>
            <w:tcW w:w="1807" w:type="dxa"/>
          </w:tcPr>
          <w:p>
            <w:pPr>
              <w:pStyle w:val="TableParagraph"/>
              <w:spacing w:before="65"/>
              <w:ind w:left="284"/>
              <w:rPr>
                <w:sz w:val="22"/>
              </w:rPr>
            </w:pPr>
            <w:r>
              <w:rPr>
                <w:spacing w:val="-4"/>
                <w:sz w:val="22"/>
              </w:rPr>
              <w:t>1.05</w:t>
            </w:r>
          </w:p>
        </w:tc>
      </w:tr>
      <w:tr>
        <w:trPr>
          <w:trHeight w:val="400" w:hRule="atLeast"/>
        </w:trPr>
        <w:tc>
          <w:tcPr>
            <w:tcW w:w="1596" w:type="dxa"/>
          </w:tcPr>
          <w:p>
            <w:pPr>
              <w:pStyle w:val="TableParagraph"/>
              <w:spacing w:before="74"/>
              <w:ind w:left="100"/>
              <w:rPr>
                <w:sz w:val="22"/>
              </w:rPr>
            </w:pPr>
            <w:r>
              <w:rPr>
                <w:sz w:val="22"/>
                <w:u w:val="single"/>
              </w:rPr>
              <w:t>7.5</w:t>
            </w:r>
            <w:r>
              <w:rPr>
                <w:spacing w:val="8"/>
                <w:sz w:val="22"/>
                <w:u w:val="single"/>
              </w:rPr>
              <w:t> </w:t>
            </w:r>
            <w:r>
              <w:rPr>
                <w:spacing w:val="-10"/>
                <w:sz w:val="22"/>
                <w:u w:val="single"/>
              </w:rPr>
              <w:t>%</w:t>
            </w:r>
          </w:p>
        </w:tc>
        <w:tc>
          <w:tcPr>
            <w:tcW w:w="1036" w:type="dxa"/>
          </w:tcPr>
          <w:p>
            <w:pPr>
              <w:pStyle w:val="TableParagraph"/>
              <w:rPr>
                <w:sz w:val="22"/>
              </w:rPr>
            </w:pPr>
          </w:p>
        </w:tc>
        <w:tc>
          <w:tcPr>
            <w:tcW w:w="922" w:type="dxa"/>
          </w:tcPr>
          <w:p>
            <w:pPr>
              <w:pStyle w:val="TableParagraph"/>
              <w:rPr>
                <w:sz w:val="22"/>
              </w:rPr>
            </w:pPr>
          </w:p>
        </w:tc>
        <w:tc>
          <w:tcPr>
            <w:tcW w:w="1075" w:type="dxa"/>
          </w:tcPr>
          <w:p>
            <w:pPr>
              <w:pStyle w:val="TableParagraph"/>
              <w:rPr>
                <w:sz w:val="22"/>
              </w:rPr>
            </w:pPr>
          </w:p>
        </w:tc>
        <w:tc>
          <w:tcPr>
            <w:tcW w:w="1010" w:type="dxa"/>
          </w:tcPr>
          <w:p>
            <w:pPr>
              <w:pStyle w:val="TableParagraph"/>
              <w:rPr>
                <w:sz w:val="22"/>
              </w:rPr>
            </w:pPr>
          </w:p>
        </w:tc>
        <w:tc>
          <w:tcPr>
            <w:tcW w:w="1032" w:type="dxa"/>
          </w:tcPr>
          <w:p>
            <w:pPr>
              <w:pStyle w:val="TableParagraph"/>
              <w:rPr>
                <w:sz w:val="22"/>
              </w:rPr>
            </w:pPr>
          </w:p>
        </w:tc>
        <w:tc>
          <w:tcPr>
            <w:tcW w:w="1807" w:type="dxa"/>
          </w:tcPr>
          <w:p>
            <w:pPr>
              <w:pStyle w:val="TableParagraph"/>
              <w:rPr>
                <w:sz w:val="22"/>
              </w:rPr>
            </w:pPr>
          </w:p>
        </w:tc>
      </w:tr>
      <w:tr>
        <w:trPr>
          <w:trHeight w:val="391" w:hRule="atLeast"/>
        </w:trPr>
        <w:tc>
          <w:tcPr>
            <w:tcW w:w="1596" w:type="dxa"/>
          </w:tcPr>
          <w:p>
            <w:pPr>
              <w:pStyle w:val="TableParagraph"/>
              <w:spacing w:before="67"/>
              <w:ind w:left="100"/>
              <w:rPr>
                <w:sz w:val="22"/>
              </w:rPr>
            </w:pPr>
            <w:r>
              <w:rPr>
                <w:spacing w:val="-5"/>
                <w:sz w:val="22"/>
              </w:rPr>
              <w:t>DS</w:t>
            </w:r>
          </w:p>
        </w:tc>
        <w:tc>
          <w:tcPr>
            <w:tcW w:w="1036" w:type="dxa"/>
          </w:tcPr>
          <w:p>
            <w:pPr>
              <w:pStyle w:val="TableParagraph"/>
              <w:spacing w:before="67"/>
              <w:ind w:left="103"/>
              <w:rPr>
                <w:sz w:val="22"/>
              </w:rPr>
            </w:pPr>
            <w:r>
              <w:rPr>
                <w:spacing w:val="-2"/>
                <w:sz w:val="22"/>
              </w:rPr>
              <w:t>34.70</w:t>
            </w:r>
          </w:p>
        </w:tc>
        <w:tc>
          <w:tcPr>
            <w:tcW w:w="922" w:type="dxa"/>
          </w:tcPr>
          <w:p>
            <w:pPr>
              <w:pStyle w:val="TableParagraph"/>
              <w:spacing w:before="67"/>
              <w:ind w:left="123"/>
              <w:rPr>
                <w:sz w:val="22"/>
              </w:rPr>
            </w:pPr>
            <w:r>
              <w:rPr>
                <w:spacing w:val="-4"/>
                <w:sz w:val="22"/>
              </w:rPr>
              <w:t>3.50</w:t>
            </w:r>
          </w:p>
        </w:tc>
        <w:tc>
          <w:tcPr>
            <w:tcW w:w="1075" w:type="dxa"/>
          </w:tcPr>
          <w:p>
            <w:pPr>
              <w:pStyle w:val="TableParagraph"/>
              <w:spacing w:before="67"/>
              <w:ind w:left="180"/>
              <w:rPr>
                <w:sz w:val="22"/>
              </w:rPr>
            </w:pPr>
            <w:r>
              <w:rPr>
                <w:spacing w:val="-4"/>
                <w:sz w:val="22"/>
              </w:rPr>
              <w:t>0.44</w:t>
            </w:r>
          </w:p>
        </w:tc>
        <w:tc>
          <w:tcPr>
            <w:tcW w:w="1010" w:type="dxa"/>
          </w:tcPr>
          <w:p>
            <w:pPr>
              <w:pStyle w:val="TableParagraph"/>
              <w:spacing w:before="67"/>
              <w:ind w:left="166"/>
              <w:rPr>
                <w:sz w:val="22"/>
              </w:rPr>
            </w:pPr>
            <w:r>
              <w:rPr>
                <w:spacing w:val="-4"/>
                <w:sz w:val="22"/>
              </w:rPr>
              <w:t>0.51</w:t>
            </w:r>
          </w:p>
        </w:tc>
        <w:tc>
          <w:tcPr>
            <w:tcW w:w="1032" w:type="dxa"/>
          </w:tcPr>
          <w:p>
            <w:pPr>
              <w:pStyle w:val="TableParagraph"/>
              <w:spacing w:before="67"/>
              <w:ind w:left="101"/>
              <w:rPr>
                <w:sz w:val="22"/>
              </w:rPr>
            </w:pPr>
            <w:r>
              <w:rPr>
                <w:spacing w:val="-2"/>
                <w:sz w:val="22"/>
              </w:rPr>
              <w:t>13.73</w:t>
            </w:r>
          </w:p>
        </w:tc>
        <w:tc>
          <w:tcPr>
            <w:tcW w:w="1807" w:type="dxa"/>
          </w:tcPr>
          <w:p>
            <w:pPr>
              <w:pStyle w:val="TableParagraph"/>
              <w:spacing w:before="67"/>
              <w:ind w:left="284"/>
              <w:rPr>
                <w:sz w:val="22"/>
              </w:rPr>
            </w:pPr>
            <w:r>
              <w:rPr>
                <w:spacing w:val="-4"/>
                <w:sz w:val="22"/>
              </w:rPr>
              <w:t>1.16</w:t>
            </w:r>
          </w:p>
        </w:tc>
      </w:tr>
      <w:tr>
        <w:trPr>
          <w:trHeight w:val="388" w:hRule="atLeast"/>
        </w:trPr>
        <w:tc>
          <w:tcPr>
            <w:tcW w:w="1596" w:type="dxa"/>
          </w:tcPr>
          <w:p>
            <w:pPr>
              <w:pStyle w:val="TableParagraph"/>
              <w:spacing w:before="65"/>
              <w:ind w:left="100"/>
              <w:rPr>
                <w:sz w:val="22"/>
              </w:rPr>
            </w:pPr>
            <w:r>
              <w:rPr>
                <w:spacing w:val="-5"/>
                <w:sz w:val="22"/>
              </w:rPr>
              <w:t>MCS</w:t>
            </w:r>
          </w:p>
        </w:tc>
        <w:tc>
          <w:tcPr>
            <w:tcW w:w="1036" w:type="dxa"/>
          </w:tcPr>
          <w:p>
            <w:pPr>
              <w:pStyle w:val="TableParagraph"/>
              <w:spacing w:before="65"/>
              <w:ind w:left="103"/>
              <w:rPr>
                <w:sz w:val="22"/>
              </w:rPr>
            </w:pPr>
            <w:r>
              <w:rPr>
                <w:spacing w:val="-2"/>
                <w:sz w:val="22"/>
              </w:rPr>
              <w:t>34.97</w:t>
            </w:r>
          </w:p>
        </w:tc>
        <w:tc>
          <w:tcPr>
            <w:tcW w:w="922" w:type="dxa"/>
          </w:tcPr>
          <w:p>
            <w:pPr>
              <w:pStyle w:val="TableParagraph"/>
              <w:spacing w:before="65"/>
              <w:ind w:left="123"/>
              <w:rPr>
                <w:sz w:val="22"/>
              </w:rPr>
            </w:pPr>
            <w:r>
              <w:rPr>
                <w:spacing w:val="-4"/>
                <w:sz w:val="22"/>
              </w:rPr>
              <w:t>3.92</w:t>
            </w:r>
          </w:p>
        </w:tc>
        <w:tc>
          <w:tcPr>
            <w:tcW w:w="1075" w:type="dxa"/>
          </w:tcPr>
          <w:p>
            <w:pPr>
              <w:pStyle w:val="TableParagraph"/>
              <w:spacing w:before="65"/>
              <w:ind w:left="180"/>
              <w:rPr>
                <w:sz w:val="22"/>
              </w:rPr>
            </w:pPr>
            <w:r>
              <w:rPr>
                <w:spacing w:val="-4"/>
                <w:sz w:val="22"/>
              </w:rPr>
              <w:t>0.48</w:t>
            </w:r>
          </w:p>
        </w:tc>
        <w:tc>
          <w:tcPr>
            <w:tcW w:w="1010" w:type="dxa"/>
          </w:tcPr>
          <w:p>
            <w:pPr>
              <w:pStyle w:val="TableParagraph"/>
              <w:spacing w:before="65"/>
              <w:ind w:left="166"/>
              <w:rPr>
                <w:sz w:val="22"/>
              </w:rPr>
            </w:pPr>
            <w:r>
              <w:rPr>
                <w:spacing w:val="-4"/>
                <w:sz w:val="22"/>
              </w:rPr>
              <w:t>0.57</w:t>
            </w:r>
          </w:p>
        </w:tc>
        <w:tc>
          <w:tcPr>
            <w:tcW w:w="1032" w:type="dxa"/>
          </w:tcPr>
          <w:p>
            <w:pPr>
              <w:pStyle w:val="TableParagraph"/>
              <w:spacing w:before="65"/>
              <w:ind w:left="101"/>
              <w:rPr>
                <w:sz w:val="22"/>
              </w:rPr>
            </w:pPr>
            <w:r>
              <w:rPr>
                <w:spacing w:val="-2"/>
                <w:sz w:val="22"/>
              </w:rPr>
              <w:t>15.79</w:t>
            </w:r>
          </w:p>
        </w:tc>
        <w:tc>
          <w:tcPr>
            <w:tcW w:w="1807" w:type="dxa"/>
          </w:tcPr>
          <w:p>
            <w:pPr>
              <w:pStyle w:val="TableParagraph"/>
              <w:spacing w:before="65"/>
              <w:ind w:left="284"/>
              <w:rPr>
                <w:sz w:val="22"/>
              </w:rPr>
            </w:pPr>
            <w:r>
              <w:rPr>
                <w:spacing w:val="-4"/>
                <w:sz w:val="22"/>
              </w:rPr>
              <w:t>1.19</w:t>
            </w:r>
          </w:p>
        </w:tc>
      </w:tr>
      <w:tr>
        <w:trPr>
          <w:trHeight w:val="391" w:hRule="atLeast"/>
        </w:trPr>
        <w:tc>
          <w:tcPr>
            <w:tcW w:w="1596" w:type="dxa"/>
          </w:tcPr>
          <w:p>
            <w:pPr>
              <w:pStyle w:val="TableParagraph"/>
              <w:spacing w:before="65"/>
              <w:ind w:left="100"/>
              <w:rPr>
                <w:sz w:val="22"/>
              </w:rPr>
            </w:pPr>
            <w:r>
              <w:rPr>
                <w:spacing w:val="-5"/>
                <w:sz w:val="22"/>
              </w:rPr>
              <w:t>MS</w:t>
            </w:r>
          </w:p>
        </w:tc>
        <w:tc>
          <w:tcPr>
            <w:tcW w:w="1036" w:type="dxa"/>
          </w:tcPr>
          <w:p>
            <w:pPr>
              <w:pStyle w:val="TableParagraph"/>
              <w:spacing w:before="65"/>
              <w:ind w:left="103"/>
              <w:rPr>
                <w:sz w:val="22"/>
              </w:rPr>
            </w:pPr>
            <w:r>
              <w:rPr>
                <w:spacing w:val="-2"/>
                <w:sz w:val="22"/>
              </w:rPr>
              <w:t>33.69</w:t>
            </w:r>
          </w:p>
        </w:tc>
        <w:tc>
          <w:tcPr>
            <w:tcW w:w="922" w:type="dxa"/>
          </w:tcPr>
          <w:p>
            <w:pPr>
              <w:pStyle w:val="TableParagraph"/>
              <w:spacing w:before="65"/>
              <w:ind w:left="123"/>
              <w:rPr>
                <w:sz w:val="22"/>
              </w:rPr>
            </w:pPr>
            <w:r>
              <w:rPr>
                <w:spacing w:val="-4"/>
                <w:sz w:val="22"/>
              </w:rPr>
              <w:t>3.02</w:t>
            </w:r>
          </w:p>
        </w:tc>
        <w:tc>
          <w:tcPr>
            <w:tcW w:w="1075" w:type="dxa"/>
          </w:tcPr>
          <w:p>
            <w:pPr>
              <w:pStyle w:val="TableParagraph"/>
              <w:spacing w:before="65"/>
              <w:ind w:left="180"/>
              <w:rPr>
                <w:sz w:val="22"/>
              </w:rPr>
            </w:pPr>
            <w:r>
              <w:rPr>
                <w:spacing w:val="-4"/>
                <w:sz w:val="22"/>
              </w:rPr>
              <w:t>0.43</w:t>
            </w:r>
          </w:p>
        </w:tc>
        <w:tc>
          <w:tcPr>
            <w:tcW w:w="1010" w:type="dxa"/>
          </w:tcPr>
          <w:p>
            <w:pPr>
              <w:pStyle w:val="TableParagraph"/>
              <w:spacing w:before="65"/>
              <w:ind w:left="166"/>
              <w:rPr>
                <w:sz w:val="22"/>
              </w:rPr>
            </w:pPr>
            <w:r>
              <w:rPr>
                <w:spacing w:val="-4"/>
                <w:sz w:val="22"/>
              </w:rPr>
              <w:t>0.45</w:t>
            </w:r>
          </w:p>
        </w:tc>
        <w:tc>
          <w:tcPr>
            <w:tcW w:w="1032" w:type="dxa"/>
          </w:tcPr>
          <w:p>
            <w:pPr>
              <w:pStyle w:val="TableParagraph"/>
              <w:spacing w:before="65"/>
              <w:ind w:left="101"/>
              <w:rPr>
                <w:sz w:val="22"/>
              </w:rPr>
            </w:pPr>
            <w:r>
              <w:rPr>
                <w:spacing w:val="-4"/>
                <w:sz w:val="22"/>
              </w:rPr>
              <w:t>4.40</w:t>
            </w:r>
          </w:p>
        </w:tc>
        <w:tc>
          <w:tcPr>
            <w:tcW w:w="1807" w:type="dxa"/>
          </w:tcPr>
          <w:p>
            <w:pPr>
              <w:pStyle w:val="TableParagraph"/>
              <w:spacing w:before="65"/>
              <w:ind w:left="284"/>
              <w:rPr>
                <w:sz w:val="22"/>
              </w:rPr>
            </w:pPr>
            <w:r>
              <w:rPr>
                <w:spacing w:val="-4"/>
                <w:sz w:val="22"/>
              </w:rPr>
              <w:t>1.05</w:t>
            </w:r>
          </w:p>
        </w:tc>
      </w:tr>
      <w:tr>
        <w:trPr>
          <w:trHeight w:val="388" w:hRule="atLeast"/>
        </w:trPr>
        <w:tc>
          <w:tcPr>
            <w:tcW w:w="1596" w:type="dxa"/>
          </w:tcPr>
          <w:p>
            <w:pPr>
              <w:pStyle w:val="TableParagraph"/>
              <w:spacing w:before="67"/>
              <w:ind w:left="100"/>
              <w:rPr>
                <w:sz w:val="22"/>
              </w:rPr>
            </w:pPr>
            <w:r>
              <w:rPr>
                <w:sz w:val="22"/>
                <w:u w:val="single"/>
              </w:rPr>
              <w:t>10.0</w:t>
            </w:r>
            <w:r>
              <w:rPr>
                <w:spacing w:val="11"/>
                <w:sz w:val="22"/>
                <w:u w:val="single"/>
              </w:rPr>
              <w:t> </w:t>
            </w:r>
            <w:r>
              <w:rPr>
                <w:spacing w:val="-10"/>
                <w:sz w:val="22"/>
                <w:u w:val="single"/>
              </w:rPr>
              <w:t>%</w:t>
            </w:r>
          </w:p>
        </w:tc>
        <w:tc>
          <w:tcPr>
            <w:tcW w:w="1036" w:type="dxa"/>
          </w:tcPr>
          <w:p>
            <w:pPr>
              <w:pStyle w:val="TableParagraph"/>
              <w:rPr>
                <w:sz w:val="22"/>
              </w:rPr>
            </w:pPr>
          </w:p>
        </w:tc>
        <w:tc>
          <w:tcPr>
            <w:tcW w:w="922" w:type="dxa"/>
          </w:tcPr>
          <w:p>
            <w:pPr>
              <w:pStyle w:val="TableParagraph"/>
              <w:rPr>
                <w:sz w:val="22"/>
              </w:rPr>
            </w:pPr>
          </w:p>
        </w:tc>
        <w:tc>
          <w:tcPr>
            <w:tcW w:w="1075" w:type="dxa"/>
          </w:tcPr>
          <w:p>
            <w:pPr>
              <w:pStyle w:val="TableParagraph"/>
              <w:rPr>
                <w:sz w:val="22"/>
              </w:rPr>
            </w:pPr>
          </w:p>
        </w:tc>
        <w:tc>
          <w:tcPr>
            <w:tcW w:w="1010" w:type="dxa"/>
          </w:tcPr>
          <w:p>
            <w:pPr>
              <w:pStyle w:val="TableParagraph"/>
              <w:rPr>
                <w:sz w:val="22"/>
              </w:rPr>
            </w:pPr>
          </w:p>
        </w:tc>
        <w:tc>
          <w:tcPr>
            <w:tcW w:w="1032" w:type="dxa"/>
          </w:tcPr>
          <w:p>
            <w:pPr>
              <w:pStyle w:val="TableParagraph"/>
              <w:rPr>
                <w:sz w:val="22"/>
              </w:rPr>
            </w:pPr>
          </w:p>
        </w:tc>
        <w:tc>
          <w:tcPr>
            <w:tcW w:w="1807" w:type="dxa"/>
          </w:tcPr>
          <w:p>
            <w:pPr>
              <w:pStyle w:val="TableParagraph"/>
              <w:rPr>
                <w:sz w:val="22"/>
              </w:rPr>
            </w:pPr>
          </w:p>
        </w:tc>
      </w:tr>
      <w:tr>
        <w:trPr>
          <w:trHeight w:val="388" w:hRule="atLeast"/>
        </w:trPr>
        <w:tc>
          <w:tcPr>
            <w:tcW w:w="1596" w:type="dxa"/>
          </w:tcPr>
          <w:p>
            <w:pPr>
              <w:pStyle w:val="TableParagraph"/>
              <w:spacing w:before="62"/>
              <w:ind w:left="100"/>
              <w:rPr>
                <w:sz w:val="22"/>
              </w:rPr>
            </w:pPr>
            <w:r>
              <w:rPr>
                <w:spacing w:val="-5"/>
                <w:sz w:val="22"/>
              </w:rPr>
              <w:t>DS</w:t>
            </w:r>
          </w:p>
        </w:tc>
        <w:tc>
          <w:tcPr>
            <w:tcW w:w="1036" w:type="dxa"/>
          </w:tcPr>
          <w:p>
            <w:pPr>
              <w:pStyle w:val="TableParagraph"/>
              <w:spacing w:before="62"/>
              <w:ind w:left="103"/>
              <w:rPr>
                <w:sz w:val="22"/>
              </w:rPr>
            </w:pPr>
            <w:r>
              <w:rPr>
                <w:spacing w:val="-2"/>
                <w:sz w:val="22"/>
              </w:rPr>
              <w:t>34.56</w:t>
            </w:r>
          </w:p>
        </w:tc>
        <w:tc>
          <w:tcPr>
            <w:tcW w:w="922" w:type="dxa"/>
          </w:tcPr>
          <w:p>
            <w:pPr>
              <w:pStyle w:val="TableParagraph"/>
              <w:spacing w:before="62"/>
              <w:ind w:left="123"/>
              <w:rPr>
                <w:sz w:val="22"/>
              </w:rPr>
            </w:pPr>
            <w:r>
              <w:rPr>
                <w:spacing w:val="-4"/>
                <w:sz w:val="22"/>
              </w:rPr>
              <w:t>3.48</w:t>
            </w:r>
          </w:p>
        </w:tc>
        <w:tc>
          <w:tcPr>
            <w:tcW w:w="1075" w:type="dxa"/>
          </w:tcPr>
          <w:p>
            <w:pPr>
              <w:pStyle w:val="TableParagraph"/>
              <w:spacing w:before="62"/>
              <w:ind w:left="180"/>
              <w:rPr>
                <w:sz w:val="22"/>
              </w:rPr>
            </w:pPr>
            <w:r>
              <w:rPr>
                <w:spacing w:val="-4"/>
                <w:sz w:val="22"/>
              </w:rPr>
              <w:t>0.44</w:t>
            </w:r>
          </w:p>
        </w:tc>
        <w:tc>
          <w:tcPr>
            <w:tcW w:w="1010" w:type="dxa"/>
          </w:tcPr>
          <w:p>
            <w:pPr>
              <w:pStyle w:val="TableParagraph"/>
              <w:spacing w:before="62"/>
              <w:ind w:left="166"/>
              <w:rPr>
                <w:sz w:val="22"/>
              </w:rPr>
            </w:pPr>
            <w:r>
              <w:rPr>
                <w:spacing w:val="-4"/>
                <w:sz w:val="22"/>
              </w:rPr>
              <w:t>0.50</w:t>
            </w:r>
          </w:p>
        </w:tc>
        <w:tc>
          <w:tcPr>
            <w:tcW w:w="1032" w:type="dxa"/>
          </w:tcPr>
          <w:p>
            <w:pPr>
              <w:pStyle w:val="TableParagraph"/>
              <w:spacing w:before="62"/>
              <w:ind w:left="101"/>
              <w:rPr>
                <w:sz w:val="22"/>
              </w:rPr>
            </w:pPr>
            <w:r>
              <w:rPr>
                <w:spacing w:val="-2"/>
                <w:sz w:val="22"/>
              </w:rPr>
              <w:t>12.00</w:t>
            </w:r>
          </w:p>
        </w:tc>
        <w:tc>
          <w:tcPr>
            <w:tcW w:w="1807" w:type="dxa"/>
          </w:tcPr>
          <w:p>
            <w:pPr>
              <w:pStyle w:val="TableParagraph"/>
              <w:spacing w:before="62"/>
              <w:ind w:left="284"/>
              <w:rPr>
                <w:sz w:val="22"/>
              </w:rPr>
            </w:pPr>
            <w:r>
              <w:rPr>
                <w:spacing w:val="-4"/>
                <w:sz w:val="22"/>
              </w:rPr>
              <w:t>1.14</w:t>
            </w:r>
          </w:p>
        </w:tc>
      </w:tr>
      <w:tr>
        <w:trPr>
          <w:trHeight w:val="391" w:hRule="atLeast"/>
        </w:trPr>
        <w:tc>
          <w:tcPr>
            <w:tcW w:w="1596" w:type="dxa"/>
          </w:tcPr>
          <w:p>
            <w:pPr>
              <w:pStyle w:val="TableParagraph"/>
              <w:spacing w:before="67"/>
              <w:ind w:left="100"/>
              <w:rPr>
                <w:sz w:val="22"/>
              </w:rPr>
            </w:pPr>
            <w:r>
              <w:rPr>
                <w:spacing w:val="-5"/>
                <w:sz w:val="22"/>
              </w:rPr>
              <w:t>MCS</w:t>
            </w:r>
          </w:p>
        </w:tc>
        <w:tc>
          <w:tcPr>
            <w:tcW w:w="1036" w:type="dxa"/>
          </w:tcPr>
          <w:p>
            <w:pPr>
              <w:pStyle w:val="TableParagraph"/>
              <w:spacing w:before="67"/>
              <w:ind w:left="103"/>
              <w:rPr>
                <w:sz w:val="22"/>
              </w:rPr>
            </w:pPr>
            <w:r>
              <w:rPr>
                <w:spacing w:val="-2"/>
                <w:sz w:val="22"/>
              </w:rPr>
              <w:t>34.53</w:t>
            </w:r>
          </w:p>
        </w:tc>
        <w:tc>
          <w:tcPr>
            <w:tcW w:w="922" w:type="dxa"/>
          </w:tcPr>
          <w:p>
            <w:pPr>
              <w:pStyle w:val="TableParagraph"/>
              <w:spacing w:before="67"/>
              <w:ind w:left="123"/>
              <w:rPr>
                <w:sz w:val="22"/>
              </w:rPr>
            </w:pPr>
            <w:r>
              <w:rPr>
                <w:spacing w:val="-4"/>
                <w:sz w:val="22"/>
              </w:rPr>
              <w:t>3.86</w:t>
            </w:r>
          </w:p>
        </w:tc>
        <w:tc>
          <w:tcPr>
            <w:tcW w:w="1075" w:type="dxa"/>
          </w:tcPr>
          <w:p>
            <w:pPr>
              <w:pStyle w:val="TableParagraph"/>
              <w:spacing w:before="67"/>
              <w:ind w:left="180"/>
              <w:rPr>
                <w:sz w:val="22"/>
              </w:rPr>
            </w:pPr>
            <w:r>
              <w:rPr>
                <w:spacing w:val="-4"/>
                <w:sz w:val="22"/>
              </w:rPr>
              <w:t>0.47</w:t>
            </w:r>
          </w:p>
        </w:tc>
        <w:tc>
          <w:tcPr>
            <w:tcW w:w="1010" w:type="dxa"/>
          </w:tcPr>
          <w:p>
            <w:pPr>
              <w:pStyle w:val="TableParagraph"/>
              <w:spacing w:before="67"/>
              <w:ind w:left="166"/>
              <w:rPr>
                <w:sz w:val="22"/>
              </w:rPr>
            </w:pPr>
            <w:r>
              <w:rPr>
                <w:spacing w:val="-4"/>
                <w:sz w:val="22"/>
              </w:rPr>
              <w:t>0.51</w:t>
            </w:r>
          </w:p>
        </w:tc>
        <w:tc>
          <w:tcPr>
            <w:tcW w:w="1032" w:type="dxa"/>
          </w:tcPr>
          <w:p>
            <w:pPr>
              <w:pStyle w:val="TableParagraph"/>
              <w:spacing w:before="67"/>
              <w:ind w:left="101"/>
              <w:rPr>
                <w:sz w:val="22"/>
              </w:rPr>
            </w:pPr>
            <w:r>
              <w:rPr>
                <w:spacing w:val="-4"/>
                <w:sz w:val="22"/>
              </w:rPr>
              <w:t>7.84</w:t>
            </w:r>
          </w:p>
        </w:tc>
        <w:tc>
          <w:tcPr>
            <w:tcW w:w="1807" w:type="dxa"/>
          </w:tcPr>
          <w:p>
            <w:pPr>
              <w:pStyle w:val="TableParagraph"/>
              <w:spacing w:before="67"/>
              <w:ind w:left="284"/>
              <w:rPr>
                <w:sz w:val="22"/>
              </w:rPr>
            </w:pPr>
            <w:r>
              <w:rPr>
                <w:spacing w:val="-4"/>
                <w:sz w:val="22"/>
              </w:rPr>
              <w:t>1.08</w:t>
            </w:r>
          </w:p>
        </w:tc>
      </w:tr>
      <w:tr>
        <w:trPr>
          <w:trHeight w:val="391" w:hRule="atLeast"/>
        </w:trPr>
        <w:tc>
          <w:tcPr>
            <w:tcW w:w="1596" w:type="dxa"/>
          </w:tcPr>
          <w:p>
            <w:pPr>
              <w:pStyle w:val="TableParagraph"/>
              <w:spacing w:before="65"/>
              <w:ind w:left="100"/>
              <w:rPr>
                <w:sz w:val="22"/>
              </w:rPr>
            </w:pPr>
            <w:r>
              <w:rPr>
                <w:spacing w:val="-5"/>
                <w:sz w:val="22"/>
              </w:rPr>
              <w:t>MS</w:t>
            </w:r>
          </w:p>
        </w:tc>
        <w:tc>
          <w:tcPr>
            <w:tcW w:w="1036" w:type="dxa"/>
          </w:tcPr>
          <w:p>
            <w:pPr>
              <w:pStyle w:val="TableParagraph"/>
              <w:spacing w:before="65"/>
              <w:ind w:left="103"/>
              <w:rPr>
                <w:sz w:val="22"/>
              </w:rPr>
            </w:pPr>
            <w:r>
              <w:rPr>
                <w:spacing w:val="-2"/>
                <w:sz w:val="22"/>
              </w:rPr>
              <w:t>34.19</w:t>
            </w:r>
          </w:p>
        </w:tc>
        <w:tc>
          <w:tcPr>
            <w:tcW w:w="922" w:type="dxa"/>
          </w:tcPr>
          <w:p>
            <w:pPr>
              <w:pStyle w:val="TableParagraph"/>
              <w:spacing w:before="65"/>
              <w:ind w:left="123"/>
              <w:rPr>
                <w:sz w:val="22"/>
              </w:rPr>
            </w:pPr>
            <w:r>
              <w:rPr>
                <w:spacing w:val="-4"/>
                <w:sz w:val="22"/>
              </w:rPr>
              <w:t>3.09</w:t>
            </w:r>
          </w:p>
        </w:tc>
        <w:tc>
          <w:tcPr>
            <w:tcW w:w="1075" w:type="dxa"/>
          </w:tcPr>
          <w:p>
            <w:pPr>
              <w:pStyle w:val="TableParagraph"/>
              <w:spacing w:before="65"/>
              <w:ind w:left="180"/>
              <w:rPr>
                <w:sz w:val="22"/>
              </w:rPr>
            </w:pPr>
            <w:r>
              <w:rPr>
                <w:spacing w:val="-4"/>
                <w:sz w:val="22"/>
              </w:rPr>
              <w:t>0.43</w:t>
            </w:r>
          </w:p>
        </w:tc>
        <w:tc>
          <w:tcPr>
            <w:tcW w:w="1010" w:type="dxa"/>
          </w:tcPr>
          <w:p>
            <w:pPr>
              <w:pStyle w:val="TableParagraph"/>
              <w:spacing w:before="65"/>
              <w:ind w:left="166"/>
              <w:rPr>
                <w:sz w:val="22"/>
              </w:rPr>
            </w:pPr>
            <w:r>
              <w:rPr>
                <w:spacing w:val="-4"/>
                <w:sz w:val="22"/>
              </w:rPr>
              <w:t>0.47</w:t>
            </w:r>
          </w:p>
        </w:tc>
        <w:tc>
          <w:tcPr>
            <w:tcW w:w="1032" w:type="dxa"/>
          </w:tcPr>
          <w:p>
            <w:pPr>
              <w:pStyle w:val="TableParagraph"/>
              <w:spacing w:before="65"/>
              <w:ind w:left="101"/>
              <w:rPr>
                <w:sz w:val="22"/>
              </w:rPr>
            </w:pPr>
            <w:r>
              <w:rPr>
                <w:spacing w:val="-4"/>
                <w:sz w:val="22"/>
              </w:rPr>
              <w:t>8.50</w:t>
            </w:r>
          </w:p>
        </w:tc>
        <w:tc>
          <w:tcPr>
            <w:tcW w:w="1807" w:type="dxa"/>
          </w:tcPr>
          <w:p>
            <w:pPr>
              <w:pStyle w:val="TableParagraph"/>
              <w:spacing w:before="65"/>
              <w:ind w:left="284"/>
              <w:rPr>
                <w:sz w:val="22"/>
              </w:rPr>
            </w:pPr>
            <w:r>
              <w:rPr>
                <w:spacing w:val="-4"/>
                <w:sz w:val="22"/>
              </w:rPr>
              <w:t>1.09</w:t>
            </w:r>
          </w:p>
        </w:tc>
      </w:tr>
      <w:tr>
        <w:trPr>
          <w:trHeight w:val="391" w:hRule="atLeast"/>
        </w:trPr>
        <w:tc>
          <w:tcPr>
            <w:tcW w:w="1596" w:type="dxa"/>
          </w:tcPr>
          <w:p>
            <w:pPr>
              <w:pStyle w:val="TableParagraph"/>
              <w:spacing w:before="67"/>
              <w:ind w:left="100"/>
              <w:rPr>
                <w:sz w:val="22"/>
              </w:rPr>
            </w:pPr>
            <w:r>
              <w:rPr>
                <w:sz w:val="22"/>
                <w:u w:val="single"/>
              </w:rPr>
              <w:t>12.5</w:t>
            </w:r>
            <w:r>
              <w:rPr>
                <w:spacing w:val="11"/>
                <w:sz w:val="22"/>
                <w:u w:val="single"/>
              </w:rPr>
              <w:t> </w:t>
            </w:r>
            <w:r>
              <w:rPr>
                <w:spacing w:val="-10"/>
                <w:sz w:val="22"/>
                <w:u w:val="single"/>
              </w:rPr>
              <w:t>%</w:t>
            </w:r>
          </w:p>
        </w:tc>
        <w:tc>
          <w:tcPr>
            <w:tcW w:w="1036" w:type="dxa"/>
          </w:tcPr>
          <w:p>
            <w:pPr>
              <w:pStyle w:val="TableParagraph"/>
              <w:rPr>
                <w:sz w:val="22"/>
              </w:rPr>
            </w:pPr>
          </w:p>
        </w:tc>
        <w:tc>
          <w:tcPr>
            <w:tcW w:w="922" w:type="dxa"/>
          </w:tcPr>
          <w:p>
            <w:pPr>
              <w:pStyle w:val="TableParagraph"/>
              <w:rPr>
                <w:sz w:val="22"/>
              </w:rPr>
            </w:pPr>
          </w:p>
        </w:tc>
        <w:tc>
          <w:tcPr>
            <w:tcW w:w="1075" w:type="dxa"/>
          </w:tcPr>
          <w:p>
            <w:pPr>
              <w:pStyle w:val="TableParagraph"/>
              <w:rPr>
                <w:sz w:val="22"/>
              </w:rPr>
            </w:pPr>
          </w:p>
        </w:tc>
        <w:tc>
          <w:tcPr>
            <w:tcW w:w="1010" w:type="dxa"/>
          </w:tcPr>
          <w:p>
            <w:pPr>
              <w:pStyle w:val="TableParagraph"/>
              <w:rPr>
                <w:sz w:val="22"/>
              </w:rPr>
            </w:pPr>
          </w:p>
        </w:tc>
        <w:tc>
          <w:tcPr>
            <w:tcW w:w="1032" w:type="dxa"/>
          </w:tcPr>
          <w:p>
            <w:pPr>
              <w:pStyle w:val="TableParagraph"/>
              <w:rPr>
                <w:sz w:val="22"/>
              </w:rPr>
            </w:pPr>
          </w:p>
        </w:tc>
        <w:tc>
          <w:tcPr>
            <w:tcW w:w="1807" w:type="dxa"/>
          </w:tcPr>
          <w:p>
            <w:pPr>
              <w:pStyle w:val="TableParagraph"/>
              <w:rPr>
                <w:sz w:val="22"/>
              </w:rPr>
            </w:pPr>
          </w:p>
        </w:tc>
      </w:tr>
      <w:tr>
        <w:trPr>
          <w:trHeight w:val="388" w:hRule="atLeast"/>
        </w:trPr>
        <w:tc>
          <w:tcPr>
            <w:tcW w:w="1596" w:type="dxa"/>
          </w:tcPr>
          <w:p>
            <w:pPr>
              <w:pStyle w:val="TableParagraph"/>
              <w:spacing w:before="65"/>
              <w:ind w:left="100"/>
              <w:rPr>
                <w:sz w:val="22"/>
              </w:rPr>
            </w:pPr>
            <w:r>
              <w:rPr>
                <w:spacing w:val="-5"/>
                <w:sz w:val="22"/>
              </w:rPr>
              <w:t>DS</w:t>
            </w:r>
          </w:p>
        </w:tc>
        <w:tc>
          <w:tcPr>
            <w:tcW w:w="1036" w:type="dxa"/>
          </w:tcPr>
          <w:p>
            <w:pPr>
              <w:pStyle w:val="TableParagraph"/>
              <w:spacing w:before="65"/>
              <w:ind w:left="103"/>
              <w:rPr>
                <w:sz w:val="22"/>
              </w:rPr>
            </w:pPr>
            <w:r>
              <w:rPr>
                <w:spacing w:val="-2"/>
                <w:sz w:val="22"/>
              </w:rPr>
              <w:t>34.73</w:t>
            </w:r>
          </w:p>
        </w:tc>
        <w:tc>
          <w:tcPr>
            <w:tcW w:w="922" w:type="dxa"/>
          </w:tcPr>
          <w:p>
            <w:pPr>
              <w:pStyle w:val="TableParagraph"/>
              <w:spacing w:before="65"/>
              <w:ind w:left="123"/>
              <w:rPr>
                <w:sz w:val="22"/>
              </w:rPr>
            </w:pPr>
            <w:r>
              <w:rPr>
                <w:spacing w:val="-4"/>
                <w:sz w:val="22"/>
              </w:rPr>
              <w:t>3.50</w:t>
            </w:r>
          </w:p>
        </w:tc>
        <w:tc>
          <w:tcPr>
            <w:tcW w:w="1075" w:type="dxa"/>
          </w:tcPr>
          <w:p>
            <w:pPr>
              <w:pStyle w:val="TableParagraph"/>
              <w:spacing w:before="65"/>
              <w:ind w:left="180"/>
              <w:rPr>
                <w:sz w:val="22"/>
              </w:rPr>
            </w:pPr>
            <w:r>
              <w:rPr>
                <w:spacing w:val="-4"/>
                <w:sz w:val="22"/>
              </w:rPr>
              <w:t>0.47</w:t>
            </w:r>
          </w:p>
        </w:tc>
        <w:tc>
          <w:tcPr>
            <w:tcW w:w="1010" w:type="dxa"/>
          </w:tcPr>
          <w:p>
            <w:pPr>
              <w:pStyle w:val="TableParagraph"/>
              <w:spacing w:before="65"/>
              <w:ind w:left="166"/>
              <w:rPr>
                <w:sz w:val="22"/>
              </w:rPr>
            </w:pPr>
            <w:r>
              <w:rPr>
                <w:spacing w:val="-4"/>
                <w:sz w:val="22"/>
              </w:rPr>
              <w:t>0.53</w:t>
            </w:r>
          </w:p>
        </w:tc>
        <w:tc>
          <w:tcPr>
            <w:tcW w:w="1032" w:type="dxa"/>
          </w:tcPr>
          <w:p>
            <w:pPr>
              <w:pStyle w:val="TableParagraph"/>
              <w:spacing w:before="65"/>
              <w:ind w:left="101"/>
              <w:rPr>
                <w:sz w:val="22"/>
              </w:rPr>
            </w:pPr>
            <w:r>
              <w:rPr>
                <w:spacing w:val="-2"/>
                <w:sz w:val="22"/>
              </w:rPr>
              <w:t>11.32</w:t>
            </w:r>
          </w:p>
        </w:tc>
        <w:tc>
          <w:tcPr>
            <w:tcW w:w="1807" w:type="dxa"/>
          </w:tcPr>
          <w:p>
            <w:pPr>
              <w:pStyle w:val="TableParagraph"/>
              <w:spacing w:before="65"/>
              <w:ind w:left="284"/>
              <w:rPr>
                <w:sz w:val="22"/>
              </w:rPr>
            </w:pPr>
            <w:r>
              <w:rPr>
                <w:spacing w:val="-4"/>
                <w:sz w:val="22"/>
              </w:rPr>
              <w:t>1.13</w:t>
            </w:r>
          </w:p>
        </w:tc>
      </w:tr>
      <w:tr>
        <w:trPr>
          <w:trHeight w:val="388" w:hRule="atLeast"/>
        </w:trPr>
        <w:tc>
          <w:tcPr>
            <w:tcW w:w="1596" w:type="dxa"/>
          </w:tcPr>
          <w:p>
            <w:pPr>
              <w:pStyle w:val="TableParagraph"/>
              <w:spacing w:before="65"/>
              <w:ind w:left="100"/>
              <w:rPr>
                <w:sz w:val="22"/>
              </w:rPr>
            </w:pPr>
            <w:r>
              <w:rPr>
                <w:spacing w:val="-5"/>
                <w:sz w:val="22"/>
              </w:rPr>
              <w:t>MCS</w:t>
            </w:r>
          </w:p>
        </w:tc>
        <w:tc>
          <w:tcPr>
            <w:tcW w:w="1036" w:type="dxa"/>
          </w:tcPr>
          <w:p>
            <w:pPr>
              <w:pStyle w:val="TableParagraph"/>
              <w:spacing w:before="65"/>
              <w:ind w:left="103"/>
              <w:rPr>
                <w:sz w:val="22"/>
              </w:rPr>
            </w:pPr>
            <w:r>
              <w:rPr>
                <w:spacing w:val="-2"/>
                <w:sz w:val="22"/>
              </w:rPr>
              <w:t>35.23</w:t>
            </w:r>
          </w:p>
        </w:tc>
        <w:tc>
          <w:tcPr>
            <w:tcW w:w="922" w:type="dxa"/>
          </w:tcPr>
          <w:p>
            <w:pPr>
              <w:pStyle w:val="TableParagraph"/>
              <w:spacing w:before="65"/>
              <w:ind w:left="123"/>
              <w:rPr>
                <w:sz w:val="22"/>
              </w:rPr>
            </w:pPr>
            <w:r>
              <w:rPr>
                <w:spacing w:val="-4"/>
                <w:sz w:val="22"/>
              </w:rPr>
              <w:t>3.62</w:t>
            </w:r>
          </w:p>
        </w:tc>
        <w:tc>
          <w:tcPr>
            <w:tcW w:w="1075" w:type="dxa"/>
          </w:tcPr>
          <w:p>
            <w:pPr>
              <w:pStyle w:val="TableParagraph"/>
              <w:spacing w:before="65"/>
              <w:ind w:left="180"/>
              <w:rPr>
                <w:sz w:val="22"/>
              </w:rPr>
            </w:pPr>
            <w:r>
              <w:rPr>
                <w:spacing w:val="-4"/>
                <w:sz w:val="22"/>
              </w:rPr>
              <w:t>0.43</w:t>
            </w:r>
          </w:p>
        </w:tc>
        <w:tc>
          <w:tcPr>
            <w:tcW w:w="1010" w:type="dxa"/>
          </w:tcPr>
          <w:p>
            <w:pPr>
              <w:pStyle w:val="TableParagraph"/>
              <w:spacing w:before="65"/>
              <w:ind w:left="166"/>
              <w:rPr>
                <w:sz w:val="22"/>
              </w:rPr>
            </w:pPr>
            <w:r>
              <w:rPr>
                <w:spacing w:val="-4"/>
                <w:sz w:val="22"/>
              </w:rPr>
              <w:t>0.50</w:t>
            </w:r>
          </w:p>
        </w:tc>
        <w:tc>
          <w:tcPr>
            <w:tcW w:w="1032" w:type="dxa"/>
          </w:tcPr>
          <w:p>
            <w:pPr>
              <w:pStyle w:val="TableParagraph"/>
              <w:spacing w:before="65"/>
              <w:ind w:left="101"/>
              <w:rPr>
                <w:sz w:val="22"/>
              </w:rPr>
            </w:pPr>
            <w:r>
              <w:rPr>
                <w:spacing w:val="-2"/>
                <w:sz w:val="22"/>
              </w:rPr>
              <w:t>14.00</w:t>
            </w:r>
          </w:p>
        </w:tc>
        <w:tc>
          <w:tcPr>
            <w:tcW w:w="1807" w:type="dxa"/>
          </w:tcPr>
          <w:p>
            <w:pPr>
              <w:pStyle w:val="TableParagraph"/>
              <w:spacing w:before="65"/>
              <w:ind w:left="284"/>
              <w:rPr>
                <w:sz w:val="22"/>
              </w:rPr>
            </w:pPr>
            <w:r>
              <w:rPr>
                <w:spacing w:val="-4"/>
                <w:sz w:val="22"/>
              </w:rPr>
              <w:t>1.15</w:t>
            </w:r>
          </w:p>
        </w:tc>
      </w:tr>
      <w:tr>
        <w:trPr>
          <w:trHeight w:val="319" w:hRule="atLeast"/>
        </w:trPr>
        <w:tc>
          <w:tcPr>
            <w:tcW w:w="1596" w:type="dxa"/>
          </w:tcPr>
          <w:p>
            <w:pPr>
              <w:pStyle w:val="TableParagraph"/>
              <w:spacing w:line="234" w:lineRule="exact" w:before="65"/>
              <w:ind w:left="100"/>
              <w:rPr>
                <w:sz w:val="22"/>
              </w:rPr>
            </w:pPr>
            <w:r>
              <w:rPr>
                <w:spacing w:val="-5"/>
                <w:sz w:val="22"/>
              </w:rPr>
              <w:t>MS</w:t>
            </w:r>
          </w:p>
        </w:tc>
        <w:tc>
          <w:tcPr>
            <w:tcW w:w="1036" w:type="dxa"/>
          </w:tcPr>
          <w:p>
            <w:pPr>
              <w:pStyle w:val="TableParagraph"/>
              <w:spacing w:line="234" w:lineRule="exact" w:before="65"/>
              <w:ind w:left="103"/>
              <w:rPr>
                <w:sz w:val="22"/>
              </w:rPr>
            </w:pPr>
            <w:r>
              <w:rPr>
                <w:spacing w:val="-2"/>
                <w:sz w:val="22"/>
              </w:rPr>
              <w:t>34.35</w:t>
            </w:r>
          </w:p>
        </w:tc>
        <w:tc>
          <w:tcPr>
            <w:tcW w:w="922" w:type="dxa"/>
          </w:tcPr>
          <w:p>
            <w:pPr>
              <w:pStyle w:val="TableParagraph"/>
              <w:spacing w:line="234" w:lineRule="exact" w:before="65"/>
              <w:ind w:left="123"/>
              <w:rPr>
                <w:sz w:val="22"/>
              </w:rPr>
            </w:pPr>
            <w:r>
              <w:rPr>
                <w:spacing w:val="-4"/>
                <w:sz w:val="22"/>
              </w:rPr>
              <w:t>3.27</w:t>
            </w:r>
          </w:p>
        </w:tc>
        <w:tc>
          <w:tcPr>
            <w:tcW w:w="1075" w:type="dxa"/>
          </w:tcPr>
          <w:p>
            <w:pPr>
              <w:pStyle w:val="TableParagraph"/>
              <w:spacing w:line="234" w:lineRule="exact" w:before="65"/>
              <w:ind w:left="180"/>
              <w:rPr>
                <w:sz w:val="22"/>
              </w:rPr>
            </w:pPr>
            <w:r>
              <w:rPr>
                <w:spacing w:val="-4"/>
                <w:sz w:val="22"/>
              </w:rPr>
              <w:t>0.44</w:t>
            </w:r>
          </w:p>
        </w:tc>
        <w:tc>
          <w:tcPr>
            <w:tcW w:w="1010" w:type="dxa"/>
          </w:tcPr>
          <w:p>
            <w:pPr>
              <w:pStyle w:val="TableParagraph"/>
              <w:spacing w:line="234" w:lineRule="exact" w:before="65"/>
              <w:ind w:left="166"/>
              <w:rPr>
                <w:sz w:val="22"/>
              </w:rPr>
            </w:pPr>
            <w:r>
              <w:rPr>
                <w:spacing w:val="-4"/>
                <w:sz w:val="22"/>
              </w:rPr>
              <w:t>0.48</w:t>
            </w:r>
          </w:p>
        </w:tc>
        <w:tc>
          <w:tcPr>
            <w:tcW w:w="1032" w:type="dxa"/>
          </w:tcPr>
          <w:p>
            <w:pPr>
              <w:pStyle w:val="TableParagraph"/>
              <w:spacing w:line="234" w:lineRule="exact" w:before="65"/>
              <w:ind w:left="101"/>
              <w:rPr>
                <w:sz w:val="22"/>
              </w:rPr>
            </w:pPr>
            <w:r>
              <w:rPr>
                <w:spacing w:val="-4"/>
                <w:sz w:val="22"/>
              </w:rPr>
              <w:t>8.30</w:t>
            </w:r>
          </w:p>
        </w:tc>
        <w:tc>
          <w:tcPr>
            <w:tcW w:w="1807" w:type="dxa"/>
          </w:tcPr>
          <w:p>
            <w:pPr>
              <w:pStyle w:val="TableParagraph"/>
              <w:spacing w:line="234" w:lineRule="exact" w:before="65"/>
              <w:ind w:left="284"/>
              <w:rPr>
                <w:sz w:val="22"/>
              </w:rPr>
            </w:pPr>
            <w:r>
              <w:rPr>
                <w:spacing w:val="-4"/>
                <w:sz w:val="22"/>
              </w:rPr>
              <w:t>1.09</w:t>
            </w:r>
          </w:p>
        </w:tc>
      </w:tr>
    </w:tbl>
    <w:p>
      <w:pPr>
        <w:pStyle w:val="BodyText"/>
        <w:rPr>
          <w:b/>
          <w:sz w:val="20"/>
        </w:rPr>
      </w:pPr>
    </w:p>
    <w:p>
      <w:pPr>
        <w:pStyle w:val="BodyText"/>
        <w:spacing w:before="43"/>
        <w:rPr>
          <w:b/>
          <w:sz w:val="20"/>
        </w:rPr>
      </w:pPr>
      <w:r>
        <w:rPr/>
        <mc:AlternateContent>
          <mc:Choice Requires="wps">
            <w:drawing>
              <wp:anchor distT="0" distB="0" distL="0" distR="0" allowOverlap="1" layoutInCell="1" locked="0" behindDoc="1" simplePos="0" relativeHeight="487608320">
                <wp:simplePos x="0" y="0"/>
                <wp:positionH relativeFrom="page">
                  <wp:posOffset>1450848</wp:posOffset>
                </wp:positionH>
                <wp:positionV relativeFrom="paragraph">
                  <wp:posOffset>188861</wp:posOffset>
                </wp:positionV>
                <wp:extent cx="5392420" cy="317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392420" cy="3175"/>
                        </a:xfrm>
                        <a:custGeom>
                          <a:avLst/>
                          <a:gdLst/>
                          <a:ahLst/>
                          <a:cxnLst/>
                          <a:rect l="l" t="t" r="r" b="b"/>
                          <a:pathLst>
                            <a:path w="5392420" h="3175">
                              <a:moveTo>
                                <a:pt x="5391912" y="0"/>
                              </a:moveTo>
                              <a:lnTo>
                                <a:pt x="5391912" y="0"/>
                              </a:lnTo>
                              <a:lnTo>
                                <a:pt x="0" y="0"/>
                              </a:lnTo>
                              <a:lnTo>
                                <a:pt x="0" y="3048"/>
                              </a:lnTo>
                              <a:lnTo>
                                <a:pt x="5391912" y="3048"/>
                              </a:lnTo>
                              <a:lnTo>
                                <a:pt x="5391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4.240005pt;margin-top:14.870968pt;width:424.56002pt;height:.24pt;mso-position-horizontal-relative:page;mso-position-vertical-relative:paragraph;z-index:-15708160;mso-wrap-distance-left:0;mso-wrap-distance-right:0" id="docshape57" filled="true" fillcolor="#000000" stroked="false">
                <v:fill type="solid"/>
                <w10:wrap type="topAndBottom"/>
              </v:rect>
            </w:pict>
          </mc:Fallback>
        </mc:AlternateContent>
      </w:r>
    </w:p>
    <w:p>
      <w:pPr>
        <w:pStyle w:val="BodyText"/>
        <w:spacing w:before="12"/>
        <w:rPr>
          <w:b/>
        </w:rPr>
      </w:pPr>
    </w:p>
    <w:p>
      <w:pPr>
        <w:spacing w:before="0"/>
        <w:ind w:left="665" w:right="0" w:firstLine="0"/>
        <w:jc w:val="left"/>
        <w:rPr>
          <w:sz w:val="22"/>
        </w:rPr>
      </w:pPr>
      <w:r>
        <w:rPr>
          <w:sz w:val="22"/>
        </w:rPr>
        <w:t>DS</w:t>
      </w:r>
      <w:r>
        <w:rPr>
          <w:spacing w:val="15"/>
          <w:sz w:val="22"/>
        </w:rPr>
        <w:t> </w:t>
      </w:r>
      <w:r>
        <w:rPr>
          <w:sz w:val="22"/>
        </w:rPr>
        <w:t>=</w:t>
      </w:r>
      <w:r>
        <w:rPr>
          <w:spacing w:val="7"/>
          <w:sz w:val="22"/>
        </w:rPr>
        <w:t> </w:t>
      </w:r>
      <w:r>
        <w:rPr>
          <w:i/>
          <w:sz w:val="22"/>
        </w:rPr>
        <w:t>Digitaria</w:t>
      </w:r>
      <w:r>
        <w:rPr>
          <w:i/>
          <w:spacing w:val="18"/>
          <w:sz w:val="22"/>
        </w:rPr>
        <w:t> </w:t>
      </w:r>
      <w:r>
        <w:rPr>
          <w:i/>
          <w:sz w:val="22"/>
        </w:rPr>
        <w:t>iburua</w:t>
      </w:r>
      <w:r>
        <w:rPr>
          <w:i/>
          <w:spacing w:val="9"/>
          <w:sz w:val="22"/>
        </w:rPr>
        <w:t> </w:t>
      </w:r>
      <w:r>
        <w:rPr>
          <w:sz w:val="22"/>
        </w:rPr>
        <w:t>Starch,</w:t>
      </w:r>
      <w:r>
        <w:rPr>
          <w:spacing w:val="10"/>
          <w:sz w:val="22"/>
        </w:rPr>
        <w:t> </w:t>
      </w:r>
      <w:r>
        <w:rPr>
          <w:sz w:val="22"/>
        </w:rPr>
        <w:t>MCS</w:t>
      </w:r>
      <w:r>
        <w:rPr>
          <w:spacing w:val="5"/>
          <w:sz w:val="22"/>
        </w:rPr>
        <w:t> </w:t>
      </w:r>
      <w:r>
        <w:rPr>
          <w:sz w:val="22"/>
        </w:rPr>
        <w:t>=</w:t>
      </w:r>
      <w:r>
        <w:rPr>
          <w:spacing w:val="8"/>
          <w:sz w:val="22"/>
        </w:rPr>
        <w:t> </w:t>
      </w:r>
      <w:r>
        <w:rPr>
          <w:sz w:val="22"/>
        </w:rPr>
        <w:t>Microcrystalline</w:t>
      </w:r>
      <w:r>
        <w:rPr>
          <w:spacing w:val="11"/>
          <w:sz w:val="22"/>
        </w:rPr>
        <w:t> </w:t>
      </w:r>
      <w:r>
        <w:rPr>
          <w:sz w:val="22"/>
        </w:rPr>
        <w:t>starch,</w:t>
      </w:r>
      <w:r>
        <w:rPr>
          <w:spacing w:val="17"/>
          <w:sz w:val="22"/>
        </w:rPr>
        <w:t> </w:t>
      </w:r>
      <w:r>
        <w:rPr>
          <w:sz w:val="22"/>
        </w:rPr>
        <w:t>MS</w:t>
      </w:r>
      <w:r>
        <w:rPr>
          <w:spacing w:val="4"/>
          <w:sz w:val="22"/>
        </w:rPr>
        <w:t> </w:t>
      </w:r>
      <w:r>
        <w:rPr>
          <w:sz w:val="22"/>
        </w:rPr>
        <w:t>=</w:t>
      </w:r>
      <w:r>
        <w:rPr>
          <w:spacing w:val="12"/>
          <w:sz w:val="22"/>
        </w:rPr>
        <w:t> </w:t>
      </w:r>
      <w:r>
        <w:rPr>
          <w:sz w:val="22"/>
        </w:rPr>
        <w:t>Maize</w:t>
      </w:r>
      <w:r>
        <w:rPr>
          <w:spacing w:val="10"/>
          <w:sz w:val="22"/>
        </w:rPr>
        <w:t> </w:t>
      </w:r>
      <w:r>
        <w:rPr>
          <w:sz w:val="22"/>
        </w:rPr>
        <w:t>starch</w:t>
      </w:r>
      <w:r>
        <w:rPr>
          <w:spacing w:val="8"/>
          <w:sz w:val="22"/>
        </w:rPr>
        <w:t> </w:t>
      </w:r>
      <w:r>
        <w:rPr>
          <w:spacing w:val="-4"/>
          <w:sz w:val="22"/>
        </w:rPr>
        <w:t>B.P.</w:t>
      </w:r>
    </w:p>
    <w:p>
      <w:pPr>
        <w:spacing w:after="0"/>
        <w:jc w:val="left"/>
        <w:rPr>
          <w:sz w:val="22"/>
        </w:rPr>
        <w:sectPr>
          <w:pgSz w:w="12240" w:h="15840"/>
          <w:pgMar w:header="0" w:footer="999" w:top="1260" w:bottom="1180" w:left="1720" w:right="0"/>
        </w:sectPr>
      </w:pPr>
    </w:p>
    <w:p>
      <w:pPr>
        <w:pStyle w:val="Heading2"/>
        <w:spacing w:line="244" w:lineRule="auto" w:before="80"/>
        <w:ind w:left="1683" w:right="2566" w:hanging="1018"/>
      </w:pPr>
      <w:r>
        <w:rPr/>
        <w:t>Table 4.7: Effects of Binder Concentration on the Physical Properties of the </w:t>
      </w:r>
      <w:r>
        <w:rPr>
          <w:spacing w:val="-2"/>
        </w:rPr>
        <w:t>granules</w:t>
      </w:r>
    </w:p>
    <w:p>
      <w:pPr>
        <w:pStyle w:val="BodyText"/>
        <w:spacing w:before="30"/>
        <w:rPr>
          <w:b/>
          <w:sz w:val="20"/>
        </w:rPr>
      </w:pPr>
    </w:p>
    <w:tbl>
      <w:tblPr>
        <w:tblW w:w="0" w:type="auto"/>
        <w:jc w:val="lef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0"/>
        <w:gridCol w:w="1028"/>
        <w:gridCol w:w="959"/>
        <w:gridCol w:w="1194"/>
        <w:gridCol w:w="1191"/>
        <w:gridCol w:w="966"/>
        <w:gridCol w:w="2166"/>
      </w:tblGrid>
      <w:tr>
        <w:trPr>
          <w:trHeight w:val="505" w:hRule="atLeast"/>
        </w:trPr>
        <w:tc>
          <w:tcPr>
            <w:tcW w:w="1610" w:type="dxa"/>
            <w:tcBorders>
              <w:top w:val="single" w:sz="4" w:space="0" w:color="000000"/>
            </w:tcBorders>
          </w:tcPr>
          <w:p>
            <w:pPr>
              <w:pStyle w:val="TableParagraph"/>
              <w:spacing w:line="260" w:lineRule="exact"/>
              <w:ind w:left="100"/>
              <w:rPr>
                <w:b/>
                <w:sz w:val="22"/>
              </w:rPr>
            </w:pPr>
            <w:r>
              <w:rPr>
                <w:b/>
                <w:spacing w:val="-2"/>
                <w:sz w:val="22"/>
              </w:rPr>
              <w:t>Binder Concentration</w:t>
            </w:r>
          </w:p>
        </w:tc>
        <w:tc>
          <w:tcPr>
            <w:tcW w:w="1028" w:type="dxa"/>
            <w:tcBorders>
              <w:top w:val="single" w:sz="4" w:space="0" w:color="000000"/>
            </w:tcBorders>
          </w:tcPr>
          <w:p>
            <w:pPr>
              <w:pStyle w:val="TableParagraph"/>
              <w:spacing w:line="260" w:lineRule="exact"/>
              <w:ind w:left="117"/>
              <w:rPr>
                <w:b/>
                <w:sz w:val="22"/>
              </w:rPr>
            </w:pPr>
            <w:r>
              <w:rPr>
                <w:b/>
                <w:sz w:val="22"/>
              </w:rPr>
              <w:t>Angle</w:t>
            </w:r>
            <w:r>
              <w:rPr>
                <w:b/>
                <w:spacing w:val="-14"/>
                <w:sz w:val="22"/>
              </w:rPr>
              <w:t> </w:t>
            </w:r>
            <w:r>
              <w:rPr>
                <w:b/>
                <w:sz w:val="22"/>
              </w:rPr>
              <w:t>of </w:t>
            </w:r>
            <w:r>
              <w:rPr>
                <w:b/>
                <w:spacing w:val="-2"/>
                <w:sz w:val="22"/>
              </w:rPr>
              <w:t>Repose</w:t>
            </w:r>
          </w:p>
        </w:tc>
        <w:tc>
          <w:tcPr>
            <w:tcW w:w="959" w:type="dxa"/>
            <w:tcBorders>
              <w:top w:val="single" w:sz="4" w:space="0" w:color="000000"/>
            </w:tcBorders>
          </w:tcPr>
          <w:p>
            <w:pPr>
              <w:pStyle w:val="TableParagraph"/>
              <w:spacing w:line="260" w:lineRule="exact"/>
              <w:ind w:left="102" w:right="4"/>
              <w:rPr>
                <w:b/>
                <w:sz w:val="22"/>
              </w:rPr>
            </w:pPr>
            <w:r>
              <w:rPr>
                <w:b/>
                <w:spacing w:val="-4"/>
                <w:sz w:val="22"/>
              </w:rPr>
              <w:t>Flow Rate</w:t>
            </w:r>
          </w:p>
        </w:tc>
        <w:tc>
          <w:tcPr>
            <w:tcW w:w="1194" w:type="dxa"/>
            <w:tcBorders>
              <w:top w:val="single" w:sz="4" w:space="0" w:color="000000"/>
            </w:tcBorders>
          </w:tcPr>
          <w:p>
            <w:pPr>
              <w:pStyle w:val="TableParagraph"/>
              <w:spacing w:line="260" w:lineRule="exact"/>
              <w:ind w:left="242"/>
              <w:rPr>
                <w:b/>
                <w:sz w:val="22"/>
              </w:rPr>
            </w:pPr>
            <w:r>
              <w:rPr>
                <w:b/>
                <w:spacing w:val="-4"/>
                <w:sz w:val="22"/>
              </w:rPr>
              <w:t>Bulk </w:t>
            </w:r>
            <w:r>
              <w:rPr>
                <w:b/>
                <w:spacing w:val="-2"/>
                <w:sz w:val="22"/>
              </w:rPr>
              <w:t>Density</w:t>
            </w:r>
          </w:p>
        </w:tc>
        <w:tc>
          <w:tcPr>
            <w:tcW w:w="1191" w:type="dxa"/>
            <w:tcBorders>
              <w:top w:val="single" w:sz="4" w:space="0" w:color="000000"/>
            </w:tcBorders>
          </w:tcPr>
          <w:p>
            <w:pPr>
              <w:pStyle w:val="TableParagraph"/>
              <w:spacing w:line="260" w:lineRule="exact"/>
              <w:ind w:left="234"/>
              <w:rPr>
                <w:b/>
                <w:sz w:val="22"/>
              </w:rPr>
            </w:pPr>
            <w:r>
              <w:rPr>
                <w:b/>
                <w:spacing w:val="-2"/>
                <w:sz w:val="22"/>
              </w:rPr>
              <w:t>Tapped density</w:t>
            </w:r>
          </w:p>
        </w:tc>
        <w:tc>
          <w:tcPr>
            <w:tcW w:w="966" w:type="dxa"/>
            <w:tcBorders>
              <w:top w:val="single" w:sz="4" w:space="0" w:color="000000"/>
            </w:tcBorders>
          </w:tcPr>
          <w:p>
            <w:pPr>
              <w:pStyle w:val="TableParagraph"/>
              <w:spacing w:line="260" w:lineRule="exact"/>
              <w:ind w:left="224"/>
              <w:rPr>
                <w:b/>
                <w:sz w:val="22"/>
              </w:rPr>
            </w:pPr>
            <w:r>
              <w:rPr>
                <w:b/>
                <w:spacing w:val="-2"/>
                <w:sz w:val="22"/>
              </w:rPr>
              <w:t>Carr’s Index</w:t>
            </w:r>
          </w:p>
        </w:tc>
        <w:tc>
          <w:tcPr>
            <w:tcW w:w="2166" w:type="dxa"/>
            <w:tcBorders>
              <w:top w:val="single" w:sz="4" w:space="0" w:color="000000"/>
            </w:tcBorders>
          </w:tcPr>
          <w:p>
            <w:pPr>
              <w:pStyle w:val="TableParagraph"/>
              <w:spacing w:line="260" w:lineRule="exact"/>
              <w:ind w:left="165" w:right="1061" w:hanging="58"/>
              <w:rPr>
                <w:b/>
                <w:sz w:val="22"/>
              </w:rPr>
            </w:pPr>
            <w:r>
              <w:rPr>
                <w:b/>
                <w:spacing w:val="-2"/>
                <w:sz w:val="22"/>
              </w:rPr>
              <w:t>Hausner`s </w:t>
            </w:r>
            <w:r>
              <w:rPr>
                <w:b/>
                <w:spacing w:val="-4"/>
                <w:sz w:val="22"/>
              </w:rPr>
              <w:t>Ratio</w:t>
            </w:r>
          </w:p>
        </w:tc>
      </w:tr>
      <w:tr>
        <w:trPr>
          <w:trHeight w:val="253" w:hRule="atLeast"/>
        </w:trPr>
        <w:tc>
          <w:tcPr>
            <w:tcW w:w="1610" w:type="dxa"/>
            <w:tcBorders>
              <w:bottom w:val="single" w:sz="4" w:space="0" w:color="000000"/>
            </w:tcBorders>
          </w:tcPr>
          <w:p>
            <w:pPr>
              <w:pStyle w:val="TableParagraph"/>
              <w:spacing w:line="228" w:lineRule="exact" w:before="4"/>
              <w:ind w:left="100"/>
              <w:rPr>
                <w:b/>
                <w:sz w:val="22"/>
              </w:rPr>
            </w:pPr>
            <w:r>
              <w:rPr>
                <w:b/>
                <w:sz w:val="22"/>
              </w:rPr>
              <w:t>(%</w:t>
            </w:r>
            <w:r>
              <w:rPr>
                <w:b/>
                <w:spacing w:val="8"/>
                <w:sz w:val="22"/>
              </w:rPr>
              <w:t> </w:t>
            </w:r>
            <w:r>
              <w:rPr>
                <w:b/>
                <w:spacing w:val="-4"/>
                <w:sz w:val="22"/>
              </w:rPr>
              <w:t>w/v)</w:t>
            </w:r>
          </w:p>
        </w:tc>
        <w:tc>
          <w:tcPr>
            <w:tcW w:w="1028" w:type="dxa"/>
            <w:tcBorders>
              <w:bottom w:val="single" w:sz="4" w:space="0" w:color="000000"/>
            </w:tcBorders>
          </w:tcPr>
          <w:p>
            <w:pPr>
              <w:pStyle w:val="TableParagraph"/>
              <w:spacing w:line="228" w:lineRule="exact" w:before="4"/>
              <w:ind w:left="117"/>
              <w:rPr>
                <w:b/>
                <w:sz w:val="22"/>
              </w:rPr>
            </w:pPr>
            <w:r>
              <w:rPr>
                <w:b/>
                <w:spacing w:val="-5"/>
                <w:w w:val="105"/>
                <w:sz w:val="22"/>
              </w:rPr>
              <w:t>(</w:t>
            </w:r>
            <w:r>
              <w:rPr>
                <w:b/>
                <w:spacing w:val="-5"/>
                <w:w w:val="105"/>
                <w:sz w:val="22"/>
                <w:vertAlign w:val="superscript"/>
              </w:rPr>
              <w:t>o</w:t>
            </w:r>
            <w:r>
              <w:rPr>
                <w:b/>
                <w:spacing w:val="-5"/>
                <w:w w:val="105"/>
                <w:sz w:val="22"/>
                <w:vertAlign w:val="baseline"/>
              </w:rPr>
              <w:t>)</w:t>
            </w:r>
          </w:p>
        </w:tc>
        <w:tc>
          <w:tcPr>
            <w:tcW w:w="959" w:type="dxa"/>
            <w:tcBorders>
              <w:bottom w:val="single" w:sz="4" w:space="0" w:color="000000"/>
            </w:tcBorders>
          </w:tcPr>
          <w:p>
            <w:pPr>
              <w:pStyle w:val="TableParagraph"/>
              <w:spacing w:line="228" w:lineRule="exact" w:before="4"/>
              <w:ind w:left="102"/>
              <w:rPr>
                <w:b/>
                <w:sz w:val="22"/>
              </w:rPr>
            </w:pPr>
            <w:r>
              <w:rPr>
                <w:b/>
                <w:spacing w:val="-2"/>
                <w:sz w:val="22"/>
              </w:rPr>
              <w:t>(g/sec)</w:t>
            </w:r>
          </w:p>
        </w:tc>
        <w:tc>
          <w:tcPr>
            <w:tcW w:w="1194" w:type="dxa"/>
            <w:tcBorders>
              <w:bottom w:val="single" w:sz="4" w:space="0" w:color="000000"/>
            </w:tcBorders>
          </w:tcPr>
          <w:p>
            <w:pPr>
              <w:pStyle w:val="TableParagraph"/>
              <w:spacing w:line="228" w:lineRule="exact" w:before="4"/>
              <w:ind w:left="242"/>
              <w:rPr>
                <w:b/>
                <w:sz w:val="22"/>
              </w:rPr>
            </w:pPr>
            <w:r>
              <w:rPr>
                <w:b/>
                <w:spacing w:val="-2"/>
                <w:sz w:val="22"/>
              </w:rPr>
              <w:t>(g/dm</w:t>
            </w:r>
            <w:r>
              <w:rPr>
                <w:b/>
                <w:spacing w:val="-2"/>
                <w:sz w:val="22"/>
                <w:vertAlign w:val="superscript"/>
              </w:rPr>
              <w:t>3</w:t>
            </w:r>
            <w:r>
              <w:rPr>
                <w:b/>
                <w:spacing w:val="-2"/>
                <w:sz w:val="22"/>
                <w:vertAlign w:val="baseline"/>
              </w:rPr>
              <w:t>)</w:t>
            </w:r>
          </w:p>
        </w:tc>
        <w:tc>
          <w:tcPr>
            <w:tcW w:w="1191" w:type="dxa"/>
            <w:tcBorders>
              <w:bottom w:val="single" w:sz="4" w:space="0" w:color="000000"/>
            </w:tcBorders>
          </w:tcPr>
          <w:p>
            <w:pPr>
              <w:pStyle w:val="TableParagraph"/>
              <w:spacing w:line="228" w:lineRule="exact" w:before="4"/>
              <w:ind w:left="234"/>
              <w:rPr>
                <w:b/>
                <w:sz w:val="22"/>
              </w:rPr>
            </w:pPr>
            <w:r>
              <w:rPr>
                <w:b/>
                <w:spacing w:val="-2"/>
                <w:sz w:val="22"/>
              </w:rPr>
              <w:t>(g/dm</w:t>
            </w:r>
            <w:r>
              <w:rPr>
                <w:b/>
                <w:spacing w:val="-2"/>
                <w:sz w:val="22"/>
                <w:vertAlign w:val="superscript"/>
              </w:rPr>
              <w:t>3</w:t>
            </w:r>
            <w:r>
              <w:rPr>
                <w:b/>
                <w:spacing w:val="-2"/>
                <w:sz w:val="22"/>
                <w:vertAlign w:val="baseline"/>
              </w:rPr>
              <w:t>)</w:t>
            </w:r>
          </w:p>
        </w:tc>
        <w:tc>
          <w:tcPr>
            <w:tcW w:w="966" w:type="dxa"/>
            <w:tcBorders>
              <w:bottom w:val="single" w:sz="4" w:space="0" w:color="000000"/>
            </w:tcBorders>
          </w:tcPr>
          <w:p>
            <w:pPr>
              <w:pStyle w:val="TableParagraph"/>
              <w:spacing w:line="228" w:lineRule="exact" w:before="4"/>
              <w:ind w:left="224"/>
              <w:rPr>
                <w:b/>
                <w:sz w:val="22"/>
              </w:rPr>
            </w:pPr>
            <w:r>
              <w:rPr>
                <w:b/>
                <w:spacing w:val="-5"/>
                <w:sz w:val="22"/>
              </w:rPr>
              <w:t>(%)</w:t>
            </w:r>
          </w:p>
        </w:tc>
        <w:tc>
          <w:tcPr>
            <w:tcW w:w="2166" w:type="dxa"/>
            <w:tcBorders>
              <w:bottom w:val="single" w:sz="4" w:space="0" w:color="000000"/>
            </w:tcBorders>
          </w:tcPr>
          <w:p>
            <w:pPr>
              <w:pStyle w:val="TableParagraph"/>
              <w:rPr>
                <w:sz w:val="18"/>
              </w:rPr>
            </w:pPr>
          </w:p>
        </w:tc>
      </w:tr>
      <w:tr>
        <w:trPr>
          <w:trHeight w:val="330" w:hRule="atLeast"/>
        </w:trPr>
        <w:tc>
          <w:tcPr>
            <w:tcW w:w="1610" w:type="dxa"/>
            <w:tcBorders>
              <w:top w:val="single" w:sz="4" w:space="0" w:color="000000"/>
            </w:tcBorders>
          </w:tcPr>
          <w:p>
            <w:pPr>
              <w:pStyle w:val="TableParagraph"/>
              <w:spacing w:before="10"/>
              <w:ind w:left="100"/>
              <w:rPr>
                <w:sz w:val="22"/>
              </w:rPr>
            </w:pPr>
            <w:r>
              <w:rPr>
                <w:sz w:val="22"/>
                <w:u w:val="single"/>
              </w:rPr>
              <w:t>2.5</w:t>
            </w:r>
            <w:r>
              <w:rPr>
                <w:spacing w:val="13"/>
                <w:sz w:val="22"/>
                <w:u w:val="single"/>
              </w:rPr>
              <w:t> </w:t>
            </w:r>
            <w:r>
              <w:rPr>
                <w:spacing w:val="-10"/>
                <w:sz w:val="22"/>
                <w:u w:val="single"/>
              </w:rPr>
              <w:t>%</w:t>
            </w:r>
          </w:p>
        </w:tc>
        <w:tc>
          <w:tcPr>
            <w:tcW w:w="1028" w:type="dxa"/>
            <w:tcBorders>
              <w:top w:val="single" w:sz="4" w:space="0" w:color="000000"/>
            </w:tcBorders>
          </w:tcPr>
          <w:p>
            <w:pPr>
              <w:pStyle w:val="TableParagraph"/>
              <w:rPr>
                <w:sz w:val="22"/>
              </w:rPr>
            </w:pPr>
          </w:p>
        </w:tc>
        <w:tc>
          <w:tcPr>
            <w:tcW w:w="959" w:type="dxa"/>
            <w:tcBorders>
              <w:top w:val="single" w:sz="4" w:space="0" w:color="000000"/>
            </w:tcBorders>
          </w:tcPr>
          <w:p>
            <w:pPr>
              <w:pStyle w:val="TableParagraph"/>
              <w:rPr>
                <w:sz w:val="22"/>
              </w:rPr>
            </w:pPr>
          </w:p>
        </w:tc>
        <w:tc>
          <w:tcPr>
            <w:tcW w:w="1194" w:type="dxa"/>
            <w:tcBorders>
              <w:top w:val="single" w:sz="4" w:space="0" w:color="000000"/>
            </w:tcBorders>
          </w:tcPr>
          <w:p>
            <w:pPr>
              <w:pStyle w:val="TableParagraph"/>
              <w:rPr>
                <w:sz w:val="22"/>
              </w:rPr>
            </w:pPr>
          </w:p>
        </w:tc>
        <w:tc>
          <w:tcPr>
            <w:tcW w:w="1191" w:type="dxa"/>
            <w:tcBorders>
              <w:top w:val="single" w:sz="4" w:space="0" w:color="000000"/>
            </w:tcBorders>
          </w:tcPr>
          <w:p>
            <w:pPr>
              <w:pStyle w:val="TableParagraph"/>
              <w:rPr>
                <w:sz w:val="22"/>
              </w:rPr>
            </w:pPr>
          </w:p>
        </w:tc>
        <w:tc>
          <w:tcPr>
            <w:tcW w:w="966" w:type="dxa"/>
            <w:tcBorders>
              <w:top w:val="single" w:sz="4" w:space="0" w:color="000000"/>
            </w:tcBorders>
          </w:tcPr>
          <w:p>
            <w:pPr>
              <w:pStyle w:val="TableParagraph"/>
              <w:rPr>
                <w:sz w:val="22"/>
              </w:rPr>
            </w:pPr>
          </w:p>
        </w:tc>
        <w:tc>
          <w:tcPr>
            <w:tcW w:w="2166" w:type="dxa"/>
            <w:tcBorders>
              <w:top w:val="single" w:sz="4" w:space="0" w:color="000000"/>
            </w:tcBorders>
          </w:tcPr>
          <w:p>
            <w:pPr>
              <w:pStyle w:val="TableParagraph"/>
              <w:rPr>
                <w:sz w:val="22"/>
              </w:rPr>
            </w:pPr>
          </w:p>
        </w:tc>
      </w:tr>
      <w:tr>
        <w:trPr>
          <w:trHeight w:val="386" w:hRule="atLeast"/>
        </w:trPr>
        <w:tc>
          <w:tcPr>
            <w:tcW w:w="1610" w:type="dxa"/>
          </w:tcPr>
          <w:p>
            <w:pPr>
              <w:pStyle w:val="TableParagraph"/>
              <w:spacing w:before="62"/>
              <w:ind w:left="100"/>
              <w:rPr>
                <w:sz w:val="22"/>
              </w:rPr>
            </w:pPr>
            <w:r>
              <w:rPr>
                <w:spacing w:val="-5"/>
                <w:sz w:val="22"/>
              </w:rPr>
              <w:t>DS</w:t>
            </w:r>
          </w:p>
        </w:tc>
        <w:tc>
          <w:tcPr>
            <w:tcW w:w="1028" w:type="dxa"/>
          </w:tcPr>
          <w:p>
            <w:pPr>
              <w:pStyle w:val="TableParagraph"/>
              <w:spacing w:before="62"/>
              <w:ind w:left="117"/>
              <w:rPr>
                <w:sz w:val="22"/>
              </w:rPr>
            </w:pPr>
            <w:r>
              <w:rPr>
                <w:spacing w:val="-2"/>
                <w:sz w:val="22"/>
              </w:rPr>
              <w:t>33.33</w:t>
            </w:r>
          </w:p>
        </w:tc>
        <w:tc>
          <w:tcPr>
            <w:tcW w:w="959" w:type="dxa"/>
          </w:tcPr>
          <w:p>
            <w:pPr>
              <w:pStyle w:val="TableParagraph"/>
              <w:spacing w:before="62"/>
              <w:ind w:left="102"/>
              <w:rPr>
                <w:sz w:val="22"/>
              </w:rPr>
            </w:pPr>
            <w:r>
              <w:rPr>
                <w:spacing w:val="-4"/>
                <w:sz w:val="22"/>
              </w:rPr>
              <w:t>4.27</w:t>
            </w:r>
          </w:p>
        </w:tc>
        <w:tc>
          <w:tcPr>
            <w:tcW w:w="1194" w:type="dxa"/>
          </w:tcPr>
          <w:p>
            <w:pPr>
              <w:pStyle w:val="TableParagraph"/>
              <w:spacing w:before="62"/>
              <w:ind w:left="242"/>
              <w:rPr>
                <w:sz w:val="22"/>
              </w:rPr>
            </w:pPr>
            <w:r>
              <w:rPr>
                <w:spacing w:val="-4"/>
                <w:sz w:val="22"/>
              </w:rPr>
              <w:t>0.05</w:t>
            </w:r>
          </w:p>
        </w:tc>
        <w:tc>
          <w:tcPr>
            <w:tcW w:w="1191" w:type="dxa"/>
          </w:tcPr>
          <w:p>
            <w:pPr>
              <w:pStyle w:val="TableParagraph"/>
              <w:spacing w:before="62"/>
              <w:ind w:left="234"/>
              <w:rPr>
                <w:sz w:val="22"/>
              </w:rPr>
            </w:pPr>
            <w:r>
              <w:rPr>
                <w:spacing w:val="-4"/>
                <w:sz w:val="22"/>
              </w:rPr>
              <w:t>0.56</w:t>
            </w:r>
          </w:p>
        </w:tc>
        <w:tc>
          <w:tcPr>
            <w:tcW w:w="966" w:type="dxa"/>
          </w:tcPr>
          <w:p>
            <w:pPr>
              <w:pStyle w:val="TableParagraph"/>
              <w:spacing w:before="62"/>
              <w:ind w:left="224"/>
              <w:rPr>
                <w:sz w:val="22"/>
              </w:rPr>
            </w:pPr>
            <w:r>
              <w:rPr>
                <w:spacing w:val="-2"/>
                <w:sz w:val="22"/>
              </w:rPr>
              <w:t>10.71</w:t>
            </w:r>
          </w:p>
        </w:tc>
        <w:tc>
          <w:tcPr>
            <w:tcW w:w="2166" w:type="dxa"/>
          </w:tcPr>
          <w:p>
            <w:pPr>
              <w:pStyle w:val="TableParagraph"/>
              <w:spacing w:before="62"/>
              <w:ind w:left="275"/>
              <w:rPr>
                <w:sz w:val="22"/>
              </w:rPr>
            </w:pPr>
            <w:r>
              <w:rPr>
                <w:spacing w:val="-4"/>
                <w:sz w:val="22"/>
              </w:rPr>
              <w:t>1.12</w:t>
            </w:r>
          </w:p>
        </w:tc>
      </w:tr>
      <w:tr>
        <w:trPr>
          <w:trHeight w:val="388" w:hRule="atLeast"/>
        </w:trPr>
        <w:tc>
          <w:tcPr>
            <w:tcW w:w="1610" w:type="dxa"/>
          </w:tcPr>
          <w:p>
            <w:pPr>
              <w:pStyle w:val="TableParagraph"/>
              <w:spacing w:before="65"/>
              <w:ind w:left="100"/>
              <w:rPr>
                <w:sz w:val="22"/>
              </w:rPr>
            </w:pPr>
            <w:r>
              <w:rPr>
                <w:spacing w:val="-5"/>
                <w:sz w:val="22"/>
              </w:rPr>
              <w:t>MCS</w:t>
            </w:r>
          </w:p>
        </w:tc>
        <w:tc>
          <w:tcPr>
            <w:tcW w:w="1028" w:type="dxa"/>
          </w:tcPr>
          <w:p>
            <w:pPr>
              <w:pStyle w:val="TableParagraph"/>
              <w:spacing w:before="65"/>
              <w:ind w:left="117"/>
              <w:rPr>
                <w:sz w:val="22"/>
              </w:rPr>
            </w:pPr>
            <w:r>
              <w:rPr>
                <w:spacing w:val="-2"/>
                <w:sz w:val="22"/>
              </w:rPr>
              <w:t>30.07</w:t>
            </w:r>
          </w:p>
        </w:tc>
        <w:tc>
          <w:tcPr>
            <w:tcW w:w="959" w:type="dxa"/>
          </w:tcPr>
          <w:p>
            <w:pPr>
              <w:pStyle w:val="TableParagraph"/>
              <w:spacing w:before="65"/>
              <w:ind w:left="102"/>
              <w:rPr>
                <w:sz w:val="22"/>
              </w:rPr>
            </w:pPr>
            <w:r>
              <w:rPr>
                <w:spacing w:val="-4"/>
                <w:sz w:val="22"/>
              </w:rPr>
              <w:t>4.32</w:t>
            </w:r>
          </w:p>
        </w:tc>
        <w:tc>
          <w:tcPr>
            <w:tcW w:w="1194" w:type="dxa"/>
          </w:tcPr>
          <w:p>
            <w:pPr>
              <w:pStyle w:val="TableParagraph"/>
              <w:spacing w:before="65"/>
              <w:ind w:left="242"/>
              <w:rPr>
                <w:sz w:val="22"/>
              </w:rPr>
            </w:pPr>
            <w:r>
              <w:rPr>
                <w:spacing w:val="-4"/>
                <w:sz w:val="22"/>
              </w:rPr>
              <w:t>0.54</w:t>
            </w:r>
          </w:p>
        </w:tc>
        <w:tc>
          <w:tcPr>
            <w:tcW w:w="1191" w:type="dxa"/>
          </w:tcPr>
          <w:p>
            <w:pPr>
              <w:pStyle w:val="TableParagraph"/>
              <w:spacing w:before="65"/>
              <w:ind w:left="234"/>
              <w:rPr>
                <w:sz w:val="22"/>
              </w:rPr>
            </w:pPr>
            <w:r>
              <w:rPr>
                <w:spacing w:val="-4"/>
                <w:sz w:val="22"/>
              </w:rPr>
              <w:t>0.59</w:t>
            </w:r>
          </w:p>
        </w:tc>
        <w:tc>
          <w:tcPr>
            <w:tcW w:w="966" w:type="dxa"/>
          </w:tcPr>
          <w:p>
            <w:pPr>
              <w:pStyle w:val="TableParagraph"/>
              <w:spacing w:before="65"/>
              <w:ind w:left="224"/>
              <w:rPr>
                <w:sz w:val="22"/>
              </w:rPr>
            </w:pPr>
            <w:r>
              <w:rPr>
                <w:spacing w:val="-4"/>
                <w:sz w:val="22"/>
              </w:rPr>
              <w:t>8.47</w:t>
            </w:r>
          </w:p>
        </w:tc>
        <w:tc>
          <w:tcPr>
            <w:tcW w:w="2166" w:type="dxa"/>
          </w:tcPr>
          <w:p>
            <w:pPr>
              <w:pStyle w:val="TableParagraph"/>
              <w:spacing w:before="65"/>
              <w:ind w:left="275"/>
              <w:rPr>
                <w:sz w:val="22"/>
              </w:rPr>
            </w:pPr>
            <w:r>
              <w:rPr>
                <w:spacing w:val="-4"/>
                <w:sz w:val="22"/>
              </w:rPr>
              <w:t>1.09</w:t>
            </w:r>
          </w:p>
        </w:tc>
      </w:tr>
      <w:tr>
        <w:trPr>
          <w:trHeight w:val="391" w:hRule="atLeast"/>
        </w:trPr>
        <w:tc>
          <w:tcPr>
            <w:tcW w:w="1610" w:type="dxa"/>
          </w:tcPr>
          <w:p>
            <w:pPr>
              <w:pStyle w:val="TableParagraph"/>
              <w:spacing w:before="65"/>
              <w:ind w:left="100"/>
              <w:rPr>
                <w:sz w:val="22"/>
              </w:rPr>
            </w:pPr>
            <w:r>
              <w:rPr>
                <w:spacing w:val="-5"/>
                <w:sz w:val="22"/>
              </w:rPr>
              <w:t>GEL</w:t>
            </w:r>
          </w:p>
        </w:tc>
        <w:tc>
          <w:tcPr>
            <w:tcW w:w="1028" w:type="dxa"/>
          </w:tcPr>
          <w:p>
            <w:pPr>
              <w:pStyle w:val="TableParagraph"/>
              <w:spacing w:before="65"/>
              <w:ind w:left="117"/>
              <w:rPr>
                <w:sz w:val="22"/>
              </w:rPr>
            </w:pPr>
            <w:r>
              <w:rPr>
                <w:spacing w:val="-2"/>
                <w:sz w:val="22"/>
              </w:rPr>
              <w:t>35.29</w:t>
            </w:r>
          </w:p>
        </w:tc>
        <w:tc>
          <w:tcPr>
            <w:tcW w:w="959" w:type="dxa"/>
          </w:tcPr>
          <w:p>
            <w:pPr>
              <w:pStyle w:val="TableParagraph"/>
              <w:spacing w:before="65"/>
              <w:ind w:left="102"/>
              <w:rPr>
                <w:sz w:val="22"/>
              </w:rPr>
            </w:pPr>
            <w:r>
              <w:rPr>
                <w:spacing w:val="-4"/>
                <w:sz w:val="22"/>
              </w:rPr>
              <w:t>3.20</w:t>
            </w:r>
          </w:p>
        </w:tc>
        <w:tc>
          <w:tcPr>
            <w:tcW w:w="1194" w:type="dxa"/>
          </w:tcPr>
          <w:p>
            <w:pPr>
              <w:pStyle w:val="TableParagraph"/>
              <w:spacing w:before="65"/>
              <w:ind w:left="242"/>
              <w:rPr>
                <w:sz w:val="22"/>
              </w:rPr>
            </w:pPr>
            <w:r>
              <w:rPr>
                <w:spacing w:val="-4"/>
                <w:sz w:val="22"/>
              </w:rPr>
              <w:t>0.42</w:t>
            </w:r>
          </w:p>
        </w:tc>
        <w:tc>
          <w:tcPr>
            <w:tcW w:w="1191" w:type="dxa"/>
          </w:tcPr>
          <w:p>
            <w:pPr>
              <w:pStyle w:val="TableParagraph"/>
              <w:spacing w:before="65"/>
              <w:ind w:left="234"/>
              <w:rPr>
                <w:sz w:val="22"/>
              </w:rPr>
            </w:pPr>
            <w:r>
              <w:rPr>
                <w:spacing w:val="-4"/>
                <w:sz w:val="22"/>
              </w:rPr>
              <w:t>0.45</w:t>
            </w:r>
          </w:p>
        </w:tc>
        <w:tc>
          <w:tcPr>
            <w:tcW w:w="966" w:type="dxa"/>
          </w:tcPr>
          <w:p>
            <w:pPr>
              <w:pStyle w:val="TableParagraph"/>
              <w:spacing w:before="65"/>
              <w:ind w:left="224"/>
              <w:rPr>
                <w:sz w:val="22"/>
              </w:rPr>
            </w:pPr>
            <w:r>
              <w:rPr>
                <w:spacing w:val="-4"/>
                <w:sz w:val="22"/>
              </w:rPr>
              <w:t>7.10</w:t>
            </w:r>
          </w:p>
        </w:tc>
        <w:tc>
          <w:tcPr>
            <w:tcW w:w="2166" w:type="dxa"/>
          </w:tcPr>
          <w:p>
            <w:pPr>
              <w:pStyle w:val="TableParagraph"/>
              <w:spacing w:before="65"/>
              <w:ind w:left="275"/>
              <w:rPr>
                <w:sz w:val="22"/>
              </w:rPr>
            </w:pPr>
            <w:r>
              <w:rPr>
                <w:spacing w:val="-4"/>
                <w:sz w:val="22"/>
              </w:rPr>
              <w:t>1.07</w:t>
            </w:r>
          </w:p>
        </w:tc>
      </w:tr>
      <w:tr>
        <w:trPr>
          <w:trHeight w:val="391" w:hRule="atLeast"/>
        </w:trPr>
        <w:tc>
          <w:tcPr>
            <w:tcW w:w="1610" w:type="dxa"/>
          </w:tcPr>
          <w:p>
            <w:pPr>
              <w:pStyle w:val="TableParagraph"/>
              <w:spacing w:before="67"/>
              <w:ind w:left="100"/>
              <w:rPr>
                <w:sz w:val="22"/>
              </w:rPr>
            </w:pPr>
            <w:r>
              <w:rPr>
                <w:sz w:val="22"/>
                <w:u w:val="single"/>
              </w:rPr>
              <w:t>5.0</w:t>
            </w:r>
            <w:r>
              <w:rPr>
                <w:spacing w:val="13"/>
                <w:sz w:val="22"/>
                <w:u w:val="single"/>
              </w:rPr>
              <w:t> </w:t>
            </w:r>
            <w:r>
              <w:rPr>
                <w:spacing w:val="-10"/>
                <w:sz w:val="22"/>
                <w:u w:val="single"/>
              </w:rPr>
              <w:t>%</w:t>
            </w:r>
          </w:p>
        </w:tc>
        <w:tc>
          <w:tcPr>
            <w:tcW w:w="1028" w:type="dxa"/>
          </w:tcPr>
          <w:p>
            <w:pPr>
              <w:pStyle w:val="TableParagraph"/>
              <w:rPr>
                <w:sz w:val="22"/>
              </w:rPr>
            </w:pPr>
          </w:p>
        </w:tc>
        <w:tc>
          <w:tcPr>
            <w:tcW w:w="959" w:type="dxa"/>
          </w:tcPr>
          <w:p>
            <w:pPr>
              <w:pStyle w:val="TableParagraph"/>
              <w:rPr>
                <w:sz w:val="22"/>
              </w:rPr>
            </w:pPr>
          </w:p>
        </w:tc>
        <w:tc>
          <w:tcPr>
            <w:tcW w:w="1194" w:type="dxa"/>
          </w:tcPr>
          <w:p>
            <w:pPr>
              <w:pStyle w:val="TableParagraph"/>
              <w:rPr>
                <w:sz w:val="22"/>
              </w:rPr>
            </w:pPr>
          </w:p>
        </w:tc>
        <w:tc>
          <w:tcPr>
            <w:tcW w:w="1191" w:type="dxa"/>
          </w:tcPr>
          <w:p>
            <w:pPr>
              <w:pStyle w:val="TableParagraph"/>
              <w:rPr>
                <w:sz w:val="22"/>
              </w:rPr>
            </w:pPr>
          </w:p>
        </w:tc>
        <w:tc>
          <w:tcPr>
            <w:tcW w:w="966" w:type="dxa"/>
          </w:tcPr>
          <w:p>
            <w:pPr>
              <w:pStyle w:val="TableParagraph"/>
              <w:rPr>
                <w:sz w:val="22"/>
              </w:rPr>
            </w:pPr>
          </w:p>
        </w:tc>
        <w:tc>
          <w:tcPr>
            <w:tcW w:w="2166" w:type="dxa"/>
          </w:tcPr>
          <w:p>
            <w:pPr>
              <w:pStyle w:val="TableParagraph"/>
              <w:rPr>
                <w:sz w:val="22"/>
              </w:rPr>
            </w:pPr>
          </w:p>
        </w:tc>
      </w:tr>
      <w:tr>
        <w:trPr>
          <w:trHeight w:val="388" w:hRule="atLeast"/>
        </w:trPr>
        <w:tc>
          <w:tcPr>
            <w:tcW w:w="1610" w:type="dxa"/>
          </w:tcPr>
          <w:p>
            <w:pPr>
              <w:pStyle w:val="TableParagraph"/>
              <w:spacing w:before="65"/>
              <w:ind w:left="100"/>
              <w:rPr>
                <w:sz w:val="22"/>
              </w:rPr>
            </w:pPr>
            <w:r>
              <w:rPr>
                <w:spacing w:val="-5"/>
                <w:sz w:val="22"/>
              </w:rPr>
              <w:t>DS</w:t>
            </w:r>
          </w:p>
        </w:tc>
        <w:tc>
          <w:tcPr>
            <w:tcW w:w="1028" w:type="dxa"/>
          </w:tcPr>
          <w:p>
            <w:pPr>
              <w:pStyle w:val="TableParagraph"/>
              <w:spacing w:before="65"/>
              <w:ind w:left="117"/>
              <w:rPr>
                <w:sz w:val="22"/>
              </w:rPr>
            </w:pPr>
            <w:r>
              <w:rPr>
                <w:spacing w:val="-2"/>
                <w:sz w:val="22"/>
              </w:rPr>
              <w:t>34.52</w:t>
            </w:r>
          </w:p>
        </w:tc>
        <w:tc>
          <w:tcPr>
            <w:tcW w:w="959" w:type="dxa"/>
          </w:tcPr>
          <w:p>
            <w:pPr>
              <w:pStyle w:val="TableParagraph"/>
              <w:spacing w:before="65"/>
              <w:ind w:left="102"/>
              <w:rPr>
                <w:sz w:val="22"/>
              </w:rPr>
            </w:pPr>
            <w:r>
              <w:rPr>
                <w:spacing w:val="-4"/>
                <w:sz w:val="22"/>
              </w:rPr>
              <w:t>2.97</w:t>
            </w:r>
          </w:p>
        </w:tc>
        <w:tc>
          <w:tcPr>
            <w:tcW w:w="1194" w:type="dxa"/>
          </w:tcPr>
          <w:p>
            <w:pPr>
              <w:pStyle w:val="TableParagraph"/>
              <w:spacing w:before="65"/>
              <w:ind w:left="242"/>
              <w:rPr>
                <w:sz w:val="22"/>
              </w:rPr>
            </w:pPr>
            <w:r>
              <w:rPr>
                <w:spacing w:val="-4"/>
                <w:sz w:val="22"/>
              </w:rPr>
              <w:t>0.45</w:t>
            </w:r>
          </w:p>
        </w:tc>
        <w:tc>
          <w:tcPr>
            <w:tcW w:w="1191" w:type="dxa"/>
          </w:tcPr>
          <w:p>
            <w:pPr>
              <w:pStyle w:val="TableParagraph"/>
              <w:spacing w:before="65"/>
              <w:ind w:left="234"/>
              <w:rPr>
                <w:sz w:val="22"/>
              </w:rPr>
            </w:pPr>
            <w:r>
              <w:rPr>
                <w:spacing w:val="-4"/>
                <w:sz w:val="22"/>
              </w:rPr>
              <w:t>0.51</w:t>
            </w:r>
          </w:p>
        </w:tc>
        <w:tc>
          <w:tcPr>
            <w:tcW w:w="966" w:type="dxa"/>
          </w:tcPr>
          <w:p>
            <w:pPr>
              <w:pStyle w:val="TableParagraph"/>
              <w:spacing w:before="65"/>
              <w:ind w:left="224"/>
              <w:rPr>
                <w:sz w:val="22"/>
              </w:rPr>
            </w:pPr>
            <w:r>
              <w:rPr>
                <w:spacing w:val="-2"/>
                <w:sz w:val="22"/>
              </w:rPr>
              <w:t>11.76</w:t>
            </w:r>
          </w:p>
        </w:tc>
        <w:tc>
          <w:tcPr>
            <w:tcW w:w="2166" w:type="dxa"/>
          </w:tcPr>
          <w:p>
            <w:pPr>
              <w:pStyle w:val="TableParagraph"/>
              <w:spacing w:before="65"/>
              <w:ind w:left="275"/>
              <w:rPr>
                <w:sz w:val="22"/>
              </w:rPr>
            </w:pPr>
            <w:r>
              <w:rPr>
                <w:spacing w:val="-4"/>
                <w:sz w:val="22"/>
              </w:rPr>
              <w:t>1.13</w:t>
            </w:r>
          </w:p>
        </w:tc>
      </w:tr>
      <w:tr>
        <w:trPr>
          <w:trHeight w:val="386" w:hRule="atLeast"/>
        </w:trPr>
        <w:tc>
          <w:tcPr>
            <w:tcW w:w="1610" w:type="dxa"/>
          </w:tcPr>
          <w:p>
            <w:pPr>
              <w:pStyle w:val="TableParagraph"/>
              <w:spacing w:before="65"/>
              <w:ind w:left="100"/>
              <w:rPr>
                <w:sz w:val="22"/>
              </w:rPr>
            </w:pPr>
            <w:r>
              <w:rPr>
                <w:spacing w:val="-5"/>
                <w:sz w:val="22"/>
              </w:rPr>
              <w:t>MCS</w:t>
            </w:r>
          </w:p>
        </w:tc>
        <w:tc>
          <w:tcPr>
            <w:tcW w:w="1028" w:type="dxa"/>
          </w:tcPr>
          <w:p>
            <w:pPr>
              <w:pStyle w:val="TableParagraph"/>
              <w:spacing w:before="65"/>
              <w:ind w:left="117"/>
              <w:rPr>
                <w:sz w:val="22"/>
              </w:rPr>
            </w:pPr>
            <w:r>
              <w:rPr>
                <w:spacing w:val="-2"/>
                <w:sz w:val="22"/>
              </w:rPr>
              <w:t>30.07</w:t>
            </w:r>
          </w:p>
        </w:tc>
        <w:tc>
          <w:tcPr>
            <w:tcW w:w="959" w:type="dxa"/>
          </w:tcPr>
          <w:p>
            <w:pPr>
              <w:pStyle w:val="TableParagraph"/>
              <w:spacing w:before="65"/>
              <w:ind w:left="102"/>
              <w:rPr>
                <w:sz w:val="22"/>
              </w:rPr>
            </w:pPr>
            <w:r>
              <w:rPr>
                <w:spacing w:val="-4"/>
                <w:sz w:val="22"/>
              </w:rPr>
              <w:t>4.03</w:t>
            </w:r>
          </w:p>
        </w:tc>
        <w:tc>
          <w:tcPr>
            <w:tcW w:w="1194" w:type="dxa"/>
          </w:tcPr>
          <w:p>
            <w:pPr>
              <w:pStyle w:val="TableParagraph"/>
              <w:spacing w:before="65"/>
              <w:ind w:left="242"/>
              <w:rPr>
                <w:sz w:val="22"/>
              </w:rPr>
            </w:pPr>
            <w:r>
              <w:rPr>
                <w:spacing w:val="-4"/>
                <w:sz w:val="22"/>
              </w:rPr>
              <w:t>0.54</w:t>
            </w:r>
          </w:p>
        </w:tc>
        <w:tc>
          <w:tcPr>
            <w:tcW w:w="1191" w:type="dxa"/>
          </w:tcPr>
          <w:p>
            <w:pPr>
              <w:pStyle w:val="TableParagraph"/>
              <w:spacing w:before="65"/>
              <w:ind w:left="234"/>
              <w:rPr>
                <w:sz w:val="22"/>
              </w:rPr>
            </w:pPr>
            <w:r>
              <w:rPr>
                <w:spacing w:val="-4"/>
                <w:sz w:val="22"/>
              </w:rPr>
              <w:t>0.61</w:t>
            </w:r>
          </w:p>
        </w:tc>
        <w:tc>
          <w:tcPr>
            <w:tcW w:w="966" w:type="dxa"/>
          </w:tcPr>
          <w:p>
            <w:pPr>
              <w:pStyle w:val="TableParagraph"/>
              <w:spacing w:before="65"/>
              <w:ind w:left="224"/>
              <w:rPr>
                <w:sz w:val="22"/>
              </w:rPr>
            </w:pPr>
            <w:r>
              <w:rPr>
                <w:spacing w:val="-2"/>
                <w:sz w:val="22"/>
              </w:rPr>
              <w:t>11.48</w:t>
            </w:r>
          </w:p>
        </w:tc>
        <w:tc>
          <w:tcPr>
            <w:tcW w:w="2166" w:type="dxa"/>
          </w:tcPr>
          <w:p>
            <w:pPr>
              <w:pStyle w:val="TableParagraph"/>
              <w:spacing w:before="65"/>
              <w:ind w:left="275"/>
              <w:rPr>
                <w:sz w:val="22"/>
              </w:rPr>
            </w:pPr>
            <w:r>
              <w:rPr>
                <w:spacing w:val="-4"/>
                <w:sz w:val="22"/>
              </w:rPr>
              <w:t>1.13</w:t>
            </w:r>
          </w:p>
        </w:tc>
      </w:tr>
      <w:tr>
        <w:trPr>
          <w:trHeight w:val="386" w:hRule="atLeast"/>
        </w:trPr>
        <w:tc>
          <w:tcPr>
            <w:tcW w:w="1610" w:type="dxa"/>
          </w:tcPr>
          <w:p>
            <w:pPr>
              <w:pStyle w:val="TableParagraph"/>
              <w:spacing w:before="62"/>
              <w:ind w:left="100"/>
              <w:rPr>
                <w:sz w:val="22"/>
              </w:rPr>
            </w:pPr>
            <w:r>
              <w:rPr>
                <w:spacing w:val="-5"/>
                <w:sz w:val="22"/>
              </w:rPr>
              <w:t>GEL</w:t>
            </w:r>
          </w:p>
        </w:tc>
        <w:tc>
          <w:tcPr>
            <w:tcW w:w="1028" w:type="dxa"/>
          </w:tcPr>
          <w:p>
            <w:pPr>
              <w:pStyle w:val="TableParagraph"/>
              <w:spacing w:before="62"/>
              <w:ind w:left="117"/>
              <w:rPr>
                <w:sz w:val="22"/>
              </w:rPr>
            </w:pPr>
            <w:r>
              <w:rPr>
                <w:spacing w:val="-2"/>
                <w:sz w:val="22"/>
              </w:rPr>
              <w:t>36.03</w:t>
            </w:r>
          </w:p>
        </w:tc>
        <w:tc>
          <w:tcPr>
            <w:tcW w:w="959" w:type="dxa"/>
          </w:tcPr>
          <w:p>
            <w:pPr>
              <w:pStyle w:val="TableParagraph"/>
              <w:spacing w:before="62"/>
              <w:ind w:left="102"/>
              <w:rPr>
                <w:sz w:val="22"/>
              </w:rPr>
            </w:pPr>
            <w:r>
              <w:rPr>
                <w:spacing w:val="-4"/>
                <w:sz w:val="22"/>
              </w:rPr>
              <w:t>2.89</w:t>
            </w:r>
          </w:p>
        </w:tc>
        <w:tc>
          <w:tcPr>
            <w:tcW w:w="1194" w:type="dxa"/>
          </w:tcPr>
          <w:p>
            <w:pPr>
              <w:pStyle w:val="TableParagraph"/>
              <w:spacing w:before="62"/>
              <w:ind w:left="242"/>
              <w:rPr>
                <w:sz w:val="22"/>
              </w:rPr>
            </w:pPr>
            <w:r>
              <w:rPr>
                <w:spacing w:val="-4"/>
                <w:sz w:val="22"/>
              </w:rPr>
              <w:t>0.42</w:t>
            </w:r>
          </w:p>
        </w:tc>
        <w:tc>
          <w:tcPr>
            <w:tcW w:w="1191" w:type="dxa"/>
          </w:tcPr>
          <w:p>
            <w:pPr>
              <w:pStyle w:val="TableParagraph"/>
              <w:spacing w:before="62"/>
              <w:ind w:left="234"/>
              <w:rPr>
                <w:sz w:val="22"/>
              </w:rPr>
            </w:pPr>
            <w:r>
              <w:rPr>
                <w:spacing w:val="-4"/>
                <w:sz w:val="22"/>
              </w:rPr>
              <w:t>0.44</w:t>
            </w:r>
          </w:p>
        </w:tc>
        <w:tc>
          <w:tcPr>
            <w:tcW w:w="966" w:type="dxa"/>
          </w:tcPr>
          <w:p>
            <w:pPr>
              <w:pStyle w:val="TableParagraph"/>
              <w:spacing w:before="62"/>
              <w:ind w:left="224"/>
              <w:rPr>
                <w:sz w:val="22"/>
              </w:rPr>
            </w:pPr>
            <w:r>
              <w:rPr>
                <w:spacing w:val="-5"/>
                <w:sz w:val="22"/>
              </w:rPr>
              <w:t>4.5</w:t>
            </w:r>
          </w:p>
        </w:tc>
        <w:tc>
          <w:tcPr>
            <w:tcW w:w="2166" w:type="dxa"/>
          </w:tcPr>
          <w:p>
            <w:pPr>
              <w:pStyle w:val="TableParagraph"/>
              <w:spacing w:before="62"/>
              <w:ind w:left="275"/>
              <w:rPr>
                <w:sz w:val="22"/>
              </w:rPr>
            </w:pPr>
            <w:r>
              <w:rPr>
                <w:spacing w:val="-4"/>
                <w:sz w:val="22"/>
              </w:rPr>
              <w:t>1.05</w:t>
            </w:r>
          </w:p>
        </w:tc>
      </w:tr>
      <w:tr>
        <w:trPr>
          <w:trHeight w:val="391" w:hRule="atLeast"/>
        </w:trPr>
        <w:tc>
          <w:tcPr>
            <w:tcW w:w="1610" w:type="dxa"/>
          </w:tcPr>
          <w:p>
            <w:pPr>
              <w:pStyle w:val="TableParagraph"/>
              <w:spacing w:before="65"/>
              <w:ind w:left="100"/>
              <w:rPr>
                <w:sz w:val="22"/>
              </w:rPr>
            </w:pPr>
            <w:r>
              <w:rPr>
                <w:sz w:val="22"/>
                <w:u w:val="single"/>
              </w:rPr>
              <w:t>7.5</w:t>
            </w:r>
            <w:r>
              <w:rPr>
                <w:spacing w:val="13"/>
                <w:sz w:val="22"/>
                <w:u w:val="single"/>
              </w:rPr>
              <w:t> </w:t>
            </w:r>
            <w:r>
              <w:rPr>
                <w:spacing w:val="-10"/>
                <w:sz w:val="22"/>
                <w:u w:val="single"/>
              </w:rPr>
              <w:t>%</w:t>
            </w:r>
          </w:p>
        </w:tc>
        <w:tc>
          <w:tcPr>
            <w:tcW w:w="1028" w:type="dxa"/>
          </w:tcPr>
          <w:p>
            <w:pPr>
              <w:pStyle w:val="TableParagraph"/>
              <w:rPr>
                <w:sz w:val="22"/>
              </w:rPr>
            </w:pPr>
          </w:p>
        </w:tc>
        <w:tc>
          <w:tcPr>
            <w:tcW w:w="959" w:type="dxa"/>
          </w:tcPr>
          <w:p>
            <w:pPr>
              <w:pStyle w:val="TableParagraph"/>
              <w:rPr>
                <w:sz w:val="22"/>
              </w:rPr>
            </w:pPr>
          </w:p>
        </w:tc>
        <w:tc>
          <w:tcPr>
            <w:tcW w:w="1194" w:type="dxa"/>
          </w:tcPr>
          <w:p>
            <w:pPr>
              <w:pStyle w:val="TableParagraph"/>
              <w:rPr>
                <w:sz w:val="22"/>
              </w:rPr>
            </w:pPr>
          </w:p>
        </w:tc>
        <w:tc>
          <w:tcPr>
            <w:tcW w:w="1191" w:type="dxa"/>
          </w:tcPr>
          <w:p>
            <w:pPr>
              <w:pStyle w:val="TableParagraph"/>
              <w:rPr>
                <w:sz w:val="22"/>
              </w:rPr>
            </w:pPr>
          </w:p>
        </w:tc>
        <w:tc>
          <w:tcPr>
            <w:tcW w:w="966" w:type="dxa"/>
          </w:tcPr>
          <w:p>
            <w:pPr>
              <w:pStyle w:val="TableParagraph"/>
              <w:rPr>
                <w:sz w:val="22"/>
              </w:rPr>
            </w:pPr>
          </w:p>
        </w:tc>
        <w:tc>
          <w:tcPr>
            <w:tcW w:w="2166" w:type="dxa"/>
          </w:tcPr>
          <w:p>
            <w:pPr>
              <w:pStyle w:val="TableParagraph"/>
              <w:rPr>
                <w:sz w:val="22"/>
              </w:rPr>
            </w:pPr>
          </w:p>
        </w:tc>
      </w:tr>
      <w:tr>
        <w:trPr>
          <w:trHeight w:val="391" w:hRule="atLeast"/>
        </w:trPr>
        <w:tc>
          <w:tcPr>
            <w:tcW w:w="1610" w:type="dxa"/>
          </w:tcPr>
          <w:p>
            <w:pPr>
              <w:pStyle w:val="TableParagraph"/>
              <w:spacing w:before="67"/>
              <w:ind w:left="100"/>
              <w:rPr>
                <w:sz w:val="22"/>
              </w:rPr>
            </w:pPr>
            <w:r>
              <w:rPr>
                <w:spacing w:val="-5"/>
                <w:sz w:val="22"/>
              </w:rPr>
              <w:t>DS</w:t>
            </w:r>
          </w:p>
        </w:tc>
        <w:tc>
          <w:tcPr>
            <w:tcW w:w="1028" w:type="dxa"/>
          </w:tcPr>
          <w:p>
            <w:pPr>
              <w:pStyle w:val="TableParagraph"/>
              <w:spacing w:before="67"/>
              <w:ind w:left="117"/>
              <w:rPr>
                <w:sz w:val="22"/>
              </w:rPr>
            </w:pPr>
            <w:r>
              <w:rPr>
                <w:spacing w:val="-2"/>
                <w:sz w:val="22"/>
              </w:rPr>
              <w:t>33.34</w:t>
            </w:r>
          </w:p>
        </w:tc>
        <w:tc>
          <w:tcPr>
            <w:tcW w:w="959" w:type="dxa"/>
          </w:tcPr>
          <w:p>
            <w:pPr>
              <w:pStyle w:val="TableParagraph"/>
              <w:spacing w:before="67"/>
              <w:ind w:left="102"/>
              <w:rPr>
                <w:sz w:val="22"/>
              </w:rPr>
            </w:pPr>
            <w:r>
              <w:rPr>
                <w:spacing w:val="-4"/>
                <w:sz w:val="22"/>
              </w:rPr>
              <w:t>3.31</w:t>
            </w:r>
          </w:p>
        </w:tc>
        <w:tc>
          <w:tcPr>
            <w:tcW w:w="1194" w:type="dxa"/>
          </w:tcPr>
          <w:p>
            <w:pPr>
              <w:pStyle w:val="TableParagraph"/>
              <w:spacing w:before="67"/>
              <w:ind w:left="242"/>
              <w:rPr>
                <w:sz w:val="22"/>
              </w:rPr>
            </w:pPr>
            <w:r>
              <w:rPr>
                <w:spacing w:val="-4"/>
                <w:sz w:val="22"/>
              </w:rPr>
              <w:t>0.46</w:t>
            </w:r>
          </w:p>
        </w:tc>
        <w:tc>
          <w:tcPr>
            <w:tcW w:w="1191" w:type="dxa"/>
          </w:tcPr>
          <w:p>
            <w:pPr>
              <w:pStyle w:val="TableParagraph"/>
              <w:spacing w:before="67"/>
              <w:ind w:left="234"/>
              <w:rPr>
                <w:sz w:val="22"/>
              </w:rPr>
            </w:pPr>
            <w:r>
              <w:rPr>
                <w:spacing w:val="-4"/>
                <w:sz w:val="22"/>
              </w:rPr>
              <w:t>0.53</w:t>
            </w:r>
          </w:p>
        </w:tc>
        <w:tc>
          <w:tcPr>
            <w:tcW w:w="966" w:type="dxa"/>
          </w:tcPr>
          <w:p>
            <w:pPr>
              <w:pStyle w:val="TableParagraph"/>
              <w:spacing w:before="67"/>
              <w:ind w:left="224"/>
              <w:rPr>
                <w:sz w:val="22"/>
              </w:rPr>
            </w:pPr>
            <w:r>
              <w:rPr>
                <w:spacing w:val="-2"/>
                <w:sz w:val="22"/>
              </w:rPr>
              <w:t>13.21</w:t>
            </w:r>
          </w:p>
        </w:tc>
        <w:tc>
          <w:tcPr>
            <w:tcW w:w="2166" w:type="dxa"/>
          </w:tcPr>
          <w:p>
            <w:pPr>
              <w:pStyle w:val="TableParagraph"/>
              <w:spacing w:before="67"/>
              <w:ind w:left="275"/>
              <w:rPr>
                <w:sz w:val="22"/>
              </w:rPr>
            </w:pPr>
            <w:r>
              <w:rPr>
                <w:spacing w:val="-4"/>
                <w:sz w:val="22"/>
              </w:rPr>
              <w:t>1.15</w:t>
            </w:r>
          </w:p>
        </w:tc>
      </w:tr>
      <w:tr>
        <w:trPr>
          <w:trHeight w:val="388" w:hRule="atLeast"/>
        </w:trPr>
        <w:tc>
          <w:tcPr>
            <w:tcW w:w="1610" w:type="dxa"/>
          </w:tcPr>
          <w:p>
            <w:pPr>
              <w:pStyle w:val="TableParagraph"/>
              <w:spacing w:before="65"/>
              <w:ind w:left="100"/>
              <w:rPr>
                <w:sz w:val="22"/>
              </w:rPr>
            </w:pPr>
            <w:r>
              <w:rPr>
                <w:spacing w:val="-5"/>
                <w:sz w:val="22"/>
              </w:rPr>
              <w:t>MCS</w:t>
            </w:r>
          </w:p>
        </w:tc>
        <w:tc>
          <w:tcPr>
            <w:tcW w:w="1028" w:type="dxa"/>
          </w:tcPr>
          <w:p>
            <w:pPr>
              <w:pStyle w:val="TableParagraph"/>
              <w:spacing w:before="65"/>
              <w:ind w:left="117"/>
              <w:rPr>
                <w:sz w:val="22"/>
              </w:rPr>
            </w:pPr>
            <w:r>
              <w:rPr>
                <w:spacing w:val="-2"/>
                <w:sz w:val="22"/>
              </w:rPr>
              <w:t>32.62</w:t>
            </w:r>
          </w:p>
        </w:tc>
        <w:tc>
          <w:tcPr>
            <w:tcW w:w="959" w:type="dxa"/>
          </w:tcPr>
          <w:p>
            <w:pPr>
              <w:pStyle w:val="TableParagraph"/>
              <w:spacing w:before="65"/>
              <w:ind w:left="102"/>
              <w:rPr>
                <w:sz w:val="22"/>
              </w:rPr>
            </w:pPr>
            <w:r>
              <w:rPr>
                <w:spacing w:val="-4"/>
                <w:sz w:val="22"/>
              </w:rPr>
              <w:t>4.26</w:t>
            </w:r>
          </w:p>
        </w:tc>
        <w:tc>
          <w:tcPr>
            <w:tcW w:w="1194" w:type="dxa"/>
          </w:tcPr>
          <w:p>
            <w:pPr>
              <w:pStyle w:val="TableParagraph"/>
              <w:spacing w:before="65"/>
              <w:ind w:left="242"/>
              <w:rPr>
                <w:sz w:val="22"/>
              </w:rPr>
            </w:pPr>
            <w:r>
              <w:rPr>
                <w:spacing w:val="-4"/>
                <w:sz w:val="22"/>
              </w:rPr>
              <w:t>0.53</w:t>
            </w:r>
          </w:p>
        </w:tc>
        <w:tc>
          <w:tcPr>
            <w:tcW w:w="1191" w:type="dxa"/>
          </w:tcPr>
          <w:p>
            <w:pPr>
              <w:pStyle w:val="TableParagraph"/>
              <w:spacing w:before="65"/>
              <w:ind w:left="234"/>
              <w:rPr>
                <w:sz w:val="22"/>
              </w:rPr>
            </w:pPr>
            <w:r>
              <w:rPr>
                <w:spacing w:val="-4"/>
                <w:sz w:val="22"/>
              </w:rPr>
              <w:t>0.59</w:t>
            </w:r>
          </w:p>
        </w:tc>
        <w:tc>
          <w:tcPr>
            <w:tcW w:w="966" w:type="dxa"/>
          </w:tcPr>
          <w:p>
            <w:pPr>
              <w:pStyle w:val="TableParagraph"/>
              <w:spacing w:before="65"/>
              <w:ind w:left="224"/>
              <w:rPr>
                <w:sz w:val="22"/>
              </w:rPr>
            </w:pPr>
            <w:r>
              <w:rPr>
                <w:spacing w:val="-2"/>
                <w:sz w:val="22"/>
              </w:rPr>
              <w:t>10.17</w:t>
            </w:r>
          </w:p>
        </w:tc>
        <w:tc>
          <w:tcPr>
            <w:tcW w:w="2166" w:type="dxa"/>
          </w:tcPr>
          <w:p>
            <w:pPr>
              <w:pStyle w:val="TableParagraph"/>
              <w:spacing w:before="65"/>
              <w:ind w:left="275"/>
              <w:rPr>
                <w:sz w:val="22"/>
              </w:rPr>
            </w:pPr>
            <w:r>
              <w:rPr>
                <w:spacing w:val="-4"/>
                <w:sz w:val="22"/>
              </w:rPr>
              <w:t>1.11</w:t>
            </w:r>
          </w:p>
        </w:tc>
      </w:tr>
      <w:tr>
        <w:trPr>
          <w:trHeight w:val="388" w:hRule="atLeast"/>
        </w:trPr>
        <w:tc>
          <w:tcPr>
            <w:tcW w:w="1610" w:type="dxa"/>
          </w:tcPr>
          <w:p>
            <w:pPr>
              <w:pStyle w:val="TableParagraph"/>
              <w:spacing w:before="65"/>
              <w:ind w:left="100"/>
              <w:rPr>
                <w:sz w:val="22"/>
              </w:rPr>
            </w:pPr>
            <w:r>
              <w:rPr>
                <w:spacing w:val="-5"/>
                <w:sz w:val="22"/>
              </w:rPr>
              <w:t>GEL</w:t>
            </w:r>
          </w:p>
        </w:tc>
        <w:tc>
          <w:tcPr>
            <w:tcW w:w="1028" w:type="dxa"/>
          </w:tcPr>
          <w:p>
            <w:pPr>
              <w:pStyle w:val="TableParagraph"/>
              <w:spacing w:before="65"/>
              <w:ind w:left="117"/>
              <w:rPr>
                <w:sz w:val="22"/>
              </w:rPr>
            </w:pPr>
            <w:r>
              <w:rPr>
                <w:spacing w:val="-2"/>
                <w:sz w:val="22"/>
              </w:rPr>
              <w:t>31.19</w:t>
            </w:r>
          </w:p>
        </w:tc>
        <w:tc>
          <w:tcPr>
            <w:tcW w:w="959" w:type="dxa"/>
          </w:tcPr>
          <w:p>
            <w:pPr>
              <w:pStyle w:val="TableParagraph"/>
              <w:spacing w:before="65"/>
              <w:ind w:left="102"/>
              <w:rPr>
                <w:sz w:val="22"/>
              </w:rPr>
            </w:pPr>
            <w:r>
              <w:rPr>
                <w:spacing w:val="-4"/>
                <w:sz w:val="22"/>
              </w:rPr>
              <w:t>2.79</w:t>
            </w:r>
          </w:p>
        </w:tc>
        <w:tc>
          <w:tcPr>
            <w:tcW w:w="1194" w:type="dxa"/>
          </w:tcPr>
          <w:p>
            <w:pPr>
              <w:pStyle w:val="TableParagraph"/>
              <w:spacing w:before="65"/>
              <w:ind w:left="242"/>
              <w:rPr>
                <w:sz w:val="22"/>
              </w:rPr>
            </w:pPr>
            <w:r>
              <w:rPr>
                <w:spacing w:val="-4"/>
                <w:sz w:val="22"/>
              </w:rPr>
              <w:t>0.43</w:t>
            </w:r>
          </w:p>
        </w:tc>
        <w:tc>
          <w:tcPr>
            <w:tcW w:w="1191" w:type="dxa"/>
          </w:tcPr>
          <w:p>
            <w:pPr>
              <w:pStyle w:val="TableParagraph"/>
              <w:spacing w:before="65"/>
              <w:ind w:left="234"/>
              <w:rPr>
                <w:sz w:val="22"/>
              </w:rPr>
            </w:pPr>
            <w:r>
              <w:rPr>
                <w:spacing w:val="-4"/>
                <w:sz w:val="22"/>
              </w:rPr>
              <w:t>0.48</w:t>
            </w:r>
          </w:p>
        </w:tc>
        <w:tc>
          <w:tcPr>
            <w:tcW w:w="966" w:type="dxa"/>
          </w:tcPr>
          <w:p>
            <w:pPr>
              <w:pStyle w:val="TableParagraph"/>
              <w:spacing w:before="65"/>
              <w:ind w:left="224"/>
              <w:rPr>
                <w:sz w:val="22"/>
              </w:rPr>
            </w:pPr>
            <w:r>
              <w:rPr>
                <w:spacing w:val="-2"/>
                <w:sz w:val="22"/>
              </w:rPr>
              <w:t>10.41</w:t>
            </w:r>
          </w:p>
        </w:tc>
        <w:tc>
          <w:tcPr>
            <w:tcW w:w="2166" w:type="dxa"/>
          </w:tcPr>
          <w:p>
            <w:pPr>
              <w:pStyle w:val="TableParagraph"/>
              <w:spacing w:before="65"/>
              <w:ind w:left="275"/>
              <w:rPr>
                <w:sz w:val="22"/>
              </w:rPr>
            </w:pPr>
            <w:r>
              <w:rPr>
                <w:spacing w:val="-4"/>
                <w:sz w:val="22"/>
              </w:rPr>
              <w:t>1.12</w:t>
            </w:r>
          </w:p>
        </w:tc>
      </w:tr>
      <w:tr>
        <w:trPr>
          <w:trHeight w:val="388" w:hRule="atLeast"/>
        </w:trPr>
        <w:tc>
          <w:tcPr>
            <w:tcW w:w="1610" w:type="dxa"/>
          </w:tcPr>
          <w:p>
            <w:pPr>
              <w:pStyle w:val="TableParagraph"/>
              <w:spacing w:before="65"/>
              <w:ind w:left="100"/>
              <w:rPr>
                <w:sz w:val="22"/>
              </w:rPr>
            </w:pPr>
            <w:r>
              <w:rPr>
                <w:sz w:val="22"/>
                <w:u w:val="single"/>
              </w:rPr>
              <w:t>10.0</w:t>
            </w:r>
            <w:r>
              <w:rPr>
                <w:spacing w:val="11"/>
                <w:sz w:val="22"/>
                <w:u w:val="single"/>
              </w:rPr>
              <w:t> </w:t>
            </w:r>
            <w:r>
              <w:rPr>
                <w:spacing w:val="-10"/>
                <w:sz w:val="22"/>
                <w:u w:val="single"/>
              </w:rPr>
              <w:t>%</w:t>
            </w:r>
          </w:p>
        </w:tc>
        <w:tc>
          <w:tcPr>
            <w:tcW w:w="1028" w:type="dxa"/>
          </w:tcPr>
          <w:p>
            <w:pPr>
              <w:pStyle w:val="TableParagraph"/>
              <w:rPr>
                <w:sz w:val="22"/>
              </w:rPr>
            </w:pPr>
          </w:p>
        </w:tc>
        <w:tc>
          <w:tcPr>
            <w:tcW w:w="959" w:type="dxa"/>
          </w:tcPr>
          <w:p>
            <w:pPr>
              <w:pStyle w:val="TableParagraph"/>
              <w:rPr>
                <w:sz w:val="22"/>
              </w:rPr>
            </w:pPr>
          </w:p>
        </w:tc>
        <w:tc>
          <w:tcPr>
            <w:tcW w:w="1194" w:type="dxa"/>
          </w:tcPr>
          <w:p>
            <w:pPr>
              <w:pStyle w:val="TableParagraph"/>
              <w:rPr>
                <w:sz w:val="22"/>
              </w:rPr>
            </w:pPr>
          </w:p>
        </w:tc>
        <w:tc>
          <w:tcPr>
            <w:tcW w:w="1191" w:type="dxa"/>
          </w:tcPr>
          <w:p>
            <w:pPr>
              <w:pStyle w:val="TableParagraph"/>
              <w:rPr>
                <w:sz w:val="22"/>
              </w:rPr>
            </w:pPr>
          </w:p>
        </w:tc>
        <w:tc>
          <w:tcPr>
            <w:tcW w:w="966" w:type="dxa"/>
          </w:tcPr>
          <w:p>
            <w:pPr>
              <w:pStyle w:val="TableParagraph"/>
              <w:rPr>
                <w:sz w:val="22"/>
              </w:rPr>
            </w:pPr>
          </w:p>
        </w:tc>
        <w:tc>
          <w:tcPr>
            <w:tcW w:w="2166" w:type="dxa"/>
          </w:tcPr>
          <w:p>
            <w:pPr>
              <w:pStyle w:val="TableParagraph"/>
              <w:rPr>
                <w:sz w:val="22"/>
              </w:rPr>
            </w:pPr>
          </w:p>
        </w:tc>
      </w:tr>
      <w:tr>
        <w:trPr>
          <w:trHeight w:val="388" w:hRule="atLeast"/>
        </w:trPr>
        <w:tc>
          <w:tcPr>
            <w:tcW w:w="1610" w:type="dxa"/>
          </w:tcPr>
          <w:p>
            <w:pPr>
              <w:pStyle w:val="TableParagraph"/>
              <w:spacing w:before="65"/>
              <w:ind w:left="100"/>
              <w:rPr>
                <w:sz w:val="22"/>
              </w:rPr>
            </w:pPr>
            <w:r>
              <w:rPr>
                <w:spacing w:val="-5"/>
                <w:sz w:val="22"/>
              </w:rPr>
              <w:t>DS</w:t>
            </w:r>
          </w:p>
        </w:tc>
        <w:tc>
          <w:tcPr>
            <w:tcW w:w="1028" w:type="dxa"/>
          </w:tcPr>
          <w:p>
            <w:pPr>
              <w:pStyle w:val="TableParagraph"/>
              <w:spacing w:before="65"/>
              <w:ind w:left="117"/>
              <w:rPr>
                <w:sz w:val="22"/>
              </w:rPr>
            </w:pPr>
            <w:r>
              <w:rPr>
                <w:spacing w:val="-2"/>
                <w:sz w:val="22"/>
              </w:rPr>
              <w:t>34.03</w:t>
            </w:r>
          </w:p>
        </w:tc>
        <w:tc>
          <w:tcPr>
            <w:tcW w:w="959" w:type="dxa"/>
          </w:tcPr>
          <w:p>
            <w:pPr>
              <w:pStyle w:val="TableParagraph"/>
              <w:spacing w:before="65"/>
              <w:ind w:left="102"/>
              <w:rPr>
                <w:sz w:val="22"/>
              </w:rPr>
            </w:pPr>
            <w:r>
              <w:rPr>
                <w:spacing w:val="-4"/>
                <w:sz w:val="22"/>
              </w:rPr>
              <w:t>3.36</w:t>
            </w:r>
          </w:p>
        </w:tc>
        <w:tc>
          <w:tcPr>
            <w:tcW w:w="1194" w:type="dxa"/>
          </w:tcPr>
          <w:p>
            <w:pPr>
              <w:pStyle w:val="TableParagraph"/>
              <w:spacing w:before="65"/>
              <w:ind w:left="242"/>
              <w:rPr>
                <w:sz w:val="22"/>
              </w:rPr>
            </w:pPr>
            <w:r>
              <w:rPr>
                <w:spacing w:val="-4"/>
                <w:sz w:val="22"/>
              </w:rPr>
              <w:t>0.46</w:t>
            </w:r>
          </w:p>
        </w:tc>
        <w:tc>
          <w:tcPr>
            <w:tcW w:w="1191" w:type="dxa"/>
          </w:tcPr>
          <w:p>
            <w:pPr>
              <w:pStyle w:val="TableParagraph"/>
              <w:spacing w:before="65"/>
              <w:ind w:left="234"/>
              <w:rPr>
                <w:sz w:val="22"/>
              </w:rPr>
            </w:pPr>
            <w:r>
              <w:rPr>
                <w:spacing w:val="-4"/>
                <w:sz w:val="22"/>
              </w:rPr>
              <w:t>0.51</w:t>
            </w:r>
          </w:p>
        </w:tc>
        <w:tc>
          <w:tcPr>
            <w:tcW w:w="966" w:type="dxa"/>
          </w:tcPr>
          <w:p>
            <w:pPr>
              <w:pStyle w:val="TableParagraph"/>
              <w:spacing w:before="65"/>
              <w:ind w:left="224"/>
              <w:rPr>
                <w:sz w:val="22"/>
              </w:rPr>
            </w:pPr>
            <w:r>
              <w:rPr>
                <w:spacing w:val="-4"/>
                <w:sz w:val="22"/>
              </w:rPr>
              <w:t>9.80</w:t>
            </w:r>
          </w:p>
        </w:tc>
        <w:tc>
          <w:tcPr>
            <w:tcW w:w="2166" w:type="dxa"/>
          </w:tcPr>
          <w:p>
            <w:pPr>
              <w:pStyle w:val="TableParagraph"/>
              <w:spacing w:before="65"/>
              <w:ind w:left="275"/>
              <w:rPr>
                <w:sz w:val="22"/>
              </w:rPr>
            </w:pPr>
            <w:r>
              <w:rPr>
                <w:spacing w:val="-4"/>
                <w:sz w:val="22"/>
              </w:rPr>
              <w:t>1.11</w:t>
            </w:r>
          </w:p>
        </w:tc>
      </w:tr>
      <w:tr>
        <w:trPr>
          <w:trHeight w:val="388" w:hRule="atLeast"/>
        </w:trPr>
        <w:tc>
          <w:tcPr>
            <w:tcW w:w="1610" w:type="dxa"/>
          </w:tcPr>
          <w:p>
            <w:pPr>
              <w:pStyle w:val="TableParagraph"/>
              <w:spacing w:before="65"/>
              <w:ind w:left="100"/>
              <w:rPr>
                <w:sz w:val="22"/>
              </w:rPr>
            </w:pPr>
            <w:r>
              <w:rPr>
                <w:spacing w:val="-5"/>
                <w:sz w:val="22"/>
              </w:rPr>
              <w:t>MCS</w:t>
            </w:r>
          </w:p>
        </w:tc>
        <w:tc>
          <w:tcPr>
            <w:tcW w:w="1028" w:type="dxa"/>
          </w:tcPr>
          <w:p>
            <w:pPr>
              <w:pStyle w:val="TableParagraph"/>
              <w:spacing w:before="65"/>
              <w:ind w:left="117"/>
              <w:rPr>
                <w:sz w:val="22"/>
              </w:rPr>
            </w:pPr>
            <w:r>
              <w:rPr>
                <w:spacing w:val="-2"/>
                <w:sz w:val="22"/>
              </w:rPr>
              <w:t>32.28</w:t>
            </w:r>
          </w:p>
        </w:tc>
        <w:tc>
          <w:tcPr>
            <w:tcW w:w="959" w:type="dxa"/>
          </w:tcPr>
          <w:p>
            <w:pPr>
              <w:pStyle w:val="TableParagraph"/>
              <w:spacing w:before="65"/>
              <w:ind w:left="102"/>
              <w:rPr>
                <w:sz w:val="22"/>
              </w:rPr>
            </w:pPr>
            <w:r>
              <w:rPr>
                <w:spacing w:val="-4"/>
                <w:sz w:val="22"/>
              </w:rPr>
              <w:t>4.29</w:t>
            </w:r>
          </w:p>
        </w:tc>
        <w:tc>
          <w:tcPr>
            <w:tcW w:w="1194" w:type="dxa"/>
          </w:tcPr>
          <w:p>
            <w:pPr>
              <w:pStyle w:val="TableParagraph"/>
              <w:spacing w:before="65"/>
              <w:ind w:left="242"/>
              <w:rPr>
                <w:sz w:val="22"/>
              </w:rPr>
            </w:pPr>
            <w:r>
              <w:rPr>
                <w:spacing w:val="-4"/>
                <w:sz w:val="22"/>
              </w:rPr>
              <w:t>0.51</w:t>
            </w:r>
          </w:p>
        </w:tc>
        <w:tc>
          <w:tcPr>
            <w:tcW w:w="1191" w:type="dxa"/>
          </w:tcPr>
          <w:p>
            <w:pPr>
              <w:pStyle w:val="TableParagraph"/>
              <w:spacing w:before="65"/>
              <w:ind w:left="234"/>
              <w:rPr>
                <w:sz w:val="22"/>
              </w:rPr>
            </w:pPr>
            <w:r>
              <w:rPr>
                <w:spacing w:val="-4"/>
                <w:sz w:val="22"/>
              </w:rPr>
              <w:t>0.59</w:t>
            </w:r>
          </w:p>
        </w:tc>
        <w:tc>
          <w:tcPr>
            <w:tcW w:w="966" w:type="dxa"/>
          </w:tcPr>
          <w:p>
            <w:pPr>
              <w:pStyle w:val="TableParagraph"/>
              <w:spacing w:before="65"/>
              <w:ind w:left="224"/>
              <w:rPr>
                <w:sz w:val="22"/>
              </w:rPr>
            </w:pPr>
            <w:r>
              <w:rPr>
                <w:spacing w:val="-2"/>
                <w:sz w:val="22"/>
              </w:rPr>
              <w:t>13.56</w:t>
            </w:r>
          </w:p>
        </w:tc>
        <w:tc>
          <w:tcPr>
            <w:tcW w:w="2166" w:type="dxa"/>
          </w:tcPr>
          <w:p>
            <w:pPr>
              <w:pStyle w:val="TableParagraph"/>
              <w:spacing w:before="65"/>
              <w:ind w:left="275"/>
              <w:rPr>
                <w:sz w:val="22"/>
              </w:rPr>
            </w:pPr>
            <w:r>
              <w:rPr>
                <w:spacing w:val="-4"/>
                <w:sz w:val="22"/>
              </w:rPr>
              <w:t>1.16</w:t>
            </w:r>
          </w:p>
        </w:tc>
      </w:tr>
      <w:tr>
        <w:trPr>
          <w:trHeight w:val="388" w:hRule="atLeast"/>
        </w:trPr>
        <w:tc>
          <w:tcPr>
            <w:tcW w:w="1610" w:type="dxa"/>
          </w:tcPr>
          <w:p>
            <w:pPr>
              <w:pStyle w:val="TableParagraph"/>
              <w:spacing w:before="65"/>
              <w:ind w:left="100"/>
              <w:rPr>
                <w:sz w:val="22"/>
              </w:rPr>
            </w:pPr>
            <w:r>
              <w:rPr>
                <w:spacing w:val="-5"/>
                <w:sz w:val="22"/>
              </w:rPr>
              <w:t>GEL</w:t>
            </w:r>
          </w:p>
        </w:tc>
        <w:tc>
          <w:tcPr>
            <w:tcW w:w="1028" w:type="dxa"/>
          </w:tcPr>
          <w:p>
            <w:pPr>
              <w:pStyle w:val="TableParagraph"/>
              <w:spacing w:before="65"/>
              <w:ind w:left="117"/>
              <w:rPr>
                <w:sz w:val="22"/>
              </w:rPr>
            </w:pPr>
            <w:r>
              <w:rPr>
                <w:spacing w:val="-2"/>
                <w:sz w:val="22"/>
              </w:rPr>
              <w:t>28.70</w:t>
            </w:r>
          </w:p>
        </w:tc>
        <w:tc>
          <w:tcPr>
            <w:tcW w:w="959" w:type="dxa"/>
          </w:tcPr>
          <w:p>
            <w:pPr>
              <w:pStyle w:val="TableParagraph"/>
              <w:spacing w:before="65"/>
              <w:ind w:left="102"/>
              <w:rPr>
                <w:sz w:val="22"/>
              </w:rPr>
            </w:pPr>
            <w:r>
              <w:rPr>
                <w:spacing w:val="-4"/>
                <w:sz w:val="22"/>
              </w:rPr>
              <w:t>2.86</w:t>
            </w:r>
          </w:p>
        </w:tc>
        <w:tc>
          <w:tcPr>
            <w:tcW w:w="1194" w:type="dxa"/>
          </w:tcPr>
          <w:p>
            <w:pPr>
              <w:pStyle w:val="TableParagraph"/>
              <w:spacing w:before="65"/>
              <w:ind w:left="242"/>
              <w:rPr>
                <w:sz w:val="22"/>
              </w:rPr>
            </w:pPr>
            <w:r>
              <w:rPr>
                <w:spacing w:val="-4"/>
                <w:sz w:val="22"/>
              </w:rPr>
              <w:t>0.46</w:t>
            </w:r>
          </w:p>
        </w:tc>
        <w:tc>
          <w:tcPr>
            <w:tcW w:w="1191" w:type="dxa"/>
          </w:tcPr>
          <w:p>
            <w:pPr>
              <w:pStyle w:val="TableParagraph"/>
              <w:spacing w:before="65"/>
              <w:ind w:left="234"/>
              <w:rPr>
                <w:sz w:val="22"/>
              </w:rPr>
            </w:pPr>
            <w:r>
              <w:rPr>
                <w:spacing w:val="-4"/>
                <w:sz w:val="22"/>
              </w:rPr>
              <w:t>0.51</w:t>
            </w:r>
          </w:p>
        </w:tc>
        <w:tc>
          <w:tcPr>
            <w:tcW w:w="966" w:type="dxa"/>
          </w:tcPr>
          <w:p>
            <w:pPr>
              <w:pStyle w:val="TableParagraph"/>
              <w:spacing w:before="65"/>
              <w:ind w:left="224"/>
              <w:rPr>
                <w:sz w:val="22"/>
              </w:rPr>
            </w:pPr>
            <w:r>
              <w:rPr>
                <w:spacing w:val="-4"/>
                <w:sz w:val="22"/>
              </w:rPr>
              <w:t>9.80</w:t>
            </w:r>
          </w:p>
        </w:tc>
        <w:tc>
          <w:tcPr>
            <w:tcW w:w="2166" w:type="dxa"/>
          </w:tcPr>
          <w:p>
            <w:pPr>
              <w:pStyle w:val="TableParagraph"/>
              <w:spacing w:before="65"/>
              <w:ind w:left="275"/>
              <w:rPr>
                <w:sz w:val="22"/>
              </w:rPr>
            </w:pPr>
            <w:r>
              <w:rPr>
                <w:spacing w:val="-4"/>
                <w:sz w:val="22"/>
              </w:rPr>
              <w:t>1.11</w:t>
            </w:r>
          </w:p>
        </w:tc>
      </w:tr>
      <w:tr>
        <w:trPr>
          <w:trHeight w:val="391" w:hRule="atLeast"/>
        </w:trPr>
        <w:tc>
          <w:tcPr>
            <w:tcW w:w="1610" w:type="dxa"/>
          </w:tcPr>
          <w:p>
            <w:pPr>
              <w:pStyle w:val="TableParagraph"/>
              <w:spacing w:before="65"/>
              <w:ind w:left="100"/>
              <w:rPr>
                <w:sz w:val="22"/>
              </w:rPr>
            </w:pPr>
            <w:r>
              <w:rPr>
                <w:sz w:val="22"/>
                <w:u w:val="single"/>
              </w:rPr>
              <w:t>12.5</w:t>
            </w:r>
            <w:r>
              <w:rPr>
                <w:spacing w:val="11"/>
                <w:sz w:val="22"/>
                <w:u w:val="single"/>
              </w:rPr>
              <w:t> </w:t>
            </w:r>
            <w:r>
              <w:rPr>
                <w:spacing w:val="-10"/>
                <w:sz w:val="22"/>
                <w:u w:val="single"/>
              </w:rPr>
              <w:t>%</w:t>
            </w:r>
          </w:p>
        </w:tc>
        <w:tc>
          <w:tcPr>
            <w:tcW w:w="1028" w:type="dxa"/>
          </w:tcPr>
          <w:p>
            <w:pPr>
              <w:pStyle w:val="TableParagraph"/>
              <w:rPr>
                <w:sz w:val="22"/>
              </w:rPr>
            </w:pPr>
          </w:p>
        </w:tc>
        <w:tc>
          <w:tcPr>
            <w:tcW w:w="959" w:type="dxa"/>
          </w:tcPr>
          <w:p>
            <w:pPr>
              <w:pStyle w:val="TableParagraph"/>
              <w:rPr>
                <w:sz w:val="22"/>
              </w:rPr>
            </w:pPr>
          </w:p>
        </w:tc>
        <w:tc>
          <w:tcPr>
            <w:tcW w:w="1194" w:type="dxa"/>
          </w:tcPr>
          <w:p>
            <w:pPr>
              <w:pStyle w:val="TableParagraph"/>
              <w:rPr>
                <w:sz w:val="22"/>
              </w:rPr>
            </w:pPr>
          </w:p>
        </w:tc>
        <w:tc>
          <w:tcPr>
            <w:tcW w:w="1191" w:type="dxa"/>
          </w:tcPr>
          <w:p>
            <w:pPr>
              <w:pStyle w:val="TableParagraph"/>
              <w:rPr>
                <w:sz w:val="22"/>
              </w:rPr>
            </w:pPr>
          </w:p>
        </w:tc>
        <w:tc>
          <w:tcPr>
            <w:tcW w:w="966" w:type="dxa"/>
          </w:tcPr>
          <w:p>
            <w:pPr>
              <w:pStyle w:val="TableParagraph"/>
              <w:rPr>
                <w:sz w:val="22"/>
              </w:rPr>
            </w:pPr>
          </w:p>
        </w:tc>
        <w:tc>
          <w:tcPr>
            <w:tcW w:w="2166" w:type="dxa"/>
          </w:tcPr>
          <w:p>
            <w:pPr>
              <w:pStyle w:val="TableParagraph"/>
              <w:rPr>
                <w:sz w:val="22"/>
              </w:rPr>
            </w:pPr>
          </w:p>
        </w:tc>
      </w:tr>
      <w:tr>
        <w:trPr>
          <w:trHeight w:val="388" w:hRule="atLeast"/>
        </w:trPr>
        <w:tc>
          <w:tcPr>
            <w:tcW w:w="1610" w:type="dxa"/>
          </w:tcPr>
          <w:p>
            <w:pPr>
              <w:pStyle w:val="TableParagraph"/>
              <w:spacing w:before="67"/>
              <w:ind w:left="100"/>
              <w:rPr>
                <w:sz w:val="22"/>
              </w:rPr>
            </w:pPr>
            <w:r>
              <w:rPr>
                <w:spacing w:val="-5"/>
                <w:sz w:val="22"/>
              </w:rPr>
              <w:t>DS</w:t>
            </w:r>
          </w:p>
        </w:tc>
        <w:tc>
          <w:tcPr>
            <w:tcW w:w="1028" w:type="dxa"/>
          </w:tcPr>
          <w:p>
            <w:pPr>
              <w:pStyle w:val="TableParagraph"/>
              <w:spacing w:before="67"/>
              <w:ind w:left="117"/>
              <w:rPr>
                <w:sz w:val="22"/>
              </w:rPr>
            </w:pPr>
            <w:r>
              <w:rPr>
                <w:spacing w:val="-2"/>
                <w:sz w:val="22"/>
              </w:rPr>
              <w:t>32.33</w:t>
            </w:r>
          </w:p>
        </w:tc>
        <w:tc>
          <w:tcPr>
            <w:tcW w:w="959" w:type="dxa"/>
          </w:tcPr>
          <w:p>
            <w:pPr>
              <w:pStyle w:val="TableParagraph"/>
              <w:spacing w:before="67"/>
              <w:ind w:left="102"/>
              <w:rPr>
                <w:sz w:val="22"/>
              </w:rPr>
            </w:pPr>
            <w:r>
              <w:rPr>
                <w:spacing w:val="-4"/>
                <w:sz w:val="22"/>
              </w:rPr>
              <w:t>3.68</w:t>
            </w:r>
          </w:p>
        </w:tc>
        <w:tc>
          <w:tcPr>
            <w:tcW w:w="1194" w:type="dxa"/>
          </w:tcPr>
          <w:p>
            <w:pPr>
              <w:pStyle w:val="TableParagraph"/>
              <w:spacing w:before="67"/>
              <w:ind w:left="242"/>
              <w:rPr>
                <w:sz w:val="22"/>
              </w:rPr>
            </w:pPr>
            <w:r>
              <w:rPr>
                <w:spacing w:val="-4"/>
                <w:sz w:val="22"/>
              </w:rPr>
              <w:t>0.46</w:t>
            </w:r>
          </w:p>
        </w:tc>
        <w:tc>
          <w:tcPr>
            <w:tcW w:w="1191" w:type="dxa"/>
          </w:tcPr>
          <w:p>
            <w:pPr>
              <w:pStyle w:val="TableParagraph"/>
              <w:spacing w:before="67"/>
              <w:ind w:left="234"/>
              <w:rPr>
                <w:sz w:val="22"/>
              </w:rPr>
            </w:pPr>
            <w:r>
              <w:rPr>
                <w:spacing w:val="-4"/>
                <w:sz w:val="22"/>
              </w:rPr>
              <w:t>0.53</w:t>
            </w:r>
          </w:p>
        </w:tc>
        <w:tc>
          <w:tcPr>
            <w:tcW w:w="966" w:type="dxa"/>
          </w:tcPr>
          <w:p>
            <w:pPr>
              <w:pStyle w:val="TableParagraph"/>
              <w:spacing w:before="67"/>
              <w:ind w:left="224"/>
              <w:rPr>
                <w:sz w:val="22"/>
              </w:rPr>
            </w:pPr>
            <w:r>
              <w:rPr>
                <w:spacing w:val="-2"/>
                <w:sz w:val="22"/>
              </w:rPr>
              <w:t>13.21</w:t>
            </w:r>
          </w:p>
        </w:tc>
        <w:tc>
          <w:tcPr>
            <w:tcW w:w="2166" w:type="dxa"/>
          </w:tcPr>
          <w:p>
            <w:pPr>
              <w:pStyle w:val="TableParagraph"/>
              <w:spacing w:before="67"/>
              <w:ind w:left="275"/>
              <w:rPr>
                <w:sz w:val="22"/>
              </w:rPr>
            </w:pPr>
            <w:r>
              <w:rPr>
                <w:spacing w:val="-4"/>
                <w:sz w:val="22"/>
              </w:rPr>
              <w:t>1.15</w:t>
            </w:r>
          </w:p>
        </w:tc>
      </w:tr>
      <w:tr>
        <w:trPr>
          <w:trHeight w:val="386" w:hRule="atLeast"/>
        </w:trPr>
        <w:tc>
          <w:tcPr>
            <w:tcW w:w="1610" w:type="dxa"/>
          </w:tcPr>
          <w:p>
            <w:pPr>
              <w:pStyle w:val="TableParagraph"/>
              <w:spacing w:before="62"/>
              <w:ind w:left="100"/>
              <w:rPr>
                <w:sz w:val="22"/>
              </w:rPr>
            </w:pPr>
            <w:r>
              <w:rPr>
                <w:spacing w:val="-5"/>
                <w:sz w:val="22"/>
              </w:rPr>
              <w:t>MCS</w:t>
            </w:r>
          </w:p>
        </w:tc>
        <w:tc>
          <w:tcPr>
            <w:tcW w:w="1028" w:type="dxa"/>
          </w:tcPr>
          <w:p>
            <w:pPr>
              <w:pStyle w:val="TableParagraph"/>
              <w:spacing w:before="62"/>
              <w:ind w:left="117"/>
              <w:rPr>
                <w:sz w:val="22"/>
              </w:rPr>
            </w:pPr>
            <w:r>
              <w:rPr>
                <w:spacing w:val="-2"/>
                <w:sz w:val="22"/>
              </w:rPr>
              <w:t>31.76</w:t>
            </w:r>
          </w:p>
        </w:tc>
        <w:tc>
          <w:tcPr>
            <w:tcW w:w="959" w:type="dxa"/>
          </w:tcPr>
          <w:p>
            <w:pPr>
              <w:pStyle w:val="TableParagraph"/>
              <w:spacing w:before="62"/>
              <w:ind w:left="102"/>
              <w:rPr>
                <w:sz w:val="22"/>
              </w:rPr>
            </w:pPr>
            <w:r>
              <w:rPr>
                <w:spacing w:val="-4"/>
                <w:sz w:val="22"/>
              </w:rPr>
              <w:t>4.30</w:t>
            </w:r>
          </w:p>
        </w:tc>
        <w:tc>
          <w:tcPr>
            <w:tcW w:w="1194" w:type="dxa"/>
          </w:tcPr>
          <w:p>
            <w:pPr>
              <w:pStyle w:val="TableParagraph"/>
              <w:spacing w:before="62"/>
              <w:ind w:left="242"/>
              <w:rPr>
                <w:sz w:val="22"/>
              </w:rPr>
            </w:pPr>
            <w:r>
              <w:rPr>
                <w:spacing w:val="-4"/>
                <w:sz w:val="22"/>
              </w:rPr>
              <w:t>0.51</w:t>
            </w:r>
          </w:p>
        </w:tc>
        <w:tc>
          <w:tcPr>
            <w:tcW w:w="1191" w:type="dxa"/>
          </w:tcPr>
          <w:p>
            <w:pPr>
              <w:pStyle w:val="TableParagraph"/>
              <w:spacing w:before="62"/>
              <w:ind w:left="234"/>
              <w:rPr>
                <w:sz w:val="22"/>
              </w:rPr>
            </w:pPr>
            <w:r>
              <w:rPr>
                <w:spacing w:val="-4"/>
                <w:sz w:val="22"/>
              </w:rPr>
              <w:t>0.59</w:t>
            </w:r>
          </w:p>
        </w:tc>
        <w:tc>
          <w:tcPr>
            <w:tcW w:w="966" w:type="dxa"/>
          </w:tcPr>
          <w:p>
            <w:pPr>
              <w:pStyle w:val="TableParagraph"/>
              <w:spacing w:before="62"/>
              <w:ind w:left="224"/>
              <w:rPr>
                <w:sz w:val="22"/>
              </w:rPr>
            </w:pPr>
            <w:r>
              <w:rPr>
                <w:spacing w:val="-2"/>
                <w:sz w:val="22"/>
              </w:rPr>
              <w:t>13.56</w:t>
            </w:r>
          </w:p>
        </w:tc>
        <w:tc>
          <w:tcPr>
            <w:tcW w:w="2166" w:type="dxa"/>
          </w:tcPr>
          <w:p>
            <w:pPr>
              <w:pStyle w:val="TableParagraph"/>
              <w:spacing w:before="62"/>
              <w:ind w:left="275"/>
              <w:rPr>
                <w:sz w:val="22"/>
              </w:rPr>
            </w:pPr>
            <w:r>
              <w:rPr>
                <w:spacing w:val="-4"/>
                <w:sz w:val="22"/>
              </w:rPr>
              <w:t>1.16</w:t>
            </w:r>
          </w:p>
        </w:tc>
      </w:tr>
      <w:tr>
        <w:trPr>
          <w:trHeight w:val="319" w:hRule="atLeast"/>
        </w:trPr>
        <w:tc>
          <w:tcPr>
            <w:tcW w:w="1610" w:type="dxa"/>
          </w:tcPr>
          <w:p>
            <w:pPr>
              <w:pStyle w:val="TableParagraph"/>
              <w:spacing w:line="234" w:lineRule="exact" w:before="65"/>
              <w:ind w:left="100"/>
              <w:rPr>
                <w:sz w:val="22"/>
              </w:rPr>
            </w:pPr>
            <w:r>
              <w:rPr>
                <w:spacing w:val="-5"/>
                <w:sz w:val="22"/>
              </w:rPr>
              <w:t>GEL</w:t>
            </w:r>
          </w:p>
        </w:tc>
        <w:tc>
          <w:tcPr>
            <w:tcW w:w="1028" w:type="dxa"/>
          </w:tcPr>
          <w:p>
            <w:pPr>
              <w:pStyle w:val="TableParagraph"/>
              <w:spacing w:line="234" w:lineRule="exact" w:before="65"/>
              <w:ind w:left="117"/>
              <w:rPr>
                <w:sz w:val="22"/>
              </w:rPr>
            </w:pPr>
            <w:r>
              <w:rPr>
                <w:spacing w:val="-2"/>
                <w:sz w:val="22"/>
              </w:rPr>
              <w:t>31.20</w:t>
            </w:r>
          </w:p>
        </w:tc>
        <w:tc>
          <w:tcPr>
            <w:tcW w:w="959" w:type="dxa"/>
          </w:tcPr>
          <w:p>
            <w:pPr>
              <w:pStyle w:val="TableParagraph"/>
              <w:spacing w:line="234" w:lineRule="exact" w:before="65"/>
              <w:ind w:left="102"/>
              <w:rPr>
                <w:sz w:val="22"/>
              </w:rPr>
            </w:pPr>
            <w:r>
              <w:rPr>
                <w:spacing w:val="-4"/>
                <w:sz w:val="22"/>
              </w:rPr>
              <w:t>2.90</w:t>
            </w:r>
          </w:p>
        </w:tc>
        <w:tc>
          <w:tcPr>
            <w:tcW w:w="1194" w:type="dxa"/>
          </w:tcPr>
          <w:p>
            <w:pPr>
              <w:pStyle w:val="TableParagraph"/>
              <w:spacing w:line="234" w:lineRule="exact" w:before="65"/>
              <w:ind w:left="242"/>
              <w:rPr>
                <w:sz w:val="22"/>
              </w:rPr>
            </w:pPr>
            <w:r>
              <w:rPr>
                <w:spacing w:val="-4"/>
                <w:sz w:val="22"/>
              </w:rPr>
              <w:t>0.46</w:t>
            </w:r>
          </w:p>
        </w:tc>
        <w:tc>
          <w:tcPr>
            <w:tcW w:w="1191" w:type="dxa"/>
          </w:tcPr>
          <w:p>
            <w:pPr>
              <w:pStyle w:val="TableParagraph"/>
              <w:spacing w:line="234" w:lineRule="exact" w:before="65"/>
              <w:ind w:left="234"/>
              <w:rPr>
                <w:sz w:val="22"/>
              </w:rPr>
            </w:pPr>
            <w:r>
              <w:rPr>
                <w:spacing w:val="-4"/>
                <w:sz w:val="22"/>
              </w:rPr>
              <w:t>0.54</w:t>
            </w:r>
          </w:p>
        </w:tc>
        <w:tc>
          <w:tcPr>
            <w:tcW w:w="966" w:type="dxa"/>
          </w:tcPr>
          <w:p>
            <w:pPr>
              <w:pStyle w:val="TableParagraph"/>
              <w:spacing w:line="234" w:lineRule="exact" w:before="65"/>
              <w:ind w:left="224"/>
              <w:rPr>
                <w:sz w:val="22"/>
              </w:rPr>
            </w:pPr>
            <w:r>
              <w:rPr>
                <w:spacing w:val="-2"/>
                <w:sz w:val="22"/>
              </w:rPr>
              <w:t>10.42</w:t>
            </w:r>
          </w:p>
        </w:tc>
        <w:tc>
          <w:tcPr>
            <w:tcW w:w="2166" w:type="dxa"/>
          </w:tcPr>
          <w:p>
            <w:pPr>
              <w:pStyle w:val="TableParagraph"/>
              <w:spacing w:line="234" w:lineRule="exact" w:before="65"/>
              <w:ind w:left="275"/>
              <w:rPr>
                <w:sz w:val="22"/>
              </w:rPr>
            </w:pPr>
            <w:r>
              <w:rPr>
                <w:spacing w:val="-4"/>
                <w:sz w:val="22"/>
              </w:rPr>
              <w:t>1.16</w:t>
            </w:r>
          </w:p>
        </w:tc>
      </w:tr>
    </w:tbl>
    <w:p>
      <w:pPr>
        <w:pStyle w:val="BodyText"/>
        <w:rPr>
          <w:b/>
          <w:sz w:val="20"/>
        </w:rPr>
      </w:pPr>
    </w:p>
    <w:p>
      <w:pPr>
        <w:pStyle w:val="BodyText"/>
        <w:spacing w:before="49"/>
        <w:rPr>
          <w:b/>
          <w:sz w:val="20"/>
        </w:rPr>
      </w:pPr>
      <w:r>
        <w:rPr/>
        <mc:AlternateContent>
          <mc:Choice Requires="wps">
            <w:drawing>
              <wp:anchor distT="0" distB="0" distL="0" distR="0" allowOverlap="1" layoutInCell="1" locked="0" behindDoc="1" simplePos="0" relativeHeight="487608832">
                <wp:simplePos x="0" y="0"/>
                <wp:positionH relativeFrom="page">
                  <wp:posOffset>1441704</wp:posOffset>
                </wp:positionH>
                <wp:positionV relativeFrom="paragraph">
                  <wp:posOffset>192671</wp:posOffset>
                </wp:positionV>
                <wp:extent cx="5800725" cy="635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5800725" cy="6350"/>
                        </a:xfrm>
                        <a:custGeom>
                          <a:avLst/>
                          <a:gdLst/>
                          <a:ahLst/>
                          <a:cxnLst/>
                          <a:rect l="l" t="t" r="r" b="b"/>
                          <a:pathLst>
                            <a:path w="5800725" h="6350">
                              <a:moveTo>
                                <a:pt x="5800344" y="0"/>
                              </a:moveTo>
                              <a:lnTo>
                                <a:pt x="5800344" y="0"/>
                              </a:lnTo>
                              <a:lnTo>
                                <a:pt x="0" y="0"/>
                              </a:lnTo>
                              <a:lnTo>
                                <a:pt x="0" y="6096"/>
                              </a:lnTo>
                              <a:lnTo>
                                <a:pt x="5800344" y="6096"/>
                              </a:lnTo>
                              <a:lnTo>
                                <a:pt x="5800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20004pt;margin-top:15.170965pt;width:456.720022pt;height:.48pt;mso-position-horizontal-relative:page;mso-position-vertical-relative:paragraph;z-index:-15707648;mso-wrap-distance-left:0;mso-wrap-distance-right:0" id="docshape58" filled="true" fillcolor="#000000" stroked="false">
                <v:fill type="solid"/>
                <w10:wrap type="topAndBottom"/>
              </v:rect>
            </w:pict>
          </mc:Fallback>
        </mc:AlternateContent>
      </w:r>
    </w:p>
    <w:p>
      <w:pPr>
        <w:pStyle w:val="BodyText"/>
        <w:rPr>
          <w:b/>
        </w:rPr>
      </w:pPr>
    </w:p>
    <w:p>
      <w:pPr>
        <w:pStyle w:val="BodyText"/>
        <w:spacing w:before="13"/>
        <w:rPr>
          <w:b/>
        </w:rPr>
      </w:pPr>
    </w:p>
    <w:p>
      <w:pPr>
        <w:spacing w:before="0"/>
        <w:ind w:left="1116" w:right="0" w:firstLine="0"/>
        <w:jc w:val="left"/>
        <w:rPr>
          <w:sz w:val="22"/>
        </w:rPr>
      </w:pPr>
      <w:r>
        <w:rPr>
          <w:sz w:val="22"/>
        </w:rPr>
        <w:t>DS</w:t>
      </w:r>
      <w:r>
        <w:rPr>
          <w:spacing w:val="15"/>
          <w:sz w:val="22"/>
        </w:rPr>
        <w:t> </w:t>
      </w:r>
      <w:r>
        <w:rPr>
          <w:sz w:val="22"/>
        </w:rPr>
        <w:t>=</w:t>
      </w:r>
      <w:r>
        <w:rPr>
          <w:spacing w:val="8"/>
          <w:sz w:val="22"/>
        </w:rPr>
        <w:t> </w:t>
      </w:r>
      <w:r>
        <w:rPr>
          <w:i/>
          <w:sz w:val="22"/>
        </w:rPr>
        <w:t>Digitaria</w:t>
      </w:r>
      <w:r>
        <w:rPr>
          <w:i/>
          <w:spacing w:val="19"/>
          <w:sz w:val="22"/>
        </w:rPr>
        <w:t> </w:t>
      </w:r>
      <w:r>
        <w:rPr>
          <w:i/>
          <w:sz w:val="22"/>
        </w:rPr>
        <w:t>iburua</w:t>
      </w:r>
      <w:r>
        <w:rPr>
          <w:i/>
          <w:spacing w:val="9"/>
          <w:sz w:val="22"/>
        </w:rPr>
        <w:t> </w:t>
      </w:r>
      <w:r>
        <w:rPr>
          <w:sz w:val="22"/>
        </w:rPr>
        <w:t>Starch,</w:t>
      </w:r>
      <w:r>
        <w:rPr>
          <w:spacing w:val="11"/>
          <w:sz w:val="22"/>
        </w:rPr>
        <w:t> </w:t>
      </w:r>
      <w:r>
        <w:rPr>
          <w:sz w:val="22"/>
        </w:rPr>
        <w:t>MCS</w:t>
      </w:r>
      <w:r>
        <w:rPr>
          <w:spacing w:val="4"/>
          <w:sz w:val="22"/>
        </w:rPr>
        <w:t> </w:t>
      </w:r>
      <w:r>
        <w:rPr>
          <w:sz w:val="22"/>
        </w:rPr>
        <w:t>=</w:t>
      </w:r>
      <w:r>
        <w:rPr>
          <w:spacing w:val="9"/>
          <w:sz w:val="22"/>
        </w:rPr>
        <w:t> </w:t>
      </w:r>
      <w:r>
        <w:rPr>
          <w:sz w:val="22"/>
        </w:rPr>
        <w:t>Microcrystalline</w:t>
      </w:r>
      <w:r>
        <w:rPr>
          <w:spacing w:val="12"/>
          <w:sz w:val="22"/>
        </w:rPr>
        <w:t> </w:t>
      </w:r>
      <w:r>
        <w:rPr>
          <w:sz w:val="22"/>
        </w:rPr>
        <w:t>starch,</w:t>
      </w:r>
      <w:r>
        <w:rPr>
          <w:spacing w:val="17"/>
          <w:sz w:val="22"/>
        </w:rPr>
        <w:t> </w:t>
      </w:r>
      <w:r>
        <w:rPr>
          <w:sz w:val="22"/>
        </w:rPr>
        <w:t>GEL</w:t>
      </w:r>
      <w:r>
        <w:rPr>
          <w:spacing w:val="7"/>
          <w:sz w:val="22"/>
        </w:rPr>
        <w:t> </w:t>
      </w:r>
      <w:r>
        <w:rPr>
          <w:sz w:val="22"/>
        </w:rPr>
        <w:t>=</w:t>
      </w:r>
      <w:r>
        <w:rPr>
          <w:spacing w:val="8"/>
          <w:sz w:val="22"/>
        </w:rPr>
        <w:t> </w:t>
      </w:r>
      <w:r>
        <w:rPr>
          <w:spacing w:val="-2"/>
          <w:sz w:val="22"/>
        </w:rPr>
        <w:t>Gelatin.</w:t>
      </w:r>
    </w:p>
    <w:p>
      <w:pPr>
        <w:spacing w:after="0"/>
        <w:jc w:val="left"/>
        <w:rPr>
          <w:sz w:val="22"/>
        </w:rPr>
        <w:sectPr>
          <w:pgSz w:w="12240" w:h="15840"/>
          <w:pgMar w:header="0" w:footer="999" w:top="1260" w:bottom="1180" w:left="1720" w:right="0"/>
        </w:sectPr>
      </w:pPr>
    </w:p>
    <w:p>
      <w:pPr>
        <w:pStyle w:val="Heading2"/>
        <w:numPr>
          <w:ilvl w:val="1"/>
          <w:numId w:val="35"/>
        </w:numPr>
        <w:tabs>
          <w:tab w:pos="1342" w:val="left" w:leader="none"/>
        </w:tabs>
        <w:spacing w:line="240" w:lineRule="auto" w:before="80" w:after="0"/>
        <w:ind w:left="1342" w:right="0" w:hanging="677"/>
        <w:jc w:val="left"/>
      </w:pPr>
      <w:bookmarkStart w:name="_TOC_250030" w:id="131"/>
      <w:r>
        <w:rPr/>
        <w:t>Properties</w:t>
      </w:r>
      <w:r>
        <w:rPr>
          <w:spacing w:val="8"/>
        </w:rPr>
        <w:t> </w:t>
      </w:r>
      <w:r>
        <w:rPr/>
        <w:t>of</w:t>
      </w:r>
      <w:r>
        <w:rPr>
          <w:spacing w:val="6"/>
        </w:rPr>
        <w:t> </w:t>
      </w:r>
      <w:r>
        <w:rPr/>
        <w:t>tablets</w:t>
      </w:r>
      <w:r>
        <w:rPr>
          <w:spacing w:val="14"/>
        </w:rPr>
        <w:t> </w:t>
      </w:r>
      <w:r>
        <w:rPr/>
        <w:t>produced</w:t>
      </w:r>
      <w:r>
        <w:rPr>
          <w:spacing w:val="15"/>
        </w:rPr>
        <w:t> </w:t>
      </w:r>
      <w:r>
        <w:rPr/>
        <w:t>by</w:t>
      </w:r>
      <w:r>
        <w:rPr>
          <w:spacing w:val="8"/>
        </w:rPr>
        <w:t> </w:t>
      </w:r>
      <w:r>
        <w:rPr/>
        <w:t>wet</w:t>
      </w:r>
      <w:r>
        <w:rPr>
          <w:spacing w:val="17"/>
        </w:rPr>
        <w:t> </w:t>
      </w:r>
      <w:bookmarkEnd w:id="131"/>
      <w:r>
        <w:rPr>
          <w:spacing w:val="-2"/>
        </w:rPr>
        <w:t>granulation</w:t>
      </w:r>
    </w:p>
    <w:p>
      <w:pPr>
        <w:pStyle w:val="BodyText"/>
        <w:spacing w:before="118"/>
        <w:rPr>
          <w:b/>
        </w:rPr>
      </w:pPr>
    </w:p>
    <w:p>
      <w:pPr>
        <w:pStyle w:val="BodyText"/>
        <w:spacing w:line="491" w:lineRule="auto"/>
        <w:ind w:left="665" w:right="1852"/>
        <w:jc w:val="both"/>
      </w:pPr>
      <w:r>
        <w:rPr/>
        <w:t>The</w:t>
      </w:r>
      <w:r>
        <w:rPr>
          <w:spacing w:val="31"/>
        </w:rPr>
        <w:t> </w:t>
      </w:r>
      <w:r>
        <w:rPr/>
        <w:t>results</w:t>
      </w:r>
      <w:r>
        <w:rPr>
          <w:spacing w:val="29"/>
        </w:rPr>
        <w:t> </w:t>
      </w:r>
      <w:r>
        <w:rPr/>
        <w:t>of</w:t>
      </w:r>
      <w:r>
        <w:rPr>
          <w:spacing w:val="27"/>
        </w:rPr>
        <w:t> </w:t>
      </w:r>
      <w:r>
        <w:rPr/>
        <w:t>the</w:t>
      </w:r>
      <w:r>
        <w:rPr>
          <w:spacing w:val="31"/>
        </w:rPr>
        <w:t> </w:t>
      </w:r>
      <w:r>
        <w:rPr/>
        <w:t>tablet</w:t>
      </w:r>
      <w:r>
        <w:rPr>
          <w:spacing w:val="30"/>
        </w:rPr>
        <w:t> </w:t>
      </w:r>
      <w:r>
        <w:rPr/>
        <w:t>parameters</w:t>
      </w:r>
      <w:r>
        <w:rPr>
          <w:spacing w:val="29"/>
        </w:rPr>
        <w:t> </w:t>
      </w:r>
      <w:r>
        <w:rPr/>
        <w:t>are</w:t>
      </w:r>
      <w:r>
        <w:rPr>
          <w:spacing w:val="21"/>
        </w:rPr>
        <w:t> </w:t>
      </w:r>
      <w:r>
        <w:rPr/>
        <w:t>presented</w:t>
      </w:r>
      <w:r>
        <w:rPr>
          <w:spacing w:val="38"/>
        </w:rPr>
        <w:t> </w:t>
      </w:r>
      <w:r>
        <w:rPr/>
        <w:t>in</w:t>
      </w:r>
      <w:r>
        <w:rPr>
          <w:spacing w:val="22"/>
        </w:rPr>
        <w:t> </w:t>
      </w:r>
      <w:r>
        <w:rPr/>
        <w:t>Tables</w:t>
      </w:r>
      <w:r>
        <w:rPr>
          <w:spacing w:val="23"/>
        </w:rPr>
        <w:t> </w:t>
      </w:r>
      <w:r>
        <w:rPr/>
        <w:t>4.8</w:t>
      </w:r>
      <w:r>
        <w:rPr>
          <w:spacing w:val="33"/>
        </w:rPr>
        <w:t> </w:t>
      </w:r>
      <w:r>
        <w:rPr/>
        <w:t>and</w:t>
      </w:r>
      <w:r>
        <w:rPr>
          <w:spacing w:val="28"/>
        </w:rPr>
        <w:t> </w:t>
      </w:r>
      <w:r>
        <w:rPr/>
        <w:t>4.9.</w:t>
      </w:r>
      <w:r>
        <w:rPr>
          <w:spacing w:val="33"/>
        </w:rPr>
        <w:t> </w:t>
      </w:r>
      <w:r>
        <w:rPr/>
        <w:t>The</w:t>
      </w:r>
      <w:r>
        <w:rPr>
          <w:spacing w:val="31"/>
        </w:rPr>
        <w:t> </w:t>
      </w:r>
      <w:r>
        <w:rPr/>
        <w:t>values</w:t>
      </w:r>
      <w:r>
        <w:rPr>
          <w:spacing w:val="24"/>
        </w:rPr>
        <w:t> </w:t>
      </w:r>
      <w:r>
        <w:rPr/>
        <w:t>of the uniformity of weight for prepared metronidazole tablets ranged from 677 – 724 mg. The values are within the acceptable limits of BP, 2002 for the respective weights of the tablets. The crushing strength (CS) is a measure of tablet strength (Alebiowu and</w:t>
      </w:r>
      <w:r>
        <w:rPr>
          <w:spacing w:val="40"/>
        </w:rPr>
        <w:t> </w:t>
      </w:r>
      <w:r>
        <w:rPr/>
        <w:t>Adeagbo, 2009). From the result obtained in Tables 4.8 and 4.9, CS increased with increase in the binder concentration for all binder types while The CS decreased with increase</w:t>
      </w:r>
      <w:r>
        <w:rPr>
          <w:spacing w:val="31"/>
        </w:rPr>
        <w:t> </w:t>
      </w:r>
      <w:r>
        <w:rPr/>
        <w:t>in</w:t>
      </w:r>
      <w:r>
        <w:rPr>
          <w:spacing w:val="21"/>
        </w:rPr>
        <w:t> </w:t>
      </w:r>
      <w:r>
        <w:rPr/>
        <w:t>disintegrant</w:t>
      </w:r>
      <w:r>
        <w:rPr>
          <w:spacing w:val="29"/>
        </w:rPr>
        <w:t> </w:t>
      </w:r>
      <w:r>
        <w:rPr/>
        <w:t>concentration</w:t>
      </w:r>
      <w:r>
        <w:rPr>
          <w:spacing w:val="33"/>
        </w:rPr>
        <w:t> </w:t>
      </w:r>
      <w:r>
        <w:rPr/>
        <w:t>for</w:t>
      </w:r>
      <w:r>
        <w:rPr>
          <w:spacing w:val="26"/>
        </w:rPr>
        <w:t> </w:t>
      </w:r>
      <w:r>
        <w:rPr/>
        <w:t>disintegrant</w:t>
      </w:r>
      <w:r>
        <w:rPr>
          <w:spacing w:val="29"/>
        </w:rPr>
        <w:t> </w:t>
      </w:r>
      <w:r>
        <w:rPr/>
        <w:t>types.</w:t>
      </w:r>
      <w:r>
        <w:rPr>
          <w:spacing w:val="32"/>
        </w:rPr>
        <w:t> </w:t>
      </w:r>
      <w:r>
        <w:rPr/>
        <w:t>The</w:t>
      </w:r>
      <w:r>
        <w:rPr>
          <w:spacing w:val="26"/>
        </w:rPr>
        <w:t> </w:t>
      </w:r>
      <w:r>
        <w:rPr/>
        <w:t>CS</w:t>
      </w:r>
      <w:r>
        <w:rPr>
          <w:spacing w:val="35"/>
        </w:rPr>
        <w:t> </w:t>
      </w:r>
      <w:r>
        <w:rPr/>
        <w:t>of</w:t>
      </w:r>
      <w:r>
        <w:rPr>
          <w:spacing w:val="26"/>
        </w:rPr>
        <w:t> </w:t>
      </w:r>
      <w:r>
        <w:rPr/>
        <w:t>the</w:t>
      </w:r>
      <w:r>
        <w:rPr>
          <w:spacing w:val="31"/>
        </w:rPr>
        <w:t> </w:t>
      </w:r>
      <w:r>
        <w:rPr/>
        <w:t>binder</w:t>
      </w:r>
      <w:r>
        <w:rPr>
          <w:spacing w:val="33"/>
        </w:rPr>
        <w:t> </w:t>
      </w:r>
      <w:r>
        <w:rPr/>
        <w:t>type is</w:t>
      </w:r>
      <w:r>
        <w:rPr>
          <w:spacing w:val="27"/>
        </w:rPr>
        <w:t> </w:t>
      </w:r>
      <w:r>
        <w:rPr/>
        <w:t>in</w:t>
      </w:r>
      <w:r>
        <w:rPr>
          <w:spacing w:val="20"/>
        </w:rPr>
        <w:t> </w:t>
      </w:r>
      <w:r>
        <w:rPr/>
        <w:t>this</w:t>
      </w:r>
      <w:r>
        <w:rPr>
          <w:spacing w:val="21"/>
        </w:rPr>
        <w:t> </w:t>
      </w:r>
      <w:r>
        <w:rPr/>
        <w:t>order</w:t>
      </w:r>
      <w:r>
        <w:rPr>
          <w:spacing w:val="24"/>
        </w:rPr>
        <w:t> </w:t>
      </w:r>
      <w:r>
        <w:rPr/>
        <w:t>GEL</w:t>
      </w:r>
      <w:r>
        <w:rPr>
          <w:spacing w:val="24"/>
        </w:rPr>
        <w:t> </w:t>
      </w:r>
      <w:r>
        <w:rPr/>
        <w:t>&gt;</w:t>
      </w:r>
      <w:r>
        <w:rPr>
          <w:spacing w:val="20"/>
        </w:rPr>
        <w:t> </w:t>
      </w:r>
      <w:r>
        <w:rPr/>
        <w:t>MCS</w:t>
      </w:r>
      <w:r>
        <w:rPr>
          <w:spacing w:val="22"/>
        </w:rPr>
        <w:t> </w:t>
      </w:r>
      <w:r>
        <w:rPr/>
        <w:t>&gt;</w:t>
      </w:r>
      <w:r>
        <w:rPr>
          <w:spacing w:val="20"/>
        </w:rPr>
        <w:t> </w:t>
      </w:r>
      <w:r>
        <w:rPr/>
        <w:t>DS.</w:t>
      </w:r>
      <w:r>
        <w:rPr>
          <w:spacing w:val="23"/>
        </w:rPr>
        <w:t> </w:t>
      </w:r>
      <w:r>
        <w:rPr/>
        <w:t>CS of</w:t>
      </w:r>
      <w:r>
        <w:rPr>
          <w:spacing w:val="24"/>
        </w:rPr>
        <w:t> </w:t>
      </w:r>
      <w:r>
        <w:rPr/>
        <w:t>the</w:t>
      </w:r>
      <w:r>
        <w:rPr>
          <w:spacing w:val="23"/>
        </w:rPr>
        <w:t> </w:t>
      </w:r>
      <w:r>
        <w:rPr/>
        <w:t>disintegrant</w:t>
      </w:r>
      <w:r>
        <w:rPr>
          <w:spacing w:val="22"/>
        </w:rPr>
        <w:t> </w:t>
      </w:r>
      <w:r>
        <w:rPr/>
        <w:t>is</w:t>
      </w:r>
      <w:r>
        <w:rPr>
          <w:spacing w:val="21"/>
        </w:rPr>
        <w:t> </w:t>
      </w:r>
      <w:r>
        <w:rPr/>
        <w:t>in</w:t>
      </w:r>
      <w:r>
        <w:rPr>
          <w:spacing w:val="20"/>
        </w:rPr>
        <w:t> </w:t>
      </w:r>
      <w:r>
        <w:rPr/>
        <w:t>the</w:t>
      </w:r>
      <w:r>
        <w:rPr>
          <w:spacing w:val="23"/>
        </w:rPr>
        <w:t> </w:t>
      </w:r>
      <w:r>
        <w:rPr/>
        <w:t>order MCS</w:t>
      </w:r>
      <w:r>
        <w:rPr>
          <w:spacing w:val="22"/>
        </w:rPr>
        <w:t> </w:t>
      </w:r>
      <w:r>
        <w:rPr/>
        <w:t>&gt;</w:t>
      </w:r>
      <w:r>
        <w:rPr>
          <w:spacing w:val="20"/>
        </w:rPr>
        <w:t> </w:t>
      </w:r>
      <w:r>
        <w:rPr/>
        <w:t>MS</w:t>
      </w:r>
      <w:r>
        <w:rPr>
          <w:spacing w:val="22"/>
        </w:rPr>
        <w:t> </w:t>
      </w:r>
      <w:r>
        <w:rPr/>
        <w:t>&gt; DS. The friability (FR) is a measure of tablet weakness (Alebiowu and Adeagbo, 2009). FR</w:t>
      </w:r>
      <w:r>
        <w:rPr>
          <w:spacing w:val="32"/>
        </w:rPr>
        <w:t> </w:t>
      </w:r>
      <w:r>
        <w:rPr/>
        <w:t>decreased</w:t>
      </w:r>
      <w:r>
        <w:rPr>
          <w:spacing w:val="40"/>
        </w:rPr>
        <w:t> </w:t>
      </w:r>
      <w:r>
        <w:rPr/>
        <w:t>with</w:t>
      </w:r>
      <w:r>
        <w:rPr>
          <w:spacing w:val="25"/>
        </w:rPr>
        <w:t> </w:t>
      </w:r>
      <w:r>
        <w:rPr/>
        <w:t>increase</w:t>
      </w:r>
      <w:r>
        <w:rPr>
          <w:spacing w:val="34"/>
        </w:rPr>
        <w:t> </w:t>
      </w:r>
      <w:r>
        <w:rPr/>
        <w:t>in</w:t>
      </w:r>
      <w:r>
        <w:rPr>
          <w:spacing w:val="25"/>
        </w:rPr>
        <w:t> </w:t>
      </w:r>
      <w:r>
        <w:rPr/>
        <w:t>binder</w:t>
      </w:r>
      <w:r>
        <w:rPr>
          <w:spacing w:val="35"/>
        </w:rPr>
        <w:t> </w:t>
      </w:r>
      <w:r>
        <w:rPr/>
        <w:t>concentration</w:t>
      </w:r>
      <w:r>
        <w:rPr>
          <w:spacing w:val="25"/>
        </w:rPr>
        <w:t> </w:t>
      </w:r>
      <w:r>
        <w:rPr/>
        <w:t>for</w:t>
      </w:r>
      <w:r>
        <w:rPr>
          <w:spacing w:val="35"/>
        </w:rPr>
        <w:t> </w:t>
      </w:r>
      <w:r>
        <w:rPr/>
        <w:t>all</w:t>
      </w:r>
      <w:r>
        <w:rPr>
          <w:spacing w:val="27"/>
        </w:rPr>
        <w:t> </w:t>
      </w:r>
      <w:r>
        <w:rPr/>
        <w:t>binder</w:t>
      </w:r>
      <w:r>
        <w:rPr>
          <w:spacing w:val="35"/>
        </w:rPr>
        <w:t> </w:t>
      </w:r>
      <w:r>
        <w:rPr/>
        <w:t>types</w:t>
      </w:r>
      <w:r>
        <w:rPr>
          <w:spacing w:val="32"/>
        </w:rPr>
        <w:t> </w:t>
      </w:r>
      <w:r>
        <w:rPr/>
        <w:t>while</w:t>
      </w:r>
      <w:r>
        <w:rPr>
          <w:spacing w:val="34"/>
        </w:rPr>
        <w:t> </w:t>
      </w:r>
      <w:r>
        <w:rPr/>
        <w:t>showing an</w:t>
      </w:r>
      <w:r>
        <w:rPr>
          <w:spacing w:val="24"/>
        </w:rPr>
        <w:t> </w:t>
      </w:r>
      <w:r>
        <w:rPr/>
        <w:t>increase</w:t>
      </w:r>
      <w:r>
        <w:rPr>
          <w:spacing w:val="28"/>
        </w:rPr>
        <w:t> </w:t>
      </w:r>
      <w:r>
        <w:rPr/>
        <w:t>with</w:t>
      </w:r>
      <w:r>
        <w:rPr>
          <w:spacing w:val="24"/>
        </w:rPr>
        <w:t> </w:t>
      </w:r>
      <w:r>
        <w:rPr/>
        <w:t>increase</w:t>
      </w:r>
      <w:r>
        <w:rPr>
          <w:spacing w:val="34"/>
        </w:rPr>
        <w:t> </w:t>
      </w:r>
      <w:r>
        <w:rPr/>
        <w:t>in</w:t>
      </w:r>
      <w:r>
        <w:rPr>
          <w:spacing w:val="19"/>
        </w:rPr>
        <w:t> </w:t>
      </w:r>
      <w:r>
        <w:rPr/>
        <w:t>disintegrant</w:t>
      </w:r>
      <w:r>
        <w:rPr>
          <w:spacing w:val="27"/>
        </w:rPr>
        <w:t> </w:t>
      </w:r>
      <w:r>
        <w:rPr/>
        <w:t>concentrations.</w:t>
      </w:r>
      <w:r>
        <w:rPr>
          <w:spacing w:val="30"/>
        </w:rPr>
        <w:t> </w:t>
      </w:r>
      <w:r>
        <w:rPr/>
        <w:t>MCS</w:t>
      </w:r>
      <w:r>
        <w:rPr>
          <w:spacing w:val="32"/>
        </w:rPr>
        <w:t> </w:t>
      </w:r>
      <w:r>
        <w:rPr/>
        <w:t>and</w:t>
      </w:r>
      <w:r>
        <w:rPr>
          <w:spacing w:val="30"/>
        </w:rPr>
        <w:t> </w:t>
      </w:r>
      <w:r>
        <w:rPr/>
        <w:t>GEL</w:t>
      </w:r>
      <w:r>
        <w:rPr>
          <w:spacing w:val="29"/>
        </w:rPr>
        <w:t> </w:t>
      </w:r>
      <w:r>
        <w:rPr/>
        <w:t>passed</w:t>
      </w:r>
      <w:r>
        <w:rPr>
          <w:spacing w:val="36"/>
        </w:rPr>
        <w:t> </w:t>
      </w:r>
      <w:r>
        <w:rPr/>
        <w:t>FR</w:t>
      </w:r>
      <w:r>
        <w:rPr>
          <w:spacing w:val="25"/>
        </w:rPr>
        <w:t> </w:t>
      </w:r>
      <w:r>
        <w:rPr/>
        <w:t>test at 12.5</w:t>
      </w:r>
      <w:r>
        <w:rPr>
          <w:spacing w:val="30"/>
        </w:rPr>
        <w:t> </w:t>
      </w:r>
      <w:r>
        <w:rPr/>
        <w:t>% w/v binder concentration,</w:t>
      </w:r>
      <w:r>
        <w:rPr>
          <w:spacing w:val="34"/>
        </w:rPr>
        <w:t> </w:t>
      </w:r>
      <w:r>
        <w:rPr/>
        <w:t>an indication</w:t>
      </w:r>
      <w:r>
        <w:rPr>
          <w:spacing w:val="30"/>
        </w:rPr>
        <w:t> </w:t>
      </w:r>
      <w:r>
        <w:rPr/>
        <w:t>of poor binding property of material.</w:t>
      </w:r>
    </w:p>
    <w:p>
      <w:pPr>
        <w:pStyle w:val="BodyText"/>
        <w:spacing w:line="491" w:lineRule="auto" w:before="228"/>
        <w:ind w:left="665" w:right="1859"/>
        <w:jc w:val="both"/>
      </w:pPr>
      <w:r>
        <w:rPr/>
        <w:t>The</w:t>
      </w:r>
      <w:r>
        <w:rPr>
          <w:spacing w:val="39"/>
        </w:rPr>
        <w:t> </w:t>
      </w:r>
      <w:r>
        <w:rPr/>
        <w:t>disintegration</w:t>
      </w:r>
      <w:r>
        <w:rPr>
          <w:spacing w:val="35"/>
        </w:rPr>
        <w:t> </w:t>
      </w:r>
      <w:r>
        <w:rPr/>
        <w:t>time</w:t>
      </w:r>
      <w:r>
        <w:rPr>
          <w:spacing w:val="39"/>
        </w:rPr>
        <w:t> </w:t>
      </w:r>
      <w:r>
        <w:rPr/>
        <w:t>(DT)</w:t>
      </w:r>
      <w:r>
        <w:rPr>
          <w:spacing w:val="34"/>
        </w:rPr>
        <w:t> </w:t>
      </w:r>
      <w:r>
        <w:rPr/>
        <w:t>increased</w:t>
      </w:r>
      <w:r>
        <w:rPr>
          <w:spacing w:val="40"/>
        </w:rPr>
        <w:t> </w:t>
      </w:r>
      <w:r>
        <w:rPr/>
        <w:t>with</w:t>
      </w:r>
      <w:r>
        <w:rPr>
          <w:spacing w:val="40"/>
        </w:rPr>
        <w:t> </w:t>
      </w:r>
      <w:r>
        <w:rPr/>
        <w:t>increase</w:t>
      </w:r>
      <w:r>
        <w:rPr>
          <w:spacing w:val="40"/>
        </w:rPr>
        <w:t> </w:t>
      </w:r>
      <w:r>
        <w:rPr/>
        <w:t>in</w:t>
      </w:r>
      <w:r>
        <w:rPr>
          <w:spacing w:val="30"/>
        </w:rPr>
        <w:t> </w:t>
      </w:r>
      <w:r>
        <w:rPr/>
        <w:t>binder</w:t>
      </w:r>
      <w:r>
        <w:rPr>
          <w:spacing w:val="40"/>
        </w:rPr>
        <w:t> </w:t>
      </w:r>
      <w:r>
        <w:rPr/>
        <w:t>concentration</w:t>
      </w:r>
      <w:r>
        <w:rPr>
          <w:spacing w:val="35"/>
        </w:rPr>
        <w:t> </w:t>
      </w:r>
      <w:r>
        <w:rPr/>
        <w:t>while</w:t>
      </w:r>
      <w:r>
        <w:rPr>
          <w:spacing w:val="40"/>
        </w:rPr>
        <w:t> </w:t>
      </w:r>
      <w:r>
        <w:rPr/>
        <w:t>as the disintegrant concentration increased, DT decreased.</w:t>
      </w:r>
    </w:p>
    <w:p>
      <w:pPr>
        <w:pStyle w:val="BodyText"/>
        <w:spacing w:line="491" w:lineRule="auto" w:before="4"/>
        <w:ind w:left="665" w:right="1857"/>
        <w:jc w:val="both"/>
      </w:pPr>
      <w:r>
        <w:rPr/>
        <w:t>The CS/FR index increased with increase in binder concentration with gelatin giving the highest</w:t>
      </w:r>
      <w:r>
        <w:rPr>
          <w:spacing w:val="40"/>
        </w:rPr>
        <w:t> </w:t>
      </w:r>
      <w:r>
        <w:rPr/>
        <w:t>CS/FR</w:t>
      </w:r>
      <w:r>
        <w:rPr>
          <w:spacing w:val="40"/>
        </w:rPr>
        <w:t> </w:t>
      </w:r>
      <w:r>
        <w:rPr/>
        <w:t>index</w:t>
      </w:r>
      <w:r>
        <w:rPr>
          <w:spacing w:val="40"/>
        </w:rPr>
        <w:t> </w:t>
      </w:r>
      <w:r>
        <w:rPr/>
        <w:t>and</w:t>
      </w:r>
      <w:r>
        <w:rPr>
          <w:spacing w:val="40"/>
        </w:rPr>
        <w:t> </w:t>
      </w:r>
      <w:r>
        <w:rPr/>
        <w:t>DS</w:t>
      </w:r>
      <w:r>
        <w:rPr>
          <w:spacing w:val="40"/>
        </w:rPr>
        <w:t> </w:t>
      </w:r>
      <w:r>
        <w:rPr/>
        <w:t>giving</w:t>
      </w:r>
      <w:r>
        <w:rPr>
          <w:spacing w:val="40"/>
        </w:rPr>
        <w:t> </w:t>
      </w:r>
      <w:r>
        <w:rPr/>
        <w:t>the</w:t>
      </w:r>
      <w:r>
        <w:rPr>
          <w:spacing w:val="40"/>
        </w:rPr>
        <w:t> </w:t>
      </w:r>
      <w:r>
        <w:rPr/>
        <w:t>least.</w:t>
      </w:r>
      <w:r>
        <w:rPr>
          <w:spacing w:val="40"/>
        </w:rPr>
        <w:t> </w:t>
      </w:r>
      <w:r>
        <w:rPr/>
        <w:t>However,</w:t>
      </w:r>
      <w:r>
        <w:rPr>
          <w:spacing w:val="40"/>
        </w:rPr>
        <w:t> </w:t>
      </w:r>
      <w:r>
        <w:rPr/>
        <w:t>the</w:t>
      </w:r>
      <w:r>
        <w:rPr>
          <w:spacing w:val="40"/>
        </w:rPr>
        <w:t> </w:t>
      </w:r>
      <w:r>
        <w:rPr/>
        <w:t>CS/FR</w:t>
      </w:r>
      <w:r>
        <w:rPr>
          <w:spacing w:val="40"/>
        </w:rPr>
        <w:t> </w:t>
      </w:r>
      <w:r>
        <w:rPr/>
        <w:t>index</w:t>
      </w:r>
      <w:r>
        <w:rPr>
          <w:spacing w:val="40"/>
        </w:rPr>
        <w:t> </w:t>
      </w:r>
      <w:r>
        <w:rPr/>
        <w:t>for disintegrant</w:t>
      </w:r>
      <w:r>
        <w:rPr>
          <w:spacing w:val="40"/>
        </w:rPr>
        <w:t> </w:t>
      </w:r>
      <w:r>
        <w:rPr/>
        <w:t>concentration</w:t>
      </w:r>
      <w:r>
        <w:rPr>
          <w:spacing w:val="40"/>
        </w:rPr>
        <w:t> </w:t>
      </w:r>
      <w:r>
        <w:rPr/>
        <w:t>decreased</w:t>
      </w:r>
      <w:r>
        <w:rPr>
          <w:spacing w:val="40"/>
        </w:rPr>
        <w:t> </w:t>
      </w:r>
      <w:r>
        <w:rPr/>
        <w:t>with</w:t>
      </w:r>
      <w:r>
        <w:rPr>
          <w:spacing w:val="38"/>
        </w:rPr>
        <w:t> </w:t>
      </w:r>
      <w:r>
        <w:rPr/>
        <w:t>increase</w:t>
      </w:r>
      <w:r>
        <w:rPr>
          <w:spacing w:val="36"/>
        </w:rPr>
        <w:t> </w:t>
      </w:r>
      <w:r>
        <w:rPr/>
        <w:t>in</w:t>
      </w:r>
      <w:r>
        <w:rPr>
          <w:spacing w:val="40"/>
        </w:rPr>
        <w:t> </w:t>
      </w:r>
      <w:r>
        <w:rPr/>
        <w:t>concentration.</w:t>
      </w:r>
      <w:r>
        <w:rPr>
          <w:spacing w:val="40"/>
        </w:rPr>
        <w:t> </w:t>
      </w:r>
      <w:r>
        <w:rPr/>
        <w:t>The</w:t>
      </w:r>
      <w:r>
        <w:rPr>
          <w:spacing w:val="40"/>
        </w:rPr>
        <w:t> </w:t>
      </w:r>
      <w:r>
        <w:rPr/>
        <w:t>CS/FR</w:t>
      </w:r>
      <w:r>
        <w:rPr>
          <w:spacing w:val="40"/>
        </w:rPr>
        <w:t> </w:t>
      </w:r>
      <w:r>
        <w:rPr/>
        <w:t>index for disintegrants used decreased in this order DS &gt; MCS &gt; MS.</w:t>
      </w:r>
    </w:p>
    <w:p>
      <w:pPr>
        <w:pStyle w:val="BodyText"/>
        <w:spacing w:line="491" w:lineRule="auto"/>
        <w:ind w:left="665" w:right="1859"/>
        <w:jc w:val="both"/>
      </w:pPr>
      <w:r>
        <w:rPr/>
        <w:t>(CS/FR)/DT is a better index of measuring the quality of tablets. It measures tablet strength and weakness and evaluates all negative effects of these parameters on the disintegration time</w:t>
      </w:r>
      <w:r>
        <w:rPr>
          <w:spacing w:val="24"/>
        </w:rPr>
        <w:t> </w:t>
      </w:r>
      <w:r>
        <w:rPr/>
        <w:t>(Ogaji and</w:t>
      </w:r>
      <w:r>
        <w:rPr>
          <w:spacing w:val="33"/>
        </w:rPr>
        <w:t> </w:t>
      </w:r>
      <w:r>
        <w:rPr/>
        <w:t>Okafor,</w:t>
      </w:r>
      <w:r>
        <w:rPr>
          <w:spacing w:val="26"/>
        </w:rPr>
        <w:t> </w:t>
      </w:r>
      <w:r>
        <w:rPr/>
        <w:t>2009).</w:t>
      </w:r>
      <w:r>
        <w:rPr>
          <w:spacing w:val="26"/>
        </w:rPr>
        <w:t> </w:t>
      </w:r>
      <w:r>
        <w:rPr/>
        <w:t>The</w:t>
      </w:r>
      <w:r>
        <w:rPr>
          <w:spacing w:val="24"/>
        </w:rPr>
        <w:t> </w:t>
      </w:r>
      <w:r>
        <w:rPr/>
        <w:t>(CS/FR)/DT decreased</w:t>
      </w:r>
      <w:r>
        <w:rPr>
          <w:spacing w:val="33"/>
        </w:rPr>
        <w:t> </w:t>
      </w:r>
      <w:r>
        <w:rPr/>
        <w:t>with</w:t>
      </w:r>
      <w:r>
        <w:rPr>
          <w:spacing w:val="27"/>
        </w:rPr>
        <w:t> </w:t>
      </w:r>
      <w:r>
        <w:rPr/>
        <w:t>increase in disintegrant concentration for all disintegrant types. Maize starch B.P. has the highest (CS/FR)/DT ratio at all concentrations. The (CS/FR)/DT ratio for DS and MCS is comparable. The (CS/FR)/DT values were generally low.</w:t>
      </w:r>
    </w:p>
    <w:p>
      <w:pPr>
        <w:spacing w:after="0" w:line="491" w:lineRule="auto"/>
        <w:jc w:val="both"/>
        <w:sectPr>
          <w:pgSz w:w="12240" w:h="15840"/>
          <w:pgMar w:header="0" w:footer="999" w:top="1260" w:bottom="1180" w:left="1720" w:right="0"/>
        </w:sectPr>
      </w:pPr>
    </w:p>
    <w:p>
      <w:pPr>
        <w:pStyle w:val="BodyText"/>
        <w:spacing w:before="220"/>
      </w:pPr>
    </w:p>
    <w:p>
      <w:pPr>
        <w:spacing w:before="1"/>
        <w:ind w:left="204" w:right="0" w:firstLine="0"/>
        <w:jc w:val="left"/>
        <w:rPr>
          <w:b/>
          <w:sz w:val="22"/>
        </w:rPr>
      </w:pPr>
      <w:r>
        <w:rPr>
          <w:b/>
          <w:sz w:val="22"/>
        </w:rPr>
        <w:t>Table</w:t>
      </w:r>
      <w:r>
        <w:rPr>
          <w:b/>
          <w:spacing w:val="5"/>
          <w:sz w:val="22"/>
        </w:rPr>
        <w:t> </w:t>
      </w:r>
      <w:r>
        <w:rPr>
          <w:b/>
          <w:sz w:val="22"/>
        </w:rPr>
        <w:t>4.8:</w:t>
      </w:r>
      <w:r>
        <w:rPr>
          <w:b/>
          <w:spacing w:val="8"/>
          <w:sz w:val="22"/>
        </w:rPr>
        <w:t> </w:t>
      </w:r>
      <w:r>
        <w:rPr>
          <w:b/>
          <w:sz w:val="22"/>
        </w:rPr>
        <w:t>Quality</w:t>
      </w:r>
      <w:r>
        <w:rPr>
          <w:b/>
          <w:spacing w:val="2"/>
          <w:sz w:val="22"/>
        </w:rPr>
        <w:t> </w:t>
      </w:r>
      <w:r>
        <w:rPr>
          <w:b/>
          <w:sz w:val="22"/>
        </w:rPr>
        <w:t>Control</w:t>
      </w:r>
      <w:r>
        <w:rPr>
          <w:b/>
          <w:spacing w:val="11"/>
          <w:sz w:val="22"/>
        </w:rPr>
        <w:t> </w:t>
      </w:r>
      <w:r>
        <w:rPr>
          <w:b/>
          <w:sz w:val="22"/>
        </w:rPr>
        <w:t>Tests</w:t>
      </w:r>
      <w:r>
        <w:rPr>
          <w:b/>
          <w:spacing w:val="9"/>
          <w:sz w:val="22"/>
        </w:rPr>
        <w:t> </w:t>
      </w:r>
      <w:r>
        <w:rPr>
          <w:b/>
          <w:sz w:val="22"/>
        </w:rPr>
        <w:t>on</w:t>
      </w:r>
      <w:r>
        <w:rPr>
          <w:b/>
          <w:spacing w:val="9"/>
          <w:sz w:val="22"/>
        </w:rPr>
        <w:t> </w:t>
      </w:r>
      <w:r>
        <w:rPr>
          <w:b/>
          <w:sz w:val="22"/>
        </w:rPr>
        <w:t>the</w:t>
      </w:r>
      <w:r>
        <w:rPr>
          <w:b/>
          <w:spacing w:val="12"/>
          <w:sz w:val="22"/>
        </w:rPr>
        <w:t> </w:t>
      </w:r>
      <w:r>
        <w:rPr>
          <w:b/>
          <w:sz w:val="22"/>
        </w:rPr>
        <w:t>Binding</w:t>
      </w:r>
      <w:r>
        <w:rPr>
          <w:b/>
          <w:spacing w:val="12"/>
          <w:sz w:val="22"/>
        </w:rPr>
        <w:t> </w:t>
      </w:r>
      <w:r>
        <w:rPr>
          <w:b/>
          <w:sz w:val="22"/>
        </w:rPr>
        <w:t>Properties</w:t>
      </w:r>
      <w:r>
        <w:rPr>
          <w:b/>
          <w:spacing w:val="9"/>
          <w:sz w:val="22"/>
        </w:rPr>
        <w:t> </w:t>
      </w:r>
      <w:r>
        <w:rPr>
          <w:b/>
          <w:sz w:val="22"/>
        </w:rPr>
        <w:t>of</w:t>
      </w:r>
      <w:r>
        <w:rPr>
          <w:b/>
          <w:spacing w:val="7"/>
          <w:sz w:val="22"/>
        </w:rPr>
        <w:t> </w:t>
      </w:r>
      <w:r>
        <w:rPr>
          <w:b/>
          <w:sz w:val="22"/>
        </w:rPr>
        <w:t>Tablets</w:t>
      </w:r>
      <w:r>
        <w:rPr>
          <w:b/>
          <w:spacing w:val="10"/>
          <w:sz w:val="22"/>
        </w:rPr>
        <w:t> </w:t>
      </w:r>
      <w:r>
        <w:rPr>
          <w:b/>
          <w:sz w:val="22"/>
        </w:rPr>
        <w:t>Produced</w:t>
      </w:r>
      <w:r>
        <w:rPr>
          <w:b/>
          <w:spacing w:val="15"/>
          <w:sz w:val="22"/>
        </w:rPr>
        <w:t> </w:t>
      </w:r>
      <w:r>
        <w:rPr>
          <w:b/>
          <w:sz w:val="22"/>
        </w:rPr>
        <w:t>by</w:t>
      </w:r>
      <w:r>
        <w:rPr>
          <w:b/>
          <w:spacing w:val="8"/>
          <w:sz w:val="22"/>
        </w:rPr>
        <w:t> </w:t>
      </w:r>
      <w:r>
        <w:rPr>
          <w:b/>
          <w:sz w:val="22"/>
        </w:rPr>
        <w:t>wet</w:t>
      </w:r>
      <w:r>
        <w:rPr>
          <w:b/>
          <w:spacing w:val="12"/>
          <w:sz w:val="22"/>
        </w:rPr>
        <w:t> </w:t>
      </w:r>
      <w:r>
        <w:rPr>
          <w:b/>
          <w:spacing w:val="-2"/>
          <w:sz w:val="22"/>
        </w:rPr>
        <w:t>granulation.</w:t>
      </w:r>
    </w:p>
    <w:p>
      <w:pPr>
        <w:pStyle w:val="BodyText"/>
        <w:spacing w:before="24"/>
        <w:rPr>
          <w:b/>
          <w:sz w:val="20"/>
        </w:rPr>
      </w:pPr>
    </w:p>
    <w:p>
      <w:pPr>
        <w:pStyle w:val="BodyText"/>
        <w:spacing w:line="20" w:lineRule="exact"/>
        <w:ind w:left="118"/>
        <w:rPr>
          <w:sz w:val="2"/>
        </w:rPr>
      </w:pPr>
      <w:r>
        <w:rPr>
          <w:sz w:val="2"/>
        </w:rPr>
        <mc:AlternateContent>
          <mc:Choice Requires="wps">
            <w:drawing>
              <wp:inline distT="0" distB="0" distL="0" distR="0">
                <wp:extent cx="7623175" cy="6350"/>
                <wp:effectExtent l="0" t="0" r="0" b="0"/>
                <wp:docPr id="69" name="Group 69"/>
                <wp:cNvGraphicFramePr>
                  <a:graphicFrameLocks/>
                </wp:cNvGraphicFramePr>
                <a:graphic>
                  <a:graphicData uri="http://schemas.microsoft.com/office/word/2010/wordprocessingGroup">
                    <wpg:wgp>
                      <wpg:cNvPr id="69" name="Group 69"/>
                      <wpg:cNvGrpSpPr/>
                      <wpg:grpSpPr>
                        <a:xfrm>
                          <a:off x="0" y="0"/>
                          <a:ext cx="7623175" cy="6350"/>
                          <a:chExt cx="7623175" cy="6350"/>
                        </a:xfrm>
                      </wpg:grpSpPr>
                      <wps:wsp>
                        <wps:cNvPr id="70" name="Graphic 70"/>
                        <wps:cNvSpPr/>
                        <wps:spPr>
                          <a:xfrm>
                            <a:off x="0" y="0"/>
                            <a:ext cx="7623175" cy="6350"/>
                          </a:xfrm>
                          <a:custGeom>
                            <a:avLst/>
                            <a:gdLst/>
                            <a:ahLst/>
                            <a:cxnLst/>
                            <a:rect l="l" t="t" r="r" b="b"/>
                            <a:pathLst>
                              <a:path w="7623175" h="6350">
                                <a:moveTo>
                                  <a:pt x="7623048" y="0"/>
                                </a:moveTo>
                                <a:lnTo>
                                  <a:pt x="7623048" y="0"/>
                                </a:lnTo>
                                <a:lnTo>
                                  <a:pt x="0" y="0"/>
                                </a:lnTo>
                                <a:lnTo>
                                  <a:pt x="0" y="6096"/>
                                </a:lnTo>
                                <a:lnTo>
                                  <a:pt x="7623048" y="6096"/>
                                </a:lnTo>
                                <a:lnTo>
                                  <a:pt x="7623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00.25pt;height:.5pt;mso-position-horizontal-relative:char;mso-position-vertical-relative:line" id="docshapegroup60" coordorigin="0,0" coordsize="12005,10">
                <v:rect style="position:absolute;left:0;top:0;width:12005;height:10" id="docshape61" filled="true" fillcolor="#000000" stroked="false">
                  <v:fill type="solid"/>
                </v:rect>
              </v:group>
            </w:pict>
          </mc:Fallback>
        </mc:AlternateContent>
      </w:r>
      <w:r>
        <w:rPr>
          <w:sz w:val="2"/>
        </w:rPr>
      </w:r>
    </w:p>
    <w:p>
      <w:pPr>
        <w:spacing w:after="0" w:line="20" w:lineRule="exact"/>
        <w:rPr>
          <w:sz w:val="2"/>
        </w:rPr>
        <w:sectPr>
          <w:footerReference w:type="default" r:id="rId17"/>
          <w:pgSz w:w="15840" w:h="12240" w:orient="landscape"/>
          <w:pgMar w:header="0" w:footer="1518" w:top="1380" w:bottom="1700" w:left="1120" w:right="1580"/>
        </w:sectPr>
      </w:pPr>
    </w:p>
    <w:p>
      <w:pPr>
        <w:spacing w:before="0"/>
        <w:ind w:left="224" w:right="0" w:firstLine="0"/>
        <w:jc w:val="left"/>
        <w:rPr>
          <w:b/>
          <w:sz w:val="22"/>
        </w:rPr>
      </w:pPr>
      <w:r>
        <w:rPr/>
        <mc:AlternateContent>
          <mc:Choice Requires="wps">
            <w:drawing>
              <wp:anchor distT="0" distB="0" distL="0" distR="0" allowOverlap="1" layoutInCell="1" locked="0" behindDoc="0" simplePos="0" relativeHeight="15751168">
                <wp:simplePos x="0" y="0"/>
                <wp:positionH relativeFrom="page">
                  <wp:posOffset>748283</wp:posOffset>
                </wp:positionH>
                <wp:positionV relativeFrom="paragraph">
                  <wp:posOffset>167490</wp:posOffset>
                </wp:positionV>
                <wp:extent cx="2032635" cy="9836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032635" cy="9836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gridCol w:w="2083"/>
                            </w:tblGrid>
                            <w:tr>
                              <w:trPr>
                                <w:trHeight w:val="513" w:hRule="atLeast"/>
                              </w:trPr>
                              <w:tc>
                                <w:tcPr>
                                  <w:tcW w:w="998" w:type="dxa"/>
                                </w:tcPr>
                                <w:p>
                                  <w:pPr>
                                    <w:pStyle w:val="TableParagraph"/>
                                    <w:spacing w:line="249" w:lineRule="exact"/>
                                    <w:ind w:left="105"/>
                                    <w:rPr>
                                      <w:b/>
                                      <w:sz w:val="22"/>
                                    </w:rPr>
                                  </w:pPr>
                                  <w:r>
                                    <w:rPr>
                                      <w:b/>
                                      <w:spacing w:val="-2"/>
                                      <w:sz w:val="22"/>
                                    </w:rPr>
                                    <w:t>Conc.</w:t>
                                  </w:r>
                                </w:p>
                                <w:p>
                                  <w:pPr>
                                    <w:pStyle w:val="TableParagraph"/>
                                    <w:spacing w:line="238" w:lineRule="exact" w:before="6"/>
                                    <w:ind w:left="105"/>
                                    <w:rPr>
                                      <w:b/>
                                      <w:sz w:val="22"/>
                                    </w:rPr>
                                  </w:pPr>
                                  <w:r>
                                    <w:rPr>
                                      <w:b/>
                                      <w:sz w:val="22"/>
                                    </w:rPr>
                                    <w:t>(%</w:t>
                                  </w:r>
                                  <w:r>
                                    <w:rPr>
                                      <w:b/>
                                      <w:spacing w:val="8"/>
                                      <w:sz w:val="22"/>
                                    </w:rPr>
                                    <w:t> </w:t>
                                  </w:r>
                                  <w:r>
                                    <w:rPr>
                                      <w:b/>
                                      <w:spacing w:val="-4"/>
                                      <w:sz w:val="22"/>
                                    </w:rPr>
                                    <w:t>w/v)</w:t>
                                  </w:r>
                                </w:p>
                              </w:tc>
                              <w:tc>
                                <w:tcPr>
                                  <w:tcW w:w="2083" w:type="dxa"/>
                                </w:tcPr>
                                <w:p>
                                  <w:pPr>
                                    <w:pStyle w:val="TableParagraph"/>
                                    <w:tabs>
                                      <w:tab w:pos="1660" w:val="left" w:leader="none"/>
                                    </w:tabs>
                                    <w:spacing w:line="249" w:lineRule="exact"/>
                                    <w:ind w:right="-15"/>
                                    <w:jc w:val="right"/>
                                    <w:rPr>
                                      <w:b/>
                                      <w:sz w:val="22"/>
                                    </w:rPr>
                                  </w:pPr>
                                  <w:r>
                                    <w:rPr>
                                      <w:b/>
                                      <w:spacing w:val="-4"/>
                                      <w:sz w:val="22"/>
                                    </w:rPr>
                                    <w:t>(mg)</w:t>
                                  </w:r>
                                  <w:r>
                                    <w:rPr>
                                      <w:b/>
                                      <w:sz w:val="22"/>
                                    </w:rPr>
                                    <w:tab/>
                                  </w:r>
                                  <w:r>
                                    <w:rPr>
                                      <w:b/>
                                      <w:spacing w:val="-10"/>
                                      <w:sz w:val="22"/>
                                    </w:rPr>
                                    <w:t>(</w:t>
                                  </w:r>
                                </w:p>
                              </w:tc>
                            </w:tr>
                            <w:tr>
                              <w:trPr>
                                <w:trHeight w:val="523" w:hRule="atLeast"/>
                              </w:trPr>
                              <w:tc>
                                <w:tcPr>
                                  <w:tcW w:w="998" w:type="dxa"/>
                                </w:tcPr>
                                <w:p>
                                  <w:pPr>
                                    <w:pStyle w:val="TableParagraph"/>
                                    <w:spacing w:line="260" w:lineRule="exact"/>
                                    <w:ind w:left="105" w:right="356"/>
                                    <w:rPr>
                                      <w:sz w:val="22"/>
                                    </w:rPr>
                                  </w:pPr>
                                  <w:r>
                                    <w:rPr>
                                      <w:sz w:val="22"/>
                                      <w:u w:val="single"/>
                                    </w:rPr>
                                    <w:t>2.5</w:t>
                                  </w:r>
                                  <w:r>
                                    <w:rPr>
                                      <w:spacing w:val="-14"/>
                                      <w:sz w:val="22"/>
                                      <w:u w:val="single"/>
                                    </w:rPr>
                                    <w:t> </w:t>
                                  </w:r>
                                  <w:r>
                                    <w:rPr>
                                      <w:sz w:val="22"/>
                                      <w:u w:val="single"/>
                                    </w:rPr>
                                    <w:t>%</w:t>
                                  </w:r>
                                  <w:r>
                                    <w:rPr>
                                      <w:sz w:val="22"/>
                                    </w:rPr>
                                    <w:t> </w:t>
                                  </w:r>
                                  <w:r>
                                    <w:rPr>
                                      <w:spacing w:val="-6"/>
                                      <w:sz w:val="22"/>
                                    </w:rPr>
                                    <w:t>DS</w:t>
                                  </w:r>
                                </w:p>
                              </w:tc>
                              <w:tc>
                                <w:tcPr>
                                  <w:tcW w:w="2083" w:type="dxa"/>
                                </w:tcPr>
                                <w:p>
                                  <w:pPr>
                                    <w:pStyle w:val="TableParagraph"/>
                                    <w:spacing w:before="12"/>
                                    <w:rPr>
                                      <w:sz w:val="22"/>
                                    </w:rPr>
                                  </w:pPr>
                                </w:p>
                                <w:p>
                                  <w:pPr>
                                    <w:pStyle w:val="TableParagraph"/>
                                    <w:tabs>
                                      <w:tab w:pos="1603" w:val="left" w:leader="none"/>
                                    </w:tabs>
                                    <w:spacing w:line="239" w:lineRule="exact"/>
                                    <w:ind w:right="-44"/>
                                    <w:jc w:val="right"/>
                                    <w:rPr>
                                      <w:sz w:val="22"/>
                                    </w:rPr>
                                  </w:pPr>
                                  <w:r>
                                    <w:rPr>
                                      <w:spacing w:val="-2"/>
                                      <w:sz w:val="22"/>
                                    </w:rPr>
                                    <w:t>705±6.42</w:t>
                                  </w:r>
                                  <w:r>
                                    <w:rPr>
                                      <w:sz w:val="22"/>
                                    </w:rPr>
                                    <w:tab/>
                                  </w:r>
                                  <w:r>
                                    <w:rPr>
                                      <w:spacing w:val="-4"/>
                                      <w:sz w:val="22"/>
                                    </w:rPr>
                                    <w:t>5.49</w:t>
                                  </w:r>
                                </w:p>
                              </w:tc>
                            </w:tr>
                            <w:tr>
                              <w:trPr>
                                <w:trHeight w:val="259" w:hRule="atLeast"/>
                              </w:trPr>
                              <w:tc>
                                <w:tcPr>
                                  <w:tcW w:w="998" w:type="dxa"/>
                                </w:tcPr>
                                <w:p>
                                  <w:pPr>
                                    <w:pStyle w:val="TableParagraph"/>
                                    <w:spacing w:line="239" w:lineRule="exact"/>
                                    <w:ind w:left="105"/>
                                    <w:rPr>
                                      <w:sz w:val="22"/>
                                    </w:rPr>
                                  </w:pPr>
                                  <w:r>
                                    <w:rPr>
                                      <w:spacing w:val="-5"/>
                                      <w:sz w:val="22"/>
                                    </w:rPr>
                                    <w:t>MCS</w:t>
                                  </w:r>
                                </w:p>
                              </w:tc>
                              <w:tc>
                                <w:tcPr>
                                  <w:tcW w:w="2083" w:type="dxa"/>
                                </w:tcPr>
                                <w:p>
                                  <w:pPr>
                                    <w:pStyle w:val="TableParagraph"/>
                                    <w:tabs>
                                      <w:tab w:pos="1603" w:val="left" w:leader="none"/>
                                    </w:tabs>
                                    <w:spacing w:line="239" w:lineRule="exact"/>
                                    <w:ind w:right="-44"/>
                                    <w:jc w:val="right"/>
                                    <w:rPr>
                                      <w:sz w:val="22"/>
                                    </w:rPr>
                                  </w:pPr>
                                  <w:r>
                                    <w:rPr>
                                      <w:spacing w:val="-2"/>
                                      <w:sz w:val="22"/>
                                    </w:rPr>
                                    <w:t>714±5.54</w:t>
                                  </w:r>
                                  <w:r>
                                    <w:rPr>
                                      <w:sz w:val="22"/>
                                    </w:rPr>
                                    <w:tab/>
                                  </w:r>
                                  <w:r>
                                    <w:rPr>
                                      <w:spacing w:val="-4"/>
                                      <w:sz w:val="22"/>
                                    </w:rPr>
                                    <w:t>5.52</w:t>
                                  </w:r>
                                </w:p>
                              </w:tc>
                            </w:tr>
                            <w:tr>
                              <w:trPr>
                                <w:trHeight w:val="254" w:hRule="atLeast"/>
                              </w:trPr>
                              <w:tc>
                                <w:tcPr>
                                  <w:tcW w:w="998" w:type="dxa"/>
                                </w:tcPr>
                                <w:p>
                                  <w:pPr>
                                    <w:pStyle w:val="TableParagraph"/>
                                    <w:spacing w:line="234" w:lineRule="exact"/>
                                    <w:ind w:left="105"/>
                                    <w:rPr>
                                      <w:sz w:val="22"/>
                                    </w:rPr>
                                  </w:pPr>
                                  <w:r>
                                    <w:rPr>
                                      <w:spacing w:val="-5"/>
                                      <w:sz w:val="22"/>
                                    </w:rPr>
                                    <w:t>GEL</w:t>
                                  </w:r>
                                </w:p>
                              </w:tc>
                              <w:tc>
                                <w:tcPr>
                                  <w:tcW w:w="2083" w:type="dxa"/>
                                </w:tcPr>
                                <w:p>
                                  <w:pPr>
                                    <w:pStyle w:val="TableParagraph"/>
                                    <w:tabs>
                                      <w:tab w:pos="1603" w:val="left" w:leader="none"/>
                                    </w:tabs>
                                    <w:spacing w:line="234" w:lineRule="exact"/>
                                    <w:ind w:right="-44"/>
                                    <w:jc w:val="right"/>
                                    <w:rPr>
                                      <w:sz w:val="22"/>
                                    </w:rPr>
                                  </w:pPr>
                                  <w:r>
                                    <w:rPr>
                                      <w:spacing w:val="-2"/>
                                      <w:sz w:val="22"/>
                                    </w:rPr>
                                    <w:t>723±4.17</w:t>
                                  </w:r>
                                  <w:r>
                                    <w:rPr>
                                      <w:sz w:val="22"/>
                                    </w:rPr>
                                    <w:tab/>
                                  </w:r>
                                  <w:r>
                                    <w:rPr>
                                      <w:spacing w:val="-4"/>
                                      <w:sz w:val="22"/>
                                    </w:rPr>
                                    <w:t>5.67</w:t>
                                  </w:r>
                                </w:p>
                              </w:tc>
                            </w:tr>
                          </w:tbl>
                          <w:p>
                            <w:pPr>
                              <w:pStyle w:val="BodyText"/>
                            </w:pPr>
                          </w:p>
                        </w:txbxContent>
                      </wps:txbx>
                      <wps:bodyPr wrap="square" lIns="0" tIns="0" rIns="0" bIns="0" rtlCol="0">
                        <a:noAutofit/>
                      </wps:bodyPr>
                    </wps:wsp>
                  </a:graphicData>
                </a:graphic>
              </wp:anchor>
            </w:drawing>
          </mc:Choice>
          <mc:Fallback>
            <w:pict>
              <v:shape style="position:absolute;margin-left:58.919998pt;margin-top:13.188242pt;width:160.050pt;height:77.45pt;mso-position-horizontal-relative:page;mso-position-vertical-relative:paragraph;z-index:15751168" type="#_x0000_t202" id="docshape6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gridCol w:w="2083"/>
                      </w:tblGrid>
                      <w:tr>
                        <w:trPr>
                          <w:trHeight w:val="513" w:hRule="atLeast"/>
                        </w:trPr>
                        <w:tc>
                          <w:tcPr>
                            <w:tcW w:w="998" w:type="dxa"/>
                          </w:tcPr>
                          <w:p>
                            <w:pPr>
                              <w:pStyle w:val="TableParagraph"/>
                              <w:spacing w:line="249" w:lineRule="exact"/>
                              <w:ind w:left="105"/>
                              <w:rPr>
                                <w:b/>
                                <w:sz w:val="22"/>
                              </w:rPr>
                            </w:pPr>
                            <w:r>
                              <w:rPr>
                                <w:b/>
                                <w:spacing w:val="-2"/>
                                <w:sz w:val="22"/>
                              </w:rPr>
                              <w:t>Conc.</w:t>
                            </w:r>
                          </w:p>
                          <w:p>
                            <w:pPr>
                              <w:pStyle w:val="TableParagraph"/>
                              <w:spacing w:line="238" w:lineRule="exact" w:before="6"/>
                              <w:ind w:left="105"/>
                              <w:rPr>
                                <w:b/>
                                <w:sz w:val="22"/>
                              </w:rPr>
                            </w:pPr>
                            <w:r>
                              <w:rPr>
                                <w:b/>
                                <w:sz w:val="22"/>
                              </w:rPr>
                              <w:t>(%</w:t>
                            </w:r>
                            <w:r>
                              <w:rPr>
                                <w:b/>
                                <w:spacing w:val="8"/>
                                <w:sz w:val="22"/>
                              </w:rPr>
                              <w:t> </w:t>
                            </w:r>
                            <w:r>
                              <w:rPr>
                                <w:b/>
                                <w:spacing w:val="-4"/>
                                <w:sz w:val="22"/>
                              </w:rPr>
                              <w:t>w/v)</w:t>
                            </w:r>
                          </w:p>
                        </w:tc>
                        <w:tc>
                          <w:tcPr>
                            <w:tcW w:w="2083" w:type="dxa"/>
                          </w:tcPr>
                          <w:p>
                            <w:pPr>
                              <w:pStyle w:val="TableParagraph"/>
                              <w:tabs>
                                <w:tab w:pos="1660" w:val="left" w:leader="none"/>
                              </w:tabs>
                              <w:spacing w:line="249" w:lineRule="exact"/>
                              <w:ind w:right="-15"/>
                              <w:jc w:val="right"/>
                              <w:rPr>
                                <w:b/>
                                <w:sz w:val="22"/>
                              </w:rPr>
                            </w:pPr>
                            <w:r>
                              <w:rPr>
                                <w:b/>
                                <w:spacing w:val="-4"/>
                                <w:sz w:val="22"/>
                              </w:rPr>
                              <w:t>(mg)</w:t>
                            </w:r>
                            <w:r>
                              <w:rPr>
                                <w:b/>
                                <w:sz w:val="22"/>
                              </w:rPr>
                              <w:tab/>
                            </w:r>
                            <w:r>
                              <w:rPr>
                                <w:b/>
                                <w:spacing w:val="-10"/>
                                <w:sz w:val="22"/>
                              </w:rPr>
                              <w:t>(</w:t>
                            </w:r>
                          </w:p>
                        </w:tc>
                      </w:tr>
                      <w:tr>
                        <w:trPr>
                          <w:trHeight w:val="523" w:hRule="atLeast"/>
                        </w:trPr>
                        <w:tc>
                          <w:tcPr>
                            <w:tcW w:w="998" w:type="dxa"/>
                          </w:tcPr>
                          <w:p>
                            <w:pPr>
                              <w:pStyle w:val="TableParagraph"/>
                              <w:spacing w:line="260" w:lineRule="exact"/>
                              <w:ind w:left="105" w:right="356"/>
                              <w:rPr>
                                <w:sz w:val="22"/>
                              </w:rPr>
                            </w:pPr>
                            <w:r>
                              <w:rPr>
                                <w:sz w:val="22"/>
                                <w:u w:val="single"/>
                              </w:rPr>
                              <w:t>2.5</w:t>
                            </w:r>
                            <w:r>
                              <w:rPr>
                                <w:spacing w:val="-14"/>
                                <w:sz w:val="22"/>
                                <w:u w:val="single"/>
                              </w:rPr>
                              <w:t> </w:t>
                            </w:r>
                            <w:r>
                              <w:rPr>
                                <w:sz w:val="22"/>
                                <w:u w:val="single"/>
                              </w:rPr>
                              <w:t>%</w:t>
                            </w:r>
                            <w:r>
                              <w:rPr>
                                <w:sz w:val="22"/>
                              </w:rPr>
                              <w:t> </w:t>
                            </w:r>
                            <w:r>
                              <w:rPr>
                                <w:spacing w:val="-6"/>
                                <w:sz w:val="22"/>
                              </w:rPr>
                              <w:t>DS</w:t>
                            </w:r>
                          </w:p>
                        </w:tc>
                        <w:tc>
                          <w:tcPr>
                            <w:tcW w:w="2083" w:type="dxa"/>
                          </w:tcPr>
                          <w:p>
                            <w:pPr>
                              <w:pStyle w:val="TableParagraph"/>
                              <w:spacing w:before="12"/>
                              <w:rPr>
                                <w:sz w:val="22"/>
                              </w:rPr>
                            </w:pPr>
                          </w:p>
                          <w:p>
                            <w:pPr>
                              <w:pStyle w:val="TableParagraph"/>
                              <w:tabs>
                                <w:tab w:pos="1603" w:val="left" w:leader="none"/>
                              </w:tabs>
                              <w:spacing w:line="239" w:lineRule="exact"/>
                              <w:ind w:right="-44"/>
                              <w:jc w:val="right"/>
                              <w:rPr>
                                <w:sz w:val="22"/>
                              </w:rPr>
                            </w:pPr>
                            <w:r>
                              <w:rPr>
                                <w:spacing w:val="-2"/>
                                <w:sz w:val="22"/>
                              </w:rPr>
                              <w:t>705±6.42</w:t>
                            </w:r>
                            <w:r>
                              <w:rPr>
                                <w:sz w:val="22"/>
                              </w:rPr>
                              <w:tab/>
                            </w:r>
                            <w:r>
                              <w:rPr>
                                <w:spacing w:val="-4"/>
                                <w:sz w:val="22"/>
                              </w:rPr>
                              <w:t>5.49</w:t>
                            </w:r>
                          </w:p>
                        </w:tc>
                      </w:tr>
                      <w:tr>
                        <w:trPr>
                          <w:trHeight w:val="259" w:hRule="atLeast"/>
                        </w:trPr>
                        <w:tc>
                          <w:tcPr>
                            <w:tcW w:w="998" w:type="dxa"/>
                          </w:tcPr>
                          <w:p>
                            <w:pPr>
                              <w:pStyle w:val="TableParagraph"/>
                              <w:spacing w:line="239" w:lineRule="exact"/>
                              <w:ind w:left="105"/>
                              <w:rPr>
                                <w:sz w:val="22"/>
                              </w:rPr>
                            </w:pPr>
                            <w:r>
                              <w:rPr>
                                <w:spacing w:val="-5"/>
                                <w:sz w:val="22"/>
                              </w:rPr>
                              <w:t>MCS</w:t>
                            </w:r>
                          </w:p>
                        </w:tc>
                        <w:tc>
                          <w:tcPr>
                            <w:tcW w:w="2083" w:type="dxa"/>
                          </w:tcPr>
                          <w:p>
                            <w:pPr>
                              <w:pStyle w:val="TableParagraph"/>
                              <w:tabs>
                                <w:tab w:pos="1603" w:val="left" w:leader="none"/>
                              </w:tabs>
                              <w:spacing w:line="239" w:lineRule="exact"/>
                              <w:ind w:right="-44"/>
                              <w:jc w:val="right"/>
                              <w:rPr>
                                <w:sz w:val="22"/>
                              </w:rPr>
                            </w:pPr>
                            <w:r>
                              <w:rPr>
                                <w:spacing w:val="-2"/>
                                <w:sz w:val="22"/>
                              </w:rPr>
                              <w:t>714±5.54</w:t>
                            </w:r>
                            <w:r>
                              <w:rPr>
                                <w:sz w:val="22"/>
                              </w:rPr>
                              <w:tab/>
                            </w:r>
                            <w:r>
                              <w:rPr>
                                <w:spacing w:val="-4"/>
                                <w:sz w:val="22"/>
                              </w:rPr>
                              <w:t>5.52</w:t>
                            </w:r>
                          </w:p>
                        </w:tc>
                      </w:tr>
                      <w:tr>
                        <w:trPr>
                          <w:trHeight w:val="254" w:hRule="atLeast"/>
                        </w:trPr>
                        <w:tc>
                          <w:tcPr>
                            <w:tcW w:w="998" w:type="dxa"/>
                          </w:tcPr>
                          <w:p>
                            <w:pPr>
                              <w:pStyle w:val="TableParagraph"/>
                              <w:spacing w:line="234" w:lineRule="exact"/>
                              <w:ind w:left="105"/>
                              <w:rPr>
                                <w:sz w:val="22"/>
                              </w:rPr>
                            </w:pPr>
                            <w:r>
                              <w:rPr>
                                <w:spacing w:val="-5"/>
                                <w:sz w:val="22"/>
                              </w:rPr>
                              <w:t>GEL</w:t>
                            </w:r>
                          </w:p>
                        </w:tc>
                        <w:tc>
                          <w:tcPr>
                            <w:tcW w:w="2083" w:type="dxa"/>
                          </w:tcPr>
                          <w:p>
                            <w:pPr>
                              <w:pStyle w:val="TableParagraph"/>
                              <w:tabs>
                                <w:tab w:pos="1603" w:val="left" w:leader="none"/>
                              </w:tabs>
                              <w:spacing w:line="234" w:lineRule="exact"/>
                              <w:ind w:right="-44"/>
                              <w:jc w:val="right"/>
                              <w:rPr>
                                <w:sz w:val="22"/>
                              </w:rPr>
                            </w:pPr>
                            <w:r>
                              <w:rPr>
                                <w:spacing w:val="-2"/>
                                <w:sz w:val="22"/>
                              </w:rPr>
                              <w:t>723±4.17</w:t>
                            </w:r>
                            <w:r>
                              <w:rPr>
                                <w:sz w:val="22"/>
                              </w:rPr>
                              <w:tab/>
                            </w:r>
                            <w:r>
                              <w:rPr>
                                <w:spacing w:val="-4"/>
                                <w:sz w:val="22"/>
                              </w:rPr>
                              <w:t>5.67</w:t>
                            </w:r>
                          </w:p>
                        </w:tc>
                      </w:tr>
                    </w:tbl>
                    <w:p>
                      <w:pPr>
                        <w:pStyle w:val="BodyText"/>
                      </w:pPr>
                    </w:p>
                  </w:txbxContent>
                </v:textbox>
                <w10:wrap type="none"/>
              </v:shape>
            </w:pict>
          </mc:Fallback>
        </mc:AlternateContent>
      </w:r>
      <w:r>
        <w:rPr>
          <w:b/>
          <w:spacing w:val="-2"/>
          <w:sz w:val="22"/>
        </w:rPr>
        <w:t>Binder</w:t>
      </w:r>
    </w:p>
    <w:p>
      <w:pPr>
        <w:spacing w:before="0"/>
        <w:ind w:left="224" w:right="0" w:firstLine="0"/>
        <w:jc w:val="left"/>
        <w:rPr>
          <w:b/>
          <w:sz w:val="22"/>
        </w:rPr>
      </w:pPr>
      <w:r>
        <w:rPr/>
        <w:br w:type="column"/>
      </w:r>
      <w:r>
        <w:rPr>
          <w:b/>
          <w:sz w:val="22"/>
        </w:rPr>
        <w:t>Mean</w:t>
      </w:r>
      <w:r>
        <w:rPr>
          <w:b/>
          <w:spacing w:val="11"/>
          <w:sz w:val="22"/>
        </w:rPr>
        <w:t> </w:t>
      </w:r>
      <w:r>
        <w:rPr>
          <w:b/>
          <w:spacing w:val="-2"/>
          <w:sz w:val="22"/>
        </w:rPr>
        <w:t>weight</w:t>
      </w:r>
    </w:p>
    <w:p>
      <w:pPr>
        <w:spacing w:before="0"/>
        <w:ind w:left="223" w:right="0" w:firstLine="0"/>
        <w:jc w:val="left"/>
        <w:rPr>
          <w:b/>
          <w:sz w:val="22"/>
        </w:rPr>
      </w:pPr>
      <w:r>
        <w:rPr/>
        <w:br w:type="column"/>
      </w:r>
      <w:r>
        <w:rPr>
          <w:b/>
          <w:spacing w:val="-2"/>
          <w:sz w:val="22"/>
        </w:rPr>
        <w:t>Thickness</w:t>
      </w:r>
    </w:p>
    <w:p>
      <w:pPr>
        <w:spacing w:before="0"/>
        <w:ind w:left="223" w:right="0" w:firstLine="0"/>
        <w:jc w:val="left"/>
        <w:rPr>
          <w:b/>
          <w:sz w:val="22"/>
        </w:rPr>
      </w:pPr>
      <w:r>
        <w:rPr/>
        <w:br w:type="column"/>
      </w:r>
      <w:r>
        <w:rPr>
          <w:b/>
          <w:spacing w:val="-2"/>
          <w:sz w:val="22"/>
        </w:rPr>
        <w:t>Diameter</w:t>
      </w:r>
    </w:p>
    <w:p>
      <w:pPr>
        <w:tabs>
          <w:tab w:pos="1572" w:val="left" w:leader="none"/>
          <w:tab w:pos="2873" w:val="left" w:leader="none"/>
          <w:tab w:pos="4078" w:val="left" w:leader="none"/>
          <w:tab w:pos="5052" w:val="left" w:leader="none"/>
        </w:tabs>
        <w:spacing w:before="0"/>
        <w:ind w:left="223" w:right="0" w:firstLine="0"/>
        <w:jc w:val="left"/>
        <w:rPr>
          <w:b/>
          <w:sz w:val="22"/>
        </w:rPr>
      </w:pPr>
      <w:r>
        <w:rPr/>
        <w:br w:type="column"/>
      </w:r>
      <w:r>
        <w:rPr>
          <w:b/>
          <w:sz w:val="22"/>
        </w:rPr>
        <w:t>CS </w:t>
      </w:r>
      <w:r>
        <w:rPr>
          <w:b/>
          <w:spacing w:val="-2"/>
          <w:sz w:val="22"/>
        </w:rPr>
        <w:t>(kgf)</w:t>
      </w:r>
      <w:r>
        <w:rPr>
          <w:b/>
          <w:sz w:val="22"/>
        </w:rPr>
        <w:tab/>
        <w:t>FR</w:t>
      </w:r>
      <w:r>
        <w:rPr>
          <w:b/>
          <w:spacing w:val="3"/>
          <w:sz w:val="22"/>
        </w:rPr>
        <w:t> </w:t>
      </w:r>
      <w:r>
        <w:rPr>
          <w:b/>
          <w:spacing w:val="-5"/>
          <w:sz w:val="22"/>
        </w:rPr>
        <w:t>(%)</w:t>
      </w:r>
      <w:r>
        <w:rPr>
          <w:b/>
          <w:sz w:val="22"/>
        </w:rPr>
        <w:tab/>
        <w:t>DT</w:t>
      </w:r>
      <w:r>
        <w:rPr>
          <w:b/>
          <w:spacing w:val="6"/>
          <w:sz w:val="22"/>
        </w:rPr>
        <w:t> </w:t>
      </w:r>
      <w:r>
        <w:rPr>
          <w:b/>
          <w:spacing w:val="-4"/>
          <w:sz w:val="22"/>
        </w:rPr>
        <w:t>(Min)</w:t>
      </w:r>
      <w:r>
        <w:rPr>
          <w:b/>
          <w:sz w:val="22"/>
        </w:rPr>
        <w:tab/>
      </w:r>
      <w:r>
        <w:rPr>
          <w:b/>
          <w:spacing w:val="-4"/>
          <w:sz w:val="22"/>
        </w:rPr>
        <w:t>CS/FR</w:t>
      </w:r>
      <w:r>
        <w:rPr>
          <w:b/>
          <w:sz w:val="22"/>
        </w:rPr>
        <w:tab/>
      </w:r>
      <w:r>
        <w:rPr>
          <w:b/>
          <w:spacing w:val="-2"/>
          <w:sz w:val="22"/>
        </w:rPr>
        <w:t>(CS/FR)/DT</w:t>
      </w:r>
    </w:p>
    <w:p>
      <w:pPr>
        <w:spacing w:after="0"/>
        <w:jc w:val="left"/>
        <w:rPr>
          <w:sz w:val="22"/>
        </w:rPr>
        <w:sectPr>
          <w:type w:val="continuous"/>
          <w:pgSz w:w="15840" w:h="12240" w:orient="landscape"/>
          <w:pgMar w:header="0" w:footer="1518" w:top="1780" w:bottom="1180" w:left="1120" w:right="1580"/>
          <w:cols w:num="5" w:equalWidth="0">
            <w:col w:w="931" w:space="86"/>
            <w:col w:w="1511" w:space="156"/>
            <w:col w:w="1227" w:space="184"/>
            <w:col w:w="1161" w:space="192"/>
            <w:col w:w="7692"/>
          </w:cols>
        </w:sect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
        <w:gridCol w:w="1417"/>
        <w:gridCol w:w="1507"/>
        <w:gridCol w:w="1409"/>
        <w:gridCol w:w="1354"/>
        <w:gridCol w:w="1385"/>
        <w:gridCol w:w="1397"/>
        <w:gridCol w:w="946"/>
        <w:gridCol w:w="1655"/>
      </w:tblGrid>
      <w:tr>
        <w:trPr>
          <w:trHeight w:val="254" w:hRule="atLeast"/>
        </w:trPr>
        <w:tc>
          <w:tcPr>
            <w:tcW w:w="5279" w:type="dxa"/>
            <w:gridSpan w:val="4"/>
          </w:tcPr>
          <w:p>
            <w:pPr>
              <w:pStyle w:val="TableParagraph"/>
              <w:tabs>
                <w:tab w:pos="4377" w:val="left" w:leader="none"/>
              </w:tabs>
              <w:spacing w:line="235" w:lineRule="exact"/>
              <w:ind w:left="3100"/>
              <w:rPr>
                <w:b/>
                <w:sz w:val="22"/>
              </w:rPr>
            </w:pPr>
            <w:r>
              <w:rPr>
                <w:b/>
                <w:spacing w:val="-5"/>
                <w:sz w:val="22"/>
              </w:rPr>
              <w:t>mm)</w:t>
            </w:r>
            <w:r>
              <w:rPr>
                <w:b/>
                <w:sz w:val="22"/>
              </w:rPr>
              <w:tab/>
            </w:r>
            <w:r>
              <w:rPr>
                <w:b/>
                <w:spacing w:val="-4"/>
                <w:sz w:val="22"/>
              </w:rPr>
              <w:t>(mm)</w:t>
            </w:r>
          </w:p>
        </w:tc>
        <w:tc>
          <w:tcPr>
            <w:tcW w:w="6737" w:type="dxa"/>
            <w:gridSpan w:val="5"/>
            <w:vMerge w:val="restart"/>
          </w:tcPr>
          <w:p>
            <w:pPr>
              <w:pStyle w:val="TableParagraph"/>
              <w:rPr>
                <w:sz w:val="22"/>
              </w:rPr>
            </w:pPr>
          </w:p>
        </w:tc>
      </w:tr>
      <w:tr>
        <w:trPr>
          <w:trHeight w:val="261" w:hRule="atLeast"/>
        </w:trPr>
        <w:tc>
          <w:tcPr>
            <w:tcW w:w="5279" w:type="dxa"/>
            <w:gridSpan w:val="4"/>
          </w:tcPr>
          <w:p>
            <w:pPr>
              <w:pStyle w:val="TableParagraph"/>
              <w:rPr>
                <w:sz w:val="18"/>
              </w:rPr>
            </w:pPr>
          </w:p>
        </w:tc>
        <w:tc>
          <w:tcPr>
            <w:tcW w:w="6737" w:type="dxa"/>
            <w:gridSpan w:val="5"/>
            <w:vMerge/>
            <w:tcBorders>
              <w:top w:val="nil"/>
            </w:tcBorders>
          </w:tcPr>
          <w:p>
            <w:pPr>
              <w:rPr>
                <w:sz w:val="2"/>
                <w:szCs w:val="2"/>
              </w:rPr>
            </w:pPr>
          </w:p>
        </w:tc>
      </w:tr>
      <w:tr>
        <w:trPr>
          <w:trHeight w:val="261" w:hRule="atLeast"/>
        </w:trPr>
        <w:tc>
          <w:tcPr>
            <w:tcW w:w="5279" w:type="dxa"/>
            <w:gridSpan w:val="4"/>
          </w:tcPr>
          <w:p>
            <w:pPr>
              <w:pStyle w:val="TableParagraph"/>
              <w:rPr>
                <w:sz w:val="18"/>
              </w:rPr>
            </w:pPr>
          </w:p>
        </w:tc>
        <w:tc>
          <w:tcPr>
            <w:tcW w:w="6737" w:type="dxa"/>
            <w:gridSpan w:val="5"/>
            <w:vMerge/>
            <w:tcBorders>
              <w:top w:val="nil"/>
            </w:tcBorders>
          </w:tcPr>
          <w:p>
            <w:pPr>
              <w:rPr>
                <w:sz w:val="2"/>
                <w:szCs w:val="2"/>
              </w:rPr>
            </w:pPr>
          </w:p>
        </w:tc>
      </w:tr>
      <w:tr>
        <w:trPr>
          <w:trHeight w:val="259" w:hRule="atLeast"/>
        </w:trPr>
        <w:tc>
          <w:tcPr>
            <w:tcW w:w="5279" w:type="dxa"/>
            <w:gridSpan w:val="4"/>
          </w:tcPr>
          <w:p>
            <w:pPr>
              <w:pStyle w:val="TableParagraph"/>
              <w:tabs>
                <w:tab w:pos="4089" w:val="left" w:leader="none"/>
              </w:tabs>
              <w:spacing w:line="239" w:lineRule="exact"/>
              <w:ind w:left="3134"/>
              <w:rPr>
                <w:sz w:val="22"/>
              </w:rPr>
            </w:pPr>
            <w:r>
              <w:rPr>
                <w:spacing w:val="-2"/>
                <w:sz w:val="22"/>
              </w:rPr>
              <w:t>±0.07</w:t>
            </w:r>
            <w:r>
              <w:rPr>
                <w:sz w:val="22"/>
              </w:rPr>
              <w:tab/>
            </w:r>
            <w:r>
              <w:rPr>
                <w:spacing w:val="-2"/>
                <w:sz w:val="22"/>
              </w:rPr>
              <w:t>12.10±0.00</w:t>
            </w:r>
          </w:p>
        </w:tc>
        <w:tc>
          <w:tcPr>
            <w:tcW w:w="1354" w:type="dxa"/>
          </w:tcPr>
          <w:p>
            <w:pPr>
              <w:pStyle w:val="TableParagraph"/>
              <w:spacing w:line="239" w:lineRule="exact"/>
              <w:ind w:right="109"/>
              <w:jc w:val="center"/>
              <w:rPr>
                <w:sz w:val="22"/>
              </w:rPr>
            </w:pPr>
            <w:r>
              <w:rPr>
                <w:spacing w:val="-2"/>
                <w:sz w:val="22"/>
              </w:rPr>
              <w:t>9.77±0.15</w:t>
            </w:r>
          </w:p>
        </w:tc>
        <w:tc>
          <w:tcPr>
            <w:tcW w:w="1385" w:type="dxa"/>
          </w:tcPr>
          <w:p>
            <w:pPr>
              <w:pStyle w:val="TableParagraph"/>
              <w:spacing w:line="239" w:lineRule="exact"/>
              <w:ind w:right="218"/>
              <w:jc w:val="right"/>
              <w:rPr>
                <w:sz w:val="22"/>
              </w:rPr>
            </w:pPr>
            <w:r>
              <w:rPr>
                <w:spacing w:val="-2"/>
                <w:sz w:val="22"/>
              </w:rPr>
              <w:t>1.44±0.01</w:t>
            </w:r>
          </w:p>
        </w:tc>
        <w:tc>
          <w:tcPr>
            <w:tcW w:w="1397" w:type="dxa"/>
          </w:tcPr>
          <w:p>
            <w:pPr>
              <w:pStyle w:val="TableParagraph"/>
              <w:spacing w:line="239" w:lineRule="exact"/>
              <w:ind w:right="184"/>
              <w:jc w:val="right"/>
              <w:rPr>
                <w:sz w:val="22"/>
              </w:rPr>
            </w:pPr>
            <w:r>
              <w:rPr>
                <w:spacing w:val="-2"/>
                <w:sz w:val="22"/>
              </w:rPr>
              <w:t>0.19±0.01</w:t>
            </w:r>
          </w:p>
        </w:tc>
        <w:tc>
          <w:tcPr>
            <w:tcW w:w="946" w:type="dxa"/>
          </w:tcPr>
          <w:p>
            <w:pPr>
              <w:pStyle w:val="TableParagraph"/>
              <w:spacing w:line="239" w:lineRule="exact"/>
              <w:ind w:left="151"/>
              <w:rPr>
                <w:sz w:val="22"/>
              </w:rPr>
            </w:pPr>
            <w:r>
              <w:rPr>
                <w:spacing w:val="-4"/>
                <w:sz w:val="22"/>
              </w:rPr>
              <w:t>6.78</w:t>
            </w:r>
          </w:p>
        </w:tc>
        <w:tc>
          <w:tcPr>
            <w:tcW w:w="1655" w:type="dxa"/>
          </w:tcPr>
          <w:p>
            <w:pPr>
              <w:pStyle w:val="TableParagraph"/>
              <w:spacing w:line="239" w:lineRule="exact"/>
              <w:ind w:left="179"/>
              <w:rPr>
                <w:sz w:val="22"/>
              </w:rPr>
            </w:pPr>
            <w:r>
              <w:rPr>
                <w:spacing w:val="-2"/>
                <w:sz w:val="22"/>
              </w:rPr>
              <w:t>33.68</w:t>
            </w:r>
          </w:p>
        </w:tc>
      </w:tr>
      <w:tr>
        <w:trPr>
          <w:trHeight w:val="259" w:hRule="atLeast"/>
        </w:trPr>
        <w:tc>
          <w:tcPr>
            <w:tcW w:w="5279" w:type="dxa"/>
            <w:gridSpan w:val="4"/>
          </w:tcPr>
          <w:p>
            <w:pPr>
              <w:pStyle w:val="TableParagraph"/>
              <w:tabs>
                <w:tab w:pos="4089" w:val="left" w:leader="none"/>
              </w:tabs>
              <w:spacing w:line="239" w:lineRule="exact"/>
              <w:ind w:left="3134"/>
              <w:rPr>
                <w:sz w:val="22"/>
              </w:rPr>
            </w:pPr>
            <w:r>
              <w:rPr>
                <w:spacing w:val="-2"/>
                <w:sz w:val="22"/>
              </w:rPr>
              <w:t>±0.09</w:t>
            </w:r>
            <w:r>
              <w:rPr>
                <w:sz w:val="22"/>
              </w:rPr>
              <w:tab/>
            </w:r>
            <w:r>
              <w:rPr>
                <w:spacing w:val="-2"/>
                <w:sz w:val="22"/>
              </w:rPr>
              <w:t>12.10±0.01</w:t>
            </w:r>
          </w:p>
        </w:tc>
        <w:tc>
          <w:tcPr>
            <w:tcW w:w="1354" w:type="dxa"/>
          </w:tcPr>
          <w:p>
            <w:pPr>
              <w:pStyle w:val="TableParagraph"/>
              <w:spacing w:line="239" w:lineRule="exact"/>
              <w:ind w:left="109" w:right="109"/>
              <w:jc w:val="center"/>
              <w:rPr>
                <w:sz w:val="22"/>
              </w:rPr>
            </w:pPr>
            <w:r>
              <w:rPr>
                <w:spacing w:val="-2"/>
                <w:sz w:val="22"/>
              </w:rPr>
              <w:t>11.17±0.17</w:t>
            </w:r>
          </w:p>
        </w:tc>
        <w:tc>
          <w:tcPr>
            <w:tcW w:w="1385" w:type="dxa"/>
          </w:tcPr>
          <w:p>
            <w:pPr>
              <w:pStyle w:val="TableParagraph"/>
              <w:spacing w:line="239" w:lineRule="exact"/>
              <w:ind w:right="218"/>
              <w:jc w:val="right"/>
              <w:rPr>
                <w:sz w:val="22"/>
              </w:rPr>
            </w:pPr>
            <w:r>
              <w:rPr>
                <w:spacing w:val="-2"/>
                <w:sz w:val="22"/>
              </w:rPr>
              <w:t>1.39±0.01</w:t>
            </w:r>
          </w:p>
        </w:tc>
        <w:tc>
          <w:tcPr>
            <w:tcW w:w="1397" w:type="dxa"/>
          </w:tcPr>
          <w:p>
            <w:pPr>
              <w:pStyle w:val="TableParagraph"/>
              <w:spacing w:line="239" w:lineRule="exact"/>
              <w:ind w:right="184"/>
              <w:jc w:val="right"/>
              <w:rPr>
                <w:sz w:val="22"/>
              </w:rPr>
            </w:pPr>
            <w:r>
              <w:rPr>
                <w:spacing w:val="-2"/>
                <w:sz w:val="22"/>
              </w:rPr>
              <w:t>0.55±0.02</w:t>
            </w:r>
          </w:p>
        </w:tc>
        <w:tc>
          <w:tcPr>
            <w:tcW w:w="946" w:type="dxa"/>
          </w:tcPr>
          <w:p>
            <w:pPr>
              <w:pStyle w:val="TableParagraph"/>
              <w:spacing w:line="239" w:lineRule="exact"/>
              <w:ind w:left="151"/>
              <w:rPr>
                <w:sz w:val="22"/>
              </w:rPr>
            </w:pPr>
            <w:r>
              <w:rPr>
                <w:spacing w:val="-4"/>
                <w:sz w:val="22"/>
              </w:rPr>
              <w:t>8.04</w:t>
            </w:r>
          </w:p>
        </w:tc>
        <w:tc>
          <w:tcPr>
            <w:tcW w:w="1655" w:type="dxa"/>
          </w:tcPr>
          <w:p>
            <w:pPr>
              <w:pStyle w:val="TableParagraph"/>
              <w:spacing w:line="239" w:lineRule="exact"/>
              <w:ind w:left="179"/>
              <w:rPr>
                <w:sz w:val="22"/>
              </w:rPr>
            </w:pPr>
            <w:r>
              <w:rPr>
                <w:spacing w:val="-2"/>
                <w:sz w:val="22"/>
              </w:rPr>
              <w:t>14.62</w:t>
            </w:r>
          </w:p>
        </w:tc>
      </w:tr>
      <w:tr>
        <w:trPr>
          <w:trHeight w:val="254" w:hRule="atLeast"/>
        </w:trPr>
        <w:tc>
          <w:tcPr>
            <w:tcW w:w="5279" w:type="dxa"/>
            <w:gridSpan w:val="4"/>
          </w:tcPr>
          <w:p>
            <w:pPr>
              <w:pStyle w:val="TableParagraph"/>
              <w:tabs>
                <w:tab w:pos="4089" w:val="left" w:leader="none"/>
              </w:tabs>
              <w:spacing w:line="234" w:lineRule="exact"/>
              <w:ind w:left="3134"/>
              <w:rPr>
                <w:sz w:val="22"/>
              </w:rPr>
            </w:pPr>
            <w:r>
              <w:rPr>
                <w:spacing w:val="-2"/>
                <w:sz w:val="22"/>
              </w:rPr>
              <w:t>±0.04</w:t>
            </w:r>
            <w:r>
              <w:rPr>
                <w:sz w:val="22"/>
              </w:rPr>
              <w:tab/>
            </w:r>
            <w:r>
              <w:rPr>
                <w:spacing w:val="-2"/>
                <w:sz w:val="22"/>
              </w:rPr>
              <w:t>12.09±0.00</w:t>
            </w:r>
          </w:p>
        </w:tc>
        <w:tc>
          <w:tcPr>
            <w:tcW w:w="1354" w:type="dxa"/>
          </w:tcPr>
          <w:p>
            <w:pPr>
              <w:pStyle w:val="TableParagraph"/>
              <w:spacing w:line="234" w:lineRule="exact"/>
              <w:ind w:left="109" w:right="109"/>
              <w:jc w:val="center"/>
              <w:rPr>
                <w:sz w:val="22"/>
              </w:rPr>
            </w:pPr>
            <w:r>
              <w:rPr>
                <w:spacing w:val="-2"/>
                <w:sz w:val="22"/>
              </w:rPr>
              <w:t>10.17±0.17</w:t>
            </w:r>
          </w:p>
        </w:tc>
        <w:tc>
          <w:tcPr>
            <w:tcW w:w="1385" w:type="dxa"/>
          </w:tcPr>
          <w:p>
            <w:pPr>
              <w:pStyle w:val="TableParagraph"/>
              <w:spacing w:line="234" w:lineRule="exact"/>
              <w:ind w:right="218"/>
              <w:jc w:val="right"/>
              <w:rPr>
                <w:sz w:val="22"/>
              </w:rPr>
            </w:pPr>
            <w:r>
              <w:rPr>
                <w:spacing w:val="-2"/>
                <w:sz w:val="22"/>
              </w:rPr>
              <w:t>1.61±0.00</w:t>
            </w:r>
          </w:p>
        </w:tc>
        <w:tc>
          <w:tcPr>
            <w:tcW w:w="1397" w:type="dxa"/>
          </w:tcPr>
          <w:p>
            <w:pPr>
              <w:pStyle w:val="TableParagraph"/>
              <w:spacing w:line="234" w:lineRule="exact"/>
              <w:ind w:right="184"/>
              <w:jc w:val="right"/>
              <w:rPr>
                <w:sz w:val="22"/>
              </w:rPr>
            </w:pPr>
            <w:r>
              <w:rPr>
                <w:spacing w:val="-2"/>
                <w:sz w:val="22"/>
              </w:rPr>
              <w:t>2.42±0.02</w:t>
            </w:r>
          </w:p>
        </w:tc>
        <w:tc>
          <w:tcPr>
            <w:tcW w:w="946" w:type="dxa"/>
          </w:tcPr>
          <w:p>
            <w:pPr>
              <w:pStyle w:val="TableParagraph"/>
              <w:spacing w:line="234" w:lineRule="exact"/>
              <w:ind w:left="151"/>
              <w:rPr>
                <w:sz w:val="22"/>
              </w:rPr>
            </w:pPr>
            <w:r>
              <w:rPr>
                <w:spacing w:val="-4"/>
                <w:sz w:val="22"/>
              </w:rPr>
              <w:t>6.32</w:t>
            </w:r>
          </w:p>
        </w:tc>
        <w:tc>
          <w:tcPr>
            <w:tcW w:w="1655" w:type="dxa"/>
          </w:tcPr>
          <w:p>
            <w:pPr>
              <w:pStyle w:val="TableParagraph"/>
              <w:spacing w:line="234" w:lineRule="exact"/>
              <w:ind w:left="179"/>
              <w:rPr>
                <w:sz w:val="22"/>
              </w:rPr>
            </w:pPr>
            <w:r>
              <w:rPr>
                <w:spacing w:val="-4"/>
                <w:sz w:val="22"/>
              </w:rPr>
              <w:t>2.61</w:t>
            </w:r>
          </w:p>
        </w:tc>
      </w:tr>
      <w:tr>
        <w:trPr>
          <w:trHeight w:val="523" w:hRule="atLeast"/>
        </w:trPr>
        <w:tc>
          <w:tcPr>
            <w:tcW w:w="946" w:type="dxa"/>
          </w:tcPr>
          <w:p>
            <w:pPr>
              <w:pStyle w:val="TableParagraph"/>
              <w:spacing w:before="11"/>
              <w:rPr>
                <w:b/>
                <w:sz w:val="22"/>
              </w:rPr>
            </w:pPr>
          </w:p>
          <w:p>
            <w:pPr>
              <w:pStyle w:val="TableParagraph"/>
              <w:spacing w:line="239" w:lineRule="exact"/>
              <w:ind w:left="115"/>
              <w:rPr>
                <w:sz w:val="22"/>
              </w:rPr>
            </w:pPr>
            <w:r>
              <w:rPr/>
              <mc:AlternateContent>
                <mc:Choice Requires="wps">
                  <w:drawing>
                    <wp:anchor distT="0" distB="0" distL="0" distR="0" allowOverlap="1" layoutInCell="1" locked="0" behindDoc="1" simplePos="0" relativeHeight="482001408">
                      <wp:simplePos x="0" y="0"/>
                      <wp:positionH relativeFrom="column">
                        <wp:posOffset>6095</wp:posOffset>
                      </wp:positionH>
                      <wp:positionV relativeFrom="paragraph">
                        <wp:posOffset>-829696</wp:posOffset>
                      </wp:positionV>
                      <wp:extent cx="7717790" cy="635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717790" cy="6350"/>
                                <a:chExt cx="7717790" cy="6350"/>
                              </a:xfrm>
                            </wpg:grpSpPr>
                            <wps:wsp>
                              <wps:cNvPr id="73" name="Graphic 73"/>
                              <wps:cNvSpPr/>
                              <wps:spPr>
                                <a:xfrm>
                                  <a:off x="0" y="0"/>
                                  <a:ext cx="7717790" cy="6350"/>
                                </a:xfrm>
                                <a:custGeom>
                                  <a:avLst/>
                                  <a:gdLst/>
                                  <a:ahLst/>
                                  <a:cxnLst/>
                                  <a:rect l="l" t="t" r="r" b="b"/>
                                  <a:pathLst>
                                    <a:path w="7717790" h="6350">
                                      <a:moveTo>
                                        <a:pt x="7717536" y="0"/>
                                      </a:moveTo>
                                      <a:lnTo>
                                        <a:pt x="7717536" y="0"/>
                                      </a:lnTo>
                                      <a:lnTo>
                                        <a:pt x="0" y="0"/>
                                      </a:lnTo>
                                      <a:lnTo>
                                        <a:pt x="0" y="6096"/>
                                      </a:lnTo>
                                      <a:lnTo>
                                        <a:pt x="7717536" y="6096"/>
                                      </a:lnTo>
                                      <a:lnTo>
                                        <a:pt x="7717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pt;margin-top:-65.330467pt;width:607.7pt;height:.5pt;mso-position-horizontal-relative:column;mso-position-vertical-relative:paragraph;z-index:-21315072" id="docshapegroup63" coordorigin="10,-1307" coordsize="12154,10">
                      <v:rect style="position:absolute;left:9;top:-1307;width:12154;height:10" id="docshape64" filled="true" fillcolor="#000000" stroked="false">
                        <v:fill type="solid"/>
                      </v:rect>
                      <w10:wrap type="none"/>
                    </v:group>
                  </w:pict>
                </mc:Fallback>
              </mc:AlternateContent>
            </w:r>
            <w:r>
              <w:rPr>
                <w:sz w:val="22"/>
                <w:u w:val="single"/>
              </w:rPr>
              <w:t>5.0</w:t>
            </w:r>
            <w:r>
              <w:rPr>
                <w:spacing w:val="12"/>
                <w:sz w:val="22"/>
                <w:u w:val="single"/>
              </w:rPr>
              <w:t> </w:t>
            </w:r>
            <w:r>
              <w:rPr>
                <w:spacing w:val="-10"/>
                <w:sz w:val="22"/>
                <w:u w:val="single"/>
              </w:rPr>
              <w:t>%</w:t>
            </w:r>
          </w:p>
        </w:tc>
        <w:tc>
          <w:tcPr>
            <w:tcW w:w="1417" w:type="dxa"/>
          </w:tcPr>
          <w:p>
            <w:pPr>
              <w:pStyle w:val="TableParagraph"/>
              <w:rPr>
                <w:sz w:val="22"/>
              </w:rPr>
            </w:pPr>
          </w:p>
        </w:tc>
        <w:tc>
          <w:tcPr>
            <w:tcW w:w="1507" w:type="dxa"/>
          </w:tcPr>
          <w:p>
            <w:pPr>
              <w:pStyle w:val="TableParagraph"/>
              <w:rPr>
                <w:sz w:val="22"/>
              </w:rPr>
            </w:pPr>
          </w:p>
        </w:tc>
        <w:tc>
          <w:tcPr>
            <w:tcW w:w="1409" w:type="dxa"/>
          </w:tcPr>
          <w:p>
            <w:pPr>
              <w:pStyle w:val="TableParagraph"/>
              <w:rPr>
                <w:sz w:val="22"/>
              </w:rPr>
            </w:pPr>
          </w:p>
        </w:tc>
        <w:tc>
          <w:tcPr>
            <w:tcW w:w="1354" w:type="dxa"/>
          </w:tcPr>
          <w:p>
            <w:pPr>
              <w:pStyle w:val="TableParagraph"/>
              <w:rPr>
                <w:sz w:val="22"/>
              </w:rPr>
            </w:pPr>
          </w:p>
        </w:tc>
        <w:tc>
          <w:tcPr>
            <w:tcW w:w="1385" w:type="dxa"/>
          </w:tcPr>
          <w:p>
            <w:pPr>
              <w:pStyle w:val="TableParagraph"/>
              <w:rPr>
                <w:sz w:val="22"/>
              </w:rPr>
            </w:pPr>
          </w:p>
        </w:tc>
        <w:tc>
          <w:tcPr>
            <w:tcW w:w="1397" w:type="dxa"/>
          </w:tcPr>
          <w:p>
            <w:pPr>
              <w:pStyle w:val="TableParagraph"/>
              <w:rPr>
                <w:sz w:val="22"/>
              </w:rPr>
            </w:pPr>
          </w:p>
        </w:tc>
        <w:tc>
          <w:tcPr>
            <w:tcW w:w="946" w:type="dxa"/>
          </w:tcPr>
          <w:p>
            <w:pPr>
              <w:pStyle w:val="TableParagraph"/>
              <w:rPr>
                <w:sz w:val="22"/>
              </w:rPr>
            </w:pPr>
          </w:p>
        </w:tc>
        <w:tc>
          <w:tcPr>
            <w:tcW w:w="1655" w:type="dxa"/>
          </w:tcPr>
          <w:p>
            <w:pPr>
              <w:pStyle w:val="TableParagraph"/>
              <w:rPr>
                <w:sz w:val="22"/>
              </w:rPr>
            </w:pPr>
          </w:p>
        </w:tc>
      </w:tr>
      <w:tr>
        <w:trPr>
          <w:trHeight w:val="259" w:hRule="atLeast"/>
        </w:trPr>
        <w:tc>
          <w:tcPr>
            <w:tcW w:w="946" w:type="dxa"/>
          </w:tcPr>
          <w:p>
            <w:pPr>
              <w:pStyle w:val="TableParagraph"/>
              <w:spacing w:line="239" w:lineRule="exact"/>
              <w:ind w:left="115"/>
              <w:rPr>
                <w:sz w:val="22"/>
              </w:rPr>
            </w:pPr>
            <w:r>
              <w:rPr>
                <w:spacing w:val="-5"/>
                <w:sz w:val="22"/>
              </w:rPr>
              <w:t>DS</w:t>
            </w:r>
          </w:p>
        </w:tc>
        <w:tc>
          <w:tcPr>
            <w:tcW w:w="1417" w:type="dxa"/>
          </w:tcPr>
          <w:p>
            <w:pPr>
              <w:pStyle w:val="TableParagraph"/>
              <w:spacing w:line="239" w:lineRule="exact"/>
              <w:ind w:left="186"/>
              <w:rPr>
                <w:sz w:val="22"/>
              </w:rPr>
            </w:pPr>
            <w:r>
              <w:rPr>
                <w:spacing w:val="-2"/>
                <w:sz w:val="22"/>
              </w:rPr>
              <w:t>693±5.54</w:t>
            </w:r>
          </w:p>
        </w:tc>
        <w:tc>
          <w:tcPr>
            <w:tcW w:w="1507" w:type="dxa"/>
          </w:tcPr>
          <w:p>
            <w:pPr>
              <w:pStyle w:val="TableParagraph"/>
              <w:spacing w:line="239" w:lineRule="exact"/>
              <w:ind w:right="217"/>
              <w:jc w:val="right"/>
              <w:rPr>
                <w:sz w:val="22"/>
              </w:rPr>
            </w:pPr>
            <w:r>
              <w:rPr>
                <w:spacing w:val="-2"/>
                <w:sz w:val="22"/>
              </w:rPr>
              <w:t>5.33±0.03</w:t>
            </w:r>
          </w:p>
        </w:tc>
        <w:tc>
          <w:tcPr>
            <w:tcW w:w="1409" w:type="dxa"/>
          </w:tcPr>
          <w:p>
            <w:pPr>
              <w:pStyle w:val="TableParagraph"/>
              <w:spacing w:line="239" w:lineRule="exact"/>
              <w:ind w:left="55"/>
              <w:jc w:val="center"/>
              <w:rPr>
                <w:sz w:val="22"/>
              </w:rPr>
            </w:pPr>
            <w:r>
              <w:rPr>
                <w:spacing w:val="-2"/>
                <w:sz w:val="22"/>
              </w:rPr>
              <w:t>12.09±0.00</w:t>
            </w:r>
          </w:p>
        </w:tc>
        <w:tc>
          <w:tcPr>
            <w:tcW w:w="1354" w:type="dxa"/>
          </w:tcPr>
          <w:p>
            <w:pPr>
              <w:pStyle w:val="TableParagraph"/>
              <w:spacing w:line="239" w:lineRule="exact"/>
              <w:ind w:left="109" w:right="109"/>
              <w:jc w:val="center"/>
              <w:rPr>
                <w:sz w:val="22"/>
              </w:rPr>
            </w:pPr>
            <w:r>
              <w:rPr>
                <w:spacing w:val="-2"/>
                <w:sz w:val="22"/>
              </w:rPr>
              <w:t>10.17±0.33</w:t>
            </w:r>
          </w:p>
        </w:tc>
        <w:tc>
          <w:tcPr>
            <w:tcW w:w="1385" w:type="dxa"/>
          </w:tcPr>
          <w:p>
            <w:pPr>
              <w:pStyle w:val="TableParagraph"/>
              <w:spacing w:line="239" w:lineRule="exact"/>
              <w:ind w:left="163"/>
              <w:rPr>
                <w:sz w:val="22"/>
              </w:rPr>
            </w:pPr>
            <w:r>
              <w:rPr>
                <w:spacing w:val="-2"/>
                <w:sz w:val="22"/>
              </w:rPr>
              <w:t>1.43±0.01</w:t>
            </w:r>
          </w:p>
        </w:tc>
        <w:tc>
          <w:tcPr>
            <w:tcW w:w="1397" w:type="dxa"/>
          </w:tcPr>
          <w:p>
            <w:pPr>
              <w:pStyle w:val="TableParagraph"/>
              <w:spacing w:line="239" w:lineRule="exact"/>
              <w:ind w:left="218"/>
              <w:rPr>
                <w:sz w:val="22"/>
              </w:rPr>
            </w:pPr>
            <w:r>
              <w:rPr>
                <w:spacing w:val="-2"/>
                <w:sz w:val="22"/>
              </w:rPr>
              <w:t>0.27±0.01</w:t>
            </w:r>
          </w:p>
        </w:tc>
        <w:tc>
          <w:tcPr>
            <w:tcW w:w="946" w:type="dxa"/>
          </w:tcPr>
          <w:p>
            <w:pPr>
              <w:pStyle w:val="TableParagraph"/>
              <w:spacing w:line="239" w:lineRule="exact"/>
              <w:ind w:left="257"/>
              <w:rPr>
                <w:sz w:val="22"/>
              </w:rPr>
            </w:pPr>
            <w:r>
              <w:rPr>
                <w:spacing w:val="-4"/>
                <w:sz w:val="22"/>
              </w:rPr>
              <w:t>7.11</w:t>
            </w:r>
          </w:p>
        </w:tc>
        <w:tc>
          <w:tcPr>
            <w:tcW w:w="1655" w:type="dxa"/>
          </w:tcPr>
          <w:p>
            <w:pPr>
              <w:pStyle w:val="TableParagraph"/>
              <w:spacing w:line="239" w:lineRule="exact"/>
              <w:ind w:left="247"/>
              <w:rPr>
                <w:sz w:val="22"/>
              </w:rPr>
            </w:pPr>
            <w:r>
              <w:rPr>
                <w:spacing w:val="-2"/>
                <w:sz w:val="22"/>
              </w:rPr>
              <w:t>26.34</w:t>
            </w:r>
          </w:p>
        </w:tc>
      </w:tr>
      <w:tr>
        <w:trPr>
          <w:trHeight w:val="261" w:hRule="atLeast"/>
        </w:trPr>
        <w:tc>
          <w:tcPr>
            <w:tcW w:w="946" w:type="dxa"/>
          </w:tcPr>
          <w:p>
            <w:pPr>
              <w:pStyle w:val="TableParagraph"/>
              <w:spacing w:line="241" w:lineRule="exact"/>
              <w:ind w:left="115"/>
              <w:rPr>
                <w:sz w:val="22"/>
              </w:rPr>
            </w:pPr>
            <w:r>
              <w:rPr>
                <w:spacing w:val="-5"/>
                <w:sz w:val="22"/>
              </w:rPr>
              <w:t>MCS</w:t>
            </w:r>
          </w:p>
        </w:tc>
        <w:tc>
          <w:tcPr>
            <w:tcW w:w="1417" w:type="dxa"/>
          </w:tcPr>
          <w:p>
            <w:pPr>
              <w:pStyle w:val="TableParagraph"/>
              <w:spacing w:line="241" w:lineRule="exact"/>
              <w:ind w:left="186"/>
              <w:rPr>
                <w:sz w:val="22"/>
              </w:rPr>
            </w:pPr>
            <w:r>
              <w:rPr>
                <w:spacing w:val="-2"/>
                <w:sz w:val="22"/>
              </w:rPr>
              <w:t>681±6.30</w:t>
            </w:r>
          </w:p>
        </w:tc>
        <w:tc>
          <w:tcPr>
            <w:tcW w:w="1507" w:type="dxa"/>
          </w:tcPr>
          <w:p>
            <w:pPr>
              <w:pStyle w:val="TableParagraph"/>
              <w:spacing w:line="241" w:lineRule="exact"/>
              <w:ind w:right="217"/>
              <w:jc w:val="right"/>
              <w:rPr>
                <w:sz w:val="22"/>
              </w:rPr>
            </w:pPr>
            <w:r>
              <w:rPr>
                <w:spacing w:val="-2"/>
                <w:sz w:val="22"/>
              </w:rPr>
              <w:t>5.21±0.03</w:t>
            </w:r>
          </w:p>
        </w:tc>
        <w:tc>
          <w:tcPr>
            <w:tcW w:w="1409" w:type="dxa"/>
          </w:tcPr>
          <w:p>
            <w:pPr>
              <w:pStyle w:val="TableParagraph"/>
              <w:spacing w:line="241" w:lineRule="exact"/>
              <w:ind w:left="55"/>
              <w:jc w:val="center"/>
              <w:rPr>
                <w:sz w:val="22"/>
              </w:rPr>
            </w:pPr>
            <w:r>
              <w:rPr>
                <w:spacing w:val="-2"/>
                <w:sz w:val="22"/>
              </w:rPr>
              <w:t>12.10±0.01</w:t>
            </w:r>
          </w:p>
        </w:tc>
        <w:tc>
          <w:tcPr>
            <w:tcW w:w="1354" w:type="dxa"/>
          </w:tcPr>
          <w:p>
            <w:pPr>
              <w:pStyle w:val="TableParagraph"/>
              <w:spacing w:line="241" w:lineRule="exact"/>
              <w:ind w:left="109" w:right="109"/>
              <w:jc w:val="center"/>
              <w:rPr>
                <w:sz w:val="22"/>
              </w:rPr>
            </w:pPr>
            <w:r>
              <w:rPr>
                <w:spacing w:val="-2"/>
                <w:sz w:val="22"/>
              </w:rPr>
              <w:t>11.50±0.29</w:t>
            </w:r>
          </w:p>
        </w:tc>
        <w:tc>
          <w:tcPr>
            <w:tcW w:w="1385" w:type="dxa"/>
          </w:tcPr>
          <w:p>
            <w:pPr>
              <w:pStyle w:val="TableParagraph"/>
              <w:spacing w:line="241" w:lineRule="exact"/>
              <w:ind w:left="163"/>
              <w:rPr>
                <w:sz w:val="22"/>
              </w:rPr>
            </w:pPr>
            <w:r>
              <w:rPr>
                <w:spacing w:val="-2"/>
                <w:sz w:val="22"/>
              </w:rPr>
              <w:t>1.80±0.10</w:t>
            </w:r>
          </w:p>
        </w:tc>
        <w:tc>
          <w:tcPr>
            <w:tcW w:w="1397" w:type="dxa"/>
          </w:tcPr>
          <w:p>
            <w:pPr>
              <w:pStyle w:val="TableParagraph"/>
              <w:spacing w:line="241" w:lineRule="exact"/>
              <w:ind w:left="218"/>
              <w:rPr>
                <w:sz w:val="22"/>
              </w:rPr>
            </w:pPr>
            <w:r>
              <w:rPr>
                <w:spacing w:val="-2"/>
                <w:sz w:val="22"/>
              </w:rPr>
              <w:t>2.50±0.01</w:t>
            </w:r>
          </w:p>
        </w:tc>
        <w:tc>
          <w:tcPr>
            <w:tcW w:w="946" w:type="dxa"/>
          </w:tcPr>
          <w:p>
            <w:pPr>
              <w:pStyle w:val="TableParagraph"/>
              <w:spacing w:line="241" w:lineRule="exact"/>
              <w:ind w:left="257"/>
              <w:rPr>
                <w:sz w:val="22"/>
              </w:rPr>
            </w:pPr>
            <w:r>
              <w:rPr>
                <w:spacing w:val="-4"/>
                <w:sz w:val="22"/>
              </w:rPr>
              <w:t>6.39</w:t>
            </w:r>
          </w:p>
        </w:tc>
        <w:tc>
          <w:tcPr>
            <w:tcW w:w="1655" w:type="dxa"/>
          </w:tcPr>
          <w:p>
            <w:pPr>
              <w:pStyle w:val="TableParagraph"/>
              <w:spacing w:line="241" w:lineRule="exact"/>
              <w:ind w:left="247"/>
              <w:rPr>
                <w:sz w:val="22"/>
              </w:rPr>
            </w:pPr>
            <w:r>
              <w:rPr>
                <w:spacing w:val="-4"/>
                <w:sz w:val="22"/>
              </w:rPr>
              <w:t>2.56</w:t>
            </w:r>
          </w:p>
        </w:tc>
      </w:tr>
      <w:tr>
        <w:trPr>
          <w:trHeight w:val="518" w:hRule="atLeast"/>
        </w:trPr>
        <w:tc>
          <w:tcPr>
            <w:tcW w:w="946" w:type="dxa"/>
          </w:tcPr>
          <w:p>
            <w:pPr>
              <w:pStyle w:val="TableParagraph"/>
              <w:spacing w:before="2"/>
              <w:ind w:left="115"/>
              <w:rPr>
                <w:sz w:val="22"/>
              </w:rPr>
            </w:pPr>
            <w:r>
              <w:rPr>
                <w:spacing w:val="-5"/>
                <w:sz w:val="22"/>
              </w:rPr>
              <w:t>GEL</w:t>
            </w:r>
          </w:p>
          <w:p>
            <w:pPr>
              <w:pStyle w:val="TableParagraph"/>
              <w:spacing w:line="241" w:lineRule="exact" w:before="2"/>
              <w:ind w:left="115"/>
              <w:rPr>
                <w:sz w:val="22"/>
              </w:rPr>
            </w:pPr>
            <w:r>
              <w:rPr>
                <w:sz w:val="22"/>
                <w:u w:val="single"/>
              </w:rPr>
              <w:t>7.5</w:t>
            </w:r>
            <w:r>
              <w:rPr>
                <w:spacing w:val="12"/>
                <w:sz w:val="22"/>
                <w:u w:val="single"/>
              </w:rPr>
              <w:t> </w:t>
            </w:r>
            <w:r>
              <w:rPr>
                <w:spacing w:val="-10"/>
                <w:sz w:val="22"/>
                <w:u w:val="single"/>
              </w:rPr>
              <w:t>%</w:t>
            </w:r>
          </w:p>
        </w:tc>
        <w:tc>
          <w:tcPr>
            <w:tcW w:w="1417" w:type="dxa"/>
          </w:tcPr>
          <w:p>
            <w:pPr>
              <w:pStyle w:val="TableParagraph"/>
              <w:spacing w:before="2"/>
              <w:ind w:left="186"/>
              <w:rPr>
                <w:sz w:val="22"/>
              </w:rPr>
            </w:pPr>
            <w:r>
              <w:rPr>
                <w:spacing w:val="-2"/>
                <w:sz w:val="22"/>
              </w:rPr>
              <w:t>697±6.85</w:t>
            </w:r>
          </w:p>
        </w:tc>
        <w:tc>
          <w:tcPr>
            <w:tcW w:w="1507" w:type="dxa"/>
          </w:tcPr>
          <w:p>
            <w:pPr>
              <w:pStyle w:val="TableParagraph"/>
              <w:spacing w:before="2"/>
              <w:ind w:right="217"/>
              <w:jc w:val="right"/>
              <w:rPr>
                <w:sz w:val="22"/>
              </w:rPr>
            </w:pPr>
            <w:r>
              <w:rPr>
                <w:spacing w:val="-2"/>
                <w:sz w:val="22"/>
              </w:rPr>
              <w:t>5.55±0.02</w:t>
            </w:r>
          </w:p>
        </w:tc>
        <w:tc>
          <w:tcPr>
            <w:tcW w:w="1409" w:type="dxa"/>
          </w:tcPr>
          <w:p>
            <w:pPr>
              <w:pStyle w:val="TableParagraph"/>
              <w:spacing w:before="2"/>
              <w:ind w:left="55"/>
              <w:jc w:val="center"/>
              <w:rPr>
                <w:sz w:val="22"/>
              </w:rPr>
            </w:pPr>
            <w:r>
              <w:rPr>
                <w:spacing w:val="-2"/>
                <w:sz w:val="22"/>
              </w:rPr>
              <w:t>12.09±0.00</w:t>
            </w:r>
          </w:p>
        </w:tc>
        <w:tc>
          <w:tcPr>
            <w:tcW w:w="1354" w:type="dxa"/>
          </w:tcPr>
          <w:p>
            <w:pPr>
              <w:pStyle w:val="TableParagraph"/>
              <w:spacing w:before="2"/>
              <w:ind w:left="109" w:right="109"/>
              <w:jc w:val="center"/>
              <w:rPr>
                <w:sz w:val="22"/>
              </w:rPr>
            </w:pPr>
            <w:r>
              <w:rPr>
                <w:spacing w:val="-2"/>
                <w:sz w:val="22"/>
              </w:rPr>
              <w:t>11.17±0.17</w:t>
            </w:r>
          </w:p>
        </w:tc>
        <w:tc>
          <w:tcPr>
            <w:tcW w:w="1385" w:type="dxa"/>
          </w:tcPr>
          <w:p>
            <w:pPr>
              <w:pStyle w:val="TableParagraph"/>
              <w:spacing w:before="2"/>
              <w:ind w:left="163"/>
              <w:rPr>
                <w:sz w:val="22"/>
              </w:rPr>
            </w:pPr>
            <w:r>
              <w:rPr>
                <w:spacing w:val="-2"/>
                <w:sz w:val="22"/>
              </w:rPr>
              <w:t>1.30±0.01</w:t>
            </w:r>
          </w:p>
        </w:tc>
        <w:tc>
          <w:tcPr>
            <w:tcW w:w="1397" w:type="dxa"/>
          </w:tcPr>
          <w:p>
            <w:pPr>
              <w:pStyle w:val="TableParagraph"/>
              <w:spacing w:before="2"/>
              <w:ind w:left="218"/>
              <w:rPr>
                <w:sz w:val="22"/>
              </w:rPr>
            </w:pPr>
            <w:r>
              <w:rPr>
                <w:spacing w:val="-2"/>
                <w:sz w:val="22"/>
              </w:rPr>
              <w:t>4.30±0.03</w:t>
            </w:r>
          </w:p>
        </w:tc>
        <w:tc>
          <w:tcPr>
            <w:tcW w:w="946" w:type="dxa"/>
          </w:tcPr>
          <w:p>
            <w:pPr>
              <w:pStyle w:val="TableParagraph"/>
              <w:spacing w:before="2"/>
              <w:ind w:left="257"/>
              <w:rPr>
                <w:sz w:val="22"/>
              </w:rPr>
            </w:pPr>
            <w:r>
              <w:rPr>
                <w:spacing w:val="-4"/>
                <w:sz w:val="22"/>
              </w:rPr>
              <w:t>8.59</w:t>
            </w:r>
          </w:p>
        </w:tc>
        <w:tc>
          <w:tcPr>
            <w:tcW w:w="1655" w:type="dxa"/>
          </w:tcPr>
          <w:p>
            <w:pPr>
              <w:pStyle w:val="TableParagraph"/>
              <w:spacing w:before="2"/>
              <w:ind w:left="247"/>
              <w:rPr>
                <w:sz w:val="22"/>
              </w:rPr>
            </w:pPr>
            <w:r>
              <w:rPr>
                <w:spacing w:val="-4"/>
                <w:sz w:val="22"/>
              </w:rPr>
              <w:t>2.00</w:t>
            </w:r>
          </w:p>
        </w:tc>
      </w:tr>
      <w:tr>
        <w:trPr>
          <w:trHeight w:val="259" w:hRule="atLeast"/>
        </w:trPr>
        <w:tc>
          <w:tcPr>
            <w:tcW w:w="946" w:type="dxa"/>
          </w:tcPr>
          <w:p>
            <w:pPr>
              <w:pStyle w:val="TableParagraph"/>
              <w:spacing w:line="236" w:lineRule="exact" w:before="2"/>
              <w:ind w:left="115"/>
              <w:rPr>
                <w:sz w:val="22"/>
              </w:rPr>
            </w:pPr>
            <w:r>
              <w:rPr>
                <w:spacing w:val="-5"/>
                <w:sz w:val="22"/>
              </w:rPr>
              <w:t>DS</w:t>
            </w:r>
          </w:p>
        </w:tc>
        <w:tc>
          <w:tcPr>
            <w:tcW w:w="1417" w:type="dxa"/>
          </w:tcPr>
          <w:p>
            <w:pPr>
              <w:pStyle w:val="TableParagraph"/>
              <w:spacing w:line="236" w:lineRule="exact" w:before="2"/>
              <w:ind w:left="186"/>
              <w:rPr>
                <w:sz w:val="22"/>
              </w:rPr>
            </w:pPr>
            <w:r>
              <w:rPr>
                <w:spacing w:val="-2"/>
                <w:sz w:val="22"/>
              </w:rPr>
              <w:t>700±6.53</w:t>
            </w:r>
          </w:p>
        </w:tc>
        <w:tc>
          <w:tcPr>
            <w:tcW w:w="1507" w:type="dxa"/>
          </w:tcPr>
          <w:p>
            <w:pPr>
              <w:pStyle w:val="TableParagraph"/>
              <w:spacing w:line="236" w:lineRule="exact" w:before="2"/>
              <w:ind w:right="217"/>
              <w:jc w:val="right"/>
              <w:rPr>
                <w:sz w:val="22"/>
              </w:rPr>
            </w:pPr>
            <w:r>
              <w:rPr>
                <w:spacing w:val="-2"/>
                <w:sz w:val="22"/>
              </w:rPr>
              <w:t>5.45±0.03</w:t>
            </w:r>
          </w:p>
        </w:tc>
        <w:tc>
          <w:tcPr>
            <w:tcW w:w="1409" w:type="dxa"/>
          </w:tcPr>
          <w:p>
            <w:pPr>
              <w:pStyle w:val="TableParagraph"/>
              <w:spacing w:line="236" w:lineRule="exact" w:before="2"/>
              <w:ind w:left="55"/>
              <w:jc w:val="center"/>
              <w:rPr>
                <w:sz w:val="22"/>
              </w:rPr>
            </w:pPr>
            <w:r>
              <w:rPr>
                <w:spacing w:val="-2"/>
                <w:sz w:val="22"/>
              </w:rPr>
              <w:t>12.10±0.00</w:t>
            </w:r>
          </w:p>
        </w:tc>
        <w:tc>
          <w:tcPr>
            <w:tcW w:w="1354" w:type="dxa"/>
          </w:tcPr>
          <w:p>
            <w:pPr>
              <w:pStyle w:val="TableParagraph"/>
              <w:spacing w:line="236" w:lineRule="exact" w:before="2"/>
              <w:ind w:left="109" w:right="109"/>
              <w:jc w:val="center"/>
              <w:rPr>
                <w:sz w:val="22"/>
              </w:rPr>
            </w:pPr>
            <w:r>
              <w:rPr>
                <w:spacing w:val="-2"/>
                <w:sz w:val="22"/>
              </w:rPr>
              <w:t>10.73±0.15</w:t>
            </w:r>
          </w:p>
        </w:tc>
        <w:tc>
          <w:tcPr>
            <w:tcW w:w="1385" w:type="dxa"/>
          </w:tcPr>
          <w:p>
            <w:pPr>
              <w:pStyle w:val="TableParagraph"/>
              <w:spacing w:line="236" w:lineRule="exact" w:before="2"/>
              <w:ind w:left="163"/>
              <w:rPr>
                <w:sz w:val="22"/>
              </w:rPr>
            </w:pPr>
            <w:r>
              <w:rPr>
                <w:spacing w:val="-2"/>
                <w:sz w:val="22"/>
              </w:rPr>
              <w:t>1.42±0.02</w:t>
            </w:r>
          </w:p>
        </w:tc>
        <w:tc>
          <w:tcPr>
            <w:tcW w:w="1397" w:type="dxa"/>
          </w:tcPr>
          <w:p>
            <w:pPr>
              <w:pStyle w:val="TableParagraph"/>
              <w:spacing w:line="236" w:lineRule="exact" w:before="2"/>
              <w:ind w:left="218"/>
              <w:rPr>
                <w:sz w:val="22"/>
              </w:rPr>
            </w:pPr>
            <w:r>
              <w:rPr>
                <w:spacing w:val="-2"/>
                <w:sz w:val="22"/>
              </w:rPr>
              <w:t>0.34±0.02</w:t>
            </w:r>
          </w:p>
        </w:tc>
        <w:tc>
          <w:tcPr>
            <w:tcW w:w="946" w:type="dxa"/>
          </w:tcPr>
          <w:p>
            <w:pPr>
              <w:pStyle w:val="TableParagraph"/>
              <w:spacing w:line="236" w:lineRule="exact" w:before="2"/>
              <w:ind w:left="257"/>
              <w:rPr>
                <w:sz w:val="22"/>
              </w:rPr>
            </w:pPr>
            <w:r>
              <w:rPr>
                <w:spacing w:val="-4"/>
                <w:sz w:val="22"/>
              </w:rPr>
              <w:t>7.55</w:t>
            </w:r>
          </w:p>
        </w:tc>
        <w:tc>
          <w:tcPr>
            <w:tcW w:w="1655" w:type="dxa"/>
          </w:tcPr>
          <w:p>
            <w:pPr>
              <w:pStyle w:val="TableParagraph"/>
              <w:spacing w:line="236" w:lineRule="exact" w:before="2"/>
              <w:ind w:left="247"/>
              <w:rPr>
                <w:sz w:val="22"/>
              </w:rPr>
            </w:pPr>
            <w:r>
              <w:rPr>
                <w:spacing w:val="-2"/>
                <w:sz w:val="22"/>
              </w:rPr>
              <w:t>22.22</w:t>
            </w:r>
          </w:p>
        </w:tc>
      </w:tr>
      <w:tr>
        <w:trPr>
          <w:trHeight w:val="259" w:hRule="atLeast"/>
        </w:trPr>
        <w:tc>
          <w:tcPr>
            <w:tcW w:w="946" w:type="dxa"/>
          </w:tcPr>
          <w:p>
            <w:pPr>
              <w:pStyle w:val="TableParagraph"/>
              <w:spacing w:line="239" w:lineRule="exact"/>
              <w:ind w:left="115"/>
              <w:rPr>
                <w:sz w:val="22"/>
              </w:rPr>
            </w:pPr>
            <w:r>
              <w:rPr>
                <w:spacing w:val="-5"/>
                <w:sz w:val="22"/>
              </w:rPr>
              <w:t>MCS</w:t>
            </w:r>
          </w:p>
        </w:tc>
        <w:tc>
          <w:tcPr>
            <w:tcW w:w="1417" w:type="dxa"/>
          </w:tcPr>
          <w:p>
            <w:pPr>
              <w:pStyle w:val="TableParagraph"/>
              <w:spacing w:line="239" w:lineRule="exact"/>
              <w:ind w:left="186"/>
              <w:rPr>
                <w:sz w:val="22"/>
              </w:rPr>
            </w:pPr>
            <w:r>
              <w:rPr>
                <w:spacing w:val="-2"/>
                <w:sz w:val="22"/>
              </w:rPr>
              <w:t>721±3.94</w:t>
            </w:r>
          </w:p>
        </w:tc>
        <w:tc>
          <w:tcPr>
            <w:tcW w:w="1507" w:type="dxa"/>
          </w:tcPr>
          <w:p>
            <w:pPr>
              <w:pStyle w:val="TableParagraph"/>
              <w:spacing w:line="239" w:lineRule="exact"/>
              <w:ind w:right="217"/>
              <w:jc w:val="right"/>
              <w:rPr>
                <w:sz w:val="22"/>
              </w:rPr>
            </w:pPr>
            <w:r>
              <w:rPr>
                <w:spacing w:val="-2"/>
                <w:sz w:val="22"/>
              </w:rPr>
              <w:t>5.37±0.07</w:t>
            </w:r>
          </w:p>
        </w:tc>
        <w:tc>
          <w:tcPr>
            <w:tcW w:w="1409" w:type="dxa"/>
          </w:tcPr>
          <w:p>
            <w:pPr>
              <w:pStyle w:val="TableParagraph"/>
              <w:spacing w:line="239" w:lineRule="exact"/>
              <w:ind w:left="55"/>
              <w:jc w:val="center"/>
              <w:rPr>
                <w:sz w:val="22"/>
              </w:rPr>
            </w:pPr>
            <w:r>
              <w:rPr>
                <w:spacing w:val="-2"/>
                <w:sz w:val="22"/>
              </w:rPr>
              <w:t>12.09±0.01</w:t>
            </w:r>
          </w:p>
        </w:tc>
        <w:tc>
          <w:tcPr>
            <w:tcW w:w="1354" w:type="dxa"/>
          </w:tcPr>
          <w:p>
            <w:pPr>
              <w:pStyle w:val="TableParagraph"/>
              <w:spacing w:line="239" w:lineRule="exact"/>
              <w:ind w:left="109" w:right="109"/>
              <w:jc w:val="center"/>
              <w:rPr>
                <w:sz w:val="22"/>
              </w:rPr>
            </w:pPr>
            <w:r>
              <w:rPr>
                <w:spacing w:val="-2"/>
                <w:sz w:val="22"/>
              </w:rPr>
              <w:t>12.16±0.17</w:t>
            </w:r>
          </w:p>
        </w:tc>
        <w:tc>
          <w:tcPr>
            <w:tcW w:w="1385" w:type="dxa"/>
          </w:tcPr>
          <w:p>
            <w:pPr>
              <w:pStyle w:val="TableParagraph"/>
              <w:spacing w:line="239" w:lineRule="exact"/>
              <w:ind w:left="163"/>
              <w:rPr>
                <w:sz w:val="22"/>
              </w:rPr>
            </w:pPr>
            <w:r>
              <w:rPr>
                <w:spacing w:val="-2"/>
                <w:sz w:val="22"/>
              </w:rPr>
              <w:t>1.25±0.01</w:t>
            </w:r>
          </w:p>
        </w:tc>
        <w:tc>
          <w:tcPr>
            <w:tcW w:w="1397" w:type="dxa"/>
          </w:tcPr>
          <w:p>
            <w:pPr>
              <w:pStyle w:val="TableParagraph"/>
              <w:spacing w:line="239" w:lineRule="exact"/>
              <w:ind w:left="218"/>
              <w:rPr>
                <w:sz w:val="22"/>
              </w:rPr>
            </w:pPr>
            <w:r>
              <w:rPr>
                <w:spacing w:val="-2"/>
                <w:sz w:val="22"/>
              </w:rPr>
              <w:t>3.41±0.02</w:t>
            </w:r>
          </w:p>
        </w:tc>
        <w:tc>
          <w:tcPr>
            <w:tcW w:w="946" w:type="dxa"/>
          </w:tcPr>
          <w:p>
            <w:pPr>
              <w:pStyle w:val="TableParagraph"/>
              <w:spacing w:line="239" w:lineRule="exact"/>
              <w:ind w:left="257"/>
              <w:rPr>
                <w:sz w:val="22"/>
              </w:rPr>
            </w:pPr>
            <w:r>
              <w:rPr>
                <w:spacing w:val="-4"/>
                <w:sz w:val="22"/>
              </w:rPr>
              <w:t>9.73</w:t>
            </w:r>
          </w:p>
        </w:tc>
        <w:tc>
          <w:tcPr>
            <w:tcW w:w="1655" w:type="dxa"/>
          </w:tcPr>
          <w:p>
            <w:pPr>
              <w:pStyle w:val="TableParagraph"/>
              <w:spacing w:line="239" w:lineRule="exact"/>
              <w:ind w:left="247"/>
              <w:rPr>
                <w:sz w:val="22"/>
              </w:rPr>
            </w:pPr>
            <w:r>
              <w:rPr>
                <w:spacing w:val="-4"/>
                <w:sz w:val="22"/>
              </w:rPr>
              <w:t>2.85</w:t>
            </w:r>
          </w:p>
        </w:tc>
      </w:tr>
      <w:tr>
        <w:trPr>
          <w:trHeight w:val="391" w:hRule="atLeast"/>
        </w:trPr>
        <w:tc>
          <w:tcPr>
            <w:tcW w:w="946" w:type="dxa"/>
          </w:tcPr>
          <w:p>
            <w:pPr>
              <w:pStyle w:val="TableParagraph"/>
              <w:spacing w:before="2"/>
              <w:ind w:left="115"/>
              <w:rPr>
                <w:sz w:val="22"/>
              </w:rPr>
            </w:pPr>
            <w:r>
              <w:rPr>
                <w:spacing w:val="-5"/>
                <w:sz w:val="22"/>
              </w:rPr>
              <w:t>GEL</w:t>
            </w:r>
          </w:p>
        </w:tc>
        <w:tc>
          <w:tcPr>
            <w:tcW w:w="1417" w:type="dxa"/>
          </w:tcPr>
          <w:p>
            <w:pPr>
              <w:pStyle w:val="TableParagraph"/>
              <w:spacing w:before="2"/>
              <w:ind w:left="186"/>
              <w:rPr>
                <w:sz w:val="22"/>
              </w:rPr>
            </w:pPr>
            <w:r>
              <w:rPr>
                <w:spacing w:val="-2"/>
                <w:sz w:val="22"/>
              </w:rPr>
              <w:t>705±4.44</w:t>
            </w:r>
          </w:p>
        </w:tc>
        <w:tc>
          <w:tcPr>
            <w:tcW w:w="1507" w:type="dxa"/>
          </w:tcPr>
          <w:p>
            <w:pPr>
              <w:pStyle w:val="TableParagraph"/>
              <w:spacing w:before="2"/>
              <w:ind w:right="217"/>
              <w:jc w:val="right"/>
              <w:rPr>
                <w:sz w:val="22"/>
              </w:rPr>
            </w:pPr>
            <w:r>
              <w:rPr>
                <w:spacing w:val="-2"/>
                <w:sz w:val="22"/>
              </w:rPr>
              <w:t>5.61±0.06</w:t>
            </w:r>
          </w:p>
        </w:tc>
        <w:tc>
          <w:tcPr>
            <w:tcW w:w="1409" w:type="dxa"/>
          </w:tcPr>
          <w:p>
            <w:pPr>
              <w:pStyle w:val="TableParagraph"/>
              <w:spacing w:before="2"/>
              <w:ind w:left="55"/>
              <w:jc w:val="center"/>
              <w:rPr>
                <w:sz w:val="22"/>
              </w:rPr>
            </w:pPr>
            <w:r>
              <w:rPr>
                <w:spacing w:val="-2"/>
                <w:sz w:val="22"/>
              </w:rPr>
              <w:t>12.10±0.00</w:t>
            </w:r>
          </w:p>
        </w:tc>
        <w:tc>
          <w:tcPr>
            <w:tcW w:w="1354" w:type="dxa"/>
          </w:tcPr>
          <w:p>
            <w:pPr>
              <w:pStyle w:val="TableParagraph"/>
              <w:spacing w:before="2"/>
              <w:ind w:left="109" w:right="109"/>
              <w:jc w:val="center"/>
              <w:rPr>
                <w:sz w:val="22"/>
              </w:rPr>
            </w:pPr>
            <w:r>
              <w:rPr>
                <w:spacing w:val="-2"/>
                <w:sz w:val="22"/>
              </w:rPr>
              <w:t>11.50±0.00</w:t>
            </w:r>
          </w:p>
        </w:tc>
        <w:tc>
          <w:tcPr>
            <w:tcW w:w="1385" w:type="dxa"/>
          </w:tcPr>
          <w:p>
            <w:pPr>
              <w:pStyle w:val="TableParagraph"/>
              <w:spacing w:before="2"/>
              <w:ind w:left="163"/>
              <w:rPr>
                <w:sz w:val="22"/>
              </w:rPr>
            </w:pPr>
            <w:r>
              <w:rPr>
                <w:spacing w:val="-2"/>
                <w:sz w:val="22"/>
              </w:rPr>
              <w:t>1.08±0.01</w:t>
            </w:r>
          </w:p>
        </w:tc>
        <w:tc>
          <w:tcPr>
            <w:tcW w:w="1397" w:type="dxa"/>
          </w:tcPr>
          <w:p>
            <w:pPr>
              <w:pStyle w:val="TableParagraph"/>
              <w:spacing w:before="2"/>
              <w:ind w:left="218"/>
              <w:rPr>
                <w:sz w:val="22"/>
              </w:rPr>
            </w:pPr>
            <w:r>
              <w:rPr>
                <w:spacing w:val="-2"/>
                <w:sz w:val="22"/>
              </w:rPr>
              <w:t>11.57±0.06</w:t>
            </w:r>
          </w:p>
        </w:tc>
        <w:tc>
          <w:tcPr>
            <w:tcW w:w="946" w:type="dxa"/>
          </w:tcPr>
          <w:p>
            <w:pPr>
              <w:pStyle w:val="TableParagraph"/>
              <w:spacing w:before="2"/>
              <w:ind w:right="180"/>
              <w:jc w:val="right"/>
              <w:rPr>
                <w:sz w:val="22"/>
              </w:rPr>
            </w:pPr>
            <w:r>
              <w:rPr>
                <w:spacing w:val="-2"/>
                <w:sz w:val="22"/>
              </w:rPr>
              <w:t>10.65</w:t>
            </w:r>
          </w:p>
        </w:tc>
        <w:tc>
          <w:tcPr>
            <w:tcW w:w="1655" w:type="dxa"/>
          </w:tcPr>
          <w:p>
            <w:pPr>
              <w:pStyle w:val="TableParagraph"/>
              <w:spacing w:before="2"/>
              <w:ind w:left="247"/>
              <w:rPr>
                <w:sz w:val="22"/>
              </w:rPr>
            </w:pPr>
            <w:r>
              <w:rPr>
                <w:spacing w:val="-4"/>
                <w:sz w:val="22"/>
              </w:rPr>
              <w:t>0.92</w:t>
            </w:r>
          </w:p>
        </w:tc>
      </w:tr>
      <w:tr>
        <w:trPr>
          <w:trHeight w:val="645" w:hRule="atLeast"/>
        </w:trPr>
        <w:tc>
          <w:tcPr>
            <w:tcW w:w="946" w:type="dxa"/>
          </w:tcPr>
          <w:p>
            <w:pPr>
              <w:pStyle w:val="TableParagraph"/>
              <w:spacing w:line="250" w:lineRule="atLeast" w:before="119"/>
              <w:ind w:left="115"/>
              <w:rPr>
                <w:sz w:val="22"/>
              </w:rPr>
            </w:pPr>
            <w:r>
              <w:rPr>
                <w:sz w:val="22"/>
                <w:u w:val="single"/>
              </w:rPr>
              <w:t>10.0</w:t>
            </w:r>
            <w:r>
              <w:rPr>
                <w:spacing w:val="-14"/>
                <w:sz w:val="22"/>
                <w:u w:val="single"/>
              </w:rPr>
              <w:t> </w:t>
            </w:r>
            <w:r>
              <w:rPr>
                <w:sz w:val="22"/>
                <w:u w:val="single"/>
              </w:rPr>
              <w:t>%</w:t>
            </w:r>
            <w:r>
              <w:rPr>
                <w:sz w:val="22"/>
              </w:rPr>
              <w:t> </w:t>
            </w:r>
            <w:r>
              <w:rPr>
                <w:spacing w:val="-6"/>
                <w:sz w:val="22"/>
              </w:rPr>
              <w:t>DS</w:t>
            </w:r>
          </w:p>
        </w:tc>
        <w:tc>
          <w:tcPr>
            <w:tcW w:w="1417" w:type="dxa"/>
          </w:tcPr>
          <w:p>
            <w:pPr>
              <w:pStyle w:val="TableParagraph"/>
              <w:spacing w:before="131"/>
              <w:rPr>
                <w:b/>
                <w:sz w:val="22"/>
              </w:rPr>
            </w:pPr>
          </w:p>
          <w:p>
            <w:pPr>
              <w:pStyle w:val="TableParagraph"/>
              <w:spacing w:line="241" w:lineRule="exact"/>
              <w:ind w:left="186"/>
              <w:rPr>
                <w:sz w:val="22"/>
              </w:rPr>
            </w:pPr>
            <w:r>
              <w:rPr>
                <w:spacing w:val="-2"/>
                <w:sz w:val="22"/>
              </w:rPr>
              <w:t>712±5.63</w:t>
            </w:r>
          </w:p>
        </w:tc>
        <w:tc>
          <w:tcPr>
            <w:tcW w:w="1507" w:type="dxa"/>
          </w:tcPr>
          <w:p>
            <w:pPr>
              <w:pStyle w:val="TableParagraph"/>
              <w:spacing w:before="131"/>
              <w:rPr>
                <w:b/>
                <w:sz w:val="22"/>
              </w:rPr>
            </w:pPr>
          </w:p>
          <w:p>
            <w:pPr>
              <w:pStyle w:val="TableParagraph"/>
              <w:spacing w:line="241" w:lineRule="exact"/>
              <w:ind w:right="217"/>
              <w:jc w:val="right"/>
              <w:rPr>
                <w:sz w:val="22"/>
              </w:rPr>
            </w:pPr>
            <w:r>
              <w:rPr>
                <w:spacing w:val="-2"/>
                <w:sz w:val="22"/>
              </w:rPr>
              <w:t>5.47±0.09</w:t>
            </w:r>
          </w:p>
        </w:tc>
        <w:tc>
          <w:tcPr>
            <w:tcW w:w="1409" w:type="dxa"/>
          </w:tcPr>
          <w:p>
            <w:pPr>
              <w:pStyle w:val="TableParagraph"/>
              <w:spacing w:before="131"/>
              <w:rPr>
                <w:b/>
                <w:sz w:val="22"/>
              </w:rPr>
            </w:pPr>
          </w:p>
          <w:p>
            <w:pPr>
              <w:pStyle w:val="TableParagraph"/>
              <w:spacing w:line="241" w:lineRule="exact"/>
              <w:ind w:left="55"/>
              <w:jc w:val="center"/>
              <w:rPr>
                <w:sz w:val="22"/>
              </w:rPr>
            </w:pPr>
            <w:r>
              <w:rPr>
                <w:spacing w:val="-2"/>
                <w:sz w:val="22"/>
              </w:rPr>
              <w:t>12.10±0.00</w:t>
            </w:r>
          </w:p>
        </w:tc>
        <w:tc>
          <w:tcPr>
            <w:tcW w:w="1354" w:type="dxa"/>
          </w:tcPr>
          <w:p>
            <w:pPr>
              <w:pStyle w:val="TableParagraph"/>
              <w:spacing w:before="131"/>
              <w:rPr>
                <w:b/>
                <w:sz w:val="22"/>
              </w:rPr>
            </w:pPr>
          </w:p>
          <w:p>
            <w:pPr>
              <w:pStyle w:val="TableParagraph"/>
              <w:spacing w:line="241" w:lineRule="exact"/>
              <w:ind w:left="109" w:right="109"/>
              <w:jc w:val="center"/>
              <w:rPr>
                <w:sz w:val="22"/>
              </w:rPr>
            </w:pPr>
            <w:r>
              <w:rPr>
                <w:spacing w:val="-2"/>
                <w:sz w:val="22"/>
              </w:rPr>
              <w:t>11.00±0.00</w:t>
            </w:r>
          </w:p>
        </w:tc>
        <w:tc>
          <w:tcPr>
            <w:tcW w:w="1385" w:type="dxa"/>
          </w:tcPr>
          <w:p>
            <w:pPr>
              <w:pStyle w:val="TableParagraph"/>
              <w:spacing w:before="131"/>
              <w:rPr>
                <w:b/>
                <w:sz w:val="22"/>
              </w:rPr>
            </w:pPr>
          </w:p>
          <w:p>
            <w:pPr>
              <w:pStyle w:val="TableParagraph"/>
              <w:spacing w:line="241" w:lineRule="exact"/>
              <w:ind w:left="163"/>
              <w:rPr>
                <w:sz w:val="22"/>
              </w:rPr>
            </w:pPr>
            <w:r>
              <w:rPr>
                <w:spacing w:val="-2"/>
                <w:sz w:val="22"/>
              </w:rPr>
              <w:t>1.11±0.02</w:t>
            </w:r>
          </w:p>
        </w:tc>
        <w:tc>
          <w:tcPr>
            <w:tcW w:w="1397" w:type="dxa"/>
          </w:tcPr>
          <w:p>
            <w:pPr>
              <w:pStyle w:val="TableParagraph"/>
              <w:spacing w:before="131"/>
              <w:rPr>
                <w:b/>
                <w:sz w:val="22"/>
              </w:rPr>
            </w:pPr>
          </w:p>
          <w:p>
            <w:pPr>
              <w:pStyle w:val="TableParagraph"/>
              <w:spacing w:line="241" w:lineRule="exact"/>
              <w:ind w:left="218"/>
              <w:rPr>
                <w:sz w:val="22"/>
              </w:rPr>
            </w:pPr>
            <w:r>
              <w:rPr>
                <w:spacing w:val="-2"/>
                <w:sz w:val="22"/>
              </w:rPr>
              <w:t>0.36±0.01</w:t>
            </w:r>
          </w:p>
        </w:tc>
        <w:tc>
          <w:tcPr>
            <w:tcW w:w="946" w:type="dxa"/>
          </w:tcPr>
          <w:p>
            <w:pPr>
              <w:pStyle w:val="TableParagraph"/>
              <w:spacing w:before="131"/>
              <w:rPr>
                <w:b/>
                <w:sz w:val="22"/>
              </w:rPr>
            </w:pPr>
          </w:p>
          <w:p>
            <w:pPr>
              <w:pStyle w:val="TableParagraph"/>
              <w:spacing w:line="241" w:lineRule="exact"/>
              <w:ind w:left="257"/>
              <w:rPr>
                <w:sz w:val="22"/>
              </w:rPr>
            </w:pPr>
            <w:r>
              <w:rPr>
                <w:spacing w:val="-4"/>
                <w:sz w:val="22"/>
              </w:rPr>
              <w:t>9.91</w:t>
            </w:r>
          </w:p>
        </w:tc>
        <w:tc>
          <w:tcPr>
            <w:tcW w:w="1655" w:type="dxa"/>
          </w:tcPr>
          <w:p>
            <w:pPr>
              <w:pStyle w:val="TableParagraph"/>
              <w:spacing w:before="131"/>
              <w:rPr>
                <w:b/>
                <w:sz w:val="22"/>
              </w:rPr>
            </w:pPr>
          </w:p>
          <w:p>
            <w:pPr>
              <w:pStyle w:val="TableParagraph"/>
              <w:spacing w:line="241" w:lineRule="exact"/>
              <w:ind w:left="247"/>
              <w:rPr>
                <w:sz w:val="22"/>
              </w:rPr>
            </w:pPr>
            <w:r>
              <w:rPr>
                <w:spacing w:val="-2"/>
                <w:sz w:val="22"/>
              </w:rPr>
              <w:t>27.52</w:t>
            </w:r>
          </w:p>
        </w:tc>
      </w:tr>
      <w:tr>
        <w:trPr>
          <w:trHeight w:val="259" w:hRule="atLeast"/>
        </w:trPr>
        <w:tc>
          <w:tcPr>
            <w:tcW w:w="946" w:type="dxa"/>
          </w:tcPr>
          <w:p>
            <w:pPr>
              <w:pStyle w:val="TableParagraph"/>
              <w:spacing w:line="236" w:lineRule="exact" w:before="2"/>
              <w:ind w:left="115"/>
              <w:rPr>
                <w:sz w:val="22"/>
              </w:rPr>
            </w:pPr>
            <w:r>
              <w:rPr>
                <w:spacing w:val="-5"/>
                <w:sz w:val="22"/>
              </w:rPr>
              <w:t>MCS</w:t>
            </w:r>
          </w:p>
        </w:tc>
        <w:tc>
          <w:tcPr>
            <w:tcW w:w="1417" w:type="dxa"/>
          </w:tcPr>
          <w:p>
            <w:pPr>
              <w:pStyle w:val="TableParagraph"/>
              <w:spacing w:line="236" w:lineRule="exact" w:before="2"/>
              <w:ind w:left="186"/>
              <w:rPr>
                <w:sz w:val="22"/>
              </w:rPr>
            </w:pPr>
            <w:r>
              <w:rPr>
                <w:spacing w:val="-2"/>
                <w:sz w:val="22"/>
              </w:rPr>
              <w:t>724±4.55</w:t>
            </w:r>
          </w:p>
        </w:tc>
        <w:tc>
          <w:tcPr>
            <w:tcW w:w="1507" w:type="dxa"/>
          </w:tcPr>
          <w:p>
            <w:pPr>
              <w:pStyle w:val="TableParagraph"/>
              <w:spacing w:line="236" w:lineRule="exact" w:before="2"/>
              <w:ind w:right="217"/>
              <w:jc w:val="right"/>
              <w:rPr>
                <w:sz w:val="22"/>
              </w:rPr>
            </w:pPr>
            <w:r>
              <w:rPr>
                <w:spacing w:val="-2"/>
                <w:sz w:val="22"/>
              </w:rPr>
              <w:t>5.49±0.04</w:t>
            </w:r>
          </w:p>
        </w:tc>
        <w:tc>
          <w:tcPr>
            <w:tcW w:w="1409" w:type="dxa"/>
          </w:tcPr>
          <w:p>
            <w:pPr>
              <w:pStyle w:val="TableParagraph"/>
              <w:spacing w:line="236" w:lineRule="exact" w:before="2"/>
              <w:ind w:left="55"/>
              <w:jc w:val="center"/>
              <w:rPr>
                <w:sz w:val="22"/>
              </w:rPr>
            </w:pPr>
            <w:r>
              <w:rPr>
                <w:spacing w:val="-2"/>
                <w:sz w:val="22"/>
              </w:rPr>
              <w:t>12.10±0.01</w:t>
            </w:r>
          </w:p>
        </w:tc>
        <w:tc>
          <w:tcPr>
            <w:tcW w:w="1354" w:type="dxa"/>
          </w:tcPr>
          <w:p>
            <w:pPr>
              <w:pStyle w:val="TableParagraph"/>
              <w:spacing w:line="236" w:lineRule="exact" w:before="2"/>
              <w:ind w:left="109" w:right="109"/>
              <w:jc w:val="center"/>
              <w:rPr>
                <w:sz w:val="22"/>
              </w:rPr>
            </w:pPr>
            <w:r>
              <w:rPr>
                <w:spacing w:val="-2"/>
                <w:sz w:val="22"/>
              </w:rPr>
              <w:t>12.33±0.17</w:t>
            </w:r>
          </w:p>
        </w:tc>
        <w:tc>
          <w:tcPr>
            <w:tcW w:w="1385" w:type="dxa"/>
          </w:tcPr>
          <w:p>
            <w:pPr>
              <w:pStyle w:val="TableParagraph"/>
              <w:spacing w:line="236" w:lineRule="exact" w:before="2"/>
              <w:ind w:left="163"/>
              <w:rPr>
                <w:sz w:val="22"/>
              </w:rPr>
            </w:pPr>
            <w:r>
              <w:rPr>
                <w:spacing w:val="-2"/>
                <w:sz w:val="22"/>
              </w:rPr>
              <w:t>1.02±0.04</w:t>
            </w:r>
          </w:p>
        </w:tc>
        <w:tc>
          <w:tcPr>
            <w:tcW w:w="1397" w:type="dxa"/>
          </w:tcPr>
          <w:p>
            <w:pPr>
              <w:pStyle w:val="TableParagraph"/>
              <w:spacing w:line="236" w:lineRule="exact" w:before="2"/>
              <w:ind w:left="218"/>
              <w:rPr>
                <w:sz w:val="22"/>
              </w:rPr>
            </w:pPr>
            <w:r>
              <w:rPr>
                <w:spacing w:val="-2"/>
                <w:sz w:val="22"/>
              </w:rPr>
              <w:t>4.10±0.01</w:t>
            </w:r>
          </w:p>
        </w:tc>
        <w:tc>
          <w:tcPr>
            <w:tcW w:w="946" w:type="dxa"/>
          </w:tcPr>
          <w:p>
            <w:pPr>
              <w:pStyle w:val="TableParagraph"/>
              <w:spacing w:line="236" w:lineRule="exact" w:before="2"/>
              <w:ind w:right="180"/>
              <w:jc w:val="right"/>
              <w:rPr>
                <w:sz w:val="22"/>
              </w:rPr>
            </w:pPr>
            <w:r>
              <w:rPr>
                <w:spacing w:val="-2"/>
                <w:sz w:val="22"/>
              </w:rPr>
              <w:t>12.09</w:t>
            </w:r>
          </w:p>
        </w:tc>
        <w:tc>
          <w:tcPr>
            <w:tcW w:w="1655" w:type="dxa"/>
          </w:tcPr>
          <w:p>
            <w:pPr>
              <w:pStyle w:val="TableParagraph"/>
              <w:spacing w:line="236" w:lineRule="exact" w:before="2"/>
              <w:ind w:left="247"/>
              <w:rPr>
                <w:sz w:val="22"/>
              </w:rPr>
            </w:pPr>
            <w:r>
              <w:rPr>
                <w:spacing w:val="-4"/>
                <w:sz w:val="22"/>
              </w:rPr>
              <w:t>2.95</w:t>
            </w:r>
          </w:p>
        </w:tc>
      </w:tr>
      <w:tr>
        <w:trPr>
          <w:trHeight w:val="259" w:hRule="atLeast"/>
        </w:trPr>
        <w:tc>
          <w:tcPr>
            <w:tcW w:w="946" w:type="dxa"/>
          </w:tcPr>
          <w:p>
            <w:pPr>
              <w:pStyle w:val="TableParagraph"/>
              <w:spacing w:line="239" w:lineRule="exact"/>
              <w:ind w:left="115"/>
              <w:rPr>
                <w:sz w:val="22"/>
              </w:rPr>
            </w:pPr>
            <w:r>
              <w:rPr>
                <w:spacing w:val="-5"/>
                <w:sz w:val="22"/>
              </w:rPr>
              <w:t>GEL</w:t>
            </w:r>
          </w:p>
        </w:tc>
        <w:tc>
          <w:tcPr>
            <w:tcW w:w="1417" w:type="dxa"/>
          </w:tcPr>
          <w:p>
            <w:pPr>
              <w:pStyle w:val="TableParagraph"/>
              <w:spacing w:line="239" w:lineRule="exact"/>
              <w:ind w:left="186"/>
              <w:rPr>
                <w:sz w:val="22"/>
              </w:rPr>
            </w:pPr>
            <w:r>
              <w:rPr>
                <w:spacing w:val="-2"/>
                <w:sz w:val="22"/>
              </w:rPr>
              <w:t>713±6.48</w:t>
            </w:r>
          </w:p>
        </w:tc>
        <w:tc>
          <w:tcPr>
            <w:tcW w:w="1507" w:type="dxa"/>
          </w:tcPr>
          <w:p>
            <w:pPr>
              <w:pStyle w:val="TableParagraph"/>
              <w:spacing w:line="239" w:lineRule="exact"/>
              <w:ind w:right="217"/>
              <w:jc w:val="right"/>
              <w:rPr>
                <w:sz w:val="22"/>
              </w:rPr>
            </w:pPr>
            <w:r>
              <w:rPr>
                <w:spacing w:val="-2"/>
                <w:sz w:val="22"/>
              </w:rPr>
              <w:t>5.49±0.11</w:t>
            </w:r>
          </w:p>
        </w:tc>
        <w:tc>
          <w:tcPr>
            <w:tcW w:w="1409" w:type="dxa"/>
          </w:tcPr>
          <w:p>
            <w:pPr>
              <w:pStyle w:val="TableParagraph"/>
              <w:spacing w:line="239" w:lineRule="exact"/>
              <w:ind w:left="55"/>
              <w:jc w:val="center"/>
              <w:rPr>
                <w:sz w:val="22"/>
              </w:rPr>
            </w:pPr>
            <w:r>
              <w:rPr>
                <w:spacing w:val="-2"/>
                <w:sz w:val="22"/>
              </w:rPr>
              <w:t>12.09±0.01</w:t>
            </w:r>
          </w:p>
        </w:tc>
        <w:tc>
          <w:tcPr>
            <w:tcW w:w="1354" w:type="dxa"/>
          </w:tcPr>
          <w:p>
            <w:pPr>
              <w:pStyle w:val="TableParagraph"/>
              <w:spacing w:line="239" w:lineRule="exact"/>
              <w:ind w:left="109" w:right="109"/>
              <w:jc w:val="center"/>
              <w:rPr>
                <w:sz w:val="22"/>
              </w:rPr>
            </w:pPr>
            <w:r>
              <w:rPr>
                <w:spacing w:val="-2"/>
                <w:sz w:val="22"/>
              </w:rPr>
              <w:t>12.50±0.29</w:t>
            </w:r>
          </w:p>
        </w:tc>
        <w:tc>
          <w:tcPr>
            <w:tcW w:w="1385" w:type="dxa"/>
          </w:tcPr>
          <w:p>
            <w:pPr>
              <w:pStyle w:val="TableParagraph"/>
              <w:spacing w:line="239" w:lineRule="exact"/>
              <w:ind w:left="163"/>
              <w:rPr>
                <w:sz w:val="22"/>
              </w:rPr>
            </w:pPr>
            <w:r>
              <w:rPr>
                <w:spacing w:val="-2"/>
                <w:sz w:val="22"/>
              </w:rPr>
              <w:t>1.05±0.01</w:t>
            </w:r>
          </w:p>
        </w:tc>
        <w:tc>
          <w:tcPr>
            <w:tcW w:w="1397" w:type="dxa"/>
          </w:tcPr>
          <w:p>
            <w:pPr>
              <w:pStyle w:val="TableParagraph"/>
              <w:spacing w:line="239" w:lineRule="exact"/>
              <w:ind w:left="218"/>
              <w:rPr>
                <w:sz w:val="22"/>
              </w:rPr>
            </w:pPr>
            <w:r>
              <w:rPr>
                <w:spacing w:val="-2"/>
                <w:sz w:val="22"/>
              </w:rPr>
              <w:t>15.18±0.04</w:t>
            </w:r>
          </w:p>
        </w:tc>
        <w:tc>
          <w:tcPr>
            <w:tcW w:w="946" w:type="dxa"/>
          </w:tcPr>
          <w:p>
            <w:pPr>
              <w:pStyle w:val="TableParagraph"/>
              <w:spacing w:line="239" w:lineRule="exact"/>
              <w:ind w:right="180"/>
              <w:jc w:val="right"/>
              <w:rPr>
                <w:sz w:val="22"/>
              </w:rPr>
            </w:pPr>
            <w:r>
              <w:rPr>
                <w:spacing w:val="-2"/>
                <w:sz w:val="22"/>
              </w:rPr>
              <w:t>11.90</w:t>
            </w:r>
          </w:p>
        </w:tc>
        <w:tc>
          <w:tcPr>
            <w:tcW w:w="1655" w:type="dxa"/>
          </w:tcPr>
          <w:p>
            <w:pPr>
              <w:pStyle w:val="TableParagraph"/>
              <w:spacing w:line="239" w:lineRule="exact"/>
              <w:ind w:left="247"/>
              <w:rPr>
                <w:sz w:val="22"/>
              </w:rPr>
            </w:pPr>
            <w:r>
              <w:rPr>
                <w:spacing w:val="-4"/>
                <w:sz w:val="22"/>
              </w:rPr>
              <w:t>0.78</w:t>
            </w:r>
          </w:p>
        </w:tc>
      </w:tr>
      <w:tr>
        <w:trPr>
          <w:trHeight w:val="261" w:hRule="atLeast"/>
        </w:trPr>
        <w:tc>
          <w:tcPr>
            <w:tcW w:w="946" w:type="dxa"/>
          </w:tcPr>
          <w:p>
            <w:pPr>
              <w:pStyle w:val="TableParagraph"/>
              <w:spacing w:line="239" w:lineRule="exact" w:before="2"/>
              <w:ind w:left="115"/>
              <w:rPr>
                <w:sz w:val="22"/>
              </w:rPr>
            </w:pPr>
            <w:r>
              <w:rPr>
                <w:sz w:val="22"/>
                <w:u w:val="single"/>
              </w:rPr>
              <w:t>12.5</w:t>
            </w:r>
            <w:r>
              <w:rPr>
                <w:spacing w:val="11"/>
                <w:sz w:val="22"/>
                <w:u w:val="single"/>
              </w:rPr>
              <w:t> </w:t>
            </w:r>
            <w:r>
              <w:rPr>
                <w:spacing w:val="-10"/>
                <w:sz w:val="22"/>
                <w:u w:val="single"/>
              </w:rPr>
              <w:t>%</w:t>
            </w:r>
          </w:p>
        </w:tc>
        <w:tc>
          <w:tcPr>
            <w:tcW w:w="1417" w:type="dxa"/>
          </w:tcPr>
          <w:p>
            <w:pPr>
              <w:pStyle w:val="TableParagraph"/>
              <w:rPr>
                <w:sz w:val="18"/>
              </w:rPr>
            </w:pPr>
          </w:p>
        </w:tc>
        <w:tc>
          <w:tcPr>
            <w:tcW w:w="1507" w:type="dxa"/>
          </w:tcPr>
          <w:p>
            <w:pPr>
              <w:pStyle w:val="TableParagraph"/>
              <w:rPr>
                <w:sz w:val="18"/>
              </w:rPr>
            </w:pPr>
          </w:p>
        </w:tc>
        <w:tc>
          <w:tcPr>
            <w:tcW w:w="1409" w:type="dxa"/>
          </w:tcPr>
          <w:p>
            <w:pPr>
              <w:pStyle w:val="TableParagraph"/>
              <w:rPr>
                <w:sz w:val="18"/>
              </w:rPr>
            </w:pPr>
          </w:p>
        </w:tc>
        <w:tc>
          <w:tcPr>
            <w:tcW w:w="1354" w:type="dxa"/>
          </w:tcPr>
          <w:p>
            <w:pPr>
              <w:pStyle w:val="TableParagraph"/>
              <w:rPr>
                <w:sz w:val="18"/>
              </w:rPr>
            </w:pPr>
          </w:p>
        </w:tc>
        <w:tc>
          <w:tcPr>
            <w:tcW w:w="1385" w:type="dxa"/>
          </w:tcPr>
          <w:p>
            <w:pPr>
              <w:pStyle w:val="TableParagraph"/>
              <w:rPr>
                <w:sz w:val="18"/>
              </w:rPr>
            </w:pPr>
          </w:p>
        </w:tc>
        <w:tc>
          <w:tcPr>
            <w:tcW w:w="1397" w:type="dxa"/>
          </w:tcPr>
          <w:p>
            <w:pPr>
              <w:pStyle w:val="TableParagraph"/>
              <w:rPr>
                <w:sz w:val="18"/>
              </w:rPr>
            </w:pPr>
          </w:p>
        </w:tc>
        <w:tc>
          <w:tcPr>
            <w:tcW w:w="946" w:type="dxa"/>
          </w:tcPr>
          <w:p>
            <w:pPr>
              <w:pStyle w:val="TableParagraph"/>
              <w:rPr>
                <w:sz w:val="18"/>
              </w:rPr>
            </w:pPr>
          </w:p>
        </w:tc>
        <w:tc>
          <w:tcPr>
            <w:tcW w:w="1655" w:type="dxa"/>
          </w:tcPr>
          <w:p>
            <w:pPr>
              <w:pStyle w:val="TableParagraph"/>
              <w:rPr>
                <w:sz w:val="18"/>
              </w:rPr>
            </w:pPr>
          </w:p>
        </w:tc>
      </w:tr>
      <w:tr>
        <w:trPr>
          <w:trHeight w:val="259" w:hRule="atLeast"/>
        </w:trPr>
        <w:tc>
          <w:tcPr>
            <w:tcW w:w="946" w:type="dxa"/>
          </w:tcPr>
          <w:p>
            <w:pPr>
              <w:pStyle w:val="TableParagraph"/>
              <w:spacing w:line="239" w:lineRule="exact"/>
              <w:ind w:left="115"/>
              <w:rPr>
                <w:sz w:val="22"/>
              </w:rPr>
            </w:pPr>
            <w:r>
              <w:rPr>
                <w:spacing w:val="-5"/>
                <w:sz w:val="22"/>
              </w:rPr>
              <w:t>DS</w:t>
            </w:r>
          </w:p>
        </w:tc>
        <w:tc>
          <w:tcPr>
            <w:tcW w:w="1417" w:type="dxa"/>
          </w:tcPr>
          <w:p>
            <w:pPr>
              <w:pStyle w:val="TableParagraph"/>
              <w:spacing w:line="239" w:lineRule="exact"/>
              <w:ind w:left="186"/>
              <w:rPr>
                <w:sz w:val="22"/>
              </w:rPr>
            </w:pPr>
            <w:r>
              <w:rPr>
                <w:spacing w:val="-2"/>
                <w:sz w:val="22"/>
              </w:rPr>
              <w:t>707±6.58</w:t>
            </w:r>
          </w:p>
        </w:tc>
        <w:tc>
          <w:tcPr>
            <w:tcW w:w="1507" w:type="dxa"/>
          </w:tcPr>
          <w:p>
            <w:pPr>
              <w:pStyle w:val="TableParagraph"/>
              <w:spacing w:line="239" w:lineRule="exact"/>
              <w:ind w:right="217"/>
              <w:jc w:val="right"/>
              <w:rPr>
                <w:sz w:val="22"/>
              </w:rPr>
            </w:pPr>
            <w:r>
              <w:rPr>
                <w:spacing w:val="-2"/>
                <w:sz w:val="22"/>
              </w:rPr>
              <w:t>5.42±0.06</w:t>
            </w:r>
          </w:p>
        </w:tc>
        <w:tc>
          <w:tcPr>
            <w:tcW w:w="1409" w:type="dxa"/>
          </w:tcPr>
          <w:p>
            <w:pPr>
              <w:pStyle w:val="TableParagraph"/>
              <w:spacing w:line="239" w:lineRule="exact"/>
              <w:ind w:left="55"/>
              <w:jc w:val="center"/>
              <w:rPr>
                <w:sz w:val="22"/>
              </w:rPr>
            </w:pPr>
            <w:r>
              <w:rPr>
                <w:spacing w:val="-2"/>
                <w:sz w:val="22"/>
              </w:rPr>
              <w:t>12.09±0.00</w:t>
            </w:r>
          </w:p>
        </w:tc>
        <w:tc>
          <w:tcPr>
            <w:tcW w:w="1354" w:type="dxa"/>
          </w:tcPr>
          <w:p>
            <w:pPr>
              <w:pStyle w:val="TableParagraph"/>
              <w:spacing w:line="239" w:lineRule="exact"/>
              <w:ind w:left="109" w:right="109"/>
              <w:jc w:val="center"/>
              <w:rPr>
                <w:sz w:val="22"/>
              </w:rPr>
            </w:pPr>
            <w:r>
              <w:rPr>
                <w:spacing w:val="-2"/>
                <w:sz w:val="22"/>
              </w:rPr>
              <w:t>11.67±0.17</w:t>
            </w:r>
          </w:p>
        </w:tc>
        <w:tc>
          <w:tcPr>
            <w:tcW w:w="1385" w:type="dxa"/>
          </w:tcPr>
          <w:p>
            <w:pPr>
              <w:pStyle w:val="TableParagraph"/>
              <w:spacing w:line="239" w:lineRule="exact"/>
              <w:ind w:left="163"/>
              <w:rPr>
                <w:sz w:val="22"/>
              </w:rPr>
            </w:pPr>
            <w:r>
              <w:rPr>
                <w:spacing w:val="-2"/>
                <w:sz w:val="22"/>
              </w:rPr>
              <w:t>1.04±0.04</w:t>
            </w:r>
          </w:p>
        </w:tc>
        <w:tc>
          <w:tcPr>
            <w:tcW w:w="1397" w:type="dxa"/>
          </w:tcPr>
          <w:p>
            <w:pPr>
              <w:pStyle w:val="TableParagraph"/>
              <w:spacing w:line="239" w:lineRule="exact"/>
              <w:ind w:left="218"/>
              <w:rPr>
                <w:sz w:val="22"/>
              </w:rPr>
            </w:pPr>
            <w:r>
              <w:rPr>
                <w:spacing w:val="-2"/>
                <w:sz w:val="22"/>
              </w:rPr>
              <w:t>0.49±0.01</w:t>
            </w:r>
          </w:p>
        </w:tc>
        <w:tc>
          <w:tcPr>
            <w:tcW w:w="946" w:type="dxa"/>
          </w:tcPr>
          <w:p>
            <w:pPr>
              <w:pStyle w:val="TableParagraph"/>
              <w:spacing w:line="239" w:lineRule="exact"/>
              <w:ind w:right="180"/>
              <w:jc w:val="right"/>
              <w:rPr>
                <w:sz w:val="22"/>
              </w:rPr>
            </w:pPr>
            <w:r>
              <w:rPr>
                <w:spacing w:val="-2"/>
                <w:sz w:val="22"/>
              </w:rPr>
              <w:t>11.22</w:t>
            </w:r>
          </w:p>
        </w:tc>
        <w:tc>
          <w:tcPr>
            <w:tcW w:w="1655" w:type="dxa"/>
          </w:tcPr>
          <w:p>
            <w:pPr>
              <w:pStyle w:val="TableParagraph"/>
              <w:spacing w:line="239" w:lineRule="exact"/>
              <w:ind w:left="247"/>
              <w:rPr>
                <w:sz w:val="22"/>
              </w:rPr>
            </w:pPr>
            <w:r>
              <w:rPr>
                <w:spacing w:val="-2"/>
                <w:sz w:val="22"/>
              </w:rPr>
              <w:t>22.90</w:t>
            </w:r>
          </w:p>
        </w:tc>
      </w:tr>
      <w:tr>
        <w:trPr>
          <w:trHeight w:val="259" w:hRule="atLeast"/>
        </w:trPr>
        <w:tc>
          <w:tcPr>
            <w:tcW w:w="946" w:type="dxa"/>
          </w:tcPr>
          <w:p>
            <w:pPr>
              <w:pStyle w:val="TableParagraph"/>
              <w:spacing w:line="239" w:lineRule="exact"/>
              <w:ind w:left="115"/>
              <w:rPr>
                <w:sz w:val="22"/>
              </w:rPr>
            </w:pPr>
            <w:r>
              <w:rPr>
                <w:spacing w:val="-5"/>
                <w:sz w:val="22"/>
              </w:rPr>
              <w:t>MCS</w:t>
            </w:r>
          </w:p>
        </w:tc>
        <w:tc>
          <w:tcPr>
            <w:tcW w:w="1417" w:type="dxa"/>
          </w:tcPr>
          <w:p>
            <w:pPr>
              <w:pStyle w:val="TableParagraph"/>
              <w:spacing w:line="239" w:lineRule="exact"/>
              <w:ind w:left="186"/>
              <w:rPr>
                <w:sz w:val="22"/>
              </w:rPr>
            </w:pPr>
            <w:r>
              <w:rPr>
                <w:spacing w:val="-2"/>
                <w:sz w:val="22"/>
              </w:rPr>
              <w:t>719±6.07</w:t>
            </w:r>
          </w:p>
        </w:tc>
        <w:tc>
          <w:tcPr>
            <w:tcW w:w="1507" w:type="dxa"/>
          </w:tcPr>
          <w:p>
            <w:pPr>
              <w:pStyle w:val="TableParagraph"/>
              <w:spacing w:line="239" w:lineRule="exact"/>
              <w:ind w:right="217"/>
              <w:jc w:val="right"/>
              <w:rPr>
                <w:sz w:val="22"/>
              </w:rPr>
            </w:pPr>
            <w:r>
              <w:rPr>
                <w:spacing w:val="-2"/>
                <w:sz w:val="22"/>
              </w:rPr>
              <w:t>5.56±0.12</w:t>
            </w:r>
          </w:p>
        </w:tc>
        <w:tc>
          <w:tcPr>
            <w:tcW w:w="1409" w:type="dxa"/>
          </w:tcPr>
          <w:p>
            <w:pPr>
              <w:pStyle w:val="TableParagraph"/>
              <w:spacing w:line="239" w:lineRule="exact"/>
              <w:ind w:left="55"/>
              <w:jc w:val="center"/>
              <w:rPr>
                <w:sz w:val="22"/>
              </w:rPr>
            </w:pPr>
            <w:r>
              <w:rPr>
                <w:spacing w:val="-2"/>
                <w:sz w:val="22"/>
              </w:rPr>
              <w:t>12.09±0.00</w:t>
            </w:r>
          </w:p>
        </w:tc>
        <w:tc>
          <w:tcPr>
            <w:tcW w:w="1354" w:type="dxa"/>
          </w:tcPr>
          <w:p>
            <w:pPr>
              <w:pStyle w:val="TableParagraph"/>
              <w:spacing w:line="239" w:lineRule="exact"/>
              <w:ind w:left="109" w:right="109"/>
              <w:jc w:val="center"/>
              <w:rPr>
                <w:sz w:val="22"/>
              </w:rPr>
            </w:pPr>
            <w:r>
              <w:rPr>
                <w:spacing w:val="-2"/>
                <w:sz w:val="22"/>
              </w:rPr>
              <w:t>12.50±0.00</w:t>
            </w:r>
          </w:p>
        </w:tc>
        <w:tc>
          <w:tcPr>
            <w:tcW w:w="1385" w:type="dxa"/>
          </w:tcPr>
          <w:p>
            <w:pPr>
              <w:pStyle w:val="TableParagraph"/>
              <w:spacing w:line="239" w:lineRule="exact"/>
              <w:ind w:left="163"/>
              <w:rPr>
                <w:sz w:val="22"/>
              </w:rPr>
            </w:pPr>
            <w:r>
              <w:rPr>
                <w:spacing w:val="-2"/>
                <w:sz w:val="22"/>
              </w:rPr>
              <w:t>0.97±0.00</w:t>
            </w:r>
          </w:p>
        </w:tc>
        <w:tc>
          <w:tcPr>
            <w:tcW w:w="1397" w:type="dxa"/>
          </w:tcPr>
          <w:p>
            <w:pPr>
              <w:pStyle w:val="TableParagraph"/>
              <w:spacing w:line="239" w:lineRule="exact"/>
              <w:ind w:left="218"/>
              <w:rPr>
                <w:sz w:val="22"/>
              </w:rPr>
            </w:pPr>
            <w:r>
              <w:rPr>
                <w:spacing w:val="-2"/>
                <w:sz w:val="22"/>
              </w:rPr>
              <w:t>4.12±0.01</w:t>
            </w:r>
          </w:p>
        </w:tc>
        <w:tc>
          <w:tcPr>
            <w:tcW w:w="946" w:type="dxa"/>
          </w:tcPr>
          <w:p>
            <w:pPr>
              <w:pStyle w:val="TableParagraph"/>
              <w:spacing w:line="239" w:lineRule="exact"/>
              <w:ind w:right="180"/>
              <w:jc w:val="right"/>
              <w:rPr>
                <w:sz w:val="22"/>
              </w:rPr>
            </w:pPr>
            <w:r>
              <w:rPr>
                <w:spacing w:val="-2"/>
                <w:sz w:val="22"/>
              </w:rPr>
              <w:t>12.89</w:t>
            </w:r>
          </w:p>
        </w:tc>
        <w:tc>
          <w:tcPr>
            <w:tcW w:w="1655" w:type="dxa"/>
          </w:tcPr>
          <w:p>
            <w:pPr>
              <w:pStyle w:val="TableParagraph"/>
              <w:spacing w:line="239" w:lineRule="exact"/>
              <w:ind w:left="247"/>
              <w:rPr>
                <w:sz w:val="22"/>
              </w:rPr>
            </w:pPr>
            <w:r>
              <w:rPr>
                <w:spacing w:val="-4"/>
                <w:sz w:val="22"/>
              </w:rPr>
              <w:t>3.12</w:t>
            </w:r>
          </w:p>
        </w:tc>
      </w:tr>
      <w:tr>
        <w:trPr>
          <w:trHeight w:val="258" w:hRule="atLeast"/>
        </w:trPr>
        <w:tc>
          <w:tcPr>
            <w:tcW w:w="946" w:type="dxa"/>
            <w:tcBorders>
              <w:bottom w:val="single" w:sz="4" w:space="0" w:color="000000"/>
            </w:tcBorders>
          </w:tcPr>
          <w:p>
            <w:pPr>
              <w:pStyle w:val="TableParagraph"/>
              <w:spacing w:line="238" w:lineRule="exact"/>
              <w:ind w:left="115"/>
              <w:rPr>
                <w:sz w:val="22"/>
              </w:rPr>
            </w:pPr>
            <w:r>
              <w:rPr>
                <w:spacing w:val="-5"/>
                <w:sz w:val="22"/>
              </w:rPr>
              <w:t>GEL</w:t>
            </w:r>
          </w:p>
        </w:tc>
        <w:tc>
          <w:tcPr>
            <w:tcW w:w="1417" w:type="dxa"/>
            <w:tcBorders>
              <w:bottom w:val="single" w:sz="4" w:space="0" w:color="000000"/>
            </w:tcBorders>
          </w:tcPr>
          <w:p>
            <w:pPr>
              <w:pStyle w:val="TableParagraph"/>
              <w:spacing w:line="238" w:lineRule="exact"/>
              <w:ind w:left="186"/>
              <w:rPr>
                <w:sz w:val="22"/>
              </w:rPr>
            </w:pPr>
            <w:r>
              <w:rPr>
                <w:spacing w:val="-2"/>
                <w:sz w:val="22"/>
              </w:rPr>
              <w:t>696±4.61</w:t>
            </w:r>
          </w:p>
        </w:tc>
        <w:tc>
          <w:tcPr>
            <w:tcW w:w="1507" w:type="dxa"/>
            <w:tcBorders>
              <w:bottom w:val="single" w:sz="4" w:space="0" w:color="000000"/>
            </w:tcBorders>
          </w:tcPr>
          <w:p>
            <w:pPr>
              <w:pStyle w:val="TableParagraph"/>
              <w:spacing w:line="238" w:lineRule="exact"/>
              <w:ind w:right="217"/>
              <w:jc w:val="right"/>
              <w:rPr>
                <w:sz w:val="22"/>
              </w:rPr>
            </w:pPr>
            <w:r>
              <w:rPr>
                <w:spacing w:val="-2"/>
                <w:sz w:val="22"/>
              </w:rPr>
              <w:t>5.51±0.05</w:t>
            </w:r>
          </w:p>
        </w:tc>
        <w:tc>
          <w:tcPr>
            <w:tcW w:w="1409" w:type="dxa"/>
            <w:tcBorders>
              <w:bottom w:val="single" w:sz="4" w:space="0" w:color="000000"/>
            </w:tcBorders>
          </w:tcPr>
          <w:p>
            <w:pPr>
              <w:pStyle w:val="TableParagraph"/>
              <w:spacing w:line="238" w:lineRule="exact"/>
              <w:ind w:left="55"/>
              <w:jc w:val="center"/>
              <w:rPr>
                <w:sz w:val="22"/>
              </w:rPr>
            </w:pPr>
            <w:r>
              <w:rPr>
                <w:spacing w:val="-2"/>
                <w:sz w:val="22"/>
              </w:rPr>
              <w:t>12.09±0.01</w:t>
            </w:r>
          </w:p>
        </w:tc>
        <w:tc>
          <w:tcPr>
            <w:tcW w:w="1354" w:type="dxa"/>
            <w:tcBorders>
              <w:bottom w:val="single" w:sz="4" w:space="0" w:color="000000"/>
            </w:tcBorders>
          </w:tcPr>
          <w:p>
            <w:pPr>
              <w:pStyle w:val="TableParagraph"/>
              <w:spacing w:line="238" w:lineRule="exact"/>
              <w:ind w:left="109" w:right="109"/>
              <w:jc w:val="center"/>
              <w:rPr>
                <w:sz w:val="22"/>
              </w:rPr>
            </w:pPr>
            <w:r>
              <w:rPr>
                <w:spacing w:val="-2"/>
                <w:sz w:val="22"/>
              </w:rPr>
              <w:t>12.50±0.29</w:t>
            </w:r>
          </w:p>
        </w:tc>
        <w:tc>
          <w:tcPr>
            <w:tcW w:w="1385" w:type="dxa"/>
            <w:tcBorders>
              <w:bottom w:val="single" w:sz="4" w:space="0" w:color="000000"/>
            </w:tcBorders>
          </w:tcPr>
          <w:p>
            <w:pPr>
              <w:pStyle w:val="TableParagraph"/>
              <w:spacing w:line="238" w:lineRule="exact"/>
              <w:ind w:left="163"/>
              <w:rPr>
                <w:sz w:val="22"/>
              </w:rPr>
            </w:pPr>
            <w:r>
              <w:rPr>
                <w:spacing w:val="-2"/>
                <w:sz w:val="22"/>
              </w:rPr>
              <w:t>0.87±0.01</w:t>
            </w:r>
          </w:p>
        </w:tc>
        <w:tc>
          <w:tcPr>
            <w:tcW w:w="1397" w:type="dxa"/>
            <w:tcBorders>
              <w:bottom w:val="single" w:sz="4" w:space="0" w:color="000000"/>
            </w:tcBorders>
          </w:tcPr>
          <w:p>
            <w:pPr>
              <w:pStyle w:val="TableParagraph"/>
              <w:spacing w:line="238" w:lineRule="exact"/>
              <w:ind w:left="218"/>
              <w:rPr>
                <w:sz w:val="22"/>
              </w:rPr>
            </w:pPr>
            <w:r>
              <w:rPr>
                <w:spacing w:val="-2"/>
                <w:sz w:val="22"/>
              </w:rPr>
              <w:t>23.41±0.32</w:t>
            </w:r>
          </w:p>
        </w:tc>
        <w:tc>
          <w:tcPr>
            <w:tcW w:w="946" w:type="dxa"/>
            <w:tcBorders>
              <w:bottom w:val="single" w:sz="4" w:space="0" w:color="000000"/>
            </w:tcBorders>
          </w:tcPr>
          <w:p>
            <w:pPr>
              <w:pStyle w:val="TableParagraph"/>
              <w:spacing w:line="238" w:lineRule="exact"/>
              <w:ind w:right="180"/>
              <w:jc w:val="right"/>
              <w:rPr>
                <w:sz w:val="22"/>
              </w:rPr>
            </w:pPr>
            <w:r>
              <w:rPr>
                <w:spacing w:val="-2"/>
                <w:sz w:val="22"/>
              </w:rPr>
              <w:t>14.37</w:t>
            </w:r>
          </w:p>
        </w:tc>
        <w:tc>
          <w:tcPr>
            <w:tcW w:w="1655" w:type="dxa"/>
            <w:tcBorders>
              <w:bottom w:val="single" w:sz="4" w:space="0" w:color="000000"/>
            </w:tcBorders>
          </w:tcPr>
          <w:p>
            <w:pPr>
              <w:pStyle w:val="TableParagraph"/>
              <w:spacing w:line="238" w:lineRule="exact"/>
              <w:ind w:left="247"/>
              <w:rPr>
                <w:sz w:val="22"/>
              </w:rPr>
            </w:pPr>
            <w:r>
              <w:rPr>
                <w:spacing w:val="-4"/>
                <w:sz w:val="22"/>
              </w:rPr>
              <w:t>0.61</w:t>
            </w:r>
          </w:p>
        </w:tc>
      </w:tr>
    </w:tbl>
    <w:p>
      <w:pPr>
        <w:spacing w:before="18"/>
        <w:ind w:left="448" w:right="0" w:firstLine="0"/>
        <w:jc w:val="center"/>
        <w:rPr>
          <w:sz w:val="22"/>
        </w:rPr>
      </w:pPr>
      <w:r>
        <w:rPr>
          <w:sz w:val="22"/>
        </w:rPr>
        <w:t>DS</w:t>
      </w:r>
      <w:r>
        <w:rPr>
          <w:spacing w:val="11"/>
          <w:sz w:val="22"/>
        </w:rPr>
        <w:t> </w:t>
      </w:r>
      <w:r>
        <w:rPr>
          <w:sz w:val="22"/>
        </w:rPr>
        <w:t>=</w:t>
      </w:r>
      <w:r>
        <w:rPr>
          <w:spacing w:val="5"/>
          <w:sz w:val="22"/>
        </w:rPr>
        <w:t> </w:t>
      </w:r>
      <w:r>
        <w:rPr>
          <w:i/>
          <w:sz w:val="22"/>
        </w:rPr>
        <w:t>Digitaria</w:t>
      </w:r>
      <w:r>
        <w:rPr>
          <w:i/>
          <w:spacing w:val="9"/>
          <w:sz w:val="22"/>
        </w:rPr>
        <w:t> </w:t>
      </w:r>
      <w:r>
        <w:rPr>
          <w:i/>
          <w:sz w:val="22"/>
        </w:rPr>
        <w:t>iburua</w:t>
      </w:r>
      <w:r>
        <w:rPr>
          <w:i/>
          <w:spacing w:val="15"/>
          <w:sz w:val="22"/>
        </w:rPr>
        <w:t> </w:t>
      </w:r>
      <w:r>
        <w:rPr>
          <w:sz w:val="22"/>
        </w:rPr>
        <w:t>starch;</w:t>
      </w:r>
      <w:r>
        <w:rPr>
          <w:spacing w:val="7"/>
          <w:sz w:val="22"/>
        </w:rPr>
        <w:t> </w:t>
      </w:r>
      <w:r>
        <w:rPr>
          <w:sz w:val="22"/>
        </w:rPr>
        <w:t>MCS</w:t>
      </w:r>
      <w:r>
        <w:rPr>
          <w:spacing w:val="6"/>
          <w:sz w:val="22"/>
        </w:rPr>
        <w:t> </w:t>
      </w:r>
      <w:r>
        <w:rPr>
          <w:sz w:val="22"/>
        </w:rPr>
        <w:t>=</w:t>
      </w:r>
      <w:r>
        <w:rPr>
          <w:spacing w:val="4"/>
          <w:sz w:val="22"/>
        </w:rPr>
        <w:t> </w:t>
      </w:r>
      <w:r>
        <w:rPr>
          <w:sz w:val="22"/>
        </w:rPr>
        <w:t>Microcrystalline</w:t>
      </w:r>
      <w:r>
        <w:rPr>
          <w:spacing w:val="7"/>
          <w:sz w:val="22"/>
        </w:rPr>
        <w:t> </w:t>
      </w:r>
      <w:r>
        <w:rPr>
          <w:sz w:val="22"/>
        </w:rPr>
        <w:t>starch;</w:t>
      </w:r>
      <w:r>
        <w:rPr>
          <w:spacing w:val="7"/>
          <w:sz w:val="22"/>
        </w:rPr>
        <w:t> </w:t>
      </w:r>
      <w:r>
        <w:rPr>
          <w:sz w:val="22"/>
        </w:rPr>
        <w:t>GEL</w:t>
      </w:r>
      <w:r>
        <w:rPr>
          <w:spacing w:val="10"/>
          <w:sz w:val="22"/>
        </w:rPr>
        <w:t> </w:t>
      </w:r>
      <w:r>
        <w:rPr>
          <w:sz w:val="22"/>
        </w:rPr>
        <w:t>=</w:t>
      </w:r>
      <w:r>
        <w:rPr>
          <w:spacing w:val="9"/>
          <w:sz w:val="22"/>
        </w:rPr>
        <w:t> </w:t>
      </w:r>
      <w:r>
        <w:rPr>
          <w:spacing w:val="-2"/>
          <w:sz w:val="22"/>
        </w:rPr>
        <w:t>Gelatin</w:t>
      </w:r>
    </w:p>
    <w:p>
      <w:pPr>
        <w:spacing w:after="0"/>
        <w:jc w:val="center"/>
        <w:rPr>
          <w:sz w:val="22"/>
        </w:rPr>
        <w:sectPr>
          <w:type w:val="continuous"/>
          <w:pgSz w:w="15840" w:h="12240" w:orient="landscape"/>
          <w:pgMar w:header="0" w:footer="1518" w:top="1780" w:bottom="1180" w:left="1120" w:right="1580"/>
        </w:sectPr>
      </w:pPr>
    </w:p>
    <w:p>
      <w:pPr>
        <w:pStyle w:val="BodyText"/>
        <w:spacing w:before="220"/>
      </w:pPr>
    </w:p>
    <w:p>
      <w:pPr>
        <w:pStyle w:val="Heading2"/>
        <w:spacing w:before="1"/>
        <w:ind w:left="0" w:right="2619" w:firstLine="0"/>
        <w:jc w:val="right"/>
      </w:pPr>
      <w:r>
        <w:rPr/>
        <w:t>Table</w:t>
      </w:r>
      <w:r>
        <w:rPr>
          <w:spacing w:val="7"/>
        </w:rPr>
        <w:t> </w:t>
      </w:r>
      <w:r>
        <w:rPr/>
        <w:t>4.9:</w:t>
      </w:r>
      <w:r>
        <w:rPr>
          <w:spacing w:val="9"/>
        </w:rPr>
        <w:t> </w:t>
      </w:r>
      <w:r>
        <w:rPr/>
        <w:t>Quality</w:t>
      </w:r>
      <w:r>
        <w:rPr>
          <w:spacing w:val="4"/>
        </w:rPr>
        <w:t> </w:t>
      </w:r>
      <w:r>
        <w:rPr/>
        <w:t>Control</w:t>
      </w:r>
      <w:r>
        <w:rPr>
          <w:spacing w:val="12"/>
        </w:rPr>
        <w:t> </w:t>
      </w:r>
      <w:r>
        <w:rPr/>
        <w:t>Tests</w:t>
      </w:r>
      <w:r>
        <w:rPr>
          <w:spacing w:val="11"/>
        </w:rPr>
        <w:t> </w:t>
      </w:r>
      <w:r>
        <w:rPr/>
        <w:t>on</w:t>
      </w:r>
      <w:r>
        <w:rPr>
          <w:spacing w:val="11"/>
        </w:rPr>
        <w:t> </w:t>
      </w:r>
      <w:r>
        <w:rPr/>
        <w:t>the</w:t>
      </w:r>
      <w:r>
        <w:rPr>
          <w:spacing w:val="7"/>
        </w:rPr>
        <w:t> </w:t>
      </w:r>
      <w:r>
        <w:rPr/>
        <w:t>Disintegrating</w:t>
      </w:r>
      <w:r>
        <w:rPr>
          <w:spacing w:val="9"/>
        </w:rPr>
        <w:t> </w:t>
      </w:r>
      <w:r>
        <w:rPr/>
        <w:t>Properties</w:t>
      </w:r>
      <w:r>
        <w:rPr>
          <w:spacing w:val="11"/>
        </w:rPr>
        <w:t> </w:t>
      </w:r>
      <w:r>
        <w:rPr/>
        <w:t>of</w:t>
      </w:r>
      <w:r>
        <w:rPr>
          <w:spacing w:val="15"/>
        </w:rPr>
        <w:t> </w:t>
      </w:r>
      <w:r>
        <w:rPr/>
        <w:t>Tablets</w:t>
      </w:r>
      <w:r>
        <w:rPr>
          <w:spacing w:val="11"/>
        </w:rPr>
        <w:t> </w:t>
      </w:r>
      <w:r>
        <w:rPr/>
        <w:t>Produced</w:t>
      </w:r>
      <w:r>
        <w:rPr>
          <w:spacing w:val="11"/>
        </w:rPr>
        <w:t> </w:t>
      </w:r>
      <w:r>
        <w:rPr/>
        <w:t>by</w:t>
      </w:r>
      <w:r>
        <w:rPr>
          <w:spacing w:val="8"/>
        </w:rPr>
        <w:t> </w:t>
      </w:r>
      <w:r>
        <w:rPr/>
        <w:t>Wet</w:t>
      </w:r>
      <w:r>
        <w:rPr>
          <w:spacing w:val="3"/>
        </w:rPr>
        <w:t> </w:t>
      </w:r>
      <w:r>
        <w:rPr>
          <w:spacing w:val="-2"/>
        </w:rPr>
        <w:t>Granulation.</w:t>
      </w:r>
    </w:p>
    <w:p>
      <w:pPr>
        <w:pStyle w:val="BodyText"/>
        <w:spacing w:before="99"/>
        <w:rPr>
          <w:b/>
          <w:sz w:val="20"/>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6"/>
        <w:gridCol w:w="1187"/>
        <w:gridCol w:w="1281"/>
        <w:gridCol w:w="1423"/>
        <w:gridCol w:w="1523"/>
        <w:gridCol w:w="1338"/>
        <w:gridCol w:w="1360"/>
        <w:gridCol w:w="1044"/>
        <w:gridCol w:w="1905"/>
      </w:tblGrid>
      <w:tr>
        <w:trPr>
          <w:trHeight w:val="782" w:hRule="atLeast"/>
        </w:trPr>
        <w:tc>
          <w:tcPr>
            <w:tcW w:w="1396" w:type="dxa"/>
            <w:tcBorders>
              <w:top w:val="single" w:sz="2" w:space="0" w:color="000000"/>
              <w:bottom w:val="single" w:sz="4" w:space="0" w:color="000000"/>
            </w:tcBorders>
          </w:tcPr>
          <w:p>
            <w:pPr>
              <w:pStyle w:val="TableParagraph"/>
              <w:spacing w:line="260" w:lineRule="atLeast"/>
              <w:ind w:left="107" w:right="41"/>
              <w:rPr>
                <w:b/>
                <w:sz w:val="22"/>
              </w:rPr>
            </w:pPr>
            <w:r>
              <w:rPr>
                <w:b/>
                <w:spacing w:val="-2"/>
                <w:sz w:val="22"/>
              </w:rPr>
              <w:t>Disintegrant Conc. (%w/w)</w:t>
            </w:r>
          </w:p>
        </w:tc>
        <w:tc>
          <w:tcPr>
            <w:tcW w:w="1187" w:type="dxa"/>
            <w:tcBorders>
              <w:top w:val="single" w:sz="2" w:space="0" w:color="000000"/>
              <w:bottom w:val="single" w:sz="4" w:space="0" w:color="000000"/>
            </w:tcBorders>
          </w:tcPr>
          <w:p>
            <w:pPr>
              <w:pStyle w:val="TableParagraph"/>
              <w:spacing w:line="260" w:lineRule="atLeast"/>
              <w:ind w:left="166" w:right="5"/>
              <w:rPr>
                <w:b/>
                <w:sz w:val="22"/>
              </w:rPr>
            </w:pPr>
            <w:r>
              <w:rPr>
                <w:b/>
                <w:spacing w:val="-4"/>
                <w:sz w:val="22"/>
              </w:rPr>
              <w:t>Mean </w:t>
            </w:r>
            <w:r>
              <w:rPr>
                <w:b/>
                <w:spacing w:val="-2"/>
                <w:sz w:val="22"/>
              </w:rPr>
              <w:t>weight </w:t>
            </w:r>
            <w:r>
              <w:rPr>
                <w:b/>
                <w:spacing w:val="-4"/>
                <w:sz w:val="22"/>
              </w:rPr>
              <w:t>(mg)</w:t>
            </w:r>
          </w:p>
        </w:tc>
        <w:tc>
          <w:tcPr>
            <w:tcW w:w="1281" w:type="dxa"/>
            <w:tcBorders>
              <w:top w:val="single" w:sz="2" w:space="0" w:color="000000"/>
              <w:bottom w:val="single" w:sz="4" w:space="0" w:color="000000"/>
            </w:tcBorders>
          </w:tcPr>
          <w:p>
            <w:pPr>
              <w:pStyle w:val="TableParagraph"/>
              <w:spacing w:line="244" w:lineRule="auto" w:before="10"/>
              <w:ind w:left="337" w:right="147" w:hanging="173"/>
              <w:rPr>
                <w:b/>
                <w:sz w:val="22"/>
              </w:rPr>
            </w:pPr>
            <w:r>
              <w:rPr>
                <w:b/>
                <w:spacing w:val="-2"/>
                <w:sz w:val="22"/>
              </w:rPr>
              <w:t>Thickness </w:t>
            </w:r>
            <w:r>
              <w:rPr>
                <w:b/>
                <w:spacing w:val="-4"/>
                <w:sz w:val="22"/>
              </w:rPr>
              <w:t>(mm)</w:t>
            </w:r>
          </w:p>
        </w:tc>
        <w:tc>
          <w:tcPr>
            <w:tcW w:w="1423" w:type="dxa"/>
            <w:tcBorders>
              <w:top w:val="single" w:sz="2" w:space="0" w:color="000000"/>
              <w:bottom w:val="single" w:sz="4" w:space="0" w:color="000000"/>
            </w:tcBorders>
          </w:tcPr>
          <w:p>
            <w:pPr>
              <w:pStyle w:val="TableParagraph"/>
              <w:spacing w:line="244" w:lineRule="auto" w:before="10"/>
              <w:ind w:left="271" w:hanging="120"/>
              <w:rPr>
                <w:b/>
                <w:sz w:val="22"/>
              </w:rPr>
            </w:pPr>
            <w:r>
              <w:rPr>
                <w:b/>
                <w:spacing w:val="-2"/>
                <w:sz w:val="22"/>
              </w:rPr>
              <w:t>Diameter </w:t>
            </w:r>
            <w:r>
              <w:rPr>
                <w:b/>
                <w:spacing w:val="-4"/>
                <w:sz w:val="22"/>
              </w:rPr>
              <w:t>(mm)</w:t>
            </w:r>
          </w:p>
        </w:tc>
        <w:tc>
          <w:tcPr>
            <w:tcW w:w="1523" w:type="dxa"/>
            <w:tcBorders>
              <w:top w:val="single" w:sz="2" w:space="0" w:color="000000"/>
              <w:bottom w:val="single" w:sz="4" w:space="0" w:color="000000"/>
            </w:tcBorders>
          </w:tcPr>
          <w:p>
            <w:pPr>
              <w:pStyle w:val="TableParagraph"/>
              <w:spacing w:before="10"/>
              <w:ind w:left="365"/>
              <w:rPr>
                <w:b/>
                <w:sz w:val="22"/>
              </w:rPr>
            </w:pPr>
            <w:r>
              <w:rPr>
                <w:b/>
                <w:sz w:val="22"/>
              </w:rPr>
              <w:t>CS</w:t>
            </w:r>
            <w:r>
              <w:rPr>
                <w:b/>
                <w:spacing w:val="5"/>
                <w:sz w:val="22"/>
              </w:rPr>
              <w:t> </w:t>
            </w:r>
            <w:r>
              <w:rPr>
                <w:b/>
                <w:spacing w:val="-2"/>
                <w:sz w:val="22"/>
              </w:rPr>
              <w:t>(kgf)</w:t>
            </w:r>
          </w:p>
        </w:tc>
        <w:tc>
          <w:tcPr>
            <w:tcW w:w="1338" w:type="dxa"/>
            <w:tcBorders>
              <w:top w:val="single" w:sz="2" w:space="0" w:color="000000"/>
              <w:bottom w:val="single" w:sz="4" w:space="0" w:color="000000"/>
            </w:tcBorders>
          </w:tcPr>
          <w:p>
            <w:pPr>
              <w:pStyle w:val="TableParagraph"/>
              <w:spacing w:before="10"/>
              <w:ind w:left="131"/>
              <w:jc w:val="center"/>
              <w:rPr>
                <w:b/>
                <w:sz w:val="22"/>
              </w:rPr>
            </w:pPr>
            <w:r>
              <w:rPr>
                <w:b/>
                <w:sz w:val="22"/>
              </w:rPr>
              <w:t>FR</w:t>
            </w:r>
            <w:r>
              <w:rPr>
                <w:b/>
                <w:spacing w:val="3"/>
                <w:sz w:val="22"/>
              </w:rPr>
              <w:t> </w:t>
            </w:r>
            <w:r>
              <w:rPr>
                <w:b/>
                <w:spacing w:val="-5"/>
                <w:sz w:val="22"/>
              </w:rPr>
              <w:t>(%)</w:t>
            </w:r>
          </w:p>
        </w:tc>
        <w:tc>
          <w:tcPr>
            <w:tcW w:w="1360" w:type="dxa"/>
            <w:tcBorders>
              <w:top w:val="single" w:sz="2" w:space="0" w:color="000000"/>
              <w:bottom w:val="single" w:sz="4" w:space="0" w:color="000000"/>
            </w:tcBorders>
          </w:tcPr>
          <w:p>
            <w:pPr>
              <w:pStyle w:val="TableParagraph"/>
              <w:spacing w:before="10"/>
              <w:ind w:left="15" w:right="83"/>
              <w:jc w:val="center"/>
              <w:rPr>
                <w:b/>
                <w:sz w:val="22"/>
              </w:rPr>
            </w:pPr>
            <w:r>
              <w:rPr>
                <w:b/>
                <w:sz w:val="22"/>
              </w:rPr>
              <w:t>DT</w:t>
            </w:r>
            <w:r>
              <w:rPr>
                <w:b/>
                <w:spacing w:val="6"/>
                <w:sz w:val="22"/>
              </w:rPr>
              <w:t> </w:t>
            </w:r>
            <w:r>
              <w:rPr>
                <w:b/>
                <w:spacing w:val="-2"/>
                <w:sz w:val="22"/>
              </w:rPr>
              <w:t>(Min)</w:t>
            </w:r>
          </w:p>
        </w:tc>
        <w:tc>
          <w:tcPr>
            <w:tcW w:w="1044" w:type="dxa"/>
            <w:tcBorders>
              <w:top w:val="single" w:sz="2" w:space="0" w:color="000000"/>
              <w:bottom w:val="single" w:sz="4" w:space="0" w:color="000000"/>
            </w:tcBorders>
          </w:tcPr>
          <w:p>
            <w:pPr>
              <w:pStyle w:val="TableParagraph"/>
              <w:spacing w:before="10"/>
              <w:ind w:left="262"/>
              <w:rPr>
                <w:b/>
                <w:sz w:val="22"/>
              </w:rPr>
            </w:pPr>
            <w:r>
              <w:rPr>
                <w:b/>
                <w:spacing w:val="-2"/>
                <w:sz w:val="22"/>
              </w:rPr>
              <w:t>CS/FR</w:t>
            </w:r>
          </w:p>
        </w:tc>
        <w:tc>
          <w:tcPr>
            <w:tcW w:w="1905" w:type="dxa"/>
            <w:tcBorders>
              <w:top w:val="single" w:sz="2" w:space="0" w:color="000000"/>
              <w:bottom w:val="single" w:sz="4" w:space="0" w:color="000000"/>
            </w:tcBorders>
          </w:tcPr>
          <w:p>
            <w:pPr>
              <w:pStyle w:val="TableParagraph"/>
              <w:spacing w:before="10"/>
              <w:ind w:left="144"/>
              <w:rPr>
                <w:b/>
                <w:sz w:val="22"/>
              </w:rPr>
            </w:pPr>
            <w:r>
              <w:rPr>
                <w:b/>
                <w:spacing w:val="-2"/>
                <w:sz w:val="22"/>
              </w:rPr>
              <w:t>(CS/FR)/DT</w:t>
            </w:r>
          </w:p>
        </w:tc>
      </w:tr>
      <w:tr>
        <w:trPr>
          <w:trHeight w:val="259" w:hRule="atLeast"/>
        </w:trPr>
        <w:tc>
          <w:tcPr>
            <w:tcW w:w="1396" w:type="dxa"/>
            <w:tcBorders>
              <w:top w:val="single" w:sz="4" w:space="0" w:color="000000"/>
            </w:tcBorders>
          </w:tcPr>
          <w:p>
            <w:pPr>
              <w:pStyle w:val="TableParagraph"/>
              <w:spacing w:line="239" w:lineRule="exact" w:before="1"/>
              <w:ind w:left="107"/>
              <w:rPr>
                <w:sz w:val="22"/>
              </w:rPr>
            </w:pPr>
            <w:r>
              <w:rPr>
                <w:sz w:val="22"/>
                <w:u w:val="single"/>
              </w:rPr>
              <w:t>2.5</w:t>
            </w:r>
            <w:r>
              <w:rPr>
                <w:spacing w:val="12"/>
                <w:sz w:val="22"/>
                <w:u w:val="single"/>
              </w:rPr>
              <w:t> </w:t>
            </w:r>
            <w:r>
              <w:rPr>
                <w:spacing w:val="-10"/>
                <w:sz w:val="22"/>
                <w:u w:val="single"/>
              </w:rPr>
              <w:t>%</w:t>
            </w:r>
          </w:p>
        </w:tc>
        <w:tc>
          <w:tcPr>
            <w:tcW w:w="1187" w:type="dxa"/>
            <w:tcBorders>
              <w:top w:val="single" w:sz="4" w:space="0" w:color="000000"/>
            </w:tcBorders>
          </w:tcPr>
          <w:p>
            <w:pPr>
              <w:pStyle w:val="TableParagraph"/>
              <w:rPr>
                <w:sz w:val="18"/>
              </w:rPr>
            </w:pPr>
          </w:p>
        </w:tc>
        <w:tc>
          <w:tcPr>
            <w:tcW w:w="1281" w:type="dxa"/>
            <w:tcBorders>
              <w:top w:val="single" w:sz="4" w:space="0" w:color="000000"/>
            </w:tcBorders>
          </w:tcPr>
          <w:p>
            <w:pPr>
              <w:pStyle w:val="TableParagraph"/>
              <w:rPr>
                <w:sz w:val="18"/>
              </w:rPr>
            </w:pPr>
          </w:p>
        </w:tc>
        <w:tc>
          <w:tcPr>
            <w:tcW w:w="1423" w:type="dxa"/>
            <w:tcBorders>
              <w:top w:val="single" w:sz="4" w:space="0" w:color="000000"/>
            </w:tcBorders>
          </w:tcPr>
          <w:p>
            <w:pPr>
              <w:pStyle w:val="TableParagraph"/>
              <w:rPr>
                <w:sz w:val="18"/>
              </w:rPr>
            </w:pPr>
          </w:p>
        </w:tc>
        <w:tc>
          <w:tcPr>
            <w:tcW w:w="1523" w:type="dxa"/>
            <w:tcBorders>
              <w:top w:val="single" w:sz="4" w:space="0" w:color="000000"/>
            </w:tcBorders>
          </w:tcPr>
          <w:p>
            <w:pPr>
              <w:pStyle w:val="TableParagraph"/>
              <w:rPr>
                <w:sz w:val="18"/>
              </w:rPr>
            </w:pPr>
          </w:p>
        </w:tc>
        <w:tc>
          <w:tcPr>
            <w:tcW w:w="1338" w:type="dxa"/>
            <w:tcBorders>
              <w:top w:val="single" w:sz="4" w:space="0" w:color="000000"/>
            </w:tcBorders>
          </w:tcPr>
          <w:p>
            <w:pPr>
              <w:pStyle w:val="TableParagraph"/>
              <w:rPr>
                <w:sz w:val="18"/>
              </w:rPr>
            </w:pPr>
          </w:p>
        </w:tc>
        <w:tc>
          <w:tcPr>
            <w:tcW w:w="1360" w:type="dxa"/>
            <w:tcBorders>
              <w:top w:val="single" w:sz="4" w:space="0" w:color="000000"/>
            </w:tcBorders>
          </w:tcPr>
          <w:p>
            <w:pPr>
              <w:pStyle w:val="TableParagraph"/>
              <w:rPr>
                <w:sz w:val="18"/>
              </w:rPr>
            </w:pPr>
          </w:p>
        </w:tc>
        <w:tc>
          <w:tcPr>
            <w:tcW w:w="1044" w:type="dxa"/>
            <w:tcBorders>
              <w:top w:val="single" w:sz="4" w:space="0" w:color="000000"/>
            </w:tcBorders>
          </w:tcPr>
          <w:p>
            <w:pPr>
              <w:pStyle w:val="TableParagraph"/>
              <w:rPr>
                <w:sz w:val="18"/>
              </w:rPr>
            </w:pPr>
          </w:p>
        </w:tc>
        <w:tc>
          <w:tcPr>
            <w:tcW w:w="1905" w:type="dxa"/>
            <w:tcBorders>
              <w:top w:val="single" w:sz="4" w:space="0" w:color="000000"/>
            </w:tcBorders>
          </w:tcPr>
          <w:p>
            <w:pPr>
              <w:pStyle w:val="TableParagraph"/>
              <w:rPr>
                <w:sz w:val="18"/>
              </w:rPr>
            </w:pPr>
          </w:p>
        </w:tc>
      </w:tr>
      <w:tr>
        <w:trPr>
          <w:trHeight w:val="259" w:hRule="atLeast"/>
        </w:trPr>
        <w:tc>
          <w:tcPr>
            <w:tcW w:w="1396" w:type="dxa"/>
          </w:tcPr>
          <w:p>
            <w:pPr>
              <w:pStyle w:val="TableParagraph"/>
              <w:spacing w:line="239" w:lineRule="exact"/>
              <w:ind w:left="107"/>
              <w:rPr>
                <w:sz w:val="22"/>
              </w:rPr>
            </w:pPr>
            <w:r>
              <w:rPr>
                <w:spacing w:val="-5"/>
                <w:sz w:val="22"/>
              </w:rPr>
              <w:t>DS</w:t>
            </w:r>
          </w:p>
        </w:tc>
        <w:tc>
          <w:tcPr>
            <w:tcW w:w="1187" w:type="dxa"/>
          </w:tcPr>
          <w:p>
            <w:pPr>
              <w:pStyle w:val="TableParagraph"/>
              <w:spacing w:line="239" w:lineRule="exact"/>
              <w:ind w:left="79"/>
              <w:rPr>
                <w:sz w:val="22"/>
              </w:rPr>
            </w:pPr>
            <w:r>
              <w:rPr>
                <w:spacing w:val="-2"/>
                <w:sz w:val="22"/>
              </w:rPr>
              <w:t>701±6.66</w:t>
            </w:r>
          </w:p>
        </w:tc>
        <w:tc>
          <w:tcPr>
            <w:tcW w:w="1281" w:type="dxa"/>
          </w:tcPr>
          <w:p>
            <w:pPr>
              <w:pStyle w:val="TableParagraph"/>
              <w:spacing w:line="239" w:lineRule="exact"/>
              <w:ind w:right="39"/>
              <w:jc w:val="center"/>
              <w:rPr>
                <w:sz w:val="22"/>
              </w:rPr>
            </w:pPr>
            <w:r>
              <w:rPr>
                <w:spacing w:val="-2"/>
                <w:sz w:val="22"/>
              </w:rPr>
              <w:t>5.62±0.02</w:t>
            </w:r>
          </w:p>
        </w:tc>
        <w:tc>
          <w:tcPr>
            <w:tcW w:w="1423" w:type="dxa"/>
          </w:tcPr>
          <w:p>
            <w:pPr>
              <w:pStyle w:val="TableParagraph"/>
              <w:spacing w:line="239" w:lineRule="exact"/>
              <w:ind w:right="93"/>
              <w:jc w:val="center"/>
              <w:rPr>
                <w:sz w:val="22"/>
              </w:rPr>
            </w:pPr>
            <w:r>
              <w:rPr>
                <w:spacing w:val="-2"/>
                <w:sz w:val="22"/>
              </w:rPr>
              <w:t>12.09±0.01</w:t>
            </w:r>
          </w:p>
        </w:tc>
        <w:tc>
          <w:tcPr>
            <w:tcW w:w="1523" w:type="dxa"/>
          </w:tcPr>
          <w:p>
            <w:pPr>
              <w:pStyle w:val="TableParagraph"/>
              <w:spacing w:line="239" w:lineRule="exact"/>
              <w:ind w:left="249"/>
              <w:rPr>
                <w:sz w:val="22"/>
              </w:rPr>
            </w:pPr>
            <w:r>
              <w:rPr>
                <w:spacing w:val="-2"/>
                <w:sz w:val="22"/>
              </w:rPr>
              <w:t>11.70±0.10</w:t>
            </w:r>
          </w:p>
        </w:tc>
        <w:tc>
          <w:tcPr>
            <w:tcW w:w="1338" w:type="dxa"/>
          </w:tcPr>
          <w:p>
            <w:pPr>
              <w:pStyle w:val="TableParagraph"/>
              <w:spacing w:line="239" w:lineRule="exact"/>
              <w:ind w:left="131" w:right="53"/>
              <w:jc w:val="center"/>
              <w:rPr>
                <w:sz w:val="22"/>
              </w:rPr>
            </w:pPr>
            <w:r>
              <w:rPr>
                <w:spacing w:val="-2"/>
                <w:sz w:val="22"/>
              </w:rPr>
              <w:t>1.41±0.01</w:t>
            </w:r>
          </w:p>
        </w:tc>
        <w:tc>
          <w:tcPr>
            <w:tcW w:w="1360" w:type="dxa"/>
          </w:tcPr>
          <w:p>
            <w:pPr>
              <w:pStyle w:val="TableParagraph"/>
              <w:spacing w:line="239" w:lineRule="exact"/>
              <w:ind w:right="83"/>
              <w:jc w:val="center"/>
              <w:rPr>
                <w:sz w:val="22"/>
              </w:rPr>
            </w:pPr>
            <w:r>
              <w:rPr>
                <w:spacing w:val="-2"/>
                <w:sz w:val="22"/>
              </w:rPr>
              <w:t>8.24±0.05</w:t>
            </w:r>
          </w:p>
        </w:tc>
        <w:tc>
          <w:tcPr>
            <w:tcW w:w="1044" w:type="dxa"/>
          </w:tcPr>
          <w:p>
            <w:pPr>
              <w:pStyle w:val="TableParagraph"/>
              <w:spacing w:line="239" w:lineRule="exact"/>
              <w:ind w:left="262"/>
              <w:rPr>
                <w:sz w:val="22"/>
              </w:rPr>
            </w:pPr>
            <w:r>
              <w:rPr>
                <w:spacing w:val="-4"/>
                <w:sz w:val="22"/>
              </w:rPr>
              <w:t>8.30</w:t>
            </w:r>
          </w:p>
        </w:tc>
        <w:tc>
          <w:tcPr>
            <w:tcW w:w="1905" w:type="dxa"/>
          </w:tcPr>
          <w:p>
            <w:pPr>
              <w:pStyle w:val="TableParagraph"/>
              <w:spacing w:line="239" w:lineRule="exact"/>
              <w:ind w:left="144"/>
              <w:rPr>
                <w:sz w:val="22"/>
              </w:rPr>
            </w:pPr>
            <w:r>
              <w:rPr>
                <w:spacing w:val="-4"/>
                <w:sz w:val="22"/>
              </w:rPr>
              <w:t>1.01</w:t>
            </w:r>
          </w:p>
        </w:tc>
      </w:tr>
      <w:tr>
        <w:trPr>
          <w:trHeight w:val="259" w:hRule="atLeast"/>
        </w:trPr>
        <w:tc>
          <w:tcPr>
            <w:tcW w:w="1396" w:type="dxa"/>
          </w:tcPr>
          <w:p>
            <w:pPr>
              <w:pStyle w:val="TableParagraph"/>
              <w:spacing w:line="239" w:lineRule="exact"/>
              <w:ind w:left="107"/>
              <w:rPr>
                <w:sz w:val="22"/>
              </w:rPr>
            </w:pPr>
            <w:r>
              <w:rPr>
                <w:spacing w:val="-5"/>
                <w:sz w:val="22"/>
              </w:rPr>
              <w:t>MCS</w:t>
            </w:r>
          </w:p>
        </w:tc>
        <w:tc>
          <w:tcPr>
            <w:tcW w:w="1187" w:type="dxa"/>
          </w:tcPr>
          <w:p>
            <w:pPr>
              <w:pStyle w:val="TableParagraph"/>
              <w:spacing w:line="239" w:lineRule="exact"/>
              <w:ind w:left="79"/>
              <w:rPr>
                <w:sz w:val="22"/>
              </w:rPr>
            </w:pPr>
            <w:r>
              <w:rPr>
                <w:spacing w:val="-2"/>
                <w:sz w:val="22"/>
              </w:rPr>
              <w:t>680±5.87</w:t>
            </w:r>
          </w:p>
        </w:tc>
        <w:tc>
          <w:tcPr>
            <w:tcW w:w="1281" w:type="dxa"/>
          </w:tcPr>
          <w:p>
            <w:pPr>
              <w:pStyle w:val="TableParagraph"/>
              <w:spacing w:line="239" w:lineRule="exact"/>
              <w:ind w:right="39"/>
              <w:jc w:val="center"/>
              <w:rPr>
                <w:sz w:val="22"/>
              </w:rPr>
            </w:pPr>
            <w:r>
              <w:rPr>
                <w:spacing w:val="-2"/>
                <w:sz w:val="22"/>
              </w:rPr>
              <w:t>5.40±0.06</w:t>
            </w:r>
          </w:p>
        </w:tc>
        <w:tc>
          <w:tcPr>
            <w:tcW w:w="1423" w:type="dxa"/>
          </w:tcPr>
          <w:p>
            <w:pPr>
              <w:pStyle w:val="TableParagraph"/>
              <w:spacing w:line="239" w:lineRule="exact"/>
              <w:ind w:right="93"/>
              <w:jc w:val="center"/>
              <w:rPr>
                <w:sz w:val="22"/>
              </w:rPr>
            </w:pPr>
            <w:r>
              <w:rPr>
                <w:spacing w:val="-2"/>
                <w:sz w:val="22"/>
              </w:rPr>
              <w:t>12.08±0.01</w:t>
            </w:r>
          </w:p>
        </w:tc>
        <w:tc>
          <w:tcPr>
            <w:tcW w:w="1523" w:type="dxa"/>
          </w:tcPr>
          <w:p>
            <w:pPr>
              <w:pStyle w:val="TableParagraph"/>
              <w:spacing w:line="239" w:lineRule="exact"/>
              <w:ind w:left="249"/>
              <w:rPr>
                <w:sz w:val="22"/>
              </w:rPr>
            </w:pPr>
            <w:r>
              <w:rPr>
                <w:spacing w:val="-2"/>
                <w:sz w:val="22"/>
              </w:rPr>
              <w:t>12.20±0.07</w:t>
            </w:r>
          </w:p>
        </w:tc>
        <w:tc>
          <w:tcPr>
            <w:tcW w:w="1338" w:type="dxa"/>
          </w:tcPr>
          <w:p>
            <w:pPr>
              <w:pStyle w:val="TableParagraph"/>
              <w:spacing w:line="239" w:lineRule="exact"/>
              <w:ind w:left="131" w:right="53"/>
              <w:jc w:val="center"/>
              <w:rPr>
                <w:sz w:val="22"/>
              </w:rPr>
            </w:pPr>
            <w:r>
              <w:rPr>
                <w:spacing w:val="-2"/>
                <w:sz w:val="22"/>
              </w:rPr>
              <w:t>1.31±0.01</w:t>
            </w:r>
          </w:p>
        </w:tc>
        <w:tc>
          <w:tcPr>
            <w:tcW w:w="1360" w:type="dxa"/>
          </w:tcPr>
          <w:p>
            <w:pPr>
              <w:pStyle w:val="TableParagraph"/>
              <w:spacing w:line="239" w:lineRule="exact"/>
              <w:ind w:right="83"/>
              <w:jc w:val="center"/>
              <w:rPr>
                <w:sz w:val="22"/>
              </w:rPr>
            </w:pPr>
            <w:r>
              <w:rPr>
                <w:spacing w:val="-2"/>
                <w:sz w:val="22"/>
              </w:rPr>
              <w:t>7.11±0.02</w:t>
            </w:r>
          </w:p>
        </w:tc>
        <w:tc>
          <w:tcPr>
            <w:tcW w:w="1044" w:type="dxa"/>
          </w:tcPr>
          <w:p>
            <w:pPr>
              <w:pStyle w:val="TableParagraph"/>
              <w:spacing w:line="239" w:lineRule="exact"/>
              <w:ind w:left="262"/>
              <w:rPr>
                <w:sz w:val="22"/>
              </w:rPr>
            </w:pPr>
            <w:r>
              <w:rPr>
                <w:spacing w:val="-4"/>
                <w:sz w:val="22"/>
              </w:rPr>
              <w:t>9.31</w:t>
            </w:r>
          </w:p>
        </w:tc>
        <w:tc>
          <w:tcPr>
            <w:tcW w:w="1905" w:type="dxa"/>
          </w:tcPr>
          <w:p>
            <w:pPr>
              <w:pStyle w:val="TableParagraph"/>
              <w:spacing w:line="239" w:lineRule="exact"/>
              <w:ind w:left="144"/>
              <w:rPr>
                <w:sz w:val="22"/>
              </w:rPr>
            </w:pPr>
            <w:r>
              <w:rPr>
                <w:spacing w:val="-4"/>
                <w:sz w:val="22"/>
              </w:rPr>
              <w:t>1.31</w:t>
            </w:r>
          </w:p>
        </w:tc>
      </w:tr>
      <w:tr>
        <w:trPr>
          <w:trHeight w:val="388" w:hRule="atLeast"/>
        </w:trPr>
        <w:tc>
          <w:tcPr>
            <w:tcW w:w="1396" w:type="dxa"/>
          </w:tcPr>
          <w:p>
            <w:pPr>
              <w:pStyle w:val="TableParagraph"/>
              <w:ind w:left="107"/>
              <w:rPr>
                <w:sz w:val="22"/>
              </w:rPr>
            </w:pPr>
            <w:r>
              <w:rPr>
                <w:spacing w:val="-5"/>
                <w:sz w:val="22"/>
              </w:rPr>
              <w:t>MS</w:t>
            </w:r>
          </w:p>
        </w:tc>
        <w:tc>
          <w:tcPr>
            <w:tcW w:w="1187" w:type="dxa"/>
          </w:tcPr>
          <w:p>
            <w:pPr>
              <w:pStyle w:val="TableParagraph"/>
              <w:ind w:left="79"/>
              <w:rPr>
                <w:sz w:val="22"/>
              </w:rPr>
            </w:pPr>
            <w:r>
              <w:rPr>
                <w:spacing w:val="-2"/>
                <w:sz w:val="22"/>
              </w:rPr>
              <w:t>707±5.90</w:t>
            </w:r>
          </w:p>
        </w:tc>
        <w:tc>
          <w:tcPr>
            <w:tcW w:w="1281" w:type="dxa"/>
          </w:tcPr>
          <w:p>
            <w:pPr>
              <w:pStyle w:val="TableParagraph"/>
              <w:ind w:left="5" w:right="39"/>
              <w:jc w:val="center"/>
              <w:rPr>
                <w:sz w:val="22"/>
              </w:rPr>
            </w:pPr>
            <w:r>
              <w:rPr>
                <w:spacing w:val="-2"/>
                <w:sz w:val="22"/>
              </w:rPr>
              <w:t>5.56±0.04</w:t>
            </w:r>
          </w:p>
        </w:tc>
        <w:tc>
          <w:tcPr>
            <w:tcW w:w="1423" w:type="dxa"/>
          </w:tcPr>
          <w:p>
            <w:pPr>
              <w:pStyle w:val="TableParagraph"/>
              <w:ind w:right="93"/>
              <w:jc w:val="center"/>
              <w:rPr>
                <w:sz w:val="22"/>
              </w:rPr>
            </w:pPr>
            <w:r>
              <w:rPr>
                <w:spacing w:val="-2"/>
                <w:sz w:val="22"/>
              </w:rPr>
              <w:t>12.09±0.01</w:t>
            </w:r>
          </w:p>
        </w:tc>
        <w:tc>
          <w:tcPr>
            <w:tcW w:w="1523" w:type="dxa"/>
          </w:tcPr>
          <w:p>
            <w:pPr>
              <w:pStyle w:val="TableParagraph"/>
              <w:ind w:left="249"/>
              <w:rPr>
                <w:sz w:val="22"/>
              </w:rPr>
            </w:pPr>
            <w:r>
              <w:rPr>
                <w:spacing w:val="-2"/>
                <w:sz w:val="22"/>
              </w:rPr>
              <w:t>12.00±0.00</w:t>
            </w:r>
          </w:p>
        </w:tc>
        <w:tc>
          <w:tcPr>
            <w:tcW w:w="1338" w:type="dxa"/>
          </w:tcPr>
          <w:p>
            <w:pPr>
              <w:pStyle w:val="TableParagraph"/>
              <w:ind w:left="131" w:right="53"/>
              <w:jc w:val="center"/>
              <w:rPr>
                <w:sz w:val="22"/>
              </w:rPr>
            </w:pPr>
            <w:r>
              <w:rPr>
                <w:spacing w:val="-2"/>
                <w:sz w:val="22"/>
              </w:rPr>
              <w:t>1.32±0.02</w:t>
            </w:r>
          </w:p>
        </w:tc>
        <w:tc>
          <w:tcPr>
            <w:tcW w:w="1360" w:type="dxa"/>
          </w:tcPr>
          <w:p>
            <w:pPr>
              <w:pStyle w:val="TableParagraph"/>
              <w:ind w:right="83"/>
              <w:jc w:val="center"/>
              <w:rPr>
                <w:sz w:val="22"/>
              </w:rPr>
            </w:pPr>
            <w:r>
              <w:rPr>
                <w:spacing w:val="-2"/>
                <w:sz w:val="22"/>
              </w:rPr>
              <w:t>3.57±0.65</w:t>
            </w:r>
          </w:p>
        </w:tc>
        <w:tc>
          <w:tcPr>
            <w:tcW w:w="1044" w:type="dxa"/>
          </w:tcPr>
          <w:p>
            <w:pPr>
              <w:pStyle w:val="TableParagraph"/>
              <w:ind w:left="262"/>
              <w:rPr>
                <w:sz w:val="22"/>
              </w:rPr>
            </w:pPr>
            <w:r>
              <w:rPr>
                <w:spacing w:val="-4"/>
                <w:sz w:val="22"/>
              </w:rPr>
              <w:t>9.09</w:t>
            </w:r>
          </w:p>
        </w:tc>
        <w:tc>
          <w:tcPr>
            <w:tcW w:w="1905" w:type="dxa"/>
          </w:tcPr>
          <w:p>
            <w:pPr>
              <w:pStyle w:val="TableParagraph"/>
              <w:ind w:left="144"/>
              <w:rPr>
                <w:sz w:val="22"/>
              </w:rPr>
            </w:pPr>
            <w:r>
              <w:rPr>
                <w:spacing w:val="-4"/>
                <w:sz w:val="22"/>
              </w:rPr>
              <w:t>2.54</w:t>
            </w:r>
          </w:p>
        </w:tc>
      </w:tr>
      <w:tr>
        <w:trPr>
          <w:trHeight w:val="391" w:hRule="atLeast"/>
        </w:trPr>
        <w:tc>
          <w:tcPr>
            <w:tcW w:w="1396" w:type="dxa"/>
          </w:tcPr>
          <w:p>
            <w:pPr>
              <w:pStyle w:val="TableParagraph"/>
              <w:spacing w:line="241" w:lineRule="exact" w:before="130"/>
              <w:ind w:left="107"/>
              <w:rPr>
                <w:sz w:val="22"/>
              </w:rPr>
            </w:pPr>
            <w:r>
              <w:rPr>
                <w:sz w:val="22"/>
                <w:u w:val="single"/>
              </w:rPr>
              <w:t>5.0</w:t>
            </w:r>
            <w:r>
              <w:rPr>
                <w:spacing w:val="12"/>
                <w:sz w:val="22"/>
                <w:u w:val="single"/>
              </w:rPr>
              <w:t> </w:t>
            </w:r>
            <w:r>
              <w:rPr>
                <w:spacing w:val="-10"/>
                <w:sz w:val="22"/>
                <w:u w:val="single"/>
              </w:rPr>
              <w:t>%</w:t>
            </w:r>
          </w:p>
        </w:tc>
        <w:tc>
          <w:tcPr>
            <w:tcW w:w="1187" w:type="dxa"/>
          </w:tcPr>
          <w:p>
            <w:pPr>
              <w:pStyle w:val="TableParagraph"/>
              <w:rPr>
                <w:sz w:val="22"/>
              </w:rPr>
            </w:pPr>
          </w:p>
        </w:tc>
        <w:tc>
          <w:tcPr>
            <w:tcW w:w="1281" w:type="dxa"/>
          </w:tcPr>
          <w:p>
            <w:pPr>
              <w:pStyle w:val="TableParagraph"/>
              <w:rPr>
                <w:sz w:val="22"/>
              </w:rPr>
            </w:pPr>
          </w:p>
        </w:tc>
        <w:tc>
          <w:tcPr>
            <w:tcW w:w="1423" w:type="dxa"/>
          </w:tcPr>
          <w:p>
            <w:pPr>
              <w:pStyle w:val="TableParagraph"/>
              <w:rPr>
                <w:sz w:val="22"/>
              </w:rPr>
            </w:pPr>
          </w:p>
        </w:tc>
        <w:tc>
          <w:tcPr>
            <w:tcW w:w="1523" w:type="dxa"/>
          </w:tcPr>
          <w:p>
            <w:pPr>
              <w:pStyle w:val="TableParagraph"/>
              <w:rPr>
                <w:sz w:val="22"/>
              </w:rPr>
            </w:pPr>
          </w:p>
        </w:tc>
        <w:tc>
          <w:tcPr>
            <w:tcW w:w="1338" w:type="dxa"/>
          </w:tcPr>
          <w:p>
            <w:pPr>
              <w:pStyle w:val="TableParagraph"/>
              <w:rPr>
                <w:sz w:val="22"/>
              </w:rPr>
            </w:pPr>
          </w:p>
        </w:tc>
        <w:tc>
          <w:tcPr>
            <w:tcW w:w="1360" w:type="dxa"/>
          </w:tcPr>
          <w:p>
            <w:pPr>
              <w:pStyle w:val="TableParagraph"/>
              <w:rPr>
                <w:sz w:val="22"/>
              </w:rPr>
            </w:pPr>
          </w:p>
        </w:tc>
        <w:tc>
          <w:tcPr>
            <w:tcW w:w="1044" w:type="dxa"/>
          </w:tcPr>
          <w:p>
            <w:pPr>
              <w:pStyle w:val="TableParagraph"/>
              <w:rPr>
                <w:sz w:val="22"/>
              </w:rPr>
            </w:pPr>
          </w:p>
        </w:tc>
        <w:tc>
          <w:tcPr>
            <w:tcW w:w="1905" w:type="dxa"/>
          </w:tcPr>
          <w:p>
            <w:pPr>
              <w:pStyle w:val="TableParagraph"/>
              <w:rPr>
                <w:sz w:val="22"/>
              </w:rPr>
            </w:pPr>
          </w:p>
        </w:tc>
      </w:tr>
      <w:tr>
        <w:trPr>
          <w:trHeight w:val="259" w:hRule="atLeast"/>
        </w:trPr>
        <w:tc>
          <w:tcPr>
            <w:tcW w:w="1396" w:type="dxa"/>
          </w:tcPr>
          <w:p>
            <w:pPr>
              <w:pStyle w:val="TableParagraph"/>
              <w:spacing w:line="236" w:lineRule="exact" w:before="2"/>
              <w:ind w:left="107"/>
              <w:rPr>
                <w:sz w:val="22"/>
              </w:rPr>
            </w:pPr>
            <w:r>
              <w:rPr>
                <w:spacing w:val="-5"/>
                <w:sz w:val="22"/>
              </w:rPr>
              <w:t>DS</w:t>
            </w:r>
          </w:p>
        </w:tc>
        <w:tc>
          <w:tcPr>
            <w:tcW w:w="1187" w:type="dxa"/>
          </w:tcPr>
          <w:p>
            <w:pPr>
              <w:pStyle w:val="TableParagraph"/>
              <w:spacing w:line="236" w:lineRule="exact" w:before="2"/>
              <w:ind w:right="161"/>
              <w:jc w:val="right"/>
              <w:rPr>
                <w:sz w:val="22"/>
              </w:rPr>
            </w:pPr>
            <w:r>
              <w:rPr>
                <w:spacing w:val="-2"/>
                <w:sz w:val="22"/>
              </w:rPr>
              <w:t>705±6.18</w:t>
            </w:r>
          </w:p>
        </w:tc>
        <w:tc>
          <w:tcPr>
            <w:tcW w:w="1281" w:type="dxa"/>
          </w:tcPr>
          <w:p>
            <w:pPr>
              <w:pStyle w:val="TableParagraph"/>
              <w:spacing w:line="236" w:lineRule="exact" w:before="2"/>
              <w:ind w:right="39"/>
              <w:jc w:val="center"/>
              <w:rPr>
                <w:sz w:val="22"/>
              </w:rPr>
            </w:pPr>
            <w:r>
              <w:rPr>
                <w:spacing w:val="-2"/>
                <w:sz w:val="22"/>
              </w:rPr>
              <w:t>5.55±0.03</w:t>
            </w:r>
          </w:p>
        </w:tc>
        <w:tc>
          <w:tcPr>
            <w:tcW w:w="1423" w:type="dxa"/>
          </w:tcPr>
          <w:p>
            <w:pPr>
              <w:pStyle w:val="TableParagraph"/>
              <w:spacing w:line="236" w:lineRule="exact" w:before="2"/>
              <w:ind w:right="93"/>
              <w:jc w:val="center"/>
              <w:rPr>
                <w:sz w:val="22"/>
              </w:rPr>
            </w:pPr>
            <w:r>
              <w:rPr>
                <w:spacing w:val="-2"/>
                <w:sz w:val="22"/>
              </w:rPr>
              <w:t>12.09±0.01</w:t>
            </w:r>
          </w:p>
        </w:tc>
        <w:tc>
          <w:tcPr>
            <w:tcW w:w="1523" w:type="dxa"/>
          </w:tcPr>
          <w:p>
            <w:pPr>
              <w:pStyle w:val="TableParagraph"/>
              <w:spacing w:line="236" w:lineRule="exact" w:before="2"/>
              <w:ind w:left="249"/>
              <w:rPr>
                <w:sz w:val="22"/>
              </w:rPr>
            </w:pPr>
            <w:r>
              <w:rPr>
                <w:spacing w:val="-2"/>
                <w:sz w:val="22"/>
              </w:rPr>
              <w:t>10.07±0.20</w:t>
            </w:r>
          </w:p>
        </w:tc>
        <w:tc>
          <w:tcPr>
            <w:tcW w:w="1338" w:type="dxa"/>
          </w:tcPr>
          <w:p>
            <w:pPr>
              <w:pStyle w:val="TableParagraph"/>
              <w:spacing w:line="236" w:lineRule="exact" w:before="2"/>
              <w:ind w:left="131" w:right="53"/>
              <w:jc w:val="center"/>
              <w:rPr>
                <w:sz w:val="22"/>
              </w:rPr>
            </w:pPr>
            <w:r>
              <w:rPr>
                <w:spacing w:val="-2"/>
                <w:sz w:val="22"/>
              </w:rPr>
              <w:t>1.44±0.02</w:t>
            </w:r>
          </w:p>
        </w:tc>
        <w:tc>
          <w:tcPr>
            <w:tcW w:w="1360" w:type="dxa"/>
          </w:tcPr>
          <w:p>
            <w:pPr>
              <w:pStyle w:val="TableParagraph"/>
              <w:spacing w:line="236" w:lineRule="exact" w:before="2"/>
              <w:ind w:right="83"/>
              <w:jc w:val="center"/>
              <w:rPr>
                <w:sz w:val="22"/>
              </w:rPr>
            </w:pPr>
            <w:r>
              <w:rPr>
                <w:spacing w:val="-2"/>
                <w:sz w:val="22"/>
              </w:rPr>
              <w:t>8.24±0.01</w:t>
            </w:r>
          </w:p>
        </w:tc>
        <w:tc>
          <w:tcPr>
            <w:tcW w:w="1044" w:type="dxa"/>
          </w:tcPr>
          <w:p>
            <w:pPr>
              <w:pStyle w:val="TableParagraph"/>
              <w:spacing w:line="236" w:lineRule="exact" w:before="2"/>
              <w:ind w:left="262"/>
              <w:rPr>
                <w:sz w:val="22"/>
              </w:rPr>
            </w:pPr>
            <w:r>
              <w:rPr>
                <w:spacing w:val="-4"/>
                <w:sz w:val="22"/>
              </w:rPr>
              <w:t>6.99</w:t>
            </w:r>
          </w:p>
        </w:tc>
        <w:tc>
          <w:tcPr>
            <w:tcW w:w="1905" w:type="dxa"/>
          </w:tcPr>
          <w:p>
            <w:pPr>
              <w:pStyle w:val="TableParagraph"/>
              <w:spacing w:line="236" w:lineRule="exact" w:before="2"/>
              <w:ind w:left="144"/>
              <w:rPr>
                <w:sz w:val="22"/>
              </w:rPr>
            </w:pPr>
            <w:r>
              <w:rPr>
                <w:spacing w:val="-4"/>
                <w:sz w:val="22"/>
              </w:rPr>
              <w:t>0.85</w:t>
            </w:r>
          </w:p>
        </w:tc>
      </w:tr>
      <w:tr>
        <w:trPr>
          <w:trHeight w:val="259" w:hRule="atLeast"/>
        </w:trPr>
        <w:tc>
          <w:tcPr>
            <w:tcW w:w="1396" w:type="dxa"/>
          </w:tcPr>
          <w:p>
            <w:pPr>
              <w:pStyle w:val="TableParagraph"/>
              <w:spacing w:line="239" w:lineRule="exact"/>
              <w:ind w:left="107"/>
              <w:rPr>
                <w:sz w:val="22"/>
              </w:rPr>
            </w:pPr>
            <w:r>
              <w:rPr>
                <w:spacing w:val="-5"/>
                <w:sz w:val="22"/>
              </w:rPr>
              <w:t>MCS</w:t>
            </w:r>
          </w:p>
        </w:tc>
        <w:tc>
          <w:tcPr>
            <w:tcW w:w="1187" w:type="dxa"/>
          </w:tcPr>
          <w:p>
            <w:pPr>
              <w:pStyle w:val="TableParagraph"/>
              <w:spacing w:line="239" w:lineRule="exact"/>
              <w:ind w:right="161"/>
              <w:jc w:val="right"/>
              <w:rPr>
                <w:sz w:val="22"/>
              </w:rPr>
            </w:pPr>
            <w:r>
              <w:rPr>
                <w:spacing w:val="-2"/>
                <w:sz w:val="22"/>
              </w:rPr>
              <w:t>681±6.52</w:t>
            </w:r>
          </w:p>
        </w:tc>
        <w:tc>
          <w:tcPr>
            <w:tcW w:w="1281" w:type="dxa"/>
          </w:tcPr>
          <w:p>
            <w:pPr>
              <w:pStyle w:val="TableParagraph"/>
              <w:spacing w:line="239" w:lineRule="exact"/>
              <w:ind w:right="39"/>
              <w:jc w:val="center"/>
              <w:rPr>
                <w:sz w:val="22"/>
              </w:rPr>
            </w:pPr>
            <w:r>
              <w:rPr>
                <w:spacing w:val="-2"/>
                <w:sz w:val="22"/>
              </w:rPr>
              <w:t>5.31±0.02</w:t>
            </w:r>
          </w:p>
        </w:tc>
        <w:tc>
          <w:tcPr>
            <w:tcW w:w="1423" w:type="dxa"/>
          </w:tcPr>
          <w:p>
            <w:pPr>
              <w:pStyle w:val="TableParagraph"/>
              <w:spacing w:line="239" w:lineRule="exact"/>
              <w:ind w:right="93"/>
              <w:jc w:val="center"/>
              <w:rPr>
                <w:sz w:val="22"/>
              </w:rPr>
            </w:pPr>
            <w:r>
              <w:rPr>
                <w:spacing w:val="-2"/>
                <w:sz w:val="22"/>
              </w:rPr>
              <w:t>12.10±0.01</w:t>
            </w:r>
          </w:p>
        </w:tc>
        <w:tc>
          <w:tcPr>
            <w:tcW w:w="1523" w:type="dxa"/>
          </w:tcPr>
          <w:p>
            <w:pPr>
              <w:pStyle w:val="TableParagraph"/>
              <w:spacing w:line="239" w:lineRule="exact"/>
              <w:ind w:left="249"/>
              <w:rPr>
                <w:sz w:val="22"/>
              </w:rPr>
            </w:pPr>
            <w:r>
              <w:rPr>
                <w:spacing w:val="-2"/>
                <w:sz w:val="22"/>
              </w:rPr>
              <w:t>12.00±0.00</w:t>
            </w:r>
          </w:p>
        </w:tc>
        <w:tc>
          <w:tcPr>
            <w:tcW w:w="1338" w:type="dxa"/>
          </w:tcPr>
          <w:p>
            <w:pPr>
              <w:pStyle w:val="TableParagraph"/>
              <w:spacing w:line="239" w:lineRule="exact"/>
              <w:ind w:left="131" w:right="53"/>
              <w:jc w:val="center"/>
              <w:rPr>
                <w:sz w:val="22"/>
              </w:rPr>
            </w:pPr>
            <w:r>
              <w:rPr>
                <w:spacing w:val="-2"/>
                <w:sz w:val="22"/>
              </w:rPr>
              <w:t>1.32±0.03</w:t>
            </w:r>
          </w:p>
        </w:tc>
        <w:tc>
          <w:tcPr>
            <w:tcW w:w="1360" w:type="dxa"/>
          </w:tcPr>
          <w:p>
            <w:pPr>
              <w:pStyle w:val="TableParagraph"/>
              <w:spacing w:line="239" w:lineRule="exact"/>
              <w:ind w:right="83"/>
              <w:jc w:val="center"/>
              <w:rPr>
                <w:sz w:val="22"/>
              </w:rPr>
            </w:pPr>
            <w:r>
              <w:rPr>
                <w:spacing w:val="-2"/>
                <w:sz w:val="22"/>
              </w:rPr>
              <w:t>7.26±0.12</w:t>
            </w:r>
          </w:p>
        </w:tc>
        <w:tc>
          <w:tcPr>
            <w:tcW w:w="1044" w:type="dxa"/>
          </w:tcPr>
          <w:p>
            <w:pPr>
              <w:pStyle w:val="TableParagraph"/>
              <w:spacing w:line="239" w:lineRule="exact"/>
              <w:ind w:left="262"/>
              <w:rPr>
                <w:sz w:val="22"/>
              </w:rPr>
            </w:pPr>
            <w:r>
              <w:rPr>
                <w:spacing w:val="-4"/>
                <w:sz w:val="22"/>
              </w:rPr>
              <w:t>9.09</w:t>
            </w:r>
          </w:p>
        </w:tc>
        <w:tc>
          <w:tcPr>
            <w:tcW w:w="1905" w:type="dxa"/>
          </w:tcPr>
          <w:p>
            <w:pPr>
              <w:pStyle w:val="TableParagraph"/>
              <w:spacing w:line="239" w:lineRule="exact"/>
              <w:ind w:left="144"/>
              <w:rPr>
                <w:sz w:val="22"/>
              </w:rPr>
            </w:pPr>
            <w:r>
              <w:rPr>
                <w:spacing w:val="-4"/>
                <w:sz w:val="22"/>
              </w:rPr>
              <w:t>1.25</w:t>
            </w:r>
          </w:p>
        </w:tc>
      </w:tr>
      <w:tr>
        <w:trPr>
          <w:trHeight w:val="391" w:hRule="atLeast"/>
        </w:trPr>
        <w:tc>
          <w:tcPr>
            <w:tcW w:w="1396" w:type="dxa"/>
          </w:tcPr>
          <w:p>
            <w:pPr>
              <w:pStyle w:val="TableParagraph"/>
              <w:spacing w:before="2"/>
              <w:ind w:left="107"/>
              <w:rPr>
                <w:sz w:val="22"/>
              </w:rPr>
            </w:pPr>
            <w:r>
              <w:rPr>
                <w:spacing w:val="-5"/>
                <w:sz w:val="22"/>
              </w:rPr>
              <w:t>MS</w:t>
            </w:r>
          </w:p>
        </w:tc>
        <w:tc>
          <w:tcPr>
            <w:tcW w:w="1187" w:type="dxa"/>
          </w:tcPr>
          <w:p>
            <w:pPr>
              <w:pStyle w:val="TableParagraph"/>
              <w:spacing w:before="2"/>
              <w:ind w:right="161"/>
              <w:jc w:val="right"/>
              <w:rPr>
                <w:sz w:val="22"/>
              </w:rPr>
            </w:pPr>
            <w:r>
              <w:rPr>
                <w:spacing w:val="-2"/>
                <w:sz w:val="22"/>
              </w:rPr>
              <w:t>704±4.38</w:t>
            </w:r>
          </w:p>
        </w:tc>
        <w:tc>
          <w:tcPr>
            <w:tcW w:w="1281" w:type="dxa"/>
          </w:tcPr>
          <w:p>
            <w:pPr>
              <w:pStyle w:val="TableParagraph"/>
              <w:spacing w:before="2"/>
              <w:ind w:right="39"/>
              <w:jc w:val="center"/>
              <w:rPr>
                <w:sz w:val="22"/>
              </w:rPr>
            </w:pPr>
            <w:r>
              <w:rPr>
                <w:spacing w:val="-2"/>
                <w:sz w:val="22"/>
              </w:rPr>
              <w:t>5.61±0.01</w:t>
            </w:r>
          </w:p>
        </w:tc>
        <w:tc>
          <w:tcPr>
            <w:tcW w:w="1423" w:type="dxa"/>
          </w:tcPr>
          <w:p>
            <w:pPr>
              <w:pStyle w:val="TableParagraph"/>
              <w:spacing w:before="2"/>
              <w:ind w:right="93"/>
              <w:jc w:val="center"/>
              <w:rPr>
                <w:sz w:val="22"/>
              </w:rPr>
            </w:pPr>
            <w:r>
              <w:rPr>
                <w:spacing w:val="-2"/>
                <w:sz w:val="22"/>
              </w:rPr>
              <w:t>12.09±0.01</w:t>
            </w:r>
          </w:p>
        </w:tc>
        <w:tc>
          <w:tcPr>
            <w:tcW w:w="1523" w:type="dxa"/>
          </w:tcPr>
          <w:p>
            <w:pPr>
              <w:pStyle w:val="TableParagraph"/>
              <w:spacing w:before="2"/>
              <w:ind w:left="249"/>
              <w:rPr>
                <w:sz w:val="22"/>
              </w:rPr>
            </w:pPr>
            <w:r>
              <w:rPr>
                <w:spacing w:val="-2"/>
                <w:sz w:val="22"/>
              </w:rPr>
              <w:t>11.50±0.29</w:t>
            </w:r>
          </w:p>
        </w:tc>
        <w:tc>
          <w:tcPr>
            <w:tcW w:w="1338" w:type="dxa"/>
          </w:tcPr>
          <w:p>
            <w:pPr>
              <w:pStyle w:val="TableParagraph"/>
              <w:spacing w:before="2"/>
              <w:ind w:left="131" w:right="53"/>
              <w:jc w:val="center"/>
              <w:rPr>
                <w:sz w:val="22"/>
              </w:rPr>
            </w:pPr>
            <w:r>
              <w:rPr>
                <w:spacing w:val="-2"/>
                <w:sz w:val="22"/>
              </w:rPr>
              <w:t>1.44±0.01</w:t>
            </w:r>
          </w:p>
        </w:tc>
        <w:tc>
          <w:tcPr>
            <w:tcW w:w="1360" w:type="dxa"/>
          </w:tcPr>
          <w:p>
            <w:pPr>
              <w:pStyle w:val="TableParagraph"/>
              <w:spacing w:before="2"/>
              <w:ind w:right="83"/>
              <w:jc w:val="center"/>
              <w:rPr>
                <w:sz w:val="22"/>
              </w:rPr>
            </w:pPr>
            <w:r>
              <w:rPr>
                <w:spacing w:val="-2"/>
                <w:sz w:val="22"/>
              </w:rPr>
              <w:t>4.16±0.11</w:t>
            </w:r>
          </w:p>
        </w:tc>
        <w:tc>
          <w:tcPr>
            <w:tcW w:w="1044" w:type="dxa"/>
          </w:tcPr>
          <w:p>
            <w:pPr>
              <w:pStyle w:val="TableParagraph"/>
              <w:spacing w:before="2"/>
              <w:ind w:left="262"/>
              <w:rPr>
                <w:sz w:val="22"/>
              </w:rPr>
            </w:pPr>
            <w:r>
              <w:rPr>
                <w:spacing w:val="-4"/>
                <w:sz w:val="22"/>
              </w:rPr>
              <w:t>7.99</w:t>
            </w:r>
          </w:p>
        </w:tc>
        <w:tc>
          <w:tcPr>
            <w:tcW w:w="1905" w:type="dxa"/>
          </w:tcPr>
          <w:p>
            <w:pPr>
              <w:pStyle w:val="TableParagraph"/>
              <w:spacing w:before="2"/>
              <w:ind w:left="144"/>
              <w:rPr>
                <w:sz w:val="22"/>
              </w:rPr>
            </w:pPr>
            <w:r>
              <w:rPr>
                <w:spacing w:val="-4"/>
                <w:sz w:val="22"/>
              </w:rPr>
              <w:t>1.92</w:t>
            </w:r>
          </w:p>
        </w:tc>
      </w:tr>
      <w:tr>
        <w:trPr>
          <w:trHeight w:val="645" w:hRule="atLeast"/>
        </w:trPr>
        <w:tc>
          <w:tcPr>
            <w:tcW w:w="1396" w:type="dxa"/>
          </w:tcPr>
          <w:p>
            <w:pPr>
              <w:pStyle w:val="TableParagraph"/>
              <w:spacing w:line="250" w:lineRule="atLeast" w:before="119"/>
              <w:ind w:left="107" w:right="540"/>
              <w:rPr>
                <w:sz w:val="22"/>
              </w:rPr>
            </w:pPr>
            <w:r>
              <w:rPr>
                <w:sz w:val="22"/>
                <w:u w:val="single"/>
              </w:rPr>
              <w:t>7.5</w:t>
            </w:r>
            <w:r>
              <w:rPr>
                <w:spacing w:val="-14"/>
                <w:sz w:val="22"/>
                <w:u w:val="single"/>
              </w:rPr>
              <w:t> </w:t>
            </w:r>
            <w:r>
              <w:rPr>
                <w:sz w:val="22"/>
                <w:u w:val="single"/>
              </w:rPr>
              <w:t>%</w:t>
            </w:r>
            <w:r>
              <w:rPr>
                <w:sz w:val="22"/>
              </w:rPr>
              <w:t> </w:t>
            </w:r>
            <w:r>
              <w:rPr>
                <w:spacing w:val="-6"/>
                <w:sz w:val="22"/>
              </w:rPr>
              <w:t>DS</w:t>
            </w:r>
          </w:p>
        </w:tc>
        <w:tc>
          <w:tcPr>
            <w:tcW w:w="1187" w:type="dxa"/>
          </w:tcPr>
          <w:p>
            <w:pPr>
              <w:pStyle w:val="TableParagraph"/>
              <w:spacing w:before="131"/>
              <w:rPr>
                <w:b/>
                <w:sz w:val="22"/>
              </w:rPr>
            </w:pPr>
          </w:p>
          <w:p>
            <w:pPr>
              <w:pStyle w:val="TableParagraph"/>
              <w:spacing w:line="241" w:lineRule="exact"/>
              <w:ind w:right="161"/>
              <w:jc w:val="right"/>
              <w:rPr>
                <w:sz w:val="22"/>
              </w:rPr>
            </w:pPr>
            <w:r>
              <w:rPr>
                <w:spacing w:val="-2"/>
                <w:sz w:val="22"/>
              </w:rPr>
              <w:t>708±5.26</w:t>
            </w:r>
          </w:p>
        </w:tc>
        <w:tc>
          <w:tcPr>
            <w:tcW w:w="1281" w:type="dxa"/>
          </w:tcPr>
          <w:p>
            <w:pPr>
              <w:pStyle w:val="TableParagraph"/>
              <w:spacing w:before="131"/>
              <w:rPr>
                <w:b/>
                <w:sz w:val="22"/>
              </w:rPr>
            </w:pPr>
          </w:p>
          <w:p>
            <w:pPr>
              <w:pStyle w:val="TableParagraph"/>
              <w:spacing w:line="241" w:lineRule="exact"/>
              <w:ind w:right="39"/>
              <w:jc w:val="center"/>
              <w:rPr>
                <w:sz w:val="22"/>
              </w:rPr>
            </w:pPr>
            <w:r>
              <w:rPr>
                <w:spacing w:val="-2"/>
                <w:sz w:val="22"/>
              </w:rPr>
              <w:t>5.58±0.05</w:t>
            </w:r>
          </w:p>
        </w:tc>
        <w:tc>
          <w:tcPr>
            <w:tcW w:w="1423" w:type="dxa"/>
          </w:tcPr>
          <w:p>
            <w:pPr>
              <w:pStyle w:val="TableParagraph"/>
              <w:spacing w:before="131"/>
              <w:rPr>
                <w:b/>
                <w:sz w:val="22"/>
              </w:rPr>
            </w:pPr>
          </w:p>
          <w:p>
            <w:pPr>
              <w:pStyle w:val="TableParagraph"/>
              <w:spacing w:line="241" w:lineRule="exact"/>
              <w:ind w:right="93"/>
              <w:jc w:val="center"/>
              <w:rPr>
                <w:sz w:val="22"/>
              </w:rPr>
            </w:pPr>
            <w:r>
              <w:rPr>
                <w:spacing w:val="-2"/>
                <w:sz w:val="22"/>
              </w:rPr>
              <w:t>12.09±0.01</w:t>
            </w:r>
          </w:p>
        </w:tc>
        <w:tc>
          <w:tcPr>
            <w:tcW w:w="1523" w:type="dxa"/>
          </w:tcPr>
          <w:p>
            <w:pPr>
              <w:pStyle w:val="TableParagraph"/>
              <w:spacing w:before="131"/>
              <w:rPr>
                <w:b/>
                <w:sz w:val="22"/>
              </w:rPr>
            </w:pPr>
          </w:p>
          <w:p>
            <w:pPr>
              <w:pStyle w:val="TableParagraph"/>
              <w:spacing w:line="241" w:lineRule="exact"/>
              <w:ind w:left="249"/>
              <w:rPr>
                <w:sz w:val="22"/>
              </w:rPr>
            </w:pPr>
            <w:r>
              <w:rPr>
                <w:spacing w:val="-2"/>
                <w:sz w:val="22"/>
              </w:rPr>
              <w:t>10.83±0.15</w:t>
            </w:r>
          </w:p>
        </w:tc>
        <w:tc>
          <w:tcPr>
            <w:tcW w:w="1338" w:type="dxa"/>
          </w:tcPr>
          <w:p>
            <w:pPr>
              <w:pStyle w:val="TableParagraph"/>
              <w:spacing w:before="131"/>
              <w:rPr>
                <w:b/>
                <w:sz w:val="22"/>
              </w:rPr>
            </w:pPr>
          </w:p>
          <w:p>
            <w:pPr>
              <w:pStyle w:val="TableParagraph"/>
              <w:spacing w:line="241" w:lineRule="exact"/>
              <w:ind w:left="131" w:right="53"/>
              <w:jc w:val="center"/>
              <w:rPr>
                <w:sz w:val="22"/>
              </w:rPr>
            </w:pPr>
            <w:r>
              <w:rPr>
                <w:spacing w:val="-2"/>
                <w:sz w:val="22"/>
              </w:rPr>
              <w:t>1.46±0.01</w:t>
            </w:r>
          </w:p>
        </w:tc>
        <w:tc>
          <w:tcPr>
            <w:tcW w:w="1360" w:type="dxa"/>
          </w:tcPr>
          <w:p>
            <w:pPr>
              <w:pStyle w:val="TableParagraph"/>
              <w:spacing w:before="131"/>
              <w:rPr>
                <w:b/>
                <w:sz w:val="22"/>
              </w:rPr>
            </w:pPr>
          </w:p>
          <w:p>
            <w:pPr>
              <w:pStyle w:val="TableParagraph"/>
              <w:spacing w:line="241" w:lineRule="exact"/>
              <w:ind w:right="83"/>
              <w:jc w:val="center"/>
              <w:rPr>
                <w:sz w:val="22"/>
              </w:rPr>
            </w:pPr>
            <w:r>
              <w:rPr>
                <w:spacing w:val="-2"/>
                <w:sz w:val="22"/>
              </w:rPr>
              <w:t>8.18±0.02</w:t>
            </w:r>
          </w:p>
        </w:tc>
        <w:tc>
          <w:tcPr>
            <w:tcW w:w="1044" w:type="dxa"/>
          </w:tcPr>
          <w:p>
            <w:pPr>
              <w:pStyle w:val="TableParagraph"/>
              <w:spacing w:before="131"/>
              <w:rPr>
                <w:b/>
                <w:sz w:val="22"/>
              </w:rPr>
            </w:pPr>
          </w:p>
          <w:p>
            <w:pPr>
              <w:pStyle w:val="TableParagraph"/>
              <w:spacing w:line="241" w:lineRule="exact"/>
              <w:ind w:left="262"/>
              <w:rPr>
                <w:sz w:val="22"/>
              </w:rPr>
            </w:pPr>
            <w:r>
              <w:rPr>
                <w:spacing w:val="-4"/>
                <w:sz w:val="22"/>
              </w:rPr>
              <w:t>7.42</w:t>
            </w:r>
          </w:p>
        </w:tc>
        <w:tc>
          <w:tcPr>
            <w:tcW w:w="1905" w:type="dxa"/>
          </w:tcPr>
          <w:p>
            <w:pPr>
              <w:pStyle w:val="TableParagraph"/>
              <w:spacing w:before="131"/>
              <w:rPr>
                <w:b/>
                <w:sz w:val="22"/>
              </w:rPr>
            </w:pPr>
          </w:p>
          <w:p>
            <w:pPr>
              <w:pStyle w:val="TableParagraph"/>
              <w:spacing w:line="241" w:lineRule="exact"/>
              <w:ind w:left="144"/>
              <w:rPr>
                <w:sz w:val="22"/>
              </w:rPr>
            </w:pPr>
            <w:r>
              <w:rPr>
                <w:spacing w:val="-4"/>
                <w:sz w:val="22"/>
              </w:rPr>
              <w:t>0.91</w:t>
            </w:r>
          </w:p>
        </w:tc>
      </w:tr>
      <w:tr>
        <w:trPr>
          <w:trHeight w:val="259" w:hRule="atLeast"/>
        </w:trPr>
        <w:tc>
          <w:tcPr>
            <w:tcW w:w="1396" w:type="dxa"/>
          </w:tcPr>
          <w:p>
            <w:pPr>
              <w:pStyle w:val="TableParagraph"/>
              <w:spacing w:line="236" w:lineRule="exact" w:before="2"/>
              <w:ind w:left="107"/>
              <w:rPr>
                <w:sz w:val="22"/>
              </w:rPr>
            </w:pPr>
            <w:r>
              <w:rPr>
                <w:spacing w:val="-5"/>
                <w:sz w:val="22"/>
              </w:rPr>
              <w:t>MCS</w:t>
            </w:r>
          </w:p>
        </w:tc>
        <w:tc>
          <w:tcPr>
            <w:tcW w:w="1187" w:type="dxa"/>
          </w:tcPr>
          <w:p>
            <w:pPr>
              <w:pStyle w:val="TableParagraph"/>
              <w:spacing w:line="236" w:lineRule="exact" w:before="2"/>
              <w:ind w:right="161"/>
              <w:jc w:val="right"/>
              <w:rPr>
                <w:sz w:val="22"/>
              </w:rPr>
            </w:pPr>
            <w:r>
              <w:rPr>
                <w:spacing w:val="-2"/>
                <w:sz w:val="22"/>
              </w:rPr>
              <w:t>677±6.48</w:t>
            </w:r>
          </w:p>
        </w:tc>
        <w:tc>
          <w:tcPr>
            <w:tcW w:w="1281" w:type="dxa"/>
          </w:tcPr>
          <w:p>
            <w:pPr>
              <w:pStyle w:val="TableParagraph"/>
              <w:spacing w:line="236" w:lineRule="exact" w:before="2"/>
              <w:ind w:right="39"/>
              <w:jc w:val="center"/>
              <w:rPr>
                <w:sz w:val="22"/>
              </w:rPr>
            </w:pPr>
            <w:r>
              <w:rPr>
                <w:spacing w:val="-2"/>
                <w:sz w:val="22"/>
              </w:rPr>
              <w:t>5.36±0.07</w:t>
            </w:r>
          </w:p>
        </w:tc>
        <w:tc>
          <w:tcPr>
            <w:tcW w:w="1423" w:type="dxa"/>
          </w:tcPr>
          <w:p>
            <w:pPr>
              <w:pStyle w:val="TableParagraph"/>
              <w:spacing w:line="236" w:lineRule="exact" w:before="2"/>
              <w:ind w:right="93"/>
              <w:jc w:val="center"/>
              <w:rPr>
                <w:sz w:val="22"/>
              </w:rPr>
            </w:pPr>
            <w:r>
              <w:rPr>
                <w:spacing w:val="-2"/>
                <w:sz w:val="22"/>
              </w:rPr>
              <w:t>12.09±0.01</w:t>
            </w:r>
          </w:p>
        </w:tc>
        <w:tc>
          <w:tcPr>
            <w:tcW w:w="1523" w:type="dxa"/>
          </w:tcPr>
          <w:p>
            <w:pPr>
              <w:pStyle w:val="TableParagraph"/>
              <w:spacing w:line="236" w:lineRule="exact" w:before="2"/>
              <w:ind w:left="249"/>
              <w:rPr>
                <w:sz w:val="22"/>
              </w:rPr>
            </w:pPr>
            <w:r>
              <w:rPr>
                <w:spacing w:val="-2"/>
                <w:sz w:val="22"/>
              </w:rPr>
              <w:t>11.80±0.12</w:t>
            </w:r>
          </w:p>
        </w:tc>
        <w:tc>
          <w:tcPr>
            <w:tcW w:w="1338" w:type="dxa"/>
          </w:tcPr>
          <w:p>
            <w:pPr>
              <w:pStyle w:val="TableParagraph"/>
              <w:spacing w:line="236" w:lineRule="exact" w:before="2"/>
              <w:ind w:left="131" w:right="53"/>
              <w:jc w:val="center"/>
              <w:rPr>
                <w:sz w:val="22"/>
              </w:rPr>
            </w:pPr>
            <w:r>
              <w:rPr>
                <w:spacing w:val="-2"/>
                <w:sz w:val="22"/>
              </w:rPr>
              <w:t>1.43±0.01</w:t>
            </w:r>
          </w:p>
        </w:tc>
        <w:tc>
          <w:tcPr>
            <w:tcW w:w="1360" w:type="dxa"/>
          </w:tcPr>
          <w:p>
            <w:pPr>
              <w:pStyle w:val="TableParagraph"/>
              <w:spacing w:line="236" w:lineRule="exact" w:before="2"/>
              <w:ind w:right="83"/>
              <w:jc w:val="center"/>
              <w:rPr>
                <w:sz w:val="22"/>
              </w:rPr>
            </w:pPr>
            <w:r>
              <w:rPr>
                <w:spacing w:val="-2"/>
                <w:sz w:val="22"/>
              </w:rPr>
              <w:t>6.89±0.02</w:t>
            </w:r>
          </w:p>
        </w:tc>
        <w:tc>
          <w:tcPr>
            <w:tcW w:w="1044" w:type="dxa"/>
          </w:tcPr>
          <w:p>
            <w:pPr>
              <w:pStyle w:val="TableParagraph"/>
              <w:spacing w:line="236" w:lineRule="exact" w:before="2"/>
              <w:ind w:left="262"/>
              <w:rPr>
                <w:sz w:val="22"/>
              </w:rPr>
            </w:pPr>
            <w:r>
              <w:rPr>
                <w:spacing w:val="-4"/>
                <w:sz w:val="22"/>
              </w:rPr>
              <w:t>8.25</w:t>
            </w:r>
          </w:p>
        </w:tc>
        <w:tc>
          <w:tcPr>
            <w:tcW w:w="1905" w:type="dxa"/>
          </w:tcPr>
          <w:p>
            <w:pPr>
              <w:pStyle w:val="TableParagraph"/>
              <w:spacing w:line="236" w:lineRule="exact" w:before="2"/>
              <w:ind w:left="144"/>
              <w:rPr>
                <w:sz w:val="22"/>
              </w:rPr>
            </w:pPr>
            <w:r>
              <w:rPr>
                <w:spacing w:val="-4"/>
                <w:sz w:val="22"/>
              </w:rPr>
              <w:t>1.20</w:t>
            </w:r>
          </w:p>
        </w:tc>
      </w:tr>
      <w:tr>
        <w:trPr>
          <w:trHeight w:val="386" w:hRule="atLeast"/>
        </w:trPr>
        <w:tc>
          <w:tcPr>
            <w:tcW w:w="1396" w:type="dxa"/>
          </w:tcPr>
          <w:p>
            <w:pPr>
              <w:pStyle w:val="TableParagraph"/>
              <w:spacing w:line="251" w:lineRule="exact"/>
              <w:ind w:left="107"/>
              <w:rPr>
                <w:sz w:val="22"/>
              </w:rPr>
            </w:pPr>
            <w:r>
              <w:rPr>
                <w:spacing w:val="-5"/>
                <w:sz w:val="22"/>
              </w:rPr>
              <w:t>MS</w:t>
            </w:r>
          </w:p>
        </w:tc>
        <w:tc>
          <w:tcPr>
            <w:tcW w:w="1187" w:type="dxa"/>
          </w:tcPr>
          <w:p>
            <w:pPr>
              <w:pStyle w:val="TableParagraph"/>
              <w:spacing w:line="251" w:lineRule="exact"/>
              <w:ind w:right="161"/>
              <w:jc w:val="right"/>
              <w:rPr>
                <w:sz w:val="22"/>
              </w:rPr>
            </w:pPr>
            <w:r>
              <w:rPr>
                <w:spacing w:val="-2"/>
                <w:sz w:val="22"/>
              </w:rPr>
              <w:t>706±3.93</w:t>
            </w:r>
          </w:p>
        </w:tc>
        <w:tc>
          <w:tcPr>
            <w:tcW w:w="1281" w:type="dxa"/>
          </w:tcPr>
          <w:p>
            <w:pPr>
              <w:pStyle w:val="TableParagraph"/>
              <w:spacing w:line="251" w:lineRule="exact"/>
              <w:ind w:right="39"/>
              <w:jc w:val="center"/>
              <w:rPr>
                <w:sz w:val="22"/>
              </w:rPr>
            </w:pPr>
            <w:r>
              <w:rPr>
                <w:spacing w:val="-2"/>
                <w:sz w:val="22"/>
              </w:rPr>
              <w:t>5.54±0.11</w:t>
            </w:r>
          </w:p>
        </w:tc>
        <w:tc>
          <w:tcPr>
            <w:tcW w:w="1423" w:type="dxa"/>
          </w:tcPr>
          <w:p>
            <w:pPr>
              <w:pStyle w:val="TableParagraph"/>
              <w:spacing w:line="251" w:lineRule="exact"/>
              <w:ind w:right="93"/>
              <w:jc w:val="center"/>
              <w:rPr>
                <w:sz w:val="22"/>
              </w:rPr>
            </w:pPr>
            <w:r>
              <w:rPr>
                <w:spacing w:val="-2"/>
                <w:sz w:val="22"/>
              </w:rPr>
              <w:t>12.09±0.01</w:t>
            </w:r>
          </w:p>
        </w:tc>
        <w:tc>
          <w:tcPr>
            <w:tcW w:w="1523" w:type="dxa"/>
          </w:tcPr>
          <w:p>
            <w:pPr>
              <w:pStyle w:val="TableParagraph"/>
              <w:spacing w:line="251" w:lineRule="exact"/>
              <w:ind w:left="249"/>
              <w:rPr>
                <w:sz w:val="22"/>
              </w:rPr>
            </w:pPr>
            <w:r>
              <w:rPr>
                <w:spacing w:val="-2"/>
                <w:sz w:val="22"/>
              </w:rPr>
              <w:t>10.80±0.12</w:t>
            </w:r>
          </w:p>
        </w:tc>
        <w:tc>
          <w:tcPr>
            <w:tcW w:w="1338" w:type="dxa"/>
          </w:tcPr>
          <w:p>
            <w:pPr>
              <w:pStyle w:val="TableParagraph"/>
              <w:spacing w:line="251" w:lineRule="exact"/>
              <w:ind w:left="131" w:right="53"/>
              <w:jc w:val="center"/>
              <w:rPr>
                <w:sz w:val="22"/>
              </w:rPr>
            </w:pPr>
            <w:r>
              <w:rPr>
                <w:spacing w:val="-2"/>
                <w:sz w:val="22"/>
              </w:rPr>
              <w:t>1.52±0.01</w:t>
            </w:r>
          </w:p>
        </w:tc>
        <w:tc>
          <w:tcPr>
            <w:tcW w:w="1360" w:type="dxa"/>
          </w:tcPr>
          <w:p>
            <w:pPr>
              <w:pStyle w:val="TableParagraph"/>
              <w:spacing w:line="251" w:lineRule="exact"/>
              <w:ind w:right="83"/>
              <w:jc w:val="center"/>
              <w:rPr>
                <w:sz w:val="22"/>
              </w:rPr>
            </w:pPr>
            <w:r>
              <w:rPr>
                <w:spacing w:val="-2"/>
                <w:sz w:val="22"/>
              </w:rPr>
              <w:t>4.11±0.01</w:t>
            </w:r>
          </w:p>
        </w:tc>
        <w:tc>
          <w:tcPr>
            <w:tcW w:w="1044" w:type="dxa"/>
          </w:tcPr>
          <w:p>
            <w:pPr>
              <w:pStyle w:val="TableParagraph"/>
              <w:spacing w:line="251" w:lineRule="exact"/>
              <w:ind w:left="262"/>
              <w:rPr>
                <w:sz w:val="22"/>
              </w:rPr>
            </w:pPr>
            <w:r>
              <w:rPr>
                <w:spacing w:val="-4"/>
                <w:sz w:val="22"/>
              </w:rPr>
              <w:t>7.11</w:t>
            </w:r>
          </w:p>
        </w:tc>
        <w:tc>
          <w:tcPr>
            <w:tcW w:w="1905" w:type="dxa"/>
          </w:tcPr>
          <w:p>
            <w:pPr>
              <w:pStyle w:val="TableParagraph"/>
              <w:spacing w:line="251" w:lineRule="exact"/>
              <w:ind w:left="144"/>
              <w:rPr>
                <w:sz w:val="22"/>
              </w:rPr>
            </w:pPr>
            <w:r>
              <w:rPr>
                <w:spacing w:val="-4"/>
                <w:sz w:val="22"/>
              </w:rPr>
              <w:t>1.73</w:t>
            </w:r>
          </w:p>
        </w:tc>
      </w:tr>
      <w:tr>
        <w:trPr>
          <w:trHeight w:val="391" w:hRule="atLeast"/>
        </w:trPr>
        <w:tc>
          <w:tcPr>
            <w:tcW w:w="1396" w:type="dxa"/>
          </w:tcPr>
          <w:p>
            <w:pPr>
              <w:pStyle w:val="TableParagraph"/>
              <w:spacing w:line="241" w:lineRule="exact" w:before="130"/>
              <w:ind w:left="107"/>
              <w:rPr>
                <w:sz w:val="22"/>
              </w:rPr>
            </w:pPr>
            <w:r>
              <w:rPr>
                <w:spacing w:val="-2"/>
                <w:sz w:val="22"/>
                <w:u w:val="single"/>
              </w:rPr>
              <w:t>10.0%</w:t>
            </w:r>
          </w:p>
        </w:tc>
        <w:tc>
          <w:tcPr>
            <w:tcW w:w="1187" w:type="dxa"/>
          </w:tcPr>
          <w:p>
            <w:pPr>
              <w:pStyle w:val="TableParagraph"/>
              <w:rPr>
                <w:sz w:val="22"/>
              </w:rPr>
            </w:pPr>
          </w:p>
        </w:tc>
        <w:tc>
          <w:tcPr>
            <w:tcW w:w="1281" w:type="dxa"/>
          </w:tcPr>
          <w:p>
            <w:pPr>
              <w:pStyle w:val="TableParagraph"/>
              <w:rPr>
                <w:sz w:val="22"/>
              </w:rPr>
            </w:pPr>
          </w:p>
        </w:tc>
        <w:tc>
          <w:tcPr>
            <w:tcW w:w="1423" w:type="dxa"/>
          </w:tcPr>
          <w:p>
            <w:pPr>
              <w:pStyle w:val="TableParagraph"/>
              <w:rPr>
                <w:sz w:val="22"/>
              </w:rPr>
            </w:pPr>
          </w:p>
        </w:tc>
        <w:tc>
          <w:tcPr>
            <w:tcW w:w="1523" w:type="dxa"/>
          </w:tcPr>
          <w:p>
            <w:pPr>
              <w:pStyle w:val="TableParagraph"/>
              <w:rPr>
                <w:sz w:val="22"/>
              </w:rPr>
            </w:pPr>
          </w:p>
        </w:tc>
        <w:tc>
          <w:tcPr>
            <w:tcW w:w="1338" w:type="dxa"/>
          </w:tcPr>
          <w:p>
            <w:pPr>
              <w:pStyle w:val="TableParagraph"/>
              <w:rPr>
                <w:sz w:val="22"/>
              </w:rPr>
            </w:pPr>
          </w:p>
        </w:tc>
        <w:tc>
          <w:tcPr>
            <w:tcW w:w="1360" w:type="dxa"/>
          </w:tcPr>
          <w:p>
            <w:pPr>
              <w:pStyle w:val="TableParagraph"/>
              <w:rPr>
                <w:sz w:val="22"/>
              </w:rPr>
            </w:pPr>
          </w:p>
        </w:tc>
        <w:tc>
          <w:tcPr>
            <w:tcW w:w="1044" w:type="dxa"/>
          </w:tcPr>
          <w:p>
            <w:pPr>
              <w:pStyle w:val="TableParagraph"/>
              <w:rPr>
                <w:sz w:val="22"/>
              </w:rPr>
            </w:pPr>
          </w:p>
        </w:tc>
        <w:tc>
          <w:tcPr>
            <w:tcW w:w="1905" w:type="dxa"/>
          </w:tcPr>
          <w:p>
            <w:pPr>
              <w:pStyle w:val="TableParagraph"/>
              <w:rPr>
                <w:sz w:val="22"/>
              </w:rPr>
            </w:pPr>
          </w:p>
        </w:tc>
      </w:tr>
      <w:tr>
        <w:trPr>
          <w:trHeight w:val="261" w:hRule="atLeast"/>
        </w:trPr>
        <w:tc>
          <w:tcPr>
            <w:tcW w:w="1396" w:type="dxa"/>
          </w:tcPr>
          <w:p>
            <w:pPr>
              <w:pStyle w:val="TableParagraph"/>
              <w:spacing w:line="239" w:lineRule="exact" w:before="2"/>
              <w:ind w:left="107"/>
              <w:rPr>
                <w:sz w:val="22"/>
              </w:rPr>
            </w:pPr>
            <w:r>
              <w:rPr>
                <w:spacing w:val="-5"/>
                <w:sz w:val="22"/>
              </w:rPr>
              <w:t>DS</w:t>
            </w:r>
          </w:p>
        </w:tc>
        <w:tc>
          <w:tcPr>
            <w:tcW w:w="1187" w:type="dxa"/>
          </w:tcPr>
          <w:p>
            <w:pPr>
              <w:pStyle w:val="TableParagraph"/>
              <w:spacing w:line="239" w:lineRule="exact" w:before="2"/>
              <w:ind w:right="161"/>
              <w:jc w:val="right"/>
              <w:rPr>
                <w:sz w:val="22"/>
              </w:rPr>
            </w:pPr>
            <w:r>
              <w:rPr>
                <w:spacing w:val="-2"/>
                <w:sz w:val="22"/>
              </w:rPr>
              <w:t>700±5.50</w:t>
            </w:r>
          </w:p>
        </w:tc>
        <w:tc>
          <w:tcPr>
            <w:tcW w:w="1281" w:type="dxa"/>
          </w:tcPr>
          <w:p>
            <w:pPr>
              <w:pStyle w:val="TableParagraph"/>
              <w:spacing w:line="239" w:lineRule="exact" w:before="2"/>
              <w:ind w:right="39"/>
              <w:jc w:val="center"/>
              <w:rPr>
                <w:sz w:val="22"/>
              </w:rPr>
            </w:pPr>
            <w:r>
              <w:rPr>
                <w:spacing w:val="-2"/>
                <w:sz w:val="22"/>
              </w:rPr>
              <w:t>5.59±0.08</w:t>
            </w:r>
          </w:p>
        </w:tc>
        <w:tc>
          <w:tcPr>
            <w:tcW w:w="1423" w:type="dxa"/>
          </w:tcPr>
          <w:p>
            <w:pPr>
              <w:pStyle w:val="TableParagraph"/>
              <w:spacing w:line="239" w:lineRule="exact" w:before="2"/>
              <w:ind w:right="93"/>
              <w:jc w:val="center"/>
              <w:rPr>
                <w:sz w:val="22"/>
              </w:rPr>
            </w:pPr>
            <w:r>
              <w:rPr>
                <w:spacing w:val="-2"/>
                <w:sz w:val="22"/>
              </w:rPr>
              <w:t>12.09±0.01</w:t>
            </w:r>
          </w:p>
        </w:tc>
        <w:tc>
          <w:tcPr>
            <w:tcW w:w="1523" w:type="dxa"/>
          </w:tcPr>
          <w:p>
            <w:pPr>
              <w:pStyle w:val="TableParagraph"/>
              <w:spacing w:line="239" w:lineRule="exact" w:before="2"/>
              <w:ind w:left="249"/>
              <w:rPr>
                <w:sz w:val="22"/>
              </w:rPr>
            </w:pPr>
            <w:r>
              <w:rPr>
                <w:spacing w:val="-2"/>
                <w:sz w:val="22"/>
              </w:rPr>
              <w:t>9.83±0.09</w:t>
            </w:r>
          </w:p>
        </w:tc>
        <w:tc>
          <w:tcPr>
            <w:tcW w:w="1338" w:type="dxa"/>
          </w:tcPr>
          <w:p>
            <w:pPr>
              <w:pStyle w:val="TableParagraph"/>
              <w:spacing w:line="239" w:lineRule="exact" w:before="2"/>
              <w:ind w:left="131" w:right="53"/>
              <w:jc w:val="center"/>
              <w:rPr>
                <w:sz w:val="22"/>
              </w:rPr>
            </w:pPr>
            <w:r>
              <w:rPr>
                <w:spacing w:val="-2"/>
                <w:sz w:val="22"/>
              </w:rPr>
              <w:t>1.83±0.02</w:t>
            </w:r>
          </w:p>
        </w:tc>
        <w:tc>
          <w:tcPr>
            <w:tcW w:w="1360" w:type="dxa"/>
          </w:tcPr>
          <w:p>
            <w:pPr>
              <w:pStyle w:val="TableParagraph"/>
              <w:spacing w:line="239" w:lineRule="exact" w:before="2"/>
              <w:ind w:right="83"/>
              <w:jc w:val="center"/>
              <w:rPr>
                <w:sz w:val="22"/>
              </w:rPr>
            </w:pPr>
            <w:r>
              <w:rPr>
                <w:spacing w:val="-2"/>
                <w:sz w:val="22"/>
              </w:rPr>
              <w:t>7.50±0.02</w:t>
            </w:r>
          </w:p>
        </w:tc>
        <w:tc>
          <w:tcPr>
            <w:tcW w:w="1044" w:type="dxa"/>
          </w:tcPr>
          <w:p>
            <w:pPr>
              <w:pStyle w:val="TableParagraph"/>
              <w:spacing w:line="239" w:lineRule="exact" w:before="2"/>
              <w:ind w:left="262"/>
              <w:rPr>
                <w:sz w:val="22"/>
              </w:rPr>
            </w:pPr>
            <w:r>
              <w:rPr>
                <w:spacing w:val="-4"/>
                <w:sz w:val="22"/>
              </w:rPr>
              <w:t>5.37</w:t>
            </w:r>
          </w:p>
        </w:tc>
        <w:tc>
          <w:tcPr>
            <w:tcW w:w="1905" w:type="dxa"/>
          </w:tcPr>
          <w:p>
            <w:pPr>
              <w:pStyle w:val="TableParagraph"/>
              <w:spacing w:line="239" w:lineRule="exact" w:before="2"/>
              <w:ind w:left="144"/>
              <w:rPr>
                <w:sz w:val="22"/>
              </w:rPr>
            </w:pPr>
            <w:r>
              <w:rPr>
                <w:spacing w:val="-4"/>
                <w:sz w:val="22"/>
              </w:rPr>
              <w:t>0.72</w:t>
            </w:r>
          </w:p>
        </w:tc>
      </w:tr>
      <w:tr>
        <w:trPr>
          <w:trHeight w:val="259" w:hRule="atLeast"/>
        </w:trPr>
        <w:tc>
          <w:tcPr>
            <w:tcW w:w="1396" w:type="dxa"/>
          </w:tcPr>
          <w:p>
            <w:pPr>
              <w:pStyle w:val="TableParagraph"/>
              <w:spacing w:line="239" w:lineRule="exact"/>
              <w:ind w:left="107"/>
              <w:rPr>
                <w:sz w:val="22"/>
              </w:rPr>
            </w:pPr>
            <w:r>
              <w:rPr>
                <w:spacing w:val="-5"/>
                <w:sz w:val="22"/>
              </w:rPr>
              <w:t>MCS</w:t>
            </w:r>
          </w:p>
        </w:tc>
        <w:tc>
          <w:tcPr>
            <w:tcW w:w="1187" w:type="dxa"/>
          </w:tcPr>
          <w:p>
            <w:pPr>
              <w:pStyle w:val="TableParagraph"/>
              <w:spacing w:line="239" w:lineRule="exact"/>
              <w:ind w:right="161"/>
              <w:jc w:val="right"/>
              <w:rPr>
                <w:sz w:val="22"/>
              </w:rPr>
            </w:pPr>
            <w:r>
              <w:rPr>
                <w:spacing w:val="-2"/>
                <w:sz w:val="22"/>
              </w:rPr>
              <w:t>684±5.54</w:t>
            </w:r>
          </w:p>
        </w:tc>
        <w:tc>
          <w:tcPr>
            <w:tcW w:w="1281" w:type="dxa"/>
          </w:tcPr>
          <w:p>
            <w:pPr>
              <w:pStyle w:val="TableParagraph"/>
              <w:spacing w:line="239" w:lineRule="exact"/>
              <w:ind w:right="39"/>
              <w:jc w:val="center"/>
              <w:rPr>
                <w:sz w:val="22"/>
              </w:rPr>
            </w:pPr>
            <w:r>
              <w:rPr>
                <w:spacing w:val="-2"/>
                <w:sz w:val="22"/>
              </w:rPr>
              <w:t>5.35±0.12</w:t>
            </w:r>
          </w:p>
        </w:tc>
        <w:tc>
          <w:tcPr>
            <w:tcW w:w="1423" w:type="dxa"/>
          </w:tcPr>
          <w:p>
            <w:pPr>
              <w:pStyle w:val="TableParagraph"/>
              <w:spacing w:line="239" w:lineRule="exact"/>
              <w:ind w:right="93"/>
              <w:jc w:val="center"/>
              <w:rPr>
                <w:sz w:val="22"/>
              </w:rPr>
            </w:pPr>
            <w:r>
              <w:rPr>
                <w:spacing w:val="-2"/>
                <w:sz w:val="22"/>
              </w:rPr>
              <w:t>12.09±0.01</w:t>
            </w:r>
          </w:p>
        </w:tc>
        <w:tc>
          <w:tcPr>
            <w:tcW w:w="1523" w:type="dxa"/>
          </w:tcPr>
          <w:p>
            <w:pPr>
              <w:pStyle w:val="TableParagraph"/>
              <w:spacing w:line="239" w:lineRule="exact"/>
              <w:ind w:left="249"/>
              <w:rPr>
                <w:sz w:val="22"/>
              </w:rPr>
            </w:pPr>
            <w:r>
              <w:rPr>
                <w:spacing w:val="-2"/>
                <w:sz w:val="22"/>
              </w:rPr>
              <w:t>11.70±0.06</w:t>
            </w:r>
          </w:p>
        </w:tc>
        <w:tc>
          <w:tcPr>
            <w:tcW w:w="1338" w:type="dxa"/>
          </w:tcPr>
          <w:p>
            <w:pPr>
              <w:pStyle w:val="TableParagraph"/>
              <w:spacing w:line="239" w:lineRule="exact"/>
              <w:ind w:left="131" w:right="53"/>
              <w:jc w:val="center"/>
              <w:rPr>
                <w:sz w:val="22"/>
              </w:rPr>
            </w:pPr>
            <w:r>
              <w:rPr>
                <w:spacing w:val="-2"/>
                <w:sz w:val="22"/>
              </w:rPr>
              <w:t>1.82±0.01</w:t>
            </w:r>
          </w:p>
        </w:tc>
        <w:tc>
          <w:tcPr>
            <w:tcW w:w="1360" w:type="dxa"/>
          </w:tcPr>
          <w:p>
            <w:pPr>
              <w:pStyle w:val="TableParagraph"/>
              <w:spacing w:line="239" w:lineRule="exact"/>
              <w:ind w:right="83"/>
              <w:jc w:val="center"/>
              <w:rPr>
                <w:sz w:val="22"/>
              </w:rPr>
            </w:pPr>
            <w:r>
              <w:rPr>
                <w:spacing w:val="-2"/>
                <w:sz w:val="22"/>
              </w:rPr>
              <w:t>6.51±0.02</w:t>
            </w:r>
          </w:p>
        </w:tc>
        <w:tc>
          <w:tcPr>
            <w:tcW w:w="1044" w:type="dxa"/>
          </w:tcPr>
          <w:p>
            <w:pPr>
              <w:pStyle w:val="TableParagraph"/>
              <w:spacing w:line="239" w:lineRule="exact"/>
              <w:ind w:left="262"/>
              <w:rPr>
                <w:sz w:val="22"/>
              </w:rPr>
            </w:pPr>
            <w:r>
              <w:rPr>
                <w:spacing w:val="-4"/>
                <w:sz w:val="22"/>
              </w:rPr>
              <w:t>6.43</w:t>
            </w:r>
          </w:p>
        </w:tc>
        <w:tc>
          <w:tcPr>
            <w:tcW w:w="1905" w:type="dxa"/>
          </w:tcPr>
          <w:p>
            <w:pPr>
              <w:pStyle w:val="TableParagraph"/>
              <w:spacing w:line="239" w:lineRule="exact"/>
              <w:ind w:left="144"/>
              <w:rPr>
                <w:sz w:val="22"/>
              </w:rPr>
            </w:pPr>
            <w:r>
              <w:rPr>
                <w:spacing w:val="-4"/>
                <w:sz w:val="22"/>
              </w:rPr>
              <w:t>0.99</w:t>
            </w:r>
          </w:p>
        </w:tc>
      </w:tr>
      <w:tr>
        <w:trPr>
          <w:trHeight w:val="388" w:hRule="atLeast"/>
        </w:trPr>
        <w:tc>
          <w:tcPr>
            <w:tcW w:w="1396" w:type="dxa"/>
          </w:tcPr>
          <w:p>
            <w:pPr>
              <w:pStyle w:val="TableParagraph"/>
              <w:ind w:left="107"/>
              <w:rPr>
                <w:sz w:val="22"/>
              </w:rPr>
            </w:pPr>
            <w:r>
              <w:rPr>
                <w:spacing w:val="-5"/>
                <w:sz w:val="22"/>
              </w:rPr>
              <w:t>MS</w:t>
            </w:r>
          </w:p>
        </w:tc>
        <w:tc>
          <w:tcPr>
            <w:tcW w:w="1187" w:type="dxa"/>
          </w:tcPr>
          <w:p>
            <w:pPr>
              <w:pStyle w:val="TableParagraph"/>
              <w:ind w:right="161"/>
              <w:jc w:val="right"/>
              <w:rPr>
                <w:sz w:val="22"/>
              </w:rPr>
            </w:pPr>
            <w:r>
              <w:rPr>
                <w:spacing w:val="-2"/>
                <w:sz w:val="22"/>
              </w:rPr>
              <w:t>705±4.84</w:t>
            </w:r>
          </w:p>
        </w:tc>
        <w:tc>
          <w:tcPr>
            <w:tcW w:w="1281" w:type="dxa"/>
          </w:tcPr>
          <w:p>
            <w:pPr>
              <w:pStyle w:val="TableParagraph"/>
              <w:ind w:right="39"/>
              <w:jc w:val="center"/>
              <w:rPr>
                <w:sz w:val="22"/>
              </w:rPr>
            </w:pPr>
            <w:r>
              <w:rPr>
                <w:spacing w:val="-2"/>
                <w:sz w:val="22"/>
              </w:rPr>
              <w:t>5.69±0.21</w:t>
            </w:r>
          </w:p>
        </w:tc>
        <w:tc>
          <w:tcPr>
            <w:tcW w:w="1423" w:type="dxa"/>
          </w:tcPr>
          <w:p>
            <w:pPr>
              <w:pStyle w:val="TableParagraph"/>
              <w:ind w:right="93"/>
              <w:jc w:val="center"/>
              <w:rPr>
                <w:sz w:val="22"/>
              </w:rPr>
            </w:pPr>
            <w:r>
              <w:rPr>
                <w:spacing w:val="-2"/>
                <w:sz w:val="22"/>
              </w:rPr>
              <w:t>12.09±0.01</w:t>
            </w:r>
          </w:p>
        </w:tc>
        <w:tc>
          <w:tcPr>
            <w:tcW w:w="1523" w:type="dxa"/>
          </w:tcPr>
          <w:p>
            <w:pPr>
              <w:pStyle w:val="TableParagraph"/>
              <w:ind w:left="249"/>
              <w:rPr>
                <w:sz w:val="22"/>
              </w:rPr>
            </w:pPr>
            <w:r>
              <w:rPr>
                <w:spacing w:val="-2"/>
                <w:sz w:val="22"/>
              </w:rPr>
              <w:t>10.37±0.09</w:t>
            </w:r>
          </w:p>
        </w:tc>
        <w:tc>
          <w:tcPr>
            <w:tcW w:w="1338" w:type="dxa"/>
          </w:tcPr>
          <w:p>
            <w:pPr>
              <w:pStyle w:val="TableParagraph"/>
              <w:ind w:left="131" w:right="53"/>
              <w:jc w:val="center"/>
              <w:rPr>
                <w:sz w:val="22"/>
              </w:rPr>
            </w:pPr>
            <w:r>
              <w:rPr>
                <w:spacing w:val="-2"/>
                <w:sz w:val="22"/>
              </w:rPr>
              <w:t>1.96±0.01</w:t>
            </w:r>
          </w:p>
        </w:tc>
        <w:tc>
          <w:tcPr>
            <w:tcW w:w="1360" w:type="dxa"/>
          </w:tcPr>
          <w:p>
            <w:pPr>
              <w:pStyle w:val="TableParagraph"/>
              <w:ind w:right="83"/>
              <w:jc w:val="center"/>
              <w:rPr>
                <w:sz w:val="22"/>
              </w:rPr>
            </w:pPr>
            <w:r>
              <w:rPr>
                <w:spacing w:val="-2"/>
                <w:sz w:val="22"/>
              </w:rPr>
              <w:t>3.56±0.02</w:t>
            </w:r>
          </w:p>
        </w:tc>
        <w:tc>
          <w:tcPr>
            <w:tcW w:w="1044" w:type="dxa"/>
          </w:tcPr>
          <w:p>
            <w:pPr>
              <w:pStyle w:val="TableParagraph"/>
              <w:ind w:left="262"/>
              <w:rPr>
                <w:sz w:val="22"/>
              </w:rPr>
            </w:pPr>
            <w:r>
              <w:rPr>
                <w:spacing w:val="-4"/>
                <w:sz w:val="22"/>
              </w:rPr>
              <w:t>5.29</w:t>
            </w:r>
          </w:p>
        </w:tc>
        <w:tc>
          <w:tcPr>
            <w:tcW w:w="1905" w:type="dxa"/>
          </w:tcPr>
          <w:p>
            <w:pPr>
              <w:pStyle w:val="TableParagraph"/>
              <w:ind w:left="144"/>
              <w:rPr>
                <w:sz w:val="22"/>
              </w:rPr>
            </w:pPr>
            <w:r>
              <w:rPr>
                <w:spacing w:val="-4"/>
                <w:sz w:val="22"/>
              </w:rPr>
              <w:t>1.49</w:t>
            </w:r>
          </w:p>
        </w:tc>
      </w:tr>
      <w:tr>
        <w:trPr>
          <w:trHeight w:val="388" w:hRule="atLeast"/>
        </w:trPr>
        <w:tc>
          <w:tcPr>
            <w:tcW w:w="1396" w:type="dxa"/>
          </w:tcPr>
          <w:p>
            <w:pPr>
              <w:pStyle w:val="TableParagraph"/>
              <w:spacing w:line="239" w:lineRule="exact" w:before="130"/>
              <w:ind w:left="107"/>
              <w:rPr>
                <w:sz w:val="22"/>
              </w:rPr>
            </w:pPr>
            <w:r>
              <w:rPr>
                <w:sz w:val="22"/>
                <w:u w:val="single"/>
              </w:rPr>
              <w:t>12.5</w:t>
            </w:r>
            <w:r>
              <w:rPr>
                <w:spacing w:val="11"/>
                <w:sz w:val="22"/>
                <w:u w:val="single"/>
              </w:rPr>
              <w:t> </w:t>
            </w:r>
            <w:r>
              <w:rPr>
                <w:spacing w:val="-10"/>
                <w:sz w:val="22"/>
                <w:u w:val="single"/>
              </w:rPr>
              <w:t>%</w:t>
            </w:r>
          </w:p>
        </w:tc>
        <w:tc>
          <w:tcPr>
            <w:tcW w:w="1187" w:type="dxa"/>
          </w:tcPr>
          <w:p>
            <w:pPr>
              <w:pStyle w:val="TableParagraph"/>
              <w:rPr>
                <w:sz w:val="22"/>
              </w:rPr>
            </w:pPr>
          </w:p>
        </w:tc>
        <w:tc>
          <w:tcPr>
            <w:tcW w:w="1281" w:type="dxa"/>
          </w:tcPr>
          <w:p>
            <w:pPr>
              <w:pStyle w:val="TableParagraph"/>
              <w:rPr>
                <w:sz w:val="22"/>
              </w:rPr>
            </w:pPr>
          </w:p>
        </w:tc>
        <w:tc>
          <w:tcPr>
            <w:tcW w:w="1423" w:type="dxa"/>
          </w:tcPr>
          <w:p>
            <w:pPr>
              <w:pStyle w:val="TableParagraph"/>
              <w:rPr>
                <w:sz w:val="22"/>
              </w:rPr>
            </w:pPr>
          </w:p>
        </w:tc>
        <w:tc>
          <w:tcPr>
            <w:tcW w:w="1523" w:type="dxa"/>
          </w:tcPr>
          <w:p>
            <w:pPr>
              <w:pStyle w:val="TableParagraph"/>
              <w:rPr>
                <w:sz w:val="22"/>
              </w:rPr>
            </w:pPr>
          </w:p>
        </w:tc>
        <w:tc>
          <w:tcPr>
            <w:tcW w:w="1338" w:type="dxa"/>
          </w:tcPr>
          <w:p>
            <w:pPr>
              <w:pStyle w:val="TableParagraph"/>
              <w:rPr>
                <w:sz w:val="22"/>
              </w:rPr>
            </w:pPr>
          </w:p>
        </w:tc>
        <w:tc>
          <w:tcPr>
            <w:tcW w:w="1360" w:type="dxa"/>
          </w:tcPr>
          <w:p>
            <w:pPr>
              <w:pStyle w:val="TableParagraph"/>
              <w:rPr>
                <w:sz w:val="22"/>
              </w:rPr>
            </w:pPr>
          </w:p>
        </w:tc>
        <w:tc>
          <w:tcPr>
            <w:tcW w:w="1044" w:type="dxa"/>
          </w:tcPr>
          <w:p>
            <w:pPr>
              <w:pStyle w:val="TableParagraph"/>
              <w:rPr>
                <w:sz w:val="22"/>
              </w:rPr>
            </w:pPr>
          </w:p>
        </w:tc>
        <w:tc>
          <w:tcPr>
            <w:tcW w:w="1905" w:type="dxa"/>
          </w:tcPr>
          <w:p>
            <w:pPr>
              <w:pStyle w:val="TableParagraph"/>
              <w:rPr>
                <w:sz w:val="22"/>
              </w:rPr>
            </w:pPr>
          </w:p>
        </w:tc>
      </w:tr>
      <w:tr>
        <w:trPr>
          <w:trHeight w:val="259" w:hRule="atLeast"/>
        </w:trPr>
        <w:tc>
          <w:tcPr>
            <w:tcW w:w="1396" w:type="dxa"/>
          </w:tcPr>
          <w:p>
            <w:pPr>
              <w:pStyle w:val="TableParagraph"/>
              <w:spacing w:line="239" w:lineRule="exact"/>
              <w:ind w:left="107"/>
              <w:rPr>
                <w:sz w:val="22"/>
              </w:rPr>
            </w:pPr>
            <w:r>
              <w:rPr>
                <w:spacing w:val="-5"/>
                <w:sz w:val="22"/>
              </w:rPr>
              <w:t>DS</w:t>
            </w:r>
          </w:p>
        </w:tc>
        <w:tc>
          <w:tcPr>
            <w:tcW w:w="1187" w:type="dxa"/>
          </w:tcPr>
          <w:p>
            <w:pPr>
              <w:pStyle w:val="TableParagraph"/>
              <w:spacing w:line="239" w:lineRule="exact"/>
              <w:ind w:right="161"/>
              <w:jc w:val="right"/>
              <w:rPr>
                <w:sz w:val="22"/>
              </w:rPr>
            </w:pPr>
            <w:r>
              <w:rPr>
                <w:spacing w:val="-2"/>
                <w:sz w:val="22"/>
              </w:rPr>
              <w:t>710±4.17</w:t>
            </w:r>
          </w:p>
        </w:tc>
        <w:tc>
          <w:tcPr>
            <w:tcW w:w="1281" w:type="dxa"/>
          </w:tcPr>
          <w:p>
            <w:pPr>
              <w:pStyle w:val="TableParagraph"/>
              <w:spacing w:line="239" w:lineRule="exact"/>
              <w:ind w:right="39"/>
              <w:jc w:val="center"/>
              <w:rPr>
                <w:sz w:val="22"/>
              </w:rPr>
            </w:pPr>
            <w:r>
              <w:rPr>
                <w:spacing w:val="-2"/>
                <w:sz w:val="22"/>
              </w:rPr>
              <w:t>5.62±0.08</w:t>
            </w:r>
          </w:p>
        </w:tc>
        <w:tc>
          <w:tcPr>
            <w:tcW w:w="1423" w:type="dxa"/>
          </w:tcPr>
          <w:p>
            <w:pPr>
              <w:pStyle w:val="TableParagraph"/>
              <w:spacing w:line="239" w:lineRule="exact"/>
              <w:ind w:right="93"/>
              <w:jc w:val="center"/>
              <w:rPr>
                <w:sz w:val="22"/>
              </w:rPr>
            </w:pPr>
            <w:r>
              <w:rPr>
                <w:spacing w:val="-2"/>
                <w:sz w:val="22"/>
              </w:rPr>
              <w:t>12.10±0.00</w:t>
            </w:r>
          </w:p>
        </w:tc>
        <w:tc>
          <w:tcPr>
            <w:tcW w:w="1523" w:type="dxa"/>
          </w:tcPr>
          <w:p>
            <w:pPr>
              <w:pStyle w:val="TableParagraph"/>
              <w:spacing w:line="239" w:lineRule="exact"/>
              <w:ind w:left="249"/>
              <w:rPr>
                <w:sz w:val="22"/>
              </w:rPr>
            </w:pPr>
            <w:r>
              <w:rPr>
                <w:spacing w:val="-2"/>
                <w:sz w:val="22"/>
              </w:rPr>
              <w:t>9.00±0.29</w:t>
            </w:r>
          </w:p>
        </w:tc>
        <w:tc>
          <w:tcPr>
            <w:tcW w:w="1338" w:type="dxa"/>
          </w:tcPr>
          <w:p>
            <w:pPr>
              <w:pStyle w:val="TableParagraph"/>
              <w:spacing w:line="239" w:lineRule="exact"/>
              <w:ind w:left="131" w:right="53"/>
              <w:jc w:val="center"/>
              <w:rPr>
                <w:sz w:val="22"/>
              </w:rPr>
            </w:pPr>
            <w:r>
              <w:rPr>
                <w:spacing w:val="-2"/>
                <w:sz w:val="22"/>
              </w:rPr>
              <w:t>1.86±0.01</w:t>
            </w:r>
          </w:p>
        </w:tc>
        <w:tc>
          <w:tcPr>
            <w:tcW w:w="1360" w:type="dxa"/>
          </w:tcPr>
          <w:p>
            <w:pPr>
              <w:pStyle w:val="TableParagraph"/>
              <w:spacing w:line="239" w:lineRule="exact"/>
              <w:ind w:right="83"/>
              <w:jc w:val="center"/>
              <w:rPr>
                <w:sz w:val="22"/>
              </w:rPr>
            </w:pPr>
            <w:r>
              <w:rPr>
                <w:spacing w:val="-2"/>
                <w:sz w:val="22"/>
              </w:rPr>
              <w:t>7.08±0.02</w:t>
            </w:r>
          </w:p>
        </w:tc>
        <w:tc>
          <w:tcPr>
            <w:tcW w:w="1044" w:type="dxa"/>
          </w:tcPr>
          <w:p>
            <w:pPr>
              <w:pStyle w:val="TableParagraph"/>
              <w:spacing w:line="239" w:lineRule="exact"/>
              <w:ind w:left="262"/>
              <w:rPr>
                <w:sz w:val="22"/>
              </w:rPr>
            </w:pPr>
            <w:r>
              <w:rPr>
                <w:spacing w:val="-4"/>
                <w:sz w:val="22"/>
              </w:rPr>
              <w:t>4.84</w:t>
            </w:r>
          </w:p>
        </w:tc>
        <w:tc>
          <w:tcPr>
            <w:tcW w:w="1905" w:type="dxa"/>
          </w:tcPr>
          <w:p>
            <w:pPr>
              <w:pStyle w:val="TableParagraph"/>
              <w:spacing w:line="239" w:lineRule="exact"/>
              <w:ind w:left="144"/>
              <w:rPr>
                <w:sz w:val="22"/>
              </w:rPr>
            </w:pPr>
            <w:r>
              <w:rPr>
                <w:spacing w:val="-4"/>
                <w:sz w:val="22"/>
              </w:rPr>
              <w:t>0.68</w:t>
            </w:r>
          </w:p>
        </w:tc>
      </w:tr>
      <w:tr>
        <w:trPr>
          <w:trHeight w:val="259" w:hRule="atLeast"/>
        </w:trPr>
        <w:tc>
          <w:tcPr>
            <w:tcW w:w="1396" w:type="dxa"/>
          </w:tcPr>
          <w:p>
            <w:pPr>
              <w:pStyle w:val="TableParagraph"/>
              <w:spacing w:line="239" w:lineRule="exact"/>
              <w:ind w:left="107"/>
              <w:rPr>
                <w:sz w:val="22"/>
              </w:rPr>
            </w:pPr>
            <w:r>
              <w:rPr>
                <w:spacing w:val="-5"/>
                <w:sz w:val="22"/>
              </w:rPr>
              <w:t>MCS</w:t>
            </w:r>
          </w:p>
        </w:tc>
        <w:tc>
          <w:tcPr>
            <w:tcW w:w="1187" w:type="dxa"/>
          </w:tcPr>
          <w:p>
            <w:pPr>
              <w:pStyle w:val="TableParagraph"/>
              <w:spacing w:line="239" w:lineRule="exact"/>
              <w:ind w:right="161"/>
              <w:jc w:val="right"/>
              <w:rPr>
                <w:sz w:val="22"/>
              </w:rPr>
            </w:pPr>
            <w:r>
              <w:rPr>
                <w:spacing w:val="-2"/>
                <w:sz w:val="22"/>
              </w:rPr>
              <w:t>695±5.89</w:t>
            </w:r>
          </w:p>
        </w:tc>
        <w:tc>
          <w:tcPr>
            <w:tcW w:w="1281" w:type="dxa"/>
          </w:tcPr>
          <w:p>
            <w:pPr>
              <w:pStyle w:val="TableParagraph"/>
              <w:spacing w:line="239" w:lineRule="exact"/>
              <w:ind w:right="39"/>
              <w:jc w:val="center"/>
              <w:rPr>
                <w:sz w:val="22"/>
              </w:rPr>
            </w:pPr>
            <w:r>
              <w:rPr>
                <w:spacing w:val="-2"/>
                <w:sz w:val="22"/>
              </w:rPr>
              <w:t>5.38±0.08</w:t>
            </w:r>
          </w:p>
        </w:tc>
        <w:tc>
          <w:tcPr>
            <w:tcW w:w="1423" w:type="dxa"/>
          </w:tcPr>
          <w:p>
            <w:pPr>
              <w:pStyle w:val="TableParagraph"/>
              <w:spacing w:line="239" w:lineRule="exact"/>
              <w:ind w:right="93"/>
              <w:jc w:val="center"/>
              <w:rPr>
                <w:sz w:val="22"/>
              </w:rPr>
            </w:pPr>
            <w:r>
              <w:rPr>
                <w:spacing w:val="-2"/>
                <w:sz w:val="22"/>
              </w:rPr>
              <w:t>12.09±0.02</w:t>
            </w:r>
          </w:p>
        </w:tc>
        <w:tc>
          <w:tcPr>
            <w:tcW w:w="1523" w:type="dxa"/>
          </w:tcPr>
          <w:p>
            <w:pPr>
              <w:pStyle w:val="TableParagraph"/>
              <w:spacing w:line="239" w:lineRule="exact"/>
              <w:ind w:left="249"/>
              <w:rPr>
                <w:sz w:val="22"/>
              </w:rPr>
            </w:pPr>
            <w:r>
              <w:rPr>
                <w:spacing w:val="-2"/>
                <w:sz w:val="22"/>
              </w:rPr>
              <w:t>9.50±0.50</w:t>
            </w:r>
          </w:p>
        </w:tc>
        <w:tc>
          <w:tcPr>
            <w:tcW w:w="1338" w:type="dxa"/>
          </w:tcPr>
          <w:p>
            <w:pPr>
              <w:pStyle w:val="TableParagraph"/>
              <w:spacing w:line="239" w:lineRule="exact"/>
              <w:ind w:left="131" w:right="53"/>
              <w:jc w:val="center"/>
              <w:rPr>
                <w:sz w:val="22"/>
              </w:rPr>
            </w:pPr>
            <w:r>
              <w:rPr>
                <w:spacing w:val="-2"/>
                <w:sz w:val="22"/>
              </w:rPr>
              <w:t>1.85±0.01</w:t>
            </w:r>
          </w:p>
        </w:tc>
        <w:tc>
          <w:tcPr>
            <w:tcW w:w="1360" w:type="dxa"/>
          </w:tcPr>
          <w:p>
            <w:pPr>
              <w:pStyle w:val="TableParagraph"/>
              <w:spacing w:line="239" w:lineRule="exact"/>
              <w:ind w:right="83"/>
              <w:jc w:val="center"/>
              <w:rPr>
                <w:sz w:val="22"/>
              </w:rPr>
            </w:pPr>
            <w:r>
              <w:rPr>
                <w:spacing w:val="-2"/>
                <w:sz w:val="22"/>
              </w:rPr>
              <w:t>6.42±0.01</w:t>
            </w:r>
          </w:p>
        </w:tc>
        <w:tc>
          <w:tcPr>
            <w:tcW w:w="1044" w:type="dxa"/>
          </w:tcPr>
          <w:p>
            <w:pPr>
              <w:pStyle w:val="TableParagraph"/>
              <w:spacing w:line="239" w:lineRule="exact"/>
              <w:ind w:left="262"/>
              <w:rPr>
                <w:sz w:val="22"/>
              </w:rPr>
            </w:pPr>
            <w:r>
              <w:rPr>
                <w:spacing w:val="-4"/>
                <w:sz w:val="22"/>
              </w:rPr>
              <w:t>5.14</w:t>
            </w:r>
          </w:p>
        </w:tc>
        <w:tc>
          <w:tcPr>
            <w:tcW w:w="1905" w:type="dxa"/>
          </w:tcPr>
          <w:p>
            <w:pPr>
              <w:pStyle w:val="TableParagraph"/>
              <w:spacing w:line="239" w:lineRule="exact"/>
              <w:ind w:left="144"/>
              <w:rPr>
                <w:sz w:val="22"/>
              </w:rPr>
            </w:pPr>
            <w:r>
              <w:rPr>
                <w:spacing w:val="-4"/>
                <w:sz w:val="22"/>
              </w:rPr>
              <w:t>0.80</w:t>
            </w:r>
          </w:p>
        </w:tc>
      </w:tr>
      <w:tr>
        <w:trPr>
          <w:trHeight w:val="258" w:hRule="atLeast"/>
        </w:trPr>
        <w:tc>
          <w:tcPr>
            <w:tcW w:w="1396" w:type="dxa"/>
            <w:tcBorders>
              <w:bottom w:val="single" w:sz="4" w:space="0" w:color="000000"/>
            </w:tcBorders>
          </w:tcPr>
          <w:p>
            <w:pPr>
              <w:pStyle w:val="TableParagraph"/>
              <w:spacing w:line="238" w:lineRule="exact"/>
              <w:ind w:left="107"/>
              <w:rPr>
                <w:sz w:val="22"/>
              </w:rPr>
            </w:pPr>
            <w:r>
              <w:rPr>
                <w:spacing w:val="-5"/>
                <w:sz w:val="22"/>
              </w:rPr>
              <w:t>MS</w:t>
            </w:r>
          </w:p>
        </w:tc>
        <w:tc>
          <w:tcPr>
            <w:tcW w:w="1187" w:type="dxa"/>
            <w:tcBorders>
              <w:bottom w:val="single" w:sz="4" w:space="0" w:color="000000"/>
            </w:tcBorders>
          </w:tcPr>
          <w:p>
            <w:pPr>
              <w:pStyle w:val="TableParagraph"/>
              <w:spacing w:line="238" w:lineRule="exact"/>
              <w:ind w:right="161"/>
              <w:jc w:val="right"/>
              <w:rPr>
                <w:sz w:val="22"/>
              </w:rPr>
            </w:pPr>
            <w:r>
              <w:rPr>
                <w:spacing w:val="-2"/>
                <w:sz w:val="22"/>
              </w:rPr>
              <w:t>703±6.77</w:t>
            </w:r>
          </w:p>
        </w:tc>
        <w:tc>
          <w:tcPr>
            <w:tcW w:w="1281" w:type="dxa"/>
            <w:tcBorders>
              <w:bottom w:val="single" w:sz="4" w:space="0" w:color="000000"/>
            </w:tcBorders>
          </w:tcPr>
          <w:p>
            <w:pPr>
              <w:pStyle w:val="TableParagraph"/>
              <w:spacing w:line="238" w:lineRule="exact"/>
              <w:ind w:right="39"/>
              <w:jc w:val="center"/>
              <w:rPr>
                <w:sz w:val="22"/>
              </w:rPr>
            </w:pPr>
            <w:r>
              <w:rPr>
                <w:spacing w:val="-2"/>
                <w:sz w:val="22"/>
              </w:rPr>
              <w:t>5.52±0.03</w:t>
            </w:r>
          </w:p>
        </w:tc>
        <w:tc>
          <w:tcPr>
            <w:tcW w:w="1423" w:type="dxa"/>
            <w:tcBorders>
              <w:bottom w:val="single" w:sz="4" w:space="0" w:color="000000"/>
            </w:tcBorders>
          </w:tcPr>
          <w:p>
            <w:pPr>
              <w:pStyle w:val="TableParagraph"/>
              <w:spacing w:line="238" w:lineRule="exact"/>
              <w:ind w:right="93"/>
              <w:jc w:val="center"/>
              <w:rPr>
                <w:sz w:val="22"/>
              </w:rPr>
            </w:pPr>
            <w:r>
              <w:rPr>
                <w:spacing w:val="-2"/>
                <w:sz w:val="22"/>
              </w:rPr>
              <w:t>12.09±0.01</w:t>
            </w:r>
          </w:p>
        </w:tc>
        <w:tc>
          <w:tcPr>
            <w:tcW w:w="1523" w:type="dxa"/>
            <w:tcBorders>
              <w:bottom w:val="single" w:sz="4" w:space="0" w:color="000000"/>
            </w:tcBorders>
          </w:tcPr>
          <w:p>
            <w:pPr>
              <w:pStyle w:val="TableParagraph"/>
              <w:spacing w:line="238" w:lineRule="exact"/>
              <w:ind w:left="249"/>
              <w:rPr>
                <w:sz w:val="22"/>
              </w:rPr>
            </w:pPr>
            <w:r>
              <w:rPr>
                <w:spacing w:val="-2"/>
                <w:sz w:val="22"/>
              </w:rPr>
              <w:t>8.50±0.29</w:t>
            </w:r>
          </w:p>
        </w:tc>
        <w:tc>
          <w:tcPr>
            <w:tcW w:w="1338" w:type="dxa"/>
            <w:tcBorders>
              <w:bottom w:val="single" w:sz="4" w:space="0" w:color="000000"/>
            </w:tcBorders>
          </w:tcPr>
          <w:p>
            <w:pPr>
              <w:pStyle w:val="TableParagraph"/>
              <w:spacing w:line="238" w:lineRule="exact"/>
              <w:ind w:left="131" w:right="53"/>
              <w:jc w:val="center"/>
              <w:rPr>
                <w:sz w:val="22"/>
              </w:rPr>
            </w:pPr>
            <w:r>
              <w:rPr>
                <w:spacing w:val="-2"/>
                <w:sz w:val="22"/>
              </w:rPr>
              <w:t>2.04±0.02</w:t>
            </w:r>
          </w:p>
        </w:tc>
        <w:tc>
          <w:tcPr>
            <w:tcW w:w="1360" w:type="dxa"/>
            <w:tcBorders>
              <w:bottom w:val="single" w:sz="4" w:space="0" w:color="000000"/>
            </w:tcBorders>
          </w:tcPr>
          <w:p>
            <w:pPr>
              <w:pStyle w:val="TableParagraph"/>
              <w:spacing w:line="238" w:lineRule="exact"/>
              <w:ind w:right="83"/>
              <w:jc w:val="center"/>
              <w:rPr>
                <w:sz w:val="22"/>
              </w:rPr>
            </w:pPr>
            <w:r>
              <w:rPr>
                <w:spacing w:val="-2"/>
                <w:sz w:val="22"/>
              </w:rPr>
              <w:t>3.41±0.00</w:t>
            </w:r>
          </w:p>
        </w:tc>
        <w:tc>
          <w:tcPr>
            <w:tcW w:w="1044" w:type="dxa"/>
            <w:tcBorders>
              <w:bottom w:val="single" w:sz="4" w:space="0" w:color="000000"/>
            </w:tcBorders>
          </w:tcPr>
          <w:p>
            <w:pPr>
              <w:pStyle w:val="TableParagraph"/>
              <w:spacing w:line="238" w:lineRule="exact"/>
              <w:ind w:left="262"/>
              <w:rPr>
                <w:sz w:val="22"/>
              </w:rPr>
            </w:pPr>
            <w:r>
              <w:rPr>
                <w:spacing w:val="-4"/>
                <w:sz w:val="22"/>
              </w:rPr>
              <w:t>4.17</w:t>
            </w:r>
          </w:p>
        </w:tc>
        <w:tc>
          <w:tcPr>
            <w:tcW w:w="1905" w:type="dxa"/>
            <w:tcBorders>
              <w:bottom w:val="single" w:sz="4" w:space="0" w:color="000000"/>
            </w:tcBorders>
          </w:tcPr>
          <w:p>
            <w:pPr>
              <w:pStyle w:val="TableParagraph"/>
              <w:spacing w:line="238" w:lineRule="exact"/>
              <w:ind w:left="144"/>
              <w:rPr>
                <w:sz w:val="22"/>
              </w:rPr>
            </w:pPr>
            <w:r>
              <w:rPr>
                <w:spacing w:val="-4"/>
                <w:sz w:val="22"/>
              </w:rPr>
              <w:t>1.22</w:t>
            </w:r>
          </w:p>
        </w:tc>
      </w:tr>
    </w:tbl>
    <w:p>
      <w:pPr>
        <w:spacing w:before="5"/>
        <w:ind w:left="0" w:right="2677" w:firstLine="0"/>
        <w:jc w:val="right"/>
        <w:rPr>
          <w:sz w:val="22"/>
        </w:rPr>
      </w:pPr>
      <w:r>
        <w:rPr>
          <w:sz w:val="22"/>
        </w:rPr>
        <w:t>DS</w:t>
      </w:r>
      <w:r>
        <w:rPr>
          <w:spacing w:val="5"/>
          <w:sz w:val="22"/>
        </w:rPr>
        <w:t> </w:t>
      </w:r>
      <w:r>
        <w:rPr>
          <w:sz w:val="22"/>
        </w:rPr>
        <w:t>–</w:t>
      </w:r>
      <w:r>
        <w:rPr>
          <w:spacing w:val="14"/>
          <w:sz w:val="22"/>
        </w:rPr>
        <w:t> </w:t>
      </w:r>
      <w:r>
        <w:rPr>
          <w:i/>
          <w:sz w:val="22"/>
        </w:rPr>
        <w:t>Digitaria</w:t>
      </w:r>
      <w:r>
        <w:rPr>
          <w:i/>
          <w:spacing w:val="9"/>
          <w:sz w:val="22"/>
        </w:rPr>
        <w:t> </w:t>
      </w:r>
      <w:r>
        <w:rPr>
          <w:i/>
          <w:sz w:val="22"/>
        </w:rPr>
        <w:t>iburua</w:t>
      </w:r>
      <w:r>
        <w:rPr>
          <w:i/>
          <w:spacing w:val="9"/>
          <w:sz w:val="22"/>
        </w:rPr>
        <w:t> </w:t>
      </w:r>
      <w:r>
        <w:rPr>
          <w:sz w:val="22"/>
        </w:rPr>
        <w:t>starch;</w:t>
      </w:r>
      <w:r>
        <w:rPr>
          <w:spacing w:val="7"/>
          <w:sz w:val="22"/>
        </w:rPr>
        <w:t> </w:t>
      </w:r>
      <w:r>
        <w:rPr>
          <w:sz w:val="22"/>
        </w:rPr>
        <w:t>MCS –</w:t>
      </w:r>
      <w:r>
        <w:rPr>
          <w:spacing w:val="9"/>
          <w:sz w:val="22"/>
        </w:rPr>
        <w:t> </w:t>
      </w:r>
      <w:r>
        <w:rPr>
          <w:sz w:val="22"/>
        </w:rPr>
        <w:t>Microcrystalline</w:t>
      </w:r>
      <w:r>
        <w:rPr>
          <w:spacing w:val="8"/>
          <w:sz w:val="22"/>
        </w:rPr>
        <w:t> </w:t>
      </w:r>
      <w:r>
        <w:rPr>
          <w:sz w:val="22"/>
        </w:rPr>
        <w:t>starch;</w:t>
      </w:r>
      <w:r>
        <w:rPr>
          <w:spacing w:val="11"/>
          <w:sz w:val="22"/>
        </w:rPr>
        <w:t> </w:t>
      </w:r>
      <w:r>
        <w:rPr>
          <w:sz w:val="22"/>
        </w:rPr>
        <w:t>MS</w:t>
      </w:r>
      <w:r>
        <w:rPr>
          <w:spacing w:val="6"/>
          <w:sz w:val="22"/>
        </w:rPr>
        <w:t> </w:t>
      </w:r>
      <w:r>
        <w:rPr>
          <w:sz w:val="22"/>
        </w:rPr>
        <w:t>–</w:t>
      </w:r>
      <w:r>
        <w:rPr>
          <w:spacing w:val="3"/>
          <w:sz w:val="22"/>
        </w:rPr>
        <w:t> </w:t>
      </w:r>
      <w:r>
        <w:rPr>
          <w:sz w:val="22"/>
        </w:rPr>
        <w:t>Maize</w:t>
      </w:r>
      <w:r>
        <w:rPr>
          <w:spacing w:val="7"/>
          <w:sz w:val="22"/>
        </w:rPr>
        <w:t> </w:t>
      </w:r>
      <w:r>
        <w:rPr>
          <w:spacing w:val="-2"/>
          <w:sz w:val="22"/>
        </w:rPr>
        <w:t>starch</w:t>
      </w:r>
    </w:p>
    <w:p>
      <w:pPr>
        <w:spacing w:after="0"/>
        <w:jc w:val="right"/>
        <w:rPr>
          <w:sz w:val="22"/>
        </w:rPr>
        <w:sectPr>
          <w:pgSz w:w="15840" w:h="12240" w:orient="landscape"/>
          <w:pgMar w:header="0" w:footer="1518" w:top="1380" w:bottom="1700" w:left="1120" w:right="1580"/>
        </w:sectPr>
      </w:pPr>
    </w:p>
    <w:p>
      <w:pPr>
        <w:pStyle w:val="Heading2"/>
        <w:numPr>
          <w:ilvl w:val="1"/>
          <w:numId w:val="35"/>
        </w:numPr>
        <w:tabs>
          <w:tab w:pos="1008" w:val="left" w:leader="none"/>
        </w:tabs>
        <w:spacing w:line="240" w:lineRule="auto" w:before="80" w:after="0"/>
        <w:ind w:left="1008" w:right="0" w:hanging="343"/>
        <w:jc w:val="left"/>
      </w:pPr>
      <w:bookmarkStart w:name="_TOC_250029" w:id="132"/>
      <w:r>
        <w:rPr/>
        <w:t>Dissolution</w:t>
      </w:r>
      <w:r>
        <w:rPr>
          <w:spacing w:val="17"/>
        </w:rPr>
        <w:t> </w:t>
      </w:r>
      <w:bookmarkEnd w:id="132"/>
      <w:r>
        <w:rPr>
          <w:spacing w:val="-2"/>
        </w:rPr>
        <w:t>studies</w:t>
      </w:r>
    </w:p>
    <w:p>
      <w:pPr>
        <w:pStyle w:val="BodyText"/>
        <w:spacing w:before="7"/>
        <w:rPr>
          <w:b/>
        </w:rPr>
      </w:pPr>
    </w:p>
    <w:p>
      <w:pPr>
        <w:pStyle w:val="BodyText"/>
        <w:spacing w:line="491" w:lineRule="auto" w:before="1"/>
        <w:ind w:left="665" w:right="1096"/>
        <w:jc w:val="both"/>
      </w:pPr>
      <w:r>
        <w:rPr/>
        <w:t>Figures 4.3 and 4.4 shown below revealed a rapid release of metronidazole after disintegration for both DS and MCS at 7.5 % w/v binder concentration and 10.0 % w/w disintegrant concentration respectively. Figure 4.3 show that at 30 min over 80 % of the drug was dissolved and Figure 4.4 show that at 30 min over 90 % of the drug was </w:t>
      </w:r>
      <w:r>
        <w:rPr>
          <w:spacing w:val="-2"/>
        </w:rPr>
        <w:t>dissolved.</w:t>
      </w:r>
    </w:p>
    <w:p>
      <w:pPr>
        <w:pStyle w:val="BodyText"/>
        <w:rPr>
          <w:sz w:val="19"/>
        </w:rPr>
      </w:pPr>
    </w:p>
    <w:p>
      <w:pPr>
        <w:pStyle w:val="BodyText"/>
        <w:spacing w:before="104"/>
        <w:rPr>
          <w:sz w:val="19"/>
        </w:rPr>
      </w:pPr>
    </w:p>
    <w:p>
      <w:pPr>
        <w:spacing w:before="0"/>
        <w:ind w:left="1231" w:right="0" w:firstLine="0"/>
        <w:jc w:val="left"/>
        <w:rPr>
          <w:rFonts w:ascii="Calibri"/>
          <w:sz w:val="19"/>
        </w:rPr>
      </w:pPr>
      <w:r>
        <w:rPr/>
        <mc:AlternateContent>
          <mc:Choice Requires="wps">
            <w:drawing>
              <wp:anchor distT="0" distB="0" distL="0" distR="0" allowOverlap="1" layoutInCell="1" locked="0" behindDoc="1" simplePos="0" relativeHeight="482002432">
                <wp:simplePos x="0" y="0"/>
                <wp:positionH relativeFrom="page">
                  <wp:posOffset>2115311</wp:posOffset>
                </wp:positionH>
                <wp:positionV relativeFrom="paragraph">
                  <wp:posOffset>72675</wp:posOffset>
                </wp:positionV>
                <wp:extent cx="3520440" cy="333756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3520440" cy="3337560"/>
                          <a:chExt cx="3520440" cy="3337560"/>
                        </a:xfrm>
                      </wpg:grpSpPr>
                      <wps:wsp>
                        <wps:cNvPr id="76" name="Graphic 76"/>
                        <wps:cNvSpPr/>
                        <wps:spPr>
                          <a:xfrm>
                            <a:off x="15240" y="0"/>
                            <a:ext cx="3505200" cy="3328670"/>
                          </a:xfrm>
                          <a:custGeom>
                            <a:avLst/>
                            <a:gdLst/>
                            <a:ahLst/>
                            <a:cxnLst/>
                            <a:rect l="l" t="t" r="r" b="b"/>
                            <a:pathLst>
                              <a:path w="3505200" h="3328670">
                                <a:moveTo>
                                  <a:pt x="3505200" y="3291840"/>
                                </a:moveTo>
                                <a:lnTo>
                                  <a:pt x="3499104" y="3291840"/>
                                </a:lnTo>
                                <a:lnTo>
                                  <a:pt x="3499104" y="3285744"/>
                                </a:lnTo>
                                <a:lnTo>
                                  <a:pt x="39624" y="3285744"/>
                                </a:lnTo>
                                <a:lnTo>
                                  <a:pt x="39624" y="3048"/>
                                </a:lnTo>
                                <a:lnTo>
                                  <a:pt x="36576" y="3048"/>
                                </a:lnTo>
                                <a:lnTo>
                                  <a:pt x="36576" y="0"/>
                                </a:lnTo>
                                <a:lnTo>
                                  <a:pt x="0" y="0"/>
                                </a:lnTo>
                                <a:lnTo>
                                  <a:pt x="0" y="9144"/>
                                </a:lnTo>
                                <a:lnTo>
                                  <a:pt x="33528" y="9144"/>
                                </a:lnTo>
                                <a:lnTo>
                                  <a:pt x="33528" y="548640"/>
                                </a:lnTo>
                                <a:lnTo>
                                  <a:pt x="0" y="548640"/>
                                </a:lnTo>
                                <a:lnTo>
                                  <a:pt x="0" y="554736"/>
                                </a:lnTo>
                                <a:lnTo>
                                  <a:pt x="33528" y="554736"/>
                                </a:lnTo>
                                <a:lnTo>
                                  <a:pt x="33528" y="1097280"/>
                                </a:lnTo>
                                <a:lnTo>
                                  <a:pt x="0" y="1097280"/>
                                </a:lnTo>
                                <a:lnTo>
                                  <a:pt x="0" y="1106424"/>
                                </a:lnTo>
                                <a:lnTo>
                                  <a:pt x="33528" y="1106424"/>
                                </a:lnTo>
                                <a:lnTo>
                                  <a:pt x="33528" y="1645920"/>
                                </a:lnTo>
                                <a:lnTo>
                                  <a:pt x="0" y="1645920"/>
                                </a:lnTo>
                                <a:lnTo>
                                  <a:pt x="0" y="1652016"/>
                                </a:lnTo>
                                <a:lnTo>
                                  <a:pt x="33528" y="1652016"/>
                                </a:lnTo>
                                <a:lnTo>
                                  <a:pt x="33528" y="2191512"/>
                                </a:lnTo>
                                <a:lnTo>
                                  <a:pt x="0" y="2191512"/>
                                </a:lnTo>
                                <a:lnTo>
                                  <a:pt x="0" y="2200656"/>
                                </a:lnTo>
                                <a:lnTo>
                                  <a:pt x="33528" y="2200656"/>
                                </a:lnTo>
                                <a:lnTo>
                                  <a:pt x="33528" y="2740152"/>
                                </a:lnTo>
                                <a:lnTo>
                                  <a:pt x="0" y="2740152"/>
                                </a:lnTo>
                                <a:lnTo>
                                  <a:pt x="0" y="2746248"/>
                                </a:lnTo>
                                <a:lnTo>
                                  <a:pt x="33528" y="2746248"/>
                                </a:lnTo>
                                <a:lnTo>
                                  <a:pt x="33528" y="3285744"/>
                                </a:lnTo>
                                <a:lnTo>
                                  <a:pt x="0" y="3285744"/>
                                </a:lnTo>
                                <a:lnTo>
                                  <a:pt x="0" y="3294888"/>
                                </a:lnTo>
                                <a:lnTo>
                                  <a:pt x="36576" y="3294888"/>
                                </a:lnTo>
                                <a:lnTo>
                                  <a:pt x="3496056" y="3294888"/>
                                </a:lnTo>
                                <a:lnTo>
                                  <a:pt x="3496056" y="3328416"/>
                                </a:lnTo>
                                <a:lnTo>
                                  <a:pt x="3505200" y="3328416"/>
                                </a:lnTo>
                                <a:lnTo>
                                  <a:pt x="3505200" y="3291840"/>
                                </a:lnTo>
                                <a:close/>
                              </a:path>
                            </a:pathLst>
                          </a:custGeom>
                          <a:solidFill>
                            <a:srgbClr val="858585"/>
                          </a:solidFill>
                        </wps:spPr>
                        <wps:bodyPr wrap="square" lIns="0" tIns="0" rIns="0" bIns="0" rtlCol="0">
                          <a:prstTxWarp prst="textNoShape">
                            <a:avLst/>
                          </a:prstTxWarp>
                          <a:noAutofit/>
                        </wps:bodyPr>
                      </wps:wsp>
                      <pic:pic>
                        <pic:nvPicPr>
                          <pic:cNvPr id="77" name="Image 77"/>
                          <pic:cNvPicPr/>
                        </pic:nvPicPr>
                        <pic:blipFill>
                          <a:blip r:embed="rId19" cstate="print"/>
                          <a:stretch>
                            <a:fillRect/>
                          </a:stretch>
                        </pic:blipFill>
                        <pic:spPr>
                          <a:xfrm>
                            <a:off x="0" y="502919"/>
                            <a:ext cx="3066288" cy="2834640"/>
                          </a:xfrm>
                          <a:prstGeom prst="rect">
                            <a:avLst/>
                          </a:prstGeom>
                        </pic:spPr>
                      </pic:pic>
                    </wpg:wgp>
                  </a:graphicData>
                </a:graphic>
              </wp:anchor>
            </w:drawing>
          </mc:Choice>
          <mc:Fallback>
            <w:pict>
              <v:group style="position:absolute;margin-left:166.559998pt;margin-top:5.722515pt;width:277.2pt;height:262.8pt;mso-position-horizontal-relative:page;mso-position-vertical-relative:paragraph;z-index:-21314048" id="docshapegroup66" coordorigin="3331,114" coordsize="5544,5256">
                <v:shape style="position:absolute;left:3355;top:114;width:5520;height:5242" id="docshape67" coordorigin="3355,114" coordsize="5520,5242" path="m8875,5298l8866,5298,8866,5289,3418,5289,3418,119,3413,119,3413,114,3355,114,3355,129,3408,129,3408,978,3355,978,3355,988,3408,988,3408,1842,3355,1842,3355,1857,3408,1857,3408,2706,3355,2706,3355,2716,3408,2716,3408,3566,3355,3566,3355,3580,3408,3580,3408,4430,3355,4430,3355,4439,3408,4439,3408,5289,3355,5289,3355,5303,3413,5303,8861,5303,8861,5356,8875,5356,8875,5298xe" filled="true" fillcolor="#858585" stroked="false">
                  <v:path arrowok="t"/>
                  <v:fill type="solid"/>
                </v:shape>
                <v:shape style="position:absolute;left:3331;top:906;width:4829;height:4464" type="#_x0000_t75" id="docshape68" stroked="false">
                  <v:imagedata r:id="rId19" o:title=""/>
                </v:shape>
                <w10:wrap type="none"/>
              </v:group>
            </w:pict>
          </mc:Fallback>
        </mc:AlternateContent>
      </w:r>
      <w:r>
        <w:rPr>
          <w:rFonts w:ascii="Calibri"/>
          <w:spacing w:val="-5"/>
          <w:sz w:val="19"/>
        </w:rPr>
        <w:t>120</w:t>
      </w:r>
    </w:p>
    <w:p>
      <w:pPr>
        <w:pStyle w:val="BodyText"/>
        <w:rPr>
          <w:rFonts w:ascii="Calibri"/>
          <w:sz w:val="19"/>
        </w:rPr>
      </w:pPr>
    </w:p>
    <w:p>
      <w:pPr>
        <w:pStyle w:val="BodyText"/>
        <w:spacing w:before="168"/>
        <w:rPr>
          <w:rFonts w:ascii="Calibri"/>
          <w:sz w:val="19"/>
        </w:rPr>
      </w:pPr>
    </w:p>
    <w:p>
      <w:pPr>
        <w:spacing w:before="1"/>
        <w:ind w:left="1231" w:right="0" w:firstLine="0"/>
        <w:jc w:val="left"/>
        <w:rPr>
          <w:rFonts w:ascii="Calibri"/>
          <w:sz w:val="19"/>
        </w:rPr>
      </w:pPr>
      <w:r>
        <w:rPr>
          <w:rFonts w:ascii="Calibri"/>
          <w:spacing w:val="-5"/>
          <w:sz w:val="19"/>
        </w:rPr>
        <w:t>100</w:t>
      </w:r>
    </w:p>
    <w:p>
      <w:pPr>
        <w:pStyle w:val="BodyText"/>
        <w:rPr>
          <w:rFonts w:ascii="Calibri"/>
          <w:sz w:val="19"/>
        </w:rPr>
      </w:pPr>
    </w:p>
    <w:p>
      <w:pPr>
        <w:pStyle w:val="BodyText"/>
        <w:spacing w:before="163"/>
        <w:rPr>
          <w:rFonts w:ascii="Calibri"/>
          <w:sz w:val="19"/>
        </w:rPr>
      </w:pPr>
    </w:p>
    <w:p>
      <w:pPr>
        <w:spacing w:before="0"/>
        <w:ind w:left="1328" w:right="0" w:firstLine="0"/>
        <w:jc w:val="left"/>
        <w:rPr>
          <w:rFonts w:ascii="Calibri"/>
          <w:sz w:val="19"/>
        </w:rPr>
      </w:pPr>
      <w:r>
        <w:rPr/>
        <mc:AlternateContent>
          <mc:Choice Requires="wps">
            <w:drawing>
              <wp:anchor distT="0" distB="0" distL="0" distR="0" allowOverlap="1" layoutInCell="1" locked="0" behindDoc="0" simplePos="0" relativeHeight="15752192">
                <wp:simplePos x="0" y="0"/>
                <wp:positionH relativeFrom="page">
                  <wp:posOffset>1704518</wp:posOffset>
                </wp:positionH>
                <wp:positionV relativeFrom="paragraph">
                  <wp:posOffset>-127339</wp:posOffset>
                </wp:positionV>
                <wp:extent cx="146050" cy="151447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46050" cy="151447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Percentage</w:t>
                            </w:r>
                            <w:r>
                              <w:rPr>
                                <w:rFonts w:ascii="Calibri"/>
                                <w:b/>
                                <w:spacing w:val="-6"/>
                                <w:sz w:val="19"/>
                              </w:rPr>
                              <w:t> </w:t>
                            </w:r>
                            <w:r>
                              <w:rPr>
                                <w:rFonts w:ascii="Calibri"/>
                                <w:b/>
                                <w:spacing w:val="-2"/>
                                <w:sz w:val="19"/>
                              </w:rPr>
                              <w:t>drug</w:t>
                            </w:r>
                            <w:r>
                              <w:rPr>
                                <w:rFonts w:ascii="Calibri"/>
                                <w:b/>
                                <w:spacing w:val="2"/>
                                <w:sz w:val="19"/>
                              </w:rPr>
                              <w:t> </w:t>
                            </w:r>
                            <w:r>
                              <w:rPr>
                                <w:rFonts w:ascii="Calibri"/>
                                <w:b/>
                                <w:spacing w:val="-2"/>
                                <w:sz w:val="19"/>
                              </w:rPr>
                              <w:t>dissolved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34.214066pt;margin-top:-10.026762pt;width:11.5pt;height:119.25pt;mso-position-horizontal-relative:page;mso-position-vertical-relative:paragraph;z-index:15752192" type="#_x0000_t202" id="docshape69"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Percentage</w:t>
                      </w:r>
                      <w:r>
                        <w:rPr>
                          <w:rFonts w:ascii="Calibri"/>
                          <w:b/>
                          <w:spacing w:val="-6"/>
                          <w:sz w:val="19"/>
                        </w:rPr>
                        <w:t> </w:t>
                      </w:r>
                      <w:r>
                        <w:rPr>
                          <w:rFonts w:ascii="Calibri"/>
                          <w:b/>
                          <w:spacing w:val="-2"/>
                          <w:sz w:val="19"/>
                        </w:rPr>
                        <w:t>drug</w:t>
                      </w:r>
                      <w:r>
                        <w:rPr>
                          <w:rFonts w:ascii="Calibri"/>
                          <w:b/>
                          <w:spacing w:val="2"/>
                          <w:sz w:val="19"/>
                        </w:rPr>
                        <w:t> </w:t>
                      </w:r>
                      <w:r>
                        <w:rPr>
                          <w:rFonts w:ascii="Calibri"/>
                          <w:b/>
                          <w:spacing w:val="-2"/>
                          <w:sz w:val="19"/>
                        </w:rPr>
                        <w:t>dissolved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spacing w:before="168"/>
        <w:rPr>
          <w:rFonts w:ascii="Calibri"/>
          <w:sz w:val="19"/>
        </w:rPr>
      </w:pPr>
    </w:p>
    <w:p>
      <w:pPr>
        <w:spacing w:line="212" w:lineRule="exact" w:before="0"/>
        <w:ind w:left="1328" w:right="0" w:firstLine="0"/>
        <w:jc w:val="left"/>
        <w:rPr>
          <w:rFonts w:ascii="Calibri"/>
          <w:sz w:val="19"/>
        </w:rPr>
      </w:pPr>
      <w:r>
        <w:rPr>
          <w:rFonts w:ascii="Calibri"/>
          <w:spacing w:val="-5"/>
          <w:sz w:val="19"/>
        </w:rPr>
        <w:t>60</w:t>
      </w:r>
    </w:p>
    <w:p>
      <w:pPr>
        <w:spacing w:line="212" w:lineRule="exact" w:before="0"/>
        <w:ind w:left="7232" w:right="0" w:firstLine="0"/>
        <w:jc w:val="left"/>
        <w:rPr>
          <w:rFonts w:ascii="Calibri"/>
          <w:sz w:val="19"/>
        </w:rPr>
      </w:pPr>
      <w:r>
        <w:rPr/>
        <w:drawing>
          <wp:inline distT="0" distB="0" distL="0" distR="0">
            <wp:extent cx="252983" cy="762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0" cstate="print"/>
                    <a:stretch>
                      <a:fillRect/>
                    </a:stretch>
                  </pic:blipFill>
                  <pic:spPr>
                    <a:xfrm>
                      <a:off x="0" y="0"/>
                      <a:ext cx="252983" cy="76200"/>
                    </a:xfrm>
                    <a:prstGeom prst="rect">
                      <a:avLst/>
                    </a:prstGeom>
                  </pic:spPr>
                </pic:pic>
              </a:graphicData>
            </a:graphic>
          </wp:inline>
        </w:drawing>
      </w:r>
      <w:r>
        <w:rPr/>
      </w:r>
      <w:r>
        <w:rPr>
          <w:rFonts w:ascii="Calibri"/>
          <w:spacing w:val="-5"/>
          <w:sz w:val="19"/>
        </w:rPr>
        <w:t>MS</w:t>
      </w:r>
    </w:p>
    <w:p>
      <w:pPr>
        <w:spacing w:before="114"/>
        <w:ind w:left="7232" w:right="0" w:firstLine="0"/>
        <w:jc w:val="left"/>
        <w:rPr>
          <w:rFonts w:ascii="Calibri"/>
          <w:sz w:val="19"/>
        </w:rPr>
      </w:pPr>
      <w:r>
        <w:rPr/>
        <w:drawing>
          <wp:inline distT="0" distB="0" distL="0" distR="0">
            <wp:extent cx="252983" cy="82296"/>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21" cstate="print"/>
                    <a:stretch>
                      <a:fillRect/>
                    </a:stretch>
                  </pic:blipFill>
                  <pic:spPr>
                    <a:xfrm>
                      <a:off x="0" y="0"/>
                      <a:ext cx="252983" cy="82296"/>
                    </a:xfrm>
                    <a:prstGeom prst="rect">
                      <a:avLst/>
                    </a:prstGeom>
                  </pic:spPr>
                </pic:pic>
              </a:graphicData>
            </a:graphic>
          </wp:inline>
        </w:drawing>
      </w:r>
      <w:r>
        <w:rPr/>
      </w:r>
      <w:r>
        <w:rPr>
          <w:rFonts w:ascii="Calibri"/>
          <w:spacing w:val="-5"/>
          <w:sz w:val="19"/>
        </w:rPr>
        <w:t>MCS</w:t>
      </w:r>
    </w:p>
    <w:p>
      <w:pPr>
        <w:tabs>
          <w:tab w:pos="7231" w:val="left" w:leader="none"/>
        </w:tabs>
        <w:spacing w:before="94"/>
        <w:ind w:left="1328" w:right="0" w:firstLine="0"/>
        <w:jc w:val="left"/>
        <w:rPr>
          <w:rFonts w:ascii="Calibri"/>
          <w:sz w:val="19"/>
        </w:rPr>
      </w:pPr>
      <w:r>
        <w:rPr>
          <w:rFonts w:ascii="Calibri"/>
          <w:spacing w:val="-5"/>
          <w:position w:val="1"/>
          <w:sz w:val="19"/>
        </w:rPr>
        <w:t>40</w:t>
      </w:r>
      <w:r>
        <w:rPr>
          <w:rFonts w:ascii="Calibri"/>
          <w:position w:val="1"/>
          <w:sz w:val="19"/>
        </w:rPr>
        <w:tab/>
      </w:r>
      <w:r>
        <w:rPr>
          <w:rFonts w:ascii="Calibri"/>
          <w:sz w:val="19"/>
        </w:rPr>
        <w:drawing>
          <wp:inline distT="0" distB="0" distL="0" distR="0">
            <wp:extent cx="252983" cy="79248"/>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2" cstate="print"/>
                    <a:stretch>
                      <a:fillRect/>
                    </a:stretch>
                  </pic:blipFill>
                  <pic:spPr>
                    <a:xfrm>
                      <a:off x="0" y="0"/>
                      <a:ext cx="252983" cy="79248"/>
                    </a:xfrm>
                    <a:prstGeom prst="rect">
                      <a:avLst/>
                    </a:prstGeom>
                  </pic:spPr>
                </pic:pic>
              </a:graphicData>
            </a:graphic>
          </wp:inline>
        </w:drawing>
      </w:r>
      <w:r>
        <w:rPr>
          <w:rFonts w:ascii="Calibri"/>
          <w:sz w:val="19"/>
        </w:rPr>
      </w:r>
      <w:r>
        <w:rPr>
          <w:rFonts w:ascii="Calibri"/>
          <w:spacing w:val="-5"/>
          <w:sz w:val="19"/>
        </w:rPr>
        <w:t>GEL</w:t>
      </w:r>
    </w:p>
    <w:p>
      <w:pPr>
        <w:pStyle w:val="BodyText"/>
        <w:rPr>
          <w:rFonts w:ascii="Calibri"/>
          <w:sz w:val="19"/>
        </w:rPr>
      </w:pPr>
    </w:p>
    <w:p>
      <w:pPr>
        <w:pStyle w:val="BodyText"/>
        <w:spacing w:before="154"/>
        <w:rPr>
          <w:rFonts w:ascii="Calibri"/>
          <w:sz w:val="19"/>
        </w:rPr>
      </w:pPr>
    </w:p>
    <w:p>
      <w:pPr>
        <w:spacing w:before="0"/>
        <w:ind w:left="1328" w:right="0" w:firstLine="0"/>
        <w:jc w:val="left"/>
        <w:rPr>
          <w:rFonts w:ascii="Calibri"/>
          <w:sz w:val="19"/>
        </w:rPr>
      </w:pPr>
      <w:r>
        <w:rPr>
          <w:rFonts w:ascii="Calibri"/>
          <w:spacing w:val="-5"/>
          <w:sz w:val="19"/>
        </w:rPr>
        <w:t>20</w:t>
      </w:r>
    </w:p>
    <w:p>
      <w:pPr>
        <w:pStyle w:val="BodyText"/>
        <w:rPr>
          <w:rFonts w:ascii="Calibri"/>
          <w:sz w:val="19"/>
        </w:rPr>
      </w:pPr>
    </w:p>
    <w:p>
      <w:pPr>
        <w:pStyle w:val="BodyText"/>
        <w:spacing w:before="168"/>
        <w:rPr>
          <w:rFonts w:ascii="Calibri"/>
          <w:sz w:val="19"/>
        </w:rPr>
      </w:pPr>
    </w:p>
    <w:p>
      <w:pPr>
        <w:spacing w:before="0"/>
        <w:ind w:left="1423" w:right="0" w:firstLine="0"/>
        <w:jc w:val="left"/>
        <w:rPr>
          <w:rFonts w:ascii="Calibri"/>
          <w:sz w:val="19"/>
        </w:rPr>
      </w:pPr>
      <w:r>
        <w:rPr>
          <w:rFonts w:ascii="Calibri"/>
          <w:spacing w:val="-10"/>
          <w:sz w:val="19"/>
        </w:rPr>
        <w:t>0</w:t>
      </w:r>
    </w:p>
    <w:p>
      <w:pPr>
        <w:tabs>
          <w:tab w:pos="2422" w:val="left" w:leader="none"/>
          <w:tab w:pos="3156" w:val="left" w:leader="none"/>
          <w:tab w:pos="3934" w:val="left" w:leader="none"/>
          <w:tab w:pos="4711" w:val="left" w:leader="none"/>
          <w:tab w:pos="5489" w:val="left" w:leader="none"/>
          <w:tab w:pos="6271" w:val="left" w:leader="none"/>
          <w:tab w:pos="7049" w:val="left" w:leader="none"/>
        </w:tabs>
        <w:spacing w:before="13"/>
        <w:ind w:left="1644" w:right="0" w:firstLine="0"/>
        <w:jc w:val="left"/>
        <w:rPr>
          <w:rFonts w:ascii="Calibri"/>
          <w:sz w:val="19"/>
        </w:rPr>
      </w:pPr>
      <w:r>
        <w:rPr>
          <w:rFonts w:ascii="Calibri"/>
          <w:spacing w:val="-10"/>
          <w:sz w:val="19"/>
        </w:rPr>
        <w:t>0</w:t>
      </w:r>
      <w:r>
        <w:rPr>
          <w:rFonts w:ascii="Calibri"/>
          <w:sz w:val="19"/>
        </w:rPr>
        <w:tab/>
      </w:r>
      <w:r>
        <w:rPr>
          <w:rFonts w:ascii="Calibri"/>
          <w:spacing w:val="-10"/>
          <w:sz w:val="19"/>
        </w:rPr>
        <w:t>5</w:t>
      </w:r>
      <w:r>
        <w:rPr>
          <w:rFonts w:ascii="Calibri"/>
          <w:sz w:val="19"/>
        </w:rPr>
        <w:tab/>
      </w:r>
      <w:r>
        <w:rPr>
          <w:rFonts w:ascii="Calibri"/>
          <w:spacing w:val="-5"/>
          <w:sz w:val="19"/>
        </w:rPr>
        <w:t>10</w:t>
      </w:r>
      <w:r>
        <w:rPr>
          <w:rFonts w:ascii="Calibri"/>
          <w:sz w:val="19"/>
        </w:rPr>
        <w:tab/>
      </w:r>
      <w:r>
        <w:rPr>
          <w:rFonts w:ascii="Calibri"/>
          <w:spacing w:val="-5"/>
          <w:sz w:val="19"/>
        </w:rPr>
        <w:t>15</w:t>
      </w:r>
      <w:r>
        <w:rPr>
          <w:rFonts w:ascii="Calibri"/>
          <w:sz w:val="19"/>
        </w:rPr>
        <w:tab/>
      </w:r>
      <w:r>
        <w:rPr>
          <w:rFonts w:ascii="Calibri"/>
          <w:spacing w:val="-5"/>
          <w:sz w:val="19"/>
        </w:rPr>
        <w:t>20</w:t>
      </w:r>
      <w:r>
        <w:rPr>
          <w:rFonts w:ascii="Calibri"/>
          <w:sz w:val="19"/>
        </w:rPr>
        <w:tab/>
      </w:r>
      <w:r>
        <w:rPr>
          <w:rFonts w:ascii="Calibri"/>
          <w:spacing w:val="-5"/>
          <w:sz w:val="19"/>
        </w:rPr>
        <w:t>25</w:t>
      </w:r>
      <w:r>
        <w:rPr>
          <w:rFonts w:ascii="Calibri"/>
          <w:sz w:val="19"/>
        </w:rPr>
        <w:tab/>
      </w:r>
      <w:r>
        <w:rPr>
          <w:rFonts w:ascii="Calibri"/>
          <w:spacing w:val="-5"/>
          <w:sz w:val="19"/>
        </w:rPr>
        <w:t>30</w:t>
      </w:r>
      <w:r>
        <w:rPr>
          <w:rFonts w:ascii="Calibri"/>
          <w:sz w:val="19"/>
        </w:rPr>
        <w:tab/>
      </w:r>
      <w:r>
        <w:rPr>
          <w:rFonts w:ascii="Calibri"/>
          <w:spacing w:val="-5"/>
          <w:sz w:val="19"/>
        </w:rPr>
        <w:t>35</w:t>
      </w:r>
    </w:p>
    <w:p>
      <w:pPr>
        <w:spacing w:before="190"/>
        <w:ind w:left="0" w:right="894" w:firstLine="0"/>
        <w:jc w:val="center"/>
        <w:rPr>
          <w:rFonts w:ascii="Calibri"/>
          <w:b/>
          <w:sz w:val="19"/>
        </w:rPr>
      </w:pPr>
      <w:r>
        <w:rPr>
          <w:rFonts w:ascii="Calibri"/>
          <w:b/>
          <w:sz w:val="19"/>
        </w:rPr>
        <w:t>Time</w:t>
      </w:r>
      <w:r>
        <w:rPr>
          <w:rFonts w:ascii="Calibri"/>
          <w:b/>
          <w:spacing w:val="-6"/>
          <w:sz w:val="19"/>
        </w:rPr>
        <w:t> </w:t>
      </w:r>
      <w:r>
        <w:rPr>
          <w:rFonts w:ascii="Calibri"/>
          <w:b/>
          <w:spacing w:val="-2"/>
          <w:sz w:val="19"/>
        </w:rPr>
        <w:t>(min)</w:t>
      </w:r>
    </w:p>
    <w:p>
      <w:pPr>
        <w:pStyle w:val="BodyText"/>
        <w:rPr>
          <w:rFonts w:ascii="Calibri"/>
          <w:b/>
        </w:rPr>
      </w:pPr>
    </w:p>
    <w:p>
      <w:pPr>
        <w:pStyle w:val="BodyText"/>
        <w:spacing w:before="162"/>
        <w:rPr>
          <w:rFonts w:ascii="Calibri"/>
          <w:b/>
        </w:rPr>
      </w:pPr>
    </w:p>
    <w:p>
      <w:pPr>
        <w:spacing w:before="0"/>
        <w:ind w:left="665" w:right="0" w:firstLine="0"/>
        <w:jc w:val="left"/>
        <w:rPr>
          <w:sz w:val="22"/>
        </w:rPr>
      </w:pPr>
      <w:r>
        <w:rPr>
          <w:sz w:val="22"/>
        </w:rPr>
        <w:t>DS</w:t>
      </w:r>
      <w:r>
        <w:rPr>
          <w:spacing w:val="16"/>
          <w:sz w:val="22"/>
        </w:rPr>
        <w:t> </w:t>
      </w:r>
      <w:r>
        <w:rPr>
          <w:sz w:val="22"/>
        </w:rPr>
        <w:t>=</w:t>
      </w:r>
      <w:r>
        <w:rPr>
          <w:spacing w:val="8"/>
          <w:sz w:val="22"/>
        </w:rPr>
        <w:t> </w:t>
      </w:r>
      <w:r>
        <w:rPr>
          <w:i/>
          <w:sz w:val="22"/>
        </w:rPr>
        <w:t>Digitaria</w:t>
      </w:r>
      <w:r>
        <w:rPr>
          <w:i/>
          <w:spacing w:val="13"/>
          <w:sz w:val="22"/>
        </w:rPr>
        <w:t> </w:t>
      </w:r>
      <w:r>
        <w:rPr>
          <w:i/>
          <w:sz w:val="22"/>
        </w:rPr>
        <w:t>iburua</w:t>
      </w:r>
      <w:r>
        <w:rPr>
          <w:i/>
          <w:spacing w:val="10"/>
          <w:sz w:val="22"/>
        </w:rPr>
        <w:t> </w:t>
      </w:r>
      <w:r>
        <w:rPr>
          <w:sz w:val="22"/>
        </w:rPr>
        <w:t>Starch,</w:t>
      </w:r>
      <w:r>
        <w:rPr>
          <w:spacing w:val="11"/>
          <w:sz w:val="22"/>
        </w:rPr>
        <w:t> </w:t>
      </w:r>
      <w:r>
        <w:rPr>
          <w:sz w:val="22"/>
        </w:rPr>
        <w:t>MCS</w:t>
      </w:r>
      <w:r>
        <w:rPr>
          <w:spacing w:val="5"/>
          <w:sz w:val="22"/>
        </w:rPr>
        <w:t> </w:t>
      </w:r>
      <w:r>
        <w:rPr>
          <w:sz w:val="22"/>
        </w:rPr>
        <w:t>=</w:t>
      </w:r>
      <w:r>
        <w:rPr>
          <w:spacing w:val="9"/>
          <w:sz w:val="22"/>
        </w:rPr>
        <w:t> </w:t>
      </w:r>
      <w:r>
        <w:rPr>
          <w:sz w:val="22"/>
        </w:rPr>
        <w:t>Microcrystalline</w:t>
      </w:r>
      <w:r>
        <w:rPr>
          <w:spacing w:val="11"/>
          <w:sz w:val="22"/>
        </w:rPr>
        <w:t> </w:t>
      </w:r>
      <w:r>
        <w:rPr>
          <w:sz w:val="22"/>
        </w:rPr>
        <w:t>starch,</w:t>
      </w:r>
      <w:r>
        <w:rPr>
          <w:spacing w:val="19"/>
          <w:sz w:val="22"/>
        </w:rPr>
        <w:t> </w:t>
      </w:r>
      <w:r>
        <w:rPr>
          <w:sz w:val="22"/>
        </w:rPr>
        <w:t>GEL</w:t>
      </w:r>
      <w:r>
        <w:rPr>
          <w:spacing w:val="7"/>
          <w:sz w:val="22"/>
        </w:rPr>
        <w:t> </w:t>
      </w:r>
      <w:r>
        <w:rPr>
          <w:sz w:val="22"/>
        </w:rPr>
        <w:t>=</w:t>
      </w:r>
      <w:r>
        <w:rPr>
          <w:spacing w:val="9"/>
          <w:sz w:val="22"/>
        </w:rPr>
        <w:t> </w:t>
      </w:r>
      <w:r>
        <w:rPr>
          <w:spacing w:val="-2"/>
          <w:sz w:val="22"/>
        </w:rPr>
        <w:t>Gelatin</w:t>
      </w:r>
    </w:p>
    <w:p>
      <w:pPr>
        <w:pStyle w:val="BodyText"/>
        <w:spacing w:before="17"/>
      </w:pPr>
    </w:p>
    <w:p>
      <w:pPr>
        <w:pStyle w:val="Heading2"/>
        <w:ind w:left="665" w:firstLine="0"/>
      </w:pPr>
      <w:r>
        <w:rPr/>
        <w:t>Figure</w:t>
      </w:r>
      <w:r>
        <w:rPr>
          <w:spacing w:val="9"/>
        </w:rPr>
        <w:t> </w:t>
      </w:r>
      <w:r>
        <w:rPr/>
        <w:t>4.3:</w:t>
      </w:r>
      <w:r>
        <w:rPr>
          <w:spacing w:val="16"/>
        </w:rPr>
        <w:t> </w:t>
      </w:r>
      <w:r>
        <w:rPr/>
        <w:t>Graph</w:t>
      </w:r>
      <w:r>
        <w:rPr>
          <w:spacing w:val="14"/>
        </w:rPr>
        <w:t> </w:t>
      </w:r>
      <w:r>
        <w:rPr/>
        <w:t>showing</w:t>
      </w:r>
      <w:r>
        <w:rPr>
          <w:spacing w:val="17"/>
        </w:rPr>
        <w:t> </w:t>
      </w:r>
      <w:r>
        <w:rPr/>
        <w:t>dissolution</w:t>
      </w:r>
      <w:r>
        <w:rPr>
          <w:spacing w:val="8"/>
        </w:rPr>
        <w:t> </w:t>
      </w:r>
      <w:r>
        <w:rPr/>
        <w:t>profile</w:t>
      </w:r>
      <w:r>
        <w:rPr>
          <w:spacing w:val="9"/>
        </w:rPr>
        <w:t> </w:t>
      </w:r>
      <w:r>
        <w:rPr/>
        <w:t>of</w:t>
      </w:r>
      <w:r>
        <w:rPr>
          <w:spacing w:val="16"/>
        </w:rPr>
        <w:t> </w:t>
      </w:r>
      <w:r>
        <w:rPr/>
        <w:t>metronidazole</w:t>
      </w:r>
      <w:r>
        <w:rPr>
          <w:spacing w:val="16"/>
        </w:rPr>
        <w:t> </w:t>
      </w:r>
      <w:r>
        <w:rPr/>
        <w:t>tablets</w:t>
      </w:r>
      <w:r>
        <w:rPr>
          <w:spacing w:val="13"/>
        </w:rPr>
        <w:t> </w:t>
      </w:r>
      <w:r>
        <w:rPr>
          <w:spacing w:val="-2"/>
        </w:rPr>
        <w:t>containing</w:t>
      </w:r>
    </w:p>
    <w:p>
      <w:pPr>
        <w:spacing w:before="2"/>
        <w:ind w:left="1736" w:right="0" w:firstLine="0"/>
        <w:jc w:val="left"/>
        <w:rPr>
          <w:b/>
          <w:sz w:val="22"/>
        </w:rPr>
      </w:pPr>
      <w:r>
        <w:rPr>
          <w:b/>
          <w:sz w:val="22"/>
        </w:rPr>
        <w:t>7.5</w:t>
      </w:r>
      <w:r>
        <w:rPr>
          <w:b/>
          <w:spacing w:val="1"/>
          <w:sz w:val="22"/>
        </w:rPr>
        <w:t> </w:t>
      </w:r>
      <w:r>
        <w:rPr>
          <w:b/>
          <w:sz w:val="22"/>
        </w:rPr>
        <w:t>%</w:t>
      </w:r>
      <w:r>
        <w:rPr>
          <w:b/>
          <w:spacing w:val="21"/>
          <w:sz w:val="22"/>
        </w:rPr>
        <w:t> </w:t>
      </w:r>
      <w:r>
        <w:rPr>
          <w:b/>
          <w:sz w:val="22"/>
        </w:rPr>
        <w:t>w/v</w:t>
      </w:r>
      <w:r>
        <w:rPr>
          <w:b/>
          <w:spacing w:val="1"/>
          <w:sz w:val="22"/>
        </w:rPr>
        <w:t> </w:t>
      </w:r>
      <w:r>
        <w:rPr>
          <w:b/>
          <w:sz w:val="22"/>
        </w:rPr>
        <w:t>binder</w:t>
      </w:r>
      <w:r>
        <w:rPr>
          <w:b/>
          <w:spacing w:val="10"/>
          <w:sz w:val="22"/>
        </w:rPr>
        <w:t> </w:t>
      </w:r>
      <w:r>
        <w:rPr>
          <w:b/>
          <w:spacing w:val="-2"/>
          <w:sz w:val="22"/>
        </w:rPr>
        <w:t>concentration.</w:t>
      </w:r>
    </w:p>
    <w:p>
      <w:pPr>
        <w:spacing w:after="0"/>
        <w:jc w:val="left"/>
        <w:rPr>
          <w:sz w:val="22"/>
        </w:rPr>
        <w:sectPr>
          <w:footerReference w:type="default" r:id="rId18"/>
          <w:pgSz w:w="12240" w:h="15840"/>
          <w:pgMar w:header="0" w:footer="999" w:top="126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61"/>
        <w:rPr>
          <w:b/>
          <w:sz w:val="19"/>
        </w:rPr>
      </w:pPr>
    </w:p>
    <w:p>
      <w:pPr>
        <w:spacing w:before="0"/>
        <w:ind w:left="1006" w:right="0" w:firstLine="0"/>
        <w:jc w:val="left"/>
        <w:rPr>
          <w:rFonts w:ascii="Calibri"/>
          <w:sz w:val="19"/>
        </w:rPr>
      </w:pPr>
      <w:r>
        <w:rPr/>
        <mc:AlternateContent>
          <mc:Choice Requires="wps">
            <w:drawing>
              <wp:anchor distT="0" distB="0" distL="0" distR="0" allowOverlap="1" layoutInCell="1" locked="0" behindDoc="1" simplePos="0" relativeHeight="482003456">
                <wp:simplePos x="0" y="0"/>
                <wp:positionH relativeFrom="page">
                  <wp:posOffset>1972055</wp:posOffset>
                </wp:positionH>
                <wp:positionV relativeFrom="paragraph">
                  <wp:posOffset>75306</wp:posOffset>
                </wp:positionV>
                <wp:extent cx="3938270" cy="411797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3938270" cy="4117975"/>
                          <a:chExt cx="3938270" cy="4117975"/>
                        </a:xfrm>
                      </wpg:grpSpPr>
                      <wps:wsp>
                        <wps:cNvPr id="83" name="Graphic 83"/>
                        <wps:cNvSpPr/>
                        <wps:spPr>
                          <a:xfrm>
                            <a:off x="15240" y="0"/>
                            <a:ext cx="3816350" cy="4105910"/>
                          </a:xfrm>
                          <a:custGeom>
                            <a:avLst/>
                            <a:gdLst/>
                            <a:ahLst/>
                            <a:cxnLst/>
                            <a:rect l="l" t="t" r="r" b="b"/>
                            <a:pathLst>
                              <a:path w="3816350" h="4105910">
                                <a:moveTo>
                                  <a:pt x="3816096" y="4069080"/>
                                </a:moveTo>
                                <a:lnTo>
                                  <a:pt x="3813048" y="4069080"/>
                                </a:lnTo>
                                <a:lnTo>
                                  <a:pt x="3813048" y="4062984"/>
                                </a:lnTo>
                                <a:lnTo>
                                  <a:pt x="39624" y="4062984"/>
                                </a:lnTo>
                                <a:lnTo>
                                  <a:pt x="39624" y="3048"/>
                                </a:lnTo>
                                <a:lnTo>
                                  <a:pt x="36576" y="3048"/>
                                </a:lnTo>
                                <a:lnTo>
                                  <a:pt x="36576" y="0"/>
                                </a:lnTo>
                                <a:lnTo>
                                  <a:pt x="0" y="0"/>
                                </a:lnTo>
                                <a:lnTo>
                                  <a:pt x="0" y="9144"/>
                                </a:lnTo>
                                <a:lnTo>
                                  <a:pt x="33528" y="9144"/>
                                </a:lnTo>
                                <a:lnTo>
                                  <a:pt x="33528" y="676656"/>
                                </a:lnTo>
                                <a:lnTo>
                                  <a:pt x="0" y="676656"/>
                                </a:lnTo>
                                <a:lnTo>
                                  <a:pt x="0" y="685800"/>
                                </a:lnTo>
                                <a:lnTo>
                                  <a:pt x="33528" y="685800"/>
                                </a:lnTo>
                                <a:lnTo>
                                  <a:pt x="33528" y="1356360"/>
                                </a:lnTo>
                                <a:lnTo>
                                  <a:pt x="0" y="1356360"/>
                                </a:lnTo>
                                <a:lnTo>
                                  <a:pt x="0" y="1362456"/>
                                </a:lnTo>
                                <a:lnTo>
                                  <a:pt x="33528" y="1362456"/>
                                </a:lnTo>
                                <a:lnTo>
                                  <a:pt x="33528" y="2029968"/>
                                </a:lnTo>
                                <a:lnTo>
                                  <a:pt x="0" y="2029968"/>
                                </a:lnTo>
                                <a:lnTo>
                                  <a:pt x="0" y="2039112"/>
                                </a:lnTo>
                                <a:lnTo>
                                  <a:pt x="33528" y="2039112"/>
                                </a:lnTo>
                                <a:lnTo>
                                  <a:pt x="33528" y="2709672"/>
                                </a:lnTo>
                                <a:lnTo>
                                  <a:pt x="0" y="2709672"/>
                                </a:lnTo>
                                <a:lnTo>
                                  <a:pt x="0" y="2718816"/>
                                </a:lnTo>
                                <a:lnTo>
                                  <a:pt x="33528" y="2718816"/>
                                </a:lnTo>
                                <a:lnTo>
                                  <a:pt x="33528" y="3386328"/>
                                </a:lnTo>
                                <a:lnTo>
                                  <a:pt x="0" y="3386328"/>
                                </a:lnTo>
                                <a:lnTo>
                                  <a:pt x="0" y="3395472"/>
                                </a:lnTo>
                                <a:lnTo>
                                  <a:pt x="33528" y="3395472"/>
                                </a:lnTo>
                                <a:lnTo>
                                  <a:pt x="33528" y="4066032"/>
                                </a:lnTo>
                                <a:lnTo>
                                  <a:pt x="0" y="4066032"/>
                                </a:lnTo>
                                <a:lnTo>
                                  <a:pt x="0" y="4075176"/>
                                </a:lnTo>
                                <a:lnTo>
                                  <a:pt x="36576" y="4075176"/>
                                </a:lnTo>
                                <a:lnTo>
                                  <a:pt x="36576" y="4072128"/>
                                </a:lnTo>
                                <a:lnTo>
                                  <a:pt x="3806952" y="4072128"/>
                                </a:lnTo>
                                <a:lnTo>
                                  <a:pt x="3806952" y="4105656"/>
                                </a:lnTo>
                                <a:lnTo>
                                  <a:pt x="3816096" y="4105656"/>
                                </a:lnTo>
                                <a:lnTo>
                                  <a:pt x="3816096" y="4069080"/>
                                </a:lnTo>
                                <a:close/>
                              </a:path>
                            </a:pathLst>
                          </a:custGeom>
                          <a:solidFill>
                            <a:srgbClr val="858585"/>
                          </a:solidFill>
                        </wps:spPr>
                        <wps:bodyPr wrap="square" lIns="0" tIns="0" rIns="0" bIns="0" rtlCol="0">
                          <a:prstTxWarp prst="textNoShape">
                            <a:avLst/>
                          </a:prstTxWarp>
                          <a:noAutofit/>
                        </wps:bodyPr>
                      </wps:wsp>
                      <pic:pic>
                        <pic:nvPicPr>
                          <pic:cNvPr id="84" name="Image 84"/>
                          <pic:cNvPicPr/>
                        </pic:nvPicPr>
                        <pic:blipFill>
                          <a:blip r:embed="rId23" cstate="print"/>
                          <a:stretch>
                            <a:fillRect/>
                          </a:stretch>
                        </pic:blipFill>
                        <pic:spPr>
                          <a:xfrm>
                            <a:off x="0" y="633983"/>
                            <a:ext cx="3334511" cy="3483864"/>
                          </a:xfrm>
                          <a:prstGeom prst="rect">
                            <a:avLst/>
                          </a:prstGeom>
                        </pic:spPr>
                      </pic:pic>
                      <wps:wsp>
                        <wps:cNvPr id="85" name="Graphic 85"/>
                        <wps:cNvSpPr/>
                        <wps:spPr>
                          <a:xfrm>
                            <a:off x="3681984" y="2087879"/>
                            <a:ext cx="256540" cy="24765"/>
                          </a:xfrm>
                          <a:custGeom>
                            <a:avLst/>
                            <a:gdLst/>
                            <a:ahLst/>
                            <a:cxnLst/>
                            <a:rect l="l" t="t" r="r" b="b"/>
                            <a:pathLst>
                              <a:path w="256540" h="24765">
                                <a:moveTo>
                                  <a:pt x="249936" y="0"/>
                                </a:moveTo>
                                <a:lnTo>
                                  <a:pt x="15239" y="0"/>
                                </a:lnTo>
                                <a:lnTo>
                                  <a:pt x="6096" y="0"/>
                                </a:lnTo>
                                <a:lnTo>
                                  <a:pt x="0" y="6096"/>
                                </a:lnTo>
                                <a:lnTo>
                                  <a:pt x="0" y="18287"/>
                                </a:lnTo>
                                <a:lnTo>
                                  <a:pt x="6096" y="24384"/>
                                </a:lnTo>
                                <a:lnTo>
                                  <a:pt x="249936" y="24384"/>
                                </a:lnTo>
                                <a:lnTo>
                                  <a:pt x="256032" y="18287"/>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86" name="Image 86"/>
                          <pic:cNvPicPr/>
                        </pic:nvPicPr>
                        <pic:blipFill>
                          <a:blip r:embed="rId24" cstate="print"/>
                          <a:stretch>
                            <a:fillRect/>
                          </a:stretch>
                        </pic:blipFill>
                        <pic:spPr>
                          <a:xfrm>
                            <a:off x="3770376" y="2063495"/>
                            <a:ext cx="79247" cy="76200"/>
                          </a:xfrm>
                          <a:prstGeom prst="rect">
                            <a:avLst/>
                          </a:prstGeom>
                        </pic:spPr>
                      </pic:pic>
                      <wps:wsp>
                        <wps:cNvPr id="87" name="Graphic 87"/>
                        <wps:cNvSpPr/>
                        <wps:spPr>
                          <a:xfrm>
                            <a:off x="3681984" y="2304288"/>
                            <a:ext cx="256540" cy="27940"/>
                          </a:xfrm>
                          <a:custGeom>
                            <a:avLst/>
                            <a:gdLst/>
                            <a:ahLst/>
                            <a:cxnLst/>
                            <a:rect l="l" t="t" r="r" b="b"/>
                            <a:pathLst>
                              <a:path w="256540" h="27940">
                                <a:moveTo>
                                  <a:pt x="249936" y="0"/>
                                </a:moveTo>
                                <a:lnTo>
                                  <a:pt x="15239" y="0"/>
                                </a:lnTo>
                                <a:lnTo>
                                  <a:pt x="6096" y="0"/>
                                </a:lnTo>
                                <a:lnTo>
                                  <a:pt x="0" y="6095"/>
                                </a:lnTo>
                                <a:lnTo>
                                  <a:pt x="0" y="21336"/>
                                </a:lnTo>
                                <a:lnTo>
                                  <a:pt x="6096" y="27431"/>
                                </a:lnTo>
                                <a:lnTo>
                                  <a:pt x="249936" y="27431"/>
                                </a:lnTo>
                                <a:lnTo>
                                  <a:pt x="256032" y="21336"/>
                                </a:lnTo>
                                <a:lnTo>
                                  <a:pt x="256032" y="6095"/>
                                </a:lnTo>
                                <a:lnTo>
                                  <a:pt x="249936" y="0"/>
                                </a:lnTo>
                                <a:close/>
                              </a:path>
                            </a:pathLst>
                          </a:custGeom>
                          <a:solidFill>
                            <a:srgbClr val="BD4A47"/>
                          </a:solidFill>
                        </wps:spPr>
                        <wps:bodyPr wrap="square" lIns="0" tIns="0" rIns="0" bIns="0" rtlCol="0">
                          <a:prstTxWarp prst="textNoShape">
                            <a:avLst/>
                          </a:prstTxWarp>
                          <a:noAutofit/>
                        </wps:bodyPr>
                      </wps:wsp>
                      <wps:wsp>
                        <wps:cNvPr id="88" name="Graphic 88"/>
                        <wps:cNvSpPr/>
                        <wps:spPr>
                          <a:xfrm>
                            <a:off x="3773423" y="2279904"/>
                            <a:ext cx="70485" cy="73660"/>
                          </a:xfrm>
                          <a:custGeom>
                            <a:avLst/>
                            <a:gdLst/>
                            <a:ahLst/>
                            <a:cxnLst/>
                            <a:rect l="l" t="t" r="r" b="b"/>
                            <a:pathLst>
                              <a:path w="70485" h="73660">
                                <a:moveTo>
                                  <a:pt x="70103" y="0"/>
                                </a:moveTo>
                                <a:lnTo>
                                  <a:pt x="0" y="0"/>
                                </a:lnTo>
                                <a:lnTo>
                                  <a:pt x="0" y="73151"/>
                                </a:lnTo>
                                <a:lnTo>
                                  <a:pt x="70103" y="73151"/>
                                </a:lnTo>
                                <a:lnTo>
                                  <a:pt x="70103" y="0"/>
                                </a:lnTo>
                                <a:close/>
                              </a:path>
                            </a:pathLst>
                          </a:custGeom>
                          <a:solidFill>
                            <a:srgbClr val="BF4F4C"/>
                          </a:solidFill>
                        </wps:spPr>
                        <wps:bodyPr wrap="square" lIns="0" tIns="0" rIns="0" bIns="0" rtlCol="0">
                          <a:prstTxWarp prst="textNoShape">
                            <a:avLst/>
                          </a:prstTxWarp>
                          <a:noAutofit/>
                        </wps:bodyPr>
                      </wps:wsp>
                      <wps:wsp>
                        <wps:cNvPr id="89" name="Graphic 89"/>
                        <wps:cNvSpPr/>
                        <wps:spPr>
                          <a:xfrm>
                            <a:off x="3770376" y="2276855"/>
                            <a:ext cx="79375" cy="79375"/>
                          </a:xfrm>
                          <a:custGeom>
                            <a:avLst/>
                            <a:gdLst/>
                            <a:ahLst/>
                            <a:cxnLst/>
                            <a:rect l="l" t="t" r="r" b="b"/>
                            <a:pathLst>
                              <a:path w="79375" h="79375">
                                <a:moveTo>
                                  <a:pt x="73151" y="0"/>
                                </a:moveTo>
                                <a:lnTo>
                                  <a:pt x="3047" y="0"/>
                                </a:lnTo>
                                <a:lnTo>
                                  <a:pt x="0" y="3048"/>
                                </a:lnTo>
                                <a:lnTo>
                                  <a:pt x="0" y="76200"/>
                                </a:lnTo>
                                <a:lnTo>
                                  <a:pt x="3047" y="79248"/>
                                </a:lnTo>
                                <a:lnTo>
                                  <a:pt x="73151" y="79248"/>
                                </a:lnTo>
                                <a:lnTo>
                                  <a:pt x="79247" y="76200"/>
                                </a:lnTo>
                                <a:lnTo>
                                  <a:pt x="6095" y="76200"/>
                                </a:lnTo>
                                <a:lnTo>
                                  <a:pt x="3047" y="70103"/>
                                </a:lnTo>
                                <a:lnTo>
                                  <a:pt x="6095" y="70103"/>
                                </a:lnTo>
                                <a:lnTo>
                                  <a:pt x="6095" y="9144"/>
                                </a:lnTo>
                                <a:lnTo>
                                  <a:pt x="3047" y="9144"/>
                                </a:lnTo>
                                <a:lnTo>
                                  <a:pt x="6095" y="3048"/>
                                </a:lnTo>
                                <a:lnTo>
                                  <a:pt x="79247" y="3048"/>
                                </a:lnTo>
                                <a:lnTo>
                                  <a:pt x="73151" y="0"/>
                                </a:lnTo>
                                <a:close/>
                              </a:path>
                              <a:path w="79375" h="79375">
                                <a:moveTo>
                                  <a:pt x="6095" y="70103"/>
                                </a:moveTo>
                                <a:lnTo>
                                  <a:pt x="3047" y="70103"/>
                                </a:lnTo>
                                <a:lnTo>
                                  <a:pt x="6095" y="76200"/>
                                </a:lnTo>
                                <a:lnTo>
                                  <a:pt x="6095" y="70103"/>
                                </a:lnTo>
                                <a:close/>
                              </a:path>
                              <a:path w="79375" h="79375">
                                <a:moveTo>
                                  <a:pt x="70103" y="70103"/>
                                </a:moveTo>
                                <a:lnTo>
                                  <a:pt x="6095" y="70103"/>
                                </a:lnTo>
                                <a:lnTo>
                                  <a:pt x="6095" y="76200"/>
                                </a:lnTo>
                                <a:lnTo>
                                  <a:pt x="70103" y="76200"/>
                                </a:lnTo>
                                <a:lnTo>
                                  <a:pt x="70103" y="70103"/>
                                </a:lnTo>
                                <a:close/>
                              </a:path>
                              <a:path w="79375" h="79375">
                                <a:moveTo>
                                  <a:pt x="70103" y="3048"/>
                                </a:moveTo>
                                <a:lnTo>
                                  <a:pt x="70103" y="76200"/>
                                </a:lnTo>
                                <a:lnTo>
                                  <a:pt x="73151" y="70103"/>
                                </a:lnTo>
                                <a:lnTo>
                                  <a:pt x="79247" y="70103"/>
                                </a:lnTo>
                                <a:lnTo>
                                  <a:pt x="79247" y="9144"/>
                                </a:lnTo>
                                <a:lnTo>
                                  <a:pt x="73151" y="9144"/>
                                </a:lnTo>
                                <a:lnTo>
                                  <a:pt x="70103" y="3048"/>
                                </a:lnTo>
                                <a:close/>
                              </a:path>
                              <a:path w="79375" h="79375">
                                <a:moveTo>
                                  <a:pt x="79247" y="70103"/>
                                </a:moveTo>
                                <a:lnTo>
                                  <a:pt x="73151" y="70103"/>
                                </a:lnTo>
                                <a:lnTo>
                                  <a:pt x="70103" y="76200"/>
                                </a:lnTo>
                                <a:lnTo>
                                  <a:pt x="79247" y="76200"/>
                                </a:lnTo>
                                <a:lnTo>
                                  <a:pt x="79247" y="70103"/>
                                </a:lnTo>
                                <a:close/>
                              </a:path>
                              <a:path w="79375" h="79375">
                                <a:moveTo>
                                  <a:pt x="6095" y="3048"/>
                                </a:moveTo>
                                <a:lnTo>
                                  <a:pt x="3047" y="9144"/>
                                </a:lnTo>
                                <a:lnTo>
                                  <a:pt x="6095" y="9144"/>
                                </a:lnTo>
                                <a:lnTo>
                                  <a:pt x="6095" y="3048"/>
                                </a:lnTo>
                                <a:close/>
                              </a:path>
                              <a:path w="79375" h="79375">
                                <a:moveTo>
                                  <a:pt x="70103" y="3048"/>
                                </a:moveTo>
                                <a:lnTo>
                                  <a:pt x="6095" y="3048"/>
                                </a:lnTo>
                                <a:lnTo>
                                  <a:pt x="6095" y="9144"/>
                                </a:lnTo>
                                <a:lnTo>
                                  <a:pt x="70103" y="9144"/>
                                </a:lnTo>
                                <a:lnTo>
                                  <a:pt x="70103" y="3048"/>
                                </a:lnTo>
                                <a:close/>
                              </a:path>
                              <a:path w="79375" h="79375">
                                <a:moveTo>
                                  <a:pt x="79247" y="3048"/>
                                </a:moveTo>
                                <a:lnTo>
                                  <a:pt x="70103" y="3048"/>
                                </a:lnTo>
                                <a:lnTo>
                                  <a:pt x="73151" y="9144"/>
                                </a:lnTo>
                                <a:lnTo>
                                  <a:pt x="79247" y="9144"/>
                                </a:lnTo>
                                <a:lnTo>
                                  <a:pt x="79247" y="3048"/>
                                </a:lnTo>
                                <a:close/>
                              </a:path>
                            </a:pathLst>
                          </a:custGeom>
                          <a:solidFill>
                            <a:srgbClr val="BD4A47"/>
                          </a:solidFill>
                        </wps:spPr>
                        <wps:bodyPr wrap="square" lIns="0" tIns="0" rIns="0" bIns="0" rtlCol="0">
                          <a:prstTxWarp prst="textNoShape">
                            <a:avLst/>
                          </a:prstTxWarp>
                          <a:noAutofit/>
                        </wps:bodyPr>
                      </wps:wsp>
                      <wps:wsp>
                        <wps:cNvPr id="90" name="Graphic 90"/>
                        <wps:cNvSpPr/>
                        <wps:spPr>
                          <a:xfrm>
                            <a:off x="3681984" y="2520695"/>
                            <a:ext cx="256540" cy="24765"/>
                          </a:xfrm>
                          <a:custGeom>
                            <a:avLst/>
                            <a:gdLst/>
                            <a:ahLst/>
                            <a:cxnLst/>
                            <a:rect l="l" t="t" r="r" b="b"/>
                            <a:pathLst>
                              <a:path w="256540" h="24765">
                                <a:moveTo>
                                  <a:pt x="249936" y="0"/>
                                </a:moveTo>
                                <a:lnTo>
                                  <a:pt x="15239" y="0"/>
                                </a:lnTo>
                                <a:lnTo>
                                  <a:pt x="6096" y="0"/>
                                </a:lnTo>
                                <a:lnTo>
                                  <a:pt x="0" y="6096"/>
                                </a:lnTo>
                                <a:lnTo>
                                  <a:pt x="0" y="18287"/>
                                </a:lnTo>
                                <a:lnTo>
                                  <a:pt x="6096" y="24384"/>
                                </a:lnTo>
                                <a:lnTo>
                                  <a:pt x="249936" y="24384"/>
                                </a:lnTo>
                                <a:lnTo>
                                  <a:pt x="256032" y="18287"/>
                                </a:lnTo>
                                <a:lnTo>
                                  <a:pt x="256032" y="6096"/>
                                </a:lnTo>
                                <a:lnTo>
                                  <a:pt x="249936" y="0"/>
                                </a:lnTo>
                                <a:close/>
                              </a:path>
                            </a:pathLst>
                          </a:custGeom>
                          <a:solidFill>
                            <a:srgbClr val="97B853"/>
                          </a:solidFill>
                        </wps:spPr>
                        <wps:bodyPr wrap="square" lIns="0" tIns="0" rIns="0" bIns="0" rtlCol="0">
                          <a:prstTxWarp prst="textNoShape">
                            <a:avLst/>
                          </a:prstTxWarp>
                          <a:noAutofit/>
                        </wps:bodyPr>
                      </wps:wsp>
                      <pic:pic>
                        <pic:nvPicPr>
                          <pic:cNvPr id="91" name="Image 91"/>
                          <pic:cNvPicPr/>
                        </pic:nvPicPr>
                        <pic:blipFill>
                          <a:blip r:embed="rId25" cstate="print"/>
                          <a:stretch>
                            <a:fillRect/>
                          </a:stretch>
                        </pic:blipFill>
                        <pic:spPr>
                          <a:xfrm>
                            <a:off x="3770376" y="2493264"/>
                            <a:ext cx="79247" cy="79248"/>
                          </a:xfrm>
                          <a:prstGeom prst="rect">
                            <a:avLst/>
                          </a:prstGeom>
                        </pic:spPr>
                      </pic:pic>
                    </wpg:wgp>
                  </a:graphicData>
                </a:graphic>
              </wp:anchor>
            </w:drawing>
          </mc:Choice>
          <mc:Fallback>
            <w:pict>
              <v:group style="position:absolute;margin-left:155.279999pt;margin-top:5.929639pt;width:310.1pt;height:324.25pt;mso-position-horizontal-relative:page;mso-position-vertical-relative:paragraph;z-index:-21313024" id="docshapegroup70" coordorigin="3106,119" coordsize="6202,6485">
                <v:shape style="position:absolute;left:3129;top:118;width:6010;height:6466" id="docshape71" coordorigin="3130,119" coordsize="6010,6466" path="m9139,6527l9134,6527,9134,6517,3192,6517,3192,123,3187,123,3187,119,3130,119,3130,133,3182,133,3182,1184,3130,1184,3130,1199,3182,1199,3182,2255,3130,2255,3130,2264,3182,2264,3182,3315,3130,3315,3130,3330,3182,3330,3182,4386,3130,4386,3130,4400,3182,4400,3182,5451,3130,5451,3130,5466,3182,5466,3182,6522,3130,6522,3130,6536,3187,6536,3187,6531,9125,6531,9125,6584,9139,6584,9139,6527xe" filled="true" fillcolor="#858585" stroked="false">
                  <v:path arrowok="t"/>
                  <v:fill type="solid"/>
                </v:shape>
                <v:shape style="position:absolute;left:3105;top:1117;width:5252;height:5487" type="#_x0000_t75" id="docshape72" stroked="false">
                  <v:imagedata r:id="rId23" o:title=""/>
                </v:shape>
                <v:shape style="position:absolute;left:8904;top:3406;width:404;height:39" id="docshape73" coordorigin="8904,3407" coordsize="404,39" path="m9298,3407l8928,3407,8914,3407,8904,3416,8904,3435,8914,3445,9298,3445,9307,3435,9307,3416,9298,3407xe" filled="true" fillcolor="#497dba" stroked="false">
                  <v:path arrowok="t"/>
                  <v:fill type="solid"/>
                </v:shape>
                <v:shape style="position:absolute;left:9043;top:3368;width:125;height:120" type="#_x0000_t75" id="docshape74" stroked="false">
                  <v:imagedata r:id="rId24" o:title=""/>
                </v:shape>
                <v:shape style="position:absolute;left:8904;top:3747;width:404;height:44" id="docshape75" coordorigin="8904,3747" coordsize="404,44" path="m9298,3747l8928,3747,8914,3747,8904,3757,8904,3781,8914,3791,9298,3791,9307,3781,9307,3757,9298,3747xe" filled="true" fillcolor="#bd4a47" stroked="false">
                  <v:path arrowok="t"/>
                  <v:fill type="solid"/>
                </v:shape>
                <v:rect style="position:absolute;left:9048;top:3709;width:111;height:116" id="docshape76" filled="true" fillcolor="#bf4f4c" stroked="false">
                  <v:fill type="solid"/>
                </v:rect>
                <v:shape style="position:absolute;left:9043;top:3704;width:125;height:125" id="docshape77" coordorigin="9043,3704" coordsize="125,125" path="m9158,3704l9048,3704,9043,3709,9043,3824,9048,3829,9158,3829,9168,3824,9053,3824,9048,3815,9053,3815,9053,3719,9048,3719,9053,3709,9168,3709,9158,3704xm9053,3815l9048,3815,9053,3824,9053,3815xm9154,3815l9053,3815,9053,3824,9154,3824,9154,3815xm9154,3709l9154,3824,9158,3815,9168,3815,9168,3719,9158,3719,9154,3709xm9168,3815l9158,3815,9154,3824,9168,3824,9168,3815xm9053,3709l9048,3719,9053,3719,9053,3709xm9154,3709l9053,3709,9053,3719,9154,3719,9154,3709xm9168,3709l9154,3709,9158,3719,9168,3719,9168,3709xe" filled="true" fillcolor="#bd4a47" stroked="false">
                  <v:path arrowok="t"/>
                  <v:fill type="solid"/>
                </v:shape>
                <v:shape style="position:absolute;left:8904;top:4088;width:404;height:39" id="docshape78" coordorigin="8904,4088" coordsize="404,39" path="m9298,4088l8928,4088,8914,4088,8904,4098,8904,4117,8914,4127,9298,4127,9307,4117,9307,4098,9298,4088xe" filled="true" fillcolor="#97b853" stroked="false">
                  <v:path arrowok="t"/>
                  <v:fill type="solid"/>
                </v:shape>
                <v:shape style="position:absolute;left:9043;top:4045;width:125;height:125" type="#_x0000_t75" id="docshape79" stroked="false">
                  <v:imagedata r:id="rId25"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142"/>
        <w:rPr>
          <w:rFonts w:ascii="Calibri"/>
          <w:sz w:val="19"/>
        </w:rPr>
      </w:pPr>
    </w:p>
    <w:p>
      <w:pPr>
        <w:spacing w:before="0"/>
        <w:ind w:left="1006"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138"/>
        <w:rPr>
          <w:rFonts w:ascii="Calibri"/>
          <w:sz w:val="19"/>
        </w:rPr>
      </w:pPr>
    </w:p>
    <w:p>
      <w:pPr>
        <w:spacing w:before="0"/>
        <w:ind w:left="1102" w:right="0" w:firstLine="0"/>
        <w:jc w:val="left"/>
        <w:rPr>
          <w:rFonts w:ascii="Calibri"/>
          <w:sz w:val="19"/>
        </w:rPr>
      </w:pPr>
      <w:r>
        <w:rPr/>
        <mc:AlternateContent>
          <mc:Choice Requires="wps">
            <w:drawing>
              <wp:anchor distT="0" distB="0" distL="0" distR="0" allowOverlap="1" layoutInCell="1" locked="0" behindDoc="0" simplePos="0" relativeHeight="15753216">
                <wp:simplePos x="0" y="0"/>
                <wp:positionH relativeFrom="page">
                  <wp:posOffset>1561257</wp:posOffset>
                </wp:positionH>
                <wp:positionV relativeFrom="paragraph">
                  <wp:posOffset>1555</wp:posOffset>
                </wp:positionV>
                <wp:extent cx="146050" cy="15138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46050" cy="151384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Percentage</w:t>
                            </w:r>
                            <w:r>
                              <w:rPr>
                                <w:rFonts w:ascii="Calibri"/>
                                <w:b/>
                                <w:spacing w:val="-4"/>
                                <w:sz w:val="19"/>
                              </w:rPr>
                              <w:t> </w:t>
                            </w:r>
                            <w:r>
                              <w:rPr>
                                <w:rFonts w:ascii="Calibri"/>
                                <w:b/>
                                <w:spacing w:val="-2"/>
                                <w:sz w:val="19"/>
                              </w:rPr>
                              <w:t>drug</w:t>
                            </w:r>
                            <w:r>
                              <w:rPr>
                                <w:rFonts w:ascii="Calibri"/>
                                <w:b/>
                                <w:spacing w:val="4"/>
                                <w:sz w:val="19"/>
                              </w:rPr>
                              <w:t> </w:t>
                            </w:r>
                            <w:r>
                              <w:rPr>
                                <w:rFonts w:ascii="Calibri"/>
                                <w:b/>
                                <w:spacing w:val="-2"/>
                                <w:sz w:val="19"/>
                              </w:rPr>
                              <w:t>dissolved</w:t>
                            </w:r>
                            <w:r>
                              <w:rPr>
                                <w:rFonts w:ascii="Calibri"/>
                                <w:b/>
                                <w:spacing w:val="-6"/>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22.933678pt;margin-top:.122491pt;width:11.5pt;height:119.2pt;mso-position-horizontal-relative:page;mso-position-vertical-relative:paragraph;z-index:15753216" type="#_x0000_t202" id="docshape80"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Percentage</w:t>
                      </w:r>
                      <w:r>
                        <w:rPr>
                          <w:rFonts w:ascii="Calibri"/>
                          <w:b/>
                          <w:spacing w:val="-4"/>
                          <w:sz w:val="19"/>
                        </w:rPr>
                        <w:t> </w:t>
                      </w:r>
                      <w:r>
                        <w:rPr>
                          <w:rFonts w:ascii="Calibri"/>
                          <w:b/>
                          <w:spacing w:val="-2"/>
                          <w:sz w:val="19"/>
                        </w:rPr>
                        <w:t>drug</w:t>
                      </w:r>
                      <w:r>
                        <w:rPr>
                          <w:rFonts w:ascii="Calibri"/>
                          <w:b/>
                          <w:spacing w:val="4"/>
                          <w:sz w:val="19"/>
                        </w:rPr>
                        <w:t> </w:t>
                      </w:r>
                      <w:r>
                        <w:rPr>
                          <w:rFonts w:ascii="Calibri"/>
                          <w:b/>
                          <w:spacing w:val="-2"/>
                          <w:sz w:val="19"/>
                        </w:rPr>
                        <w:t>dissolved</w:t>
                      </w:r>
                      <w:r>
                        <w:rPr>
                          <w:rFonts w:ascii="Calibri"/>
                          <w:b/>
                          <w:spacing w:val="-6"/>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138"/>
        <w:rPr>
          <w:rFonts w:ascii="Calibri"/>
          <w:sz w:val="19"/>
        </w:rPr>
      </w:pPr>
    </w:p>
    <w:p>
      <w:pPr>
        <w:tabs>
          <w:tab w:pos="7601" w:val="left" w:leader="none"/>
        </w:tabs>
        <w:spacing w:before="0"/>
        <w:ind w:left="1102" w:right="0" w:firstLine="0"/>
        <w:jc w:val="left"/>
        <w:rPr>
          <w:rFonts w:ascii="Calibri"/>
          <w:sz w:val="19"/>
        </w:rPr>
      </w:pPr>
      <w:r>
        <w:rPr>
          <w:rFonts w:ascii="Calibri"/>
          <w:spacing w:val="-5"/>
          <w:sz w:val="19"/>
        </w:rPr>
        <w:t>60</w:t>
      </w:r>
      <w:r>
        <w:rPr>
          <w:rFonts w:ascii="Calibri"/>
          <w:sz w:val="19"/>
        </w:rPr>
        <w:tab/>
      </w:r>
      <w:r>
        <w:rPr>
          <w:rFonts w:ascii="Calibri"/>
          <w:spacing w:val="-5"/>
          <w:position w:val="-9"/>
          <w:sz w:val="19"/>
        </w:rPr>
        <w:t>DS</w:t>
      </w:r>
    </w:p>
    <w:p>
      <w:pPr>
        <w:spacing w:line="352" w:lineRule="auto" w:before="110"/>
        <w:ind w:left="7601" w:right="1799" w:firstLine="0"/>
        <w:jc w:val="left"/>
        <w:rPr>
          <w:rFonts w:ascii="Calibri"/>
          <w:sz w:val="19"/>
        </w:rPr>
      </w:pPr>
      <w:r>
        <w:rPr>
          <w:rFonts w:ascii="Calibri"/>
          <w:spacing w:val="-4"/>
          <w:sz w:val="19"/>
        </w:rPr>
        <w:t>MCS</w:t>
      </w:r>
      <w:r>
        <w:rPr>
          <w:rFonts w:ascii="Calibri"/>
          <w:sz w:val="19"/>
        </w:rPr>
        <w:t> </w:t>
      </w:r>
      <w:r>
        <w:rPr>
          <w:rFonts w:ascii="Calibri"/>
          <w:spacing w:val="-6"/>
          <w:sz w:val="19"/>
        </w:rPr>
        <w:t>MS</w:t>
      </w:r>
    </w:p>
    <w:p>
      <w:pPr>
        <w:spacing w:line="179" w:lineRule="exact" w:before="0"/>
        <w:ind w:left="1102" w:right="0" w:firstLine="0"/>
        <w:jc w:val="left"/>
        <w:rPr>
          <w:rFonts w:ascii="Calibri"/>
          <w:sz w:val="19"/>
        </w:rPr>
      </w:pPr>
      <w:r>
        <w:rPr>
          <w:rFonts w:ascii="Calibri"/>
          <w:spacing w:val="-5"/>
          <w:sz w:val="19"/>
        </w:rPr>
        <w:t>40</w:t>
      </w:r>
    </w:p>
    <w:p>
      <w:pPr>
        <w:pStyle w:val="BodyText"/>
        <w:rPr>
          <w:rFonts w:ascii="Calibri"/>
          <w:sz w:val="19"/>
        </w:rPr>
      </w:pPr>
    </w:p>
    <w:p>
      <w:pPr>
        <w:pStyle w:val="BodyText"/>
        <w:rPr>
          <w:rFonts w:ascii="Calibri"/>
          <w:sz w:val="19"/>
        </w:rPr>
      </w:pPr>
    </w:p>
    <w:p>
      <w:pPr>
        <w:pStyle w:val="BodyText"/>
        <w:spacing w:before="138"/>
        <w:rPr>
          <w:rFonts w:ascii="Calibri"/>
          <w:sz w:val="19"/>
        </w:rPr>
      </w:pPr>
    </w:p>
    <w:p>
      <w:pPr>
        <w:spacing w:before="0"/>
        <w:ind w:left="1102"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137"/>
        <w:rPr>
          <w:rFonts w:ascii="Calibri"/>
          <w:sz w:val="19"/>
        </w:rPr>
      </w:pPr>
    </w:p>
    <w:p>
      <w:pPr>
        <w:spacing w:before="1"/>
        <w:ind w:left="1198" w:right="0" w:firstLine="0"/>
        <w:jc w:val="left"/>
        <w:rPr>
          <w:rFonts w:ascii="Calibri"/>
          <w:sz w:val="19"/>
        </w:rPr>
      </w:pPr>
      <w:r>
        <w:rPr>
          <w:rFonts w:ascii="Calibri"/>
          <w:spacing w:val="-10"/>
          <w:sz w:val="19"/>
        </w:rPr>
        <w:t>0</w:t>
      </w:r>
    </w:p>
    <w:p>
      <w:pPr>
        <w:tabs>
          <w:tab w:pos="2268" w:val="left" w:leader="none"/>
          <w:tab w:pos="3070" w:val="left" w:leader="none"/>
          <w:tab w:pos="3919" w:val="left" w:leader="none"/>
          <w:tab w:pos="4769" w:val="left" w:leader="none"/>
          <w:tab w:pos="5619" w:val="left" w:leader="none"/>
          <w:tab w:pos="6463" w:val="left" w:leader="none"/>
          <w:tab w:pos="7313" w:val="left" w:leader="none"/>
        </w:tabs>
        <w:spacing w:before="12"/>
        <w:ind w:left="1419" w:right="0" w:firstLine="0"/>
        <w:jc w:val="left"/>
        <w:rPr>
          <w:rFonts w:ascii="Calibri"/>
          <w:sz w:val="19"/>
        </w:rPr>
      </w:pPr>
      <w:r>
        <w:rPr>
          <w:rFonts w:ascii="Calibri"/>
          <w:spacing w:val="-10"/>
          <w:sz w:val="19"/>
        </w:rPr>
        <w:t>0</w:t>
      </w:r>
      <w:r>
        <w:rPr>
          <w:rFonts w:ascii="Calibri"/>
          <w:sz w:val="19"/>
        </w:rPr>
        <w:tab/>
      </w:r>
      <w:r>
        <w:rPr>
          <w:rFonts w:ascii="Calibri"/>
          <w:spacing w:val="-10"/>
          <w:sz w:val="19"/>
        </w:rPr>
        <w:t>5</w:t>
      </w:r>
      <w:r>
        <w:rPr>
          <w:rFonts w:ascii="Calibri"/>
          <w:sz w:val="19"/>
        </w:rPr>
        <w:tab/>
      </w:r>
      <w:r>
        <w:rPr>
          <w:rFonts w:ascii="Calibri"/>
          <w:spacing w:val="-5"/>
          <w:sz w:val="19"/>
        </w:rPr>
        <w:t>10</w:t>
      </w:r>
      <w:r>
        <w:rPr>
          <w:rFonts w:ascii="Calibri"/>
          <w:sz w:val="19"/>
        </w:rPr>
        <w:tab/>
      </w:r>
      <w:r>
        <w:rPr>
          <w:rFonts w:ascii="Calibri"/>
          <w:spacing w:val="-5"/>
          <w:sz w:val="19"/>
        </w:rPr>
        <w:t>15</w:t>
      </w:r>
      <w:r>
        <w:rPr>
          <w:rFonts w:ascii="Calibri"/>
          <w:sz w:val="19"/>
        </w:rPr>
        <w:tab/>
      </w:r>
      <w:r>
        <w:rPr>
          <w:rFonts w:ascii="Calibri"/>
          <w:spacing w:val="-5"/>
          <w:sz w:val="19"/>
        </w:rPr>
        <w:t>20</w:t>
      </w:r>
      <w:r>
        <w:rPr>
          <w:rFonts w:ascii="Calibri"/>
          <w:sz w:val="19"/>
        </w:rPr>
        <w:tab/>
      </w:r>
      <w:r>
        <w:rPr>
          <w:rFonts w:ascii="Calibri"/>
          <w:spacing w:val="-5"/>
          <w:sz w:val="19"/>
        </w:rPr>
        <w:t>25</w:t>
      </w:r>
      <w:r>
        <w:rPr>
          <w:rFonts w:ascii="Calibri"/>
          <w:sz w:val="19"/>
        </w:rPr>
        <w:tab/>
      </w:r>
      <w:r>
        <w:rPr>
          <w:rFonts w:ascii="Calibri"/>
          <w:spacing w:val="-5"/>
          <w:sz w:val="19"/>
        </w:rPr>
        <w:t>30</w:t>
      </w:r>
      <w:r>
        <w:rPr>
          <w:rFonts w:ascii="Calibri"/>
          <w:sz w:val="19"/>
        </w:rPr>
        <w:tab/>
      </w:r>
      <w:r>
        <w:rPr>
          <w:rFonts w:ascii="Calibri"/>
          <w:spacing w:val="-5"/>
          <w:sz w:val="19"/>
        </w:rPr>
        <w:t>35</w:t>
      </w:r>
    </w:p>
    <w:p>
      <w:pPr>
        <w:spacing w:before="57"/>
        <w:ind w:left="4011" w:right="0" w:firstLine="0"/>
        <w:jc w:val="left"/>
        <w:rPr>
          <w:rFonts w:ascii="Calibri"/>
          <w:b/>
          <w:sz w:val="19"/>
        </w:rPr>
      </w:pPr>
      <w:r>
        <w:rPr>
          <w:rFonts w:ascii="Calibri"/>
          <w:b/>
          <w:sz w:val="19"/>
        </w:rPr>
        <w:t>Time</w:t>
      </w:r>
      <w:r>
        <w:rPr>
          <w:rFonts w:ascii="Calibri"/>
          <w:b/>
          <w:spacing w:val="-6"/>
          <w:sz w:val="19"/>
        </w:rPr>
        <w:t> </w:t>
      </w:r>
      <w:r>
        <w:rPr>
          <w:rFonts w:ascii="Calibri"/>
          <w:b/>
          <w:spacing w:val="-2"/>
          <w:sz w:val="19"/>
        </w:rPr>
        <w:t>(min)</w:t>
      </w:r>
    </w:p>
    <w:p>
      <w:pPr>
        <w:pStyle w:val="BodyText"/>
        <w:rPr>
          <w:rFonts w:ascii="Calibri"/>
          <w:b/>
        </w:rPr>
      </w:pPr>
    </w:p>
    <w:p>
      <w:pPr>
        <w:pStyle w:val="BodyText"/>
        <w:rPr>
          <w:rFonts w:ascii="Calibri"/>
          <w:b/>
        </w:rPr>
      </w:pPr>
    </w:p>
    <w:p>
      <w:pPr>
        <w:pStyle w:val="BodyText"/>
        <w:spacing w:before="8"/>
        <w:rPr>
          <w:rFonts w:ascii="Calibri"/>
          <w:b/>
        </w:rPr>
      </w:pPr>
    </w:p>
    <w:p>
      <w:pPr>
        <w:spacing w:before="0"/>
        <w:ind w:left="665" w:right="0" w:firstLine="0"/>
        <w:jc w:val="left"/>
        <w:rPr>
          <w:sz w:val="22"/>
        </w:rPr>
      </w:pPr>
      <w:r>
        <w:rPr>
          <w:sz w:val="22"/>
        </w:rPr>
        <w:t>DS</w:t>
      </w:r>
      <w:r>
        <w:rPr>
          <w:spacing w:val="15"/>
          <w:sz w:val="22"/>
        </w:rPr>
        <w:t> </w:t>
      </w:r>
      <w:r>
        <w:rPr>
          <w:sz w:val="22"/>
        </w:rPr>
        <w:t>=</w:t>
      </w:r>
      <w:r>
        <w:rPr>
          <w:spacing w:val="8"/>
          <w:sz w:val="22"/>
        </w:rPr>
        <w:t> </w:t>
      </w:r>
      <w:r>
        <w:rPr>
          <w:i/>
          <w:sz w:val="22"/>
        </w:rPr>
        <w:t>Digitaria</w:t>
      </w:r>
      <w:r>
        <w:rPr>
          <w:i/>
          <w:spacing w:val="17"/>
          <w:sz w:val="22"/>
        </w:rPr>
        <w:t> </w:t>
      </w:r>
      <w:r>
        <w:rPr>
          <w:i/>
          <w:sz w:val="22"/>
        </w:rPr>
        <w:t>iburua</w:t>
      </w:r>
      <w:r>
        <w:rPr>
          <w:i/>
          <w:spacing w:val="9"/>
          <w:sz w:val="22"/>
        </w:rPr>
        <w:t> </w:t>
      </w:r>
      <w:r>
        <w:rPr>
          <w:sz w:val="22"/>
        </w:rPr>
        <w:t>Starch,</w:t>
      </w:r>
      <w:r>
        <w:rPr>
          <w:spacing w:val="11"/>
          <w:sz w:val="22"/>
        </w:rPr>
        <w:t> </w:t>
      </w:r>
      <w:r>
        <w:rPr>
          <w:sz w:val="22"/>
        </w:rPr>
        <w:t>MCS</w:t>
      </w:r>
      <w:r>
        <w:rPr>
          <w:spacing w:val="4"/>
          <w:sz w:val="22"/>
        </w:rPr>
        <w:t> </w:t>
      </w:r>
      <w:r>
        <w:rPr>
          <w:sz w:val="22"/>
        </w:rPr>
        <w:t>=</w:t>
      </w:r>
      <w:r>
        <w:rPr>
          <w:spacing w:val="9"/>
          <w:sz w:val="22"/>
        </w:rPr>
        <w:t> </w:t>
      </w:r>
      <w:r>
        <w:rPr>
          <w:sz w:val="22"/>
        </w:rPr>
        <w:t>Microcrystalline</w:t>
      </w:r>
      <w:r>
        <w:rPr>
          <w:spacing w:val="11"/>
          <w:sz w:val="22"/>
        </w:rPr>
        <w:t> </w:t>
      </w:r>
      <w:r>
        <w:rPr>
          <w:sz w:val="22"/>
        </w:rPr>
        <w:t>starch,</w:t>
      </w:r>
      <w:r>
        <w:rPr>
          <w:spacing w:val="16"/>
          <w:sz w:val="22"/>
        </w:rPr>
        <w:t> </w:t>
      </w:r>
      <w:r>
        <w:rPr>
          <w:sz w:val="22"/>
        </w:rPr>
        <w:t>MS</w:t>
      </w:r>
      <w:r>
        <w:rPr>
          <w:spacing w:val="4"/>
          <w:sz w:val="22"/>
        </w:rPr>
        <w:t> </w:t>
      </w:r>
      <w:r>
        <w:rPr>
          <w:sz w:val="22"/>
        </w:rPr>
        <w:t>=</w:t>
      </w:r>
      <w:r>
        <w:rPr>
          <w:spacing w:val="12"/>
          <w:sz w:val="22"/>
        </w:rPr>
        <w:t> </w:t>
      </w:r>
      <w:r>
        <w:rPr>
          <w:sz w:val="22"/>
        </w:rPr>
        <w:t>Maize</w:t>
      </w:r>
      <w:r>
        <w:rPr>
          <w:spacing w:val="11"/>
          <w:sz w:val="22"/>
        </w:rPr>
        <w:t> </w:t>
      </w:r>
      <w:r>
        <w:rPr>
          <w:sz w:val="22"/>
        </w:rPr>
        <w:t>starch</w:t>
      </w:r>
      <w:r>
        <w:rPr>
          <w:spacing w:val="8"/>
          <w:sz w:val="22"/>
        </w:rPr>
        <w:t> </w:t>
      </w:r>
      <w:r>
        <w:rPr>
          <w:spacing w:val="-4"/>
          <w:sz w:val="22"/>
        </w:rPr>
        <w:t>B.P.</w:t>
      </w:r>
    </w:p>
    <w:p>
      <w:pPr>
        <w:pStyle w:val="BodyText"/>
        <w:spacing w:before="17"/>
      </w:pPr>
    </w:p>
    <w:p>
      <w:pPr>
        <w:spacing w:before="0"/>
        <w:ind w:left="665" w:right="0" w:firstLine="0"/>
        <w:jc w:val="left"/>
        <w:rPr>
          <w:b/>
          <w:sz w:val="22"/>
        </w:rPr>
      </w:pPr>
      <w:r>
        <w:rPr>
          <w:b/>
          <w:sz w:val="22"/>
        </w:rPr>
        <w:t>Figure</w:t>
      </w:r>
      <w:r>
        <w:rPr>
          <w:b/>
          <w:spacing w:val="9"/>
          <w:sz w:val="22"/>
        </w:rPr>
        <w:t> </w:t>
      </w:r>
      <w:r>
        <w:rPr>
          <w:b/>
          <w:sz w:val="22"/>
        </w:rPr>
        <w:t>4.4:</w:t>
      </w:r>
      <w:r>
        <w:rPr>
          <w:b/>
          <w:spacing w:val="16"/>
          <w:sz w:val="22"/>
        </w:rPr>
        <w:t> </w:t>
      </w:r>
      <w:r>
        <w:rPr>
          <w:b/>
          <w:sz w:val="22"/>
        </w:rPr>
        <w:t>Graph</w:t>
      </w:r>
      <w:r>
        <w:rPr>
          <w:b/>
          <w:spacing w:val="14"/>
          <w:sz w:val="22"/>
        </w:rPr>
        <w:t> </w:t>
      </w:r>
      <w:r>
        <w:rPr>
          <w:b/>
          <w:sz w:val="22"/>
        </w:rPr>
        <w:t>showing</w:t>
      </w:r>
      <w:r>
        <w:rPr>
          <w:b/>
          <w:spacing w:val="17"/>
          <w:sz w:val="22"/>
        </w:rPr>
        <w:t> </w:t>
      </w:r>
      <w:r>
        <w:rPr>
          <w:b/>
          <w:sz w:val="22"/>
        </w:rPr>
        <w:t>dissolution</w:t>
      </w:r>
      <w:r>
        <w:rPr>
          <w:b/>
          <w:spacing w:val="8"/>
          <w:sz w:val="22"/>
        </w:rPr>
        <w:t> </w:t>
      </w:r>
      <w:r>
        <w:rPr>
          <w:b/>
          <w:sz w:val="22"/>
        </w:rPr>
        <w:t>profile</w:t>
      </w:r>
      <w:r>
        <w:rPr>
          <w:b/>
          <w:spacing w:val="9"/>
          <w:sz w:val="22"/>
        </w:rPr>
        <w:t> </w:t>
      </w:r>
      <w:r>
        <w:rPr>
          <w:b/>
          <w:sz w:val="22"/>
        </w:rPr>
        <w:t>of</w:t>
      </w:r>
      <w:r>
        <w:rPr>
          <w:b/>
          <w:spacing w:val="16"/>
          <w:sz w:val="22"/>
        </w:rPr>
        <w:t> </w:t>
      </w:r>
      <w:r>
        <w:rPr>
          <w:b/>
          <w:sz w:val="22"/>
        </w:rPr>
        <w:t>metronidazole</w:t>
      </w:r>
      <w:r>
        <w:rPr>
          <w:b/>
          <w:spacing w:val="16"/>
          <w:sz w:val="22"/>
        </w:rPr>
        <w:t> </w:t>
      </w:r>
      <w:r>
        <w:rPr>
          <w:b/>
          <w:sz w:val="22"/>
        </w:rPr>
        <w:t>tablets</w:t>
      </w:r>
      <w:r>
        <w:rPr>
          <w:b/>
          <w:spacing w:val="13"/>
          <w:sz w:val="22"/>
        </w:rPr>
        <w:t> </w:t>
      </w:r>
      <w:r>
        <w:rPr>
          <w:b/>
          <w:spacing w:val="-2"/>
          <w:sz w:val="22"/>
        </w:rPr>
        <w:t>containing</w:t>
      </w:r>
    </w:p>
    <w:p>
      <w:pPr>
        <w:spacing w:before="11"/>
        <w:ind w:left="1736" w:right="0" w:firstLine="0"/>
        <w:jc w:val="left"/>
        <w:rPr>
          <w:b/>
          <w:sz w:val="22"/>
        </w:rPr>
      </w:pPr>
      <w:r>
        <w:rPr>
          <w:b/>
          <w:sz w:val="22"/>
        </w:rPr>
        <w:t>10.0</w:t>
      </w:r>
      <w:r>
        <w:rPr>
          <w:b/>
          <w:spacing w:val="9"/>
          <w:sz w:val="22"/>
        </w:rPr>
        <w:t> </w:t>
      </w:r>
      <w:r>
        <w:rPr>
          <w:b/>
          <w:sz w:val="22"/>
        </w:rPr>
        <w:t>%</w:t>
      </w:r>
      <w:r>
        <w:rPr>
          <w:b/>
          <w:spacing w:val="19"/>
          <w:sz w:val="22"/>
        </w:rPr>
        <w:t> </w:t>
      </w:r>
      <w:r>
        <w:rPr>
          <w:b/>
          <w:sz w:val="22"/>
        </w:rPr>
        <w:t>w/w</w:t>
      </w:r>
      <w:r>
        <w:rPr>
          <w:b/>
          <w:spacing w:val="7"/>
          <w:sz w:val="22"/>
        </w:rPr>
        <w:t> </w:t>
      </w:r>
      <w:r>
        <w:rPr>
          <w:b/>
          <w:sz w:val="22"/>
        </w:rPr>
        <w:t>disintegrant</w:t>
      </w:r>
      <w:r>
        <w:rPr>
          <w:b/>
          <w:spacing w:val="9"/>
          <w:sz w:val="22"/>
        </w:rPr>
        <w:t> </w:t>
      </w:r>
      <w:r>
        <w:rPr>
          <w:b/>
          <w:spacing w:val="-2"/>
          <w:sz w:val="22"/>
        </w:rPr>
        <w:t>concentration.</w:t>
      </w:r>
    </w:p>
    <w:p>
      <w:pPr>
        <w:spacing w:after="0"/>
        <w:jc w:val="left"/>
        <w:rPr>
          <w:sz w:val="22"/>
        </w:rPr>
        <w:sectPr>
          <w:pgSz w:w="12240" w:h="15840"/>
          <w:pgMar w:header="0" w:footer="999" w:top="1820" w:bottom="1180" w:left="1720" w:right="760"/>
        </w:sectPr>
      </w:pPr>
    </w:p>
    <w:p>
      <w:pPr>
        <w:spacing w:before="80"/>
        <w:ind w:left="665" w:right="0" w:firstLine="0"/>
        <w:jc w:val="left"/>
        <w:rPr>
          <w:b/>
          <w:sz w:val="22"/>
        </w:rPr>
      </w:pPr>
      <w:r>
        <w:rPr>
          <w:b/>
          <w:sz w:val="22"/>
        </w:rPr>
        <w:t>4.9</w:t>
      </w:r>
      <w:r>
        <w:rPr>
          <w:b/>
          <w:spacing w:val="43"/>
          <w:sz w:val="22"/>
        </w:rPr>
        <w:t>  </w:t>
      </w:r>
      <w:r>
        <w:rPr>
          <w:b/>
          <w:sz w:val="22"/>
        </w:rPr>
        <w:t>Compression</w:t>
      </w:r>
      <w:r>
        <w:rPr>
          <w:b/>
          <w:spacing w:val="16"/>
          <w:sz w:val="22"/>
        </w:rPr>
        <w:t> </w:t>
      </w:r>
      <w:r>
        <w:rPr>
          <w:b/>
          <w:sz w:val="22"/>
        </w:rPr>
        <w:t>property</w:t>
      </w:r>
      <w:r>
        <w:rPr>
          <w:b/>
          <w:spacing w:val="2"/>
          <w:sz w:val="22"/>
        </w:rPr>
        <w:t> </w:t>
      </w:r>
      <w:r>
        <w:rPr>
          <w:b/>
          <w:sz w:val="22"/>
        </w:rPr>
        <w:t>study</w:t>
      </w:r>
      <w:r>
        <w:rPr>
          <w:b/>
          <w:spacing w:val="7"/>
          <w:sz w:val="22"/>
        </w:rPr>
        <w:t> </w:t>
      </w:r>
      <w:r>
        <w:rPr>
          <w:b/>
          <w:sz w:val="22"/>
        </w:rPr>
        <w:t>of</w:t>
      </w:r>
      <w:r>
        <w:rPr>
          <w:b/>
          <w:spacing w:val="11"/>
          <w:sz w:val="22"/>
        </w:rPr>
        <w:t> </w:t>
      </w:r>
      <w:r>
        <w:rPr>
          <w:b/>
          <w:sz w:val="22"/>
        </w:rPr>
        <w:t>DS</w:t>
      </w:r>
      <w:r>
        <w:rPr>
          <w:b/>
          <w:spacing w:val="4"/>
          <w:sz w:val="22"/>
        </w:rPr>
        <w:t> </w:t>
      </w:r>
      <w:r>
        <w:rPr>
          <w:b/>
          <w:sz w:val="22"/>
        </w:rPr>
        <w:t>and</w:t>
      </w:r>
      <w:r>
        <w:rPr>
          <w:b/>
          <w:spacing w:val="4"/>
          <w:sz w:val="22"/>
        </w:rPr>
        <w:t> </w:t>
      </w:r>
      <w:r>
        <w:rPr>
          <w:b/>
          <w:spacing w:val="-4"/>
          <w:sz w:val="22"/>
        </w:rPr>
        <w:t>MCS.</w:t>
      </w:r>
    </w:p>
    <w:p>
      <w:pPr>
        <w:pStyle w:val="BodyText"/>
        <w:spacing w:line="491" w:lineRule="auto" w:before="246"/>
        <w:ind w:left="665" w:right="1098"/>
        <w:jc w:val="both"/>
      </w:pPr>
      <w:r>
        <w:rPr/>
        <w:t>The results of the compression property study for the pure powder of DS and MCS is computed and presented in Table 4.10 below. The mean yield pressure P</w:t>
      </w:r>
      <w:r>
        <w:rPr>
          <w:vertAlign w:val="subscript"/>
        </w:rPr>
        <w:t>Y</w:t>
      </w:r>
      <w:r>
        <w:rPr>
          <w:vertAlign w:val="baseline"/>
        </w:rPr>
        <w:t>, the relative density at zero pressure D</w:t>
      </w:r>
      <w:r>
        <w:rPr>
          <w:vertAlign w:val="subscript"/>
        </w:rPr>
        <w:t>O</w:t>
      </w:r>
      <w:r>
        <w:rPr>
          <w:vertAlign w:val="baseline"/>
        </w:rPr>
        <w:t> and the total deformation occurring in the powder D</w:t>
      </w:r>
      <w:r>
        <w:rPr>
          <w:vertAlign w:val="subscript"/>
        </w:rPr>
        <w:t>A</w:t>
      </w:r>
      <w:r>
        <w:rPr>
          <w:vertAlign w:val="baseline"/>
        </w:rPr>
        <w:t> values ranked in the following order; GEL&gt;MCS&gt;DS. The fragmentation tendency of the</w:t>
      </w:r>
      <w:r>
        <w:rPr>
          <w:spacing w:val="80"/>
          <w:vertAlign w:val="baseline"/>
        </w:rPr>
        <w:t> </w:t>
      </w:r>
      <w:r>
        <w:rPr>
          <w:vertAlign w:val="baseline"/>
        </w:rPr>
        <w:t>powder D</w:t>
      </w:r>
      <w:r>
        <w:rPr>
          <w:vertAlign w:val="subscript"/>
        </w:rPr>
        <w:t>B</w:t>
      </w:r>
      <w:r>
        <w:rPr>
          <w:vertAlign w:val="baseline"/>
        </w:rPr>
        <w:t> ranked</w:t>
      </w:r>
      <w:r>
        <w:rPr>
          <w:spacing w:val="38"/>
          <w:vertAlign w:val="baseline"/>
        </w:rPr>
        <w:t> </w:t>
      </w:r>
      <w:r>
        <w:rPr>
          <w:vertAlign w:val="baseline"/>
        </w:rPr>
        <w:t>in this order; MCS&gt;GEL&gt;DS. The Heckel plots in Figure 4.5</w:t>
      </w:r>
      <w:r>
        <w:rPr>
          <w:spacing w:val="32"/>
          <w:vertAlign w:val="baseline"/>
        </w:rPr>
        <w:t> </w:t>
      </w:r>
      <w:r>
        <w:rPr>
          <w:vertAlign w:val="baseline"/>
        </w:rPr>
        <w:t>show that</w:t>
      </w:r>
      <w:r>
        <w:rPr>
          <w:spacing w:val="34"/>
          <w:vertAlign w:val="baseline"/>
        </w:rPr>
        <w:t> </w:t>
      </w:r>
      <w:r>
        <w:rPr>
          <w:vertAlign w:val="baseline"/>
        </w:rPr>
        <w:t>DS,</w:t>
      </w:r>
      <w:r>
        <w:rPr>
          <w:spacing w:val="35"/>
          <w:vertAlign w:val="baseline"/>
        </w:rPr>
        <w:t> </w:t>
      </w:r>
      <w:r>
        <w:rPr>
          <w:vertAlign w:val="baseline"/>
        </w:rPr>
        <w:t>MCS</w:t>
      </w:r>
      <w:r>
        <w:rPr>
          <w:spacing w:val="38"/>
          <w:vertAlign w:val="baseline"/>
        </w:rPr>
        <w:t> </w:t>
      </w:r>
      <w:r>
        <w:rPr>
          <w:vertAlign w:val="baseline"/>
        </w:rPr>
        <w:t>and</w:t>
      </w:r>
      <w:r>
        <w:rPr>
          <w:spacing w:val="36"/>
          <w:vertAlign w:val="baseline"/>
        </w:rPr>
        <w:t> </w:t>
      </w:r>
      <w:r>
        <w:rPr>
          <w:vertAlign w:val="baseline"/>
        </w:rPr>
        <w:t>GEL</w:t>
      </w:r>
      <w:r>
        <w:rPr>
          <w:spacing w:val="31"/>
          <w:vertAlign w:val="baseline"/>
        </w:rPr>
        <w:t> </w:t>
      </w:r>
      <w:r>
        <w:rPr>
          <w:vertAlign w:val="baseline"/>
        </w:rPr>
        <w:t>possess</w:t>
      </w:r>
      <w:r>
        <w:rPr>
          <w:spacing w:val="38"/>
          <w:vertAlign w:val="baseline"/>
        </w:rPr>
        <w:t> </w:t>
      </w:r>
      <w:r>
        <w:rPr>
          <w:vertAlign w:val="baseline"/>
        </w:rPr>
        <w:t>non-linear</w:t>
      </w:r>
      <w:r>
        <w:rPr>
          <w:spacing w:val="36"/>
          <w:vertAlign w:val="baseline"/>
        </w:rPr>
        <w:t> </w:t>
      </w:r>
      <w:r>
        <w:rPr>
          <w:vertAlign w:val="baseline"/>
        </w:rPr>
        <w:t>curves</w:t>
      </w:r>
      <w:r>
        <w:rPr>
          <w:spacing w:val="33"/>
          <w:vertAlign w:val="baseline"/>
        </w:rPr>
        <w:t> </w:t>
      </w:r>
      <w:r>
        <w:rPr>
          <w:vertAlign w:val="baseline"/>
        </w:rPr>
        <w:t>at</w:t>
      </w:r>
      <w:r>
        <w:rPr>
          <w:spacing w:val="34"/>
          <w:vertAlign w:val="baseline"/>
        </w:rPr>
        <w:t> </w:t>
      </w:r>
      <w:r>
        <w:rPr>
          <w:vertAlign w:val="baseline"/>
        </w:rPr>
        <w:t>lower</w:t>
      </w:r>
      <w:r>
        <w:rPr>
          <w:spacing w:val="36"/>
          <w:vertAlign w:val="baseline"/>
        </w:rPr>
        <w:t> </w:t>
      </w:r>
      <w:r>
        <w:rPr>
          <w:vertAlign w:val="baseline"/>
        </w:rPr>
        <w:t>and</w:t>
      </w:r>
      <w:r>
        <w:rPr>
          <w:spacing w:val="36"/>
          <w:vertAlign w:val="baseline"/>
        </w:rPr>
        <w:t> </w:t>
      </w:r>
      <w:r>
        <w:rPr>
          <w:vertAlign w:val="baseline"/>
        </w:rPr>
        <w:t>higher</w:t>
      </w:r>
      <w:r>
        <w:rPr>
          <w:spacing w:val="36"/>
          <w:vertAlign w:val="baseline"/>
        </w:rPr>
        <w:t> </w:t>
      </w:r>
      <w:r>
        <w:rPr>
          <w:vertAlign w:val="baseline"/>
        </w:rPr>
        <w:t>pressures.</w:t>
      </w:r>
      <w:r>
        <w:rPr>
          <w:spacing w:val="40"/>
          <w:vertAlign w:val="baseline"/>
        </w:rPr>
        <w:t> </w:t>
      </w:r>
      <w:r>
        <w:rPr>
          <w:vertAlign w:val="baseline"/>
        </w:rPr>
        <w:t>The non –</w:t>
      </w:r>
      <w:r>
        <w:rPr>
          <w:spacing w:val="40"/>
          <w:vertAlign w:val="baseline"/>
        </w:rPr>
        <w:t> </w:t>
      </w:r>
      <w:r>
        <w:rPr>
          <w:vertAlign w:val="baseline"/>
        </w:rPr>
        <w:t>linear</w:t>
      </w:r>
      <w:r>
        <w:rPr>
          <w:spacing w:val="40"/>
          <w:vertAlign w:val="baseline"/>
        </w:rPr>
        <w:t> </w:t>
      </w:r>
      <w:r>
        <w:rPr>
          <w:vertAlign w:val="baseline"/>
        </w:rPr>
        <w:t>parts of the plot had</w:t>
      </w:r>
      <w:r>
        <w:rPr>
          <w:spacing w:val="40"/>
          <w:vertAlign w:val="baseline"/>
        </w:rPr>
        <w:t> </w:t>
      </w:r>
      <w:r>
        <w:rPr>
          <w:vertAlign w:val="baseline"/>
        </w:rPr>
        <w:t>an initial curvature at low pressure which reflects particle fragmentation and</w:t>
      </w:r>
      <w:r>
        <w:rPr>
          <w:spacing w:val="40"/>
          <w:vertAlign w:val="baseline"/>
        </w:rPr>
        <w:t> </w:t>
      </w:r>
      <w:r>
        <w:rPr>
          <w:vertAlign w:val="baseline"/>
        </w:rPr>
        <w:t>rearrangement while the deviation from</w:t>
      </w:r>
      <w:r>
        <w:rPr>
          <w:spacing w:val="40"/>
          <w:vertAlign w:val="baseline"/>
        </w:rPr>
        <w:t> </w:t>
      </w:r>
      <w:r>
        <w:rPr>
          <w:vertAlign w:val="baseline"/>
        </w:rPr>
        <w:t>a straight</w:t>
      </w:r>
      <w:r>
        <w:rPr>
          <w:spacing w:val="40"/>
          <w:vertAlign w:val="baseline"/>
        </w:rPr>
        <w:t> </w:t>
      </w:r>
      <w:r>
        <w:rPr>
          <w:vertAlign w:val="baseline"/>
        </w:rPr>
        <w:t>line at higher pressure was as a result of capping of the powder. The linear curve for the compression pressures suggests the materials compacted by plastic deformation.</w:t>
      </w:r>
    </w:p>
    <w:p>
      <w:pPr>
        <w:pStyle w:val="BodyText"/>
      </w:pPr>
    </w:p>
    <w:p>
      <w:pPr>
        <w:pStyle w:val="BodyText"/>
        <w:spacing w:before="246"/>
      </w:pPr>
    </w:p>
    <w:p>
      <w:pPr>
        <w:pStyle w:val="Heading2"/>
        <w:ind w:left="665" w:firstLine="0"/>
        <w:jc w:val="both"/>
      </w:pPr>
      <w:r>
        <w:rPr/>
        <w:t>Table</w:t>
      </w:r>
      <w:r>
        <w:rPr>
          <w:spacing w:val="5"/>
        </w:rPr>
        <w:t> </w:t>
      </w:r>
      <w:r>
        <w:rPr/>
        <w:t>4.10:</w:t>
      </w:r>
      <w:r>
        <w:rPr>
          <w:spacing w:val="70"/>
          <w:w w:val="150"/>
        </w:rPr>
        <w:t>  </w:t>
      </w:r>
      <w:r>
        <w:rPr/>
        <w:t>Parameters</w:t>
      </w:r>
      <w:r>
        <w:rPr>
          <w:spacing w:val="10"/>
        </w:rPr>
        <w:t> </w:t>
      </w:r>
      <w:r>
        <w:rPr/>
        <w:t>from</w:t>
      </w:r>
      <w:r>
        <w:rPr>
          <w:spacing w:val="10"/>
        </w:rPr>
        <w:t> </w:t>
      </w:r>
      <w:r>
        <w:rPr/>
        <w:t>Heckel</w:t>
      </w:r>
      <w:r>
        <w:rPr>
          <w:spacing w:val="9"/>
        </w:rPr>
        <w:t> </w:t>
      </w:r>
      <w:r>
        <w:rPr>
          <w:spacing w:val="-4"/>
        </w:rPr>
        <w:t>plots</w:t>
      </w:r>
    </w:p>
    <w:p>
      <w:pPr>
        <w:pStyle w:val="BodyText"/>
        <w:spacing w:before="144" w:after="1"/>
        <w:rPr>
          <w:b/>
          <w:sz w:val="20"/>
        </w:rPr>
      </w:pPr>
    </w:p>
    <w:tbl>
      <w:tblPr>
        <w:tblW w:w="0" w:type="auto"/>
        <w:jc w:val="lef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9"/>
        <w:gridCol w:w="1525"/>
        <w:gridCol w:w="1637"/>
        <w:gridCol w:w="1637"/>
        <w:gridCol w:w="2056"/>
      </w:tblGrid>
      <w:tr>
        <w:trPr>
          <w:trHeight w:val="517" w:hRule="atLeast"/>
        </w:trPr>
        <w:tc>
          <w:tcPr>
            <w:tcW w:w="1339" w:type="dxa"/>
            <w:tcBorders>
              <w:top w:val="single" w:sz="4" w:space="0" w:color="000000"/>
              <w:bottom w:val="single" w:sz="4" w:space="0" w:color="000000"/>
            </w:tcBorders>
          </w:tcPr>
          <w:p>
            <w:pPr>
              <w:pStyle w:val="TableParagraph"/>
              <w:spacing w:before="5"/>
              <w:ind w:left="100"/>
              <w:rPr>
                <w:b/>
                <w:sz w:val="22"/>
              </w:rPr>
            </w:pPr>
            <w:r>
              <w:rPr>
                <w:b/>
                <w:spacing w:val="-2"/>
                <w:sz w:val="22"/>
              </w:rPr>
              <w:t>Material</w:t>
            </w:r>
          </w:p>
        </w:tc>
        <w:tc>
          <w:tcPr>
            <w:tcW w:w="1525" w:type="dxa"/>
            <w:tcBorders>
              <w:top w:val="single" w:sz="4" w:space="0" w:color="000000"/>
              <w:bottom w:val="single" w:sz="4" w:space="0" w:color="000000"/>
            </w:tcBorders>
          </w:tcPr>
          <w:p>
            <w:pPr>
              <w:pStyle w:val="TableParagraph"/>
              <w:spacing w:before="5"/>
              <w:ind w:left="393"/>
              <w:rPr>
                <w:b/>
                <w:sz w:val="22"/>
              </w:rPr>
            </w:pPr>
            <w:r>
              <w:rPr>
                <w:b/>
                <w:spacing w:val="-5"/>
                <w:w w:val="105"/>
                <w:sz w:val="22"/>
              </w:rPr>
              <w:t>P</w:t>
            </w:r>
            <w:r>
              <w:rPr>
                <w:b/>
                <w:spacing w:val="-5"/>
                <w:w w:val="105"/>
                <w:sz w:val="22"/>
                <w:vertAlign w:val="subscript"/>
              </w:rPr>
              <w:t>Y</w:t>
            </w:r>
          </w:p>
        </w:tc>
        <w:tc>
          <w:tcPr>
            <w:tcW w:w="1637" w:type="dxa"/>
            <w:tcBorders>
              <w:top w:val="single" w:sz="4" w:space="0" w:color="000000"/>
              <w:bottom w:val="single" w:sz="4" w:space="0" w:color="000000"/>
            </w:tcBorders>
          </w:tcPr>
          <w:p>
            <w:pPr>
              <w:pStyle w:val="TableParagraph"/>
              <w:spacing w:before="5"/>
              <w:ind w:left="510"/>
              <w:rPr>
                <w:b/>
                <w:sz w:val="22"/>
              </w:rPr>
            </w:pPr>
            <w:r>
              <w:rPr>
                <w:b/>
                <w:spacing w:val="-5"/>
                <w:w w:val="105"/>
                <w:sz w:val="22"/>
              </w:rPr>
              <w:t>D</w:t>
            </w:r>
            <w:r>
              <w:rPr>
                <w:b/>
                <w:spacing w:val="-5"/>
                <w:w w:val="105"/>
                <w:sz w:val="22"/>
                <w:vertAlign w:val="subscript"/>
              </w:rPr>
              <w:t>O</w:t>
            </w:r>
          </w:p>
        </w:tc>
        <w:tc>
          <w:tcPr>
            <w:tcW w:w="1637" w:type="dxa"/>
            <w:tcBorders>
              <w:top w:val="single" w:sz="4" w:space="0" w:color="000000"/>
              <w:bottom w:val="single" w:sz="4" w:space="0" w:color="000000"/>
            </w:tcBorders>
          </w:tcPr>
          <w:p>
            <w:pPr>
              <w:pStyle w:val="TableParagraph"/>
              <w:spacing w:before="5"/>
              <w:ind w:left="510"/>
              <w:rPr>
                <w:b/>
                <w:sz w:val="22"/>
              </w:rPr>
            </w:pPr>
            <w:r>
              <w:rPr>
                <w:b/>
                <w:spacing w:val="-5"/>
                <w:w w:val="105"/>
                <w:sz w:val="22"/>
              </w:rPr>
              <w:t>D</w:t>
            </w:r>
            <w:r>
              <w:rPr>
                <w:b/>
                <w:spacing w:val="-5"/>
                <w:w w:val="105"/>
                <w:sz w:val="22"/>
                <w:vertAlign w:val="subscript"/>
              </w:rPr>
              <w:t>A</w:t>
            </w:r>
          </w:p>
        </w:tc>
        <w:tc>
          <w:tcPr>
            <w:tcW w:w="2056" w:type="dxa"/>
            <w:tcBorders>
              <w:top w:val="single" w:sz="4" w:space="0" w:color="000000"/>
              <w:bottom w:val="single" w:sz="4" w:space="0" w:color="000000"/>
            </w:tcBorders>
          </w:tcPr>
          <w:p>
            <w:pPr>
              <w:pStyle w:val="TableParagraph"/>
              <w:spacing w:before="5"/>
              <w:ind w:left="510"/>
              <w:rPr>
                <w:b/>
                <w:sz w:val="22"/>
              </w:rPr>
            </w:pPr>
            <w:r>
              <w:rPr>
                <w:b/>
                <w:spacing w:val="-5"/>
                <w:w w:val="105"/>
                <w:sz w:val="22"/>
              </w:rPr>
              <w:t>D</w:t>
            </w:r>
            <w:r>
              <w:rPr>
                <w:b/>
                <w:spacing w:val="-5"/>
                <w:w w:val="105"/>
                <w:sz w:val="22"/>
                <w:vertAlign w:val="subscript"/>
              </w:rPr>
              <w:t>B</w:t>
            </w:r>
          </w:p>
        </w:tc>
      </w:tr>
      <w:tr>
        <w:trPr>
          <w:trHeight w:val="394" w:hRule="atLeast"/>
        </w:trPr>
        <w:tc>
          <w:tcPr>
            <w:tcW w:w="1339" w:type="dxa"/>
            <w:tcBorders>
              <w:top w:val="single" w:sz="4" w:space="0" w:color="000000"/>
            </w:tcBorders>
          </w:tcPr>
          <w:p>
            <w:pPr>
              <w:pStyle w:val="TableParagraph"/>
              <w:spacing w:before="5"/>
              <w:ind w:left="100"/>
              <w:rPr>
                <w:b/>
                <w:sz w:val="22"/>
              </w:rPr>
            </w:pPr>
            <w:r>
              <w:rPr>
                <w:b/>
                <w:spacing w:val="-5"/>
                <w:sz w:val="22"/>
              </w:rPr>
              <w:t>DS</w:t>
            </w:r>
          </w:p>
        </w:tc>
        <w:tc>
          <w:tcPr>
            <w:tcW w:w="1525" w:type="dxa"/>
            <w:tcBorders>
              <w:top w:val="single" w:sz="4" w:space="0" w:color="000000"/>
            </w:tcBorders>
          </w:tcPr>
          <w:p>
            <w:pPr>
              <w:pStyle w:val="TableParagraph"/>
              <w:spacing w:before="5"/>
              <w:ind w:left="393"/>
              <w:rPr>
                <w:b/>
                <w:sz w:val="22"/>
              </w:rPr>
            </w:pPr>
            <w:r>
              <w:rPr>
                <w:b/>
                <w:spacing w:val="-2"/>
                <w:sz w:val="22"/>
              </w:rPr>
              <w:t>225.29</w:t>
            </w:r>
          </w:p>
        </w:tc>
        <w:tc>
          <w:tcPr>
            <w:tcW w:w="1637" w:type="dxa"/>
            <w:tcBorders>
              <w:top w:val="single" w:sz="4" w:space="0" w:color="000000"/>
            </w:tcBorders>
          </w:tcPr>
          <w:p>
            <w:pPr>
              <w:pStyle w:val="TableParagraph"/>
              <w:spacing w:before="5"/>
              <w:ind w:left="510"/>
              <w:rPr>
                <w:b/>
                <w:sz w:val="22"/>
              </w:rPr>
            </w:pPr>
            <w:r>
              <w:rPr>
                <w:b/>
                <w:spacing w:val="-2"/>
                <w:sz w:val="22"/>
              </w:rPr>
              <w:t>0.2797</w:t>
            </w:r>
          </w:p>
        </w:tc>
        <w:tc>
          <w:tcPr>
            <w:tcW w:w="1637" w:type="dxa"/>
            <w:tcBorders>
              <w:top w:val="single" w:sz="4" w:space="0" w:color="000000"/>
            </w:tcBorders>
          </w:tcPr>
          <w:p>
            <w:pPr>
              <w:pStyle w:val="TableParagraph"/>
              <w:spacing w:before="5"/>
              <w:ind w:left="510"/>
              <w:rPr>
                <w:b/>
                <w:sz w:val="22"/>
              </w:rPr>
            </w:pPr>
            <w:r>
              <w:rPr>
                <w:b/>
                <w:spacing w:val="-2"/>
                <w:sz w:val="22"/>
              </w:rPr>
              <w:t>0.5605</w:t>
            </w:r>
          </w:p>
        </w:tc>
        <w:tc>
          <w:tcPr>
            <w:tcW w:w="2056" w:type="dxa"/>
            <w:tcBorders>
              <w:top w:val="single" w:sz="4" w:space="0" w:color="000000"/>
            </w:tcBorders>
          </w:tcPr>
          <w:p>
            <w:pPr>
              <w:pStyle w:val="TableParagraph"/>
              <w:spacing w:before="5"/>
              <w:ind w:left="510"/>
              <w:rPr>
                <w:b/>
                <w:sz w:val="22"/>
              </w:rPr>
            </w:pPr>
            <w:r>
              <w:rPr>
                <w:b/>
                <w:spacing w:val="-2"/>
                <w:sz w:val="22"/>
              </w:rPr>
              <w:t>0.2808</w:t>
            </w:r>
          </w:p>
        </w:tc>
      </w:tr>
      <w:tr>
        <w:trPr>
          <w:trHeight w:val="520" w:hRule="atLeast"/>
        </w:trPr>
        <w:tc>
          <w:tcPr>
            <w:tcW w:w="1339" w:type="dxa"/>
          </w:tcPr>
          <w:p>
            <w:pPr>
              <w:pStyle w:val="TableParagraph"/>
              <w:spacing w:before="130"/>
              <w:ind w:left="100"/>
              <w:rPr>
                <w:b/>
                <w:sz w:val="22"/>
              </w:rPr>
            </w:pPr>
            <w:r>
              <w:rPr>
                <w:b/>
                <w:spacing w:val="-5"/>
                <w:sz w:val="22"/>
              </w:rPr>
              <w:t>MCS</w:t>
            </w:r>
          </w:p>
        </w:tc>
        <w:tc>
          <w:tcPr>
            <w:tcW w:w="1525" w:type="dxa"/>
          </w:tcPr>
          <w:p>
            <w:pPr>
              <w:pStyle w:val="TableParagraph"/>
              <w:spacing w:before="130"/>
              <w:ind w:left="393"/>
              <w:rPr>
                <w:b/>
                <w:sz w:val="22"/>
              </w:rPr>
            </w:pPr>
            <w:r>
              <w:rPr>
                <w:b/>
                <w:spacing w:val="-2"/>
                <w:sz w:val="22"/>
              </w:rPr>
              <w:t>499.43</w:t>
            </w:r>
          </w:p>
        </w:tc>
        <w:tc>
          <w:tcPr>
            <w:tcW w:w="1637" w:type="dxa"/>
          </w:tcPr>
          <w:p>
            <w:pPr>
              <w:pStyle w:val="TableParagraph"/>
              <w:spacing w:before="130"/>
              <w:ind w:left="510"/>
              <w:rPr>
                <w:b/>
                <w:sz w:val="22"/>
              </w:rPr>
            </w:pPr>
            <w:r>
              <w:rPr>
                <w:b/>
                <w:spacing w:val="-2"/>
                <w:sz w:val="22"/>
              </w:rPr>
              <w:t>0.3706</w:t>
            </w:r>
          </w:p>
        </w:tc>
        <w:tc>
          <w:tcPr>
            <w:tcW w:w="1637" w:type="dxa"/>
          </w:tcPr>
          <w:p>
            <w:pPr>
              <w:pStyle w:val="TableParagraph"/>
              <w:spacing w:before="130"/>
              <w:ind w:left="510"/>
              <w:rPr>
                <w:b/>
                <w:sz w:val="22"/>
              </w:rPr>
            </w:pPr>
            <w:r>
              <w:rPr>
                <w:b/>
                <w:spacing w:val="-2"/>
                <w:sz w:val="22"/>
              </w:rPr>
              <w:t>0.6716</w:t>
            </w:r>
          </w:p>
        </w:tc>
        <w:tc>
          <w:tcPr>
            <w:tcW w:w="2056" w:type="dxa"/>
          </w:tcPr>
          <w:p>
            <w:pPr>
              <w:pStyle w:val="TableParagraph"/>
              <w:spacing w:before="130"/>
              <w:ind w:left="510"/>
              <w:rPr>
                <w:b/>
                <w:sz w:val="22"/>
              </w:rPr>
            </w:pPr>
            <w:r>
              <w:rPr>
                <w:b/>
                <w:spacing w:val="-2"/>
                <w:sz w:val="22"/>
              </w:rPr>
              <w:t>0.3010</w:t>
            </w:r>
          </w:p>
        </w:tc>
      </w:tr>
      <w:tr>
        <w:trPr>
          <w:trHeight w:val="386" w:hRule="atLeast"/>
        </w:trPr>
        <w:tc>
          <w:tcPr>
            <w:tcW w:w="1339" w:type="dxa"/>
          </w:tcPr>
          <w:p>
            <w:pPr>
              <w:pStyle w:val="TableParagraph"/>
              <w:spacing w:line="234" w:lineRule="exact" w:before="132"/>
              <w:ind w:left="100"/>
              <w:rPr>
                <w:b/>
                <w:sz w:val="22"/>
              </w:rPr>
            </w:pPr>
            <w:r>
              <w:rPr>
                <w:b/>
                <w:spacing w:val="-5"/>
                <w:sz w:val="22"/>
              </w:rPr>
              <w:t>GEL</w:t>
            </w:r>
          </w:p>
        </w:tc>
        <w:tc>
          <w:tcPr>
            <w:tcW w:w="1525" w:type="dxa"/>
          </w:tcPr>
          <w:p>
            <w:pPr>
              <w:pStyle w:val="TableParagraph"/>
              <w:spacing w:line="234" w:lineRule="exact" w:before="132"/>
              <w:ind w:left="393"/>
              <w:rPr>
                <w:b/>
                <w:sz w:val="22"/>
              </w:rPr>
            </w:pPr>
            <w:r>
              <w:rPr>
                <w:b/>
                <w:spacing w:val="-2"/>
                <w:sz w:val="22"/>
              </w:rPr>
              <w:t>613.36</w:t>
            </w:r>
          </w:p>
        </w:tc>
        <w:tc>
          <w:tcPr>
            <w:tcW w:w="1637" w:type="dxa"/>
          </w:tcPr>
          <w:p>
            <w:pPr>
              <w:pStyle w:val="TableParagraph"/>
              <w:spacing w:line="234" w:lineRule="exact" w:before="132"/>
              <w:ind w:left="510"/>
              <w:rPr>
                <w:b/>
                <w:sz w:val="22"/>
              </w:rPr>
            </w:pPr>
            <w:r>
              <w:rPr>
                <w:b/>
                <w:spacing w:val="-2"/>
                <w:sz w:val="22"/>
              </w:rPr>
              <w:t>0.4615</w:t>
            </w:r>
          </w:p>
        </w:tc>
        <w:tc>
          <w:tcPr>
            <w:tcW w:w="1637" w:type="dxa"/>
          </w:tcPr>
          <w:p>
            <w:pPr>
              <w:pStyle w:val="TableParagraph"/>
              <w:spacing w:line="234" w:lineRule="exact" w:before="132"/>
              <w:ind w:left="510"/>
              <w:rPr>
                <w:b/>
                <w:sz w:val="22"/>
              </w:rPr>
            </w:pPr>
            <w:r>
              <w:rPr>
                <w:b/>
                <w:spacing w:val="-2"/>
                <w:sz w:val="22"/>
              </w:rPr>
              <w:t>0.7541</w:t>
            </w:r>
          </w:p>
        </w:tc>
        <w:tc>
          <w:tcPr>
            <w:tcW w:w="2056" w:type="dxa"/>
          </w:tcPr>
          <w:p>
            <w:pPr>
              <w:pStyle w:val="TableParagraph"/>
              <w:spacing w:line="234" w:lineRule="exact" w:before="132"/>
              <w:ind w:left="510"/>
              <w:rPr>
                <w:b/>
                <w:sz w:val="22"/>
              </w:rPr>
            </w:pPr>
            <w:r>
              <w:rPr>
                <w:b/>
                <w:spacing w:val="-2"/>
                <w:sz w:val="22"/>
              </w:rPr>
              <w:t>0.2926</w:t>
            </w:r>
          </w:p>
        </w:tc>
      </w:tr>
    </w:tbl>
    <w:p>
      <w:pPr>
        <w:pStyle w:val="BodyText"/>
        <w:spacing w:before="8"/>
        <w:rPr>
          <w:b/>
          <w:sz w:val="19"/>
        </w:rPr>
      </w:pPr>
      <w:r>
        <w:rPr/>
        <mc:AlternateContent>
          <mc:Choice Requires="wps">
            <w:drawing>
              <wp:anchor distT="0" distB="0" distL="0" distR="0" allowOverlap="1" layoutInCell="1" locked="0" behindDoc="1" simplePos="0" relativeHeight="487612928">
                <wp:simplePos x="0" y="0"/>
                <wp:positionH relativeFrom="page">
                  <wp:posOffset>1441704</wp:posOffset>
                </wp:positionH>
                <wp:positionV relativeFrom="paragraph">
                  <wp:posOffset>159055</wp:posOffset>
                </wp:positionV>
                <wp:extent cx="5212080" cy="635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5212080" cy="6350"/>
                        </a:xfrm>
                        <a:custGeom>
                          <a:avLst/>
                          <a:gdLst/>
                          <a:ahLst/>
                          <a:cxnLst/>
                          <a:rect l="l" t="t" r="r" b="b"/>
                          <a:pathLst>
                            <a:path w="5212080" h="6350">
                              <a:moveTo>
                                <a:pt x="5212080" y="0"/>
                              </a:moveTo>
                              <a:lnTo>
                                <a:pt x="5212080" y="0"/>
                              </a:lnTo>
                              <a:lnTo>
                                <a:pt x="0" y="0"/>
                              </a:lnTo>
                              <a:lnTo>
                                <a:pt x="0" y="6096"/>
                              </a:lnTo>
                              <a:lnTo>
                                <a:pt x="5212080" y="6096"/>
                              </a:lnTo>
                              <a:lnTo>
                                <a:pt x="5212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20004pt;margin-top:12.524059pt;width:410.400019pt;height:.48pt;mso-position-horizontal-relative:page;mso-position-vertical-relative:paragraph;z-index:-15703552;mso-wrap-distance-left:0;mso-wrap-distance-right:0" id="docshape81" filled="true" fillcolor="#000000" stroked="false">
                <v:fill type="solid"/>
                <w10:wrap type="topAndBottom"/>
              </v:rect>
            </w:pict>
          </mc:Fallback>
        </mc:AlternateContent>
      </w:r>
    </w:p>
    <w:p>
      <w:pPr>
        <w:spacing w:after="0"/>
        <w:rPr>
          <w:sz w:val="19"/>
        </w:rPr>
        <w:sectPr>
          <w:pgSz w:w="12240" w:h="15840"/>
          <w:pgMar w:header="0" w:footer="999" w:top="1260" w:bottom="1180" w:left="1720" w:right="760"/>
        </w:sectPr>
      </w:pPr>
    </w:p>
    <w:p>
      <w:pPr>
        <w:pStyle w:val="BodyText"/>
        <w:rPr>
          <w:b/>
          <w:sz w:val="19"/>
        </w:rPr>
      </w:pPr>
    </w:p>
    <w:p>
      <w:pPr>
        <w:pStyle w:val="BodyText"/>
        <w:rPr>
          <w:b/>
          <w:sz w:val="19"/>
        </w:rPr>
      </w:pPr>
    </w:p>
    <w:p>
      <w:pPr>
        <w:pStyle w:val="BodyText"/>
        <w:spacing w:before="17"/>
        <w:rPr>
          <w:b/>
          <w:sz w:val="19"/>
        </w:rPr>
      </w:pPr>
    </w:p>
    <w:p>
      <w:pPr>
        <w:spacing w:before="0"/>
        <w:ind w:left="1932" w:right="0" w:firstLine="0"/>
        <w:jc w:val="left"/>
        <w:rPr>
          <w:rFonts w:ascii="Calibri"/>
          <w:sz w:val="19"/>
        </w:rPr>
      </w:pPr>
      <w:r>
        <w:rPr/>
        <mc:AlternateContent>
          <mc:Choice Requires="wps">
            <w:drawing>
              <wp:anchor distT="0" distB="0" distL="0" distR="0" allowOverlap="1" layoutInCell="1" locked="0" behindDoc="0" simplePos="0" relativeHeight="15754240">
                <wp:simplePos x="0" y="0"/>
                <wp:positionH relativeFrom="page">
                  <wp:posOffset>2450592</wp:posOffset>
                </wp:positionH>
                <wp:positionV relativeFrom="paragraph">
                  <wp:posOffset>75409</wp:posOffset>
                </wp:positionV>
                <wp:extent cx="3578860" cy="465455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3578860" cy="4654550"/>
                          <a:chExt cx="3578860" cy="4654550"/>
                        </a:xfrm>
                      </wpg:grpSpPr>
                      <wps:wsp>
                        <wps:cNvPr id="95" name="Graphic 95"/>
                        <wps:cNvSpPr/>
                        <wps:spPr>
                          <a:xfrm>
                            <a:off x="0" y="0"/>
                            <a:ext cx="3392804" cy="4654550"/>
                          </a:xfrm>
                          <a:custGeom>
                            <a:avLst/>
                            <a:gdLst/>
                            <a:ahLst/>
                            <a:cxnLst/>
                            <a:rect l="l" t="t" r="r" b="b"/>
                            <a:pathLst>
                              <a:path w="3392804" h="4654550">
                                <a:moveTo>
                                  <a:pt x="3392424" y="4614672"/>
                                </a:moveTo>
                                <a:lnTo>
                                  <a:pt x="3389376" y="4614672"/>
                                </a:lnTo>
                                <a:lnTo>
                                  <a:pt x="3389376" y="4611624"/>
                                </a:lnTo>
                                <a:lnTo>
                                  <a:pt x="42672" y="4611624"/>
                                </a:lnTo>
                                <a:lnTo>
                                  <a:pt x="42672" y="3048"/>
                                </a:lnTo>
                                <a:lnTo>
                                  <a:pt x="39624" y="3048"/>
                                </a:lnTo>
                                <a:lnTo>
                                  <a:pt x="39624" y="0"/>
                                </a:lnTo>
                                <a:lnTo>
                                  <a:pt x="0" y="0"/>
                                </a:lnTo>
                                <a:lnTo>
                                  <a:pt x="0" y="9144"/>
                                </a:lnTo>
                                <a:lnTo>
                                  <a:pt x="33528" y="9144"/>
                                </a:lnTo>
                                <a:lnTo>
                                  <a:pt x="33528" y="460248"/>
                                </a:lnTo>
                                <a:lnTo>
                                  <a:pt x="0" y="460248"/>
                                </a:lnTo>
                                <a:lnTo>
                                  <a:pt x="0" y="469392"/>
                                </a:lnTo>
                                <a:lnTo>
                                  <a:pt x="33528" y="469392"/>
                                </a:lnTo>
                                <a:lnTo>
                                  <a:pt x="33528" y="920496"/>
                                </a:lnTo>
                                <a:lnTo>
                                  <a:pt x="0" y="920496"/>
                                </a:lnTo>
                                <a:lnTo>
                                  <a:pt x="0" y="929640"/>
                                </a:lnTo>
                                <a:lnTo>
                                  <a:pt x="33528" y="929640"/>
                                </a:lnTo>
                                <a:lnTo>
                                  <a:pt x="33528" y="1383792"/>
                                </a:lnTo>
                                <a:lnTo>
                                  <a:pt x="0" y="1383792"/>
                                </a:lnTo>
                                <a:lnTo>
                                  <a:pt x="0" y="1392936"/>
                                </a:lnTo>
                                <a:lnTo>
                                  <a:pt x="33528" y="1392936"/>
                                </a:lnTo>
                                <a:lnTo>
                                  <a:pt x="33528" y="1844040"/>
                                </a:lnTo>
                                <a:lnTo>
                                  <a:pt x="0" y="1844040"/>
                                </a:lnTo>
                                <a:lnTo>
                                  <a:pt x="0" y="1853184"/>
                                </a:lnTo>
                                <a:lnTo>
                                  <a:pt x="33528" y="1853184"/>
                                </a:lnTo>
                                <a:lnTo>
                                  <a:pt x="33528" y="2301240"/>
                                </a:lnTo>
                                <a:lnTo>
                                  <a:pt x="0" y="2301240"/>
                                </a:lnTo>
                                <a:lnTo>
                                  <a:pt x="0" y="2310384"/>
                                </a:lnTo>
                                <a:lnTo>
                                  <a:pt x="33528" y="2310384"/>
                                </a:lnTo>
                                <a:lnTo>
                                  <a:pt x="33528" y="2764536"/>
                                </a:lnTo>
                                <a:lnTo>
                                  <a:pt x="0" y="2764536"/>
                                </a:lnTo>
                                <a:lnTo>
                                  <a:pt x="0" y="2773680"/>
                                </a:lnTo>
                                <a:lnTo>
                                  <a:pt x="33528" y="2773680"/>
                                </a:lnTo>
                                <a:lnTo>
                                  <a:pt x="33528" y="3224784"/>
                                </a:lnTo>
                                <a:lnTo>
                                  <a:pt x="0" y="3224784"/>
                                </a:lnTo>
                                <a:lnTo>
                                  <a:pt x="0" y="3233928"/>
                                </a:lnTo>
                                <a:lnTo>
                                  <a:pt x="33528" y="3233928"/>
                                </a:lnTo>
                                <a:lnTo>
                                  <a:pt x="33528" y="3685032"/>
                                </a:lnTo>
                                <a:lnTo>
                                  <a:pt x="0" y="3685032"/>
                                </a:lnTo>
                                <a:lnTo>
                                  <a:pt x="0" y="3694176"/>
                                </a:lnTo>
                                <a:lnTo>
                                  <a:pt x="33528" y="3694176"/>
                                </a:lnTo>
                                <a:lnTo>
                                  <a:pt x="33528" y="4148328"/>
                                </a:lnTo>
                                <a:lnTo>
                                  <a:pt x="0" y="4148328"/>
                                </a:lnTo>
                                <a:lnTo>
                                  <a:pt x="0" y="4157472"/>
                                </a:lnTo>
                                <a:lnTo>
                                  <a:pt x="33528" y="4157472"/>
                                </a:lnTo>
                                <a:lnTo>
                                  <a:pt x="33528" y="4608576"/>
                                </a:lnTo>
                                <a:lnTo>
                                  <a:pt x="0" y="4608576"/>
                                </a:lnTo>
                                <a:lnTo>
                                  <a:pt x="0" y="4617720"/>
                                </a:lnTo>
                                <a:lnTo>
                                  <a:pt x="33528" y="4617720"/>
                                </a:lnTo>
                                <a:lnTo>
                                  <a:pt x="33528" y="4654296"/>
                                </a:lnTo>
                                <a:lnTo>
                                  <a:pt x="42672" y="4654296"/>
                                </a:lnTo>
                                <a:lnTo>
                                  <a:pt x="42672" y="4617720"/>
                                </a:lnTo>
                                <a:lnTo>
                                  <a:pt x="512064" y="4617720"/>
                                </a:lnTo>
                                <a:lnTo>
                                  <a:pt x="512064" y="4654296"/>
                                </a:lnTo>
                                <a:lnTo>
                                  <a:pt x="521208" y="4654296"/>
                                </a:lnTo>
                                <a:lnTo>
                                  <a:pt x="521208" y="4617720"/>
                                </a:lnTo>
                                <a:lnTo>
                                  <a:pt x="990600" y="4617720"/>
                                </a:lnTo>
                                <a:lnTo>
                                  <a:pt x="990600" y="4654296"/>
                                </a:lnTo>
                                <a:lnTo>
                                  <a:pt x="999744" y="4654296"/>
                                </a:lnTo>
                                <a:lnTo>
                                  <a:pt x="999744" y="4617720"/>
                                </a:lnTo>
                                <a:lnTo>
                                  <a:pt x="1469136" y="4617720"/>
                                </a:lnTo>
                                <a:lnTo>
                                  <a:pt x="1469136" y="4654296"/>
                                </a:lnTo>
                                <a:lnTo>
                                  <a:pt x="1478280" y="4654296"/>
                                </a:lnTo>
                                <a:lnTo>
                                  <a:pt x="1478280" y="4617720"/>
                                </a:lnTo>
                                <a:lnTo>
                                  <a:pt x="1947672" y="4617720"/>
                                </a:lnTo>
                                <a:lnTo>
                                  <a:pt x="1947672" y="4654296"/>
                                </a:lnTo>
                                <a:lnTo>
                                  <a:pt x="1956816" y="4654296"/>
                                </a:lnTo>
                                <a:lnTo>
                                  <a:pt x="1956816" y="4617720"/>
                                </a:lnTo>
                                <a:lnTo>
                                  <a:pt x="2426208" y="4617720"/>
                                </a:lnTo>
                                <a:lnTo>
                                  <a:pt x="2426208" y="4654296"/>
                                </a:lnTo>
                                <a:lnTo>
                                  <a:pt x="2435352" y="4654296"/>
                                </a:lnTo>
                                <a:lnTo>
                                  <a:pt x="2435352" y="4617720"/>
                                </a:lnTo>
                                <a:lnTo>
                                  <a:pt x="2904744" y="4617720"/>
                                </a:lnTo>
                                <a:lnTo>
                                  <a:pt x="2904744" y="4654296"/>
                                </a:lnTo>
                                <a:lnTo>
                                  <a:pt x="2913888" y="4654296"/>
                                </a:lnTo>
                                <a:lnTo>
                                  <a:pt x="2913888" y="4617720"/>
                                </a:lnTo>
                                <a:lnTo>
                                  <a:pt x="3383280" y="4617720"/>
                                </a:lnTo>
                                <a:lnTo>
                                  <a:pt x="3383280" y="4654296"/>
                                </a:lnTo>
                                <a:lnTo>
                                  <a:pt x="3392424" y="4654296"/>
                                </a:lnTo>
                                <a:lnTo>
                                  <a:pt x="3392424" y="4614672"/>
                                </a:lnTo>
                                <a:close/>
                              </a:path>
                            </a:pathLst>
                          </a:custGeom>
                          <a:solidFill>
                            <a:srgbClr val="858585"/>
                          </a:solidFill>
                        </wps:spPr>
                        <wps:bodyPr wrap="square" lIns="0" tIns="0" rIns="0" bIns="0" rtlCol="0">
                          <a:prstTxWarp prst="textNoShape">
                            <a:avLst/>
                          </a:prstTxWarp>
                          <a:noAutofit/>
                        </wps:bodyPr>
                      </wps:wsp>
                      <pic:pic>
                        <pic:nvPicPr>
                          <pic:cNvPr id="96" name="Image 96"/>
                          <pic:cNvPicPr/>
                        </pic:nvPicPr>
                        <pic:blipFill>
                          <a:blip r:embed="rId26" cstate="print"/>
                          <a:stretch>
                            <a:fillRect/>
                          </a:stretch>
                        </pic:blipFill>
                        <pic:spPr>
                          <a:xfrm>
                            <a:off x="533400" y="478536"/>
                            <a:ext cx="2535935" cy="1469136"/>
                          </a:xfrm>
                          <a:prstGeom prst="rect">
                            <a:avLst/>
                          </a:prstGeom>
                        </pic:spPr>
                      </pic:pic>
                      <pic:pic>
                        <pic:nvPicPr>
                          <pic:cNvPr id="97" name="Image 97"/>
                          <pic:cNvPicPr/>
                        </pic:nvPicPr>
                        <pic:blipFill>
                          <a:blip r:embed="rId27" cstate="print"/>
                          <a:stretch>
                            <a:fillRect/>
                          </a:stretch>
                        </pic:blipFill>
                        <pic:spPr>
                          <a:xfrm>
                            <a:off x="3325367" y="2362200"/>
                            <a:ext cx="252984" cy="76200"/>
                          </a:xfrm>
                          <a:prstGeom prst="rect">
                            <a:avLst/>
                          </a:prstGeom>
                        </pic:spPr>
                      </pic:pic>
                      <pic:pic>
                        <pic:nvPicPr>
                          <pic:cNvPr id="98" name="Image 98"/>
                          <pic:cNvPicPr/>
                        </pic:nvPicPr>
                        <pic:blipFill>
                          <a:blip r:embed="rId28" cstate="print"/>
                          <a:stretch>
                            <a:fillRect/>
                          </a:stretch>
                        </pic:blipFill>
                        <pic:spPr>
                          <a:xfrm>
                            <a:off x="3325367" y="2575560"/>
                            <a:ext cx="252984" cy="82295"/>
                          </a:xfrm>
                          <a:prstGeom prst="rect">
                            <a:avLst/>
                          </a:prstGeom>
                        </pic:spPr>
                      </pic:pic>
                      <pic:pic>
                        <pic:nvPicPr>
                          <pic:cNvPr id="99" name="Image 99"/>
                          <pic:cNvPicPr/>
                        </pic:nvPicPr>
                        <pic:blipFill>
                          <a:blip r:embed="rId29" cstate="print"/>
                          <a:stretch>
                            <a:fillRect/>
                          </a:stretch>
                        </pic:blipFill>
                        <pic:spPr>
                          <a:xfrm>
                            <a:off x="3325367" y="2791967"/>
                            <a:ext cx="252984" cy="79248"/>
                          </a:xfrm>
                          <a:prstGeom prst="rect">
                            <a:avLst/>
                          </a:prstGeom>
                        </pic:spPr>
                      </pic:pic>
                    </wpg:wgp>
                  </a:graphicData>
                </a:graphic>
              </wp:anchor>
            </w:drawing>
          </mc:Choice>
          <mc:Fallback>
            <w:pict>
              <v:group style="position:absolute;margin-left:192.960007pt;margin-top:5.937783pt;width:281.8pt;height:366.5pt;mso-position-horizontal-relative:page;mso-position-vertical-relative:paragraph;z-index:15754240" id="docshapegroup82" coordorigin="3859,119" coordsize="5636,7330">
                <v:shape style="position:absolute;left:3859;top:118;width:5343;height:7330" id="docshape83" coordorigin="3859,119" coordsize="5343,7330" path="m9202,7386l9197,7386,9197,7381,3926,7381,3926,124,3922,124,3922,119,3859,119,3859,133,3912,133,3912,844,3859,844,3859,858,3912,858,3912,1568,3859,1568,3859,1583,3912,1583,3912,2298,3859,2298,3859,2312,3912,2312,3912,3023,3859,3023,3859,3037,3912,3037,3912,3743,3859,3743,3859,3757,3912,3757,3912,4472,3859,4472,3859,4487,3912,4487,3912,5197,3859,5197,3859,5212,3912,5212,3912,5922,3859,5922,3859,5936,3912,5936,3912,6652,3859,6652,3859,6666,3912,6666,3912,7376,3859,7376,3859,7391,3912,7391,3912,7448,3926,7448,3926,7391,4666,7391,4666,7448,4680,7448,4680,7391,5419,7391,5419,7448,5434,7448,5434,7391,6173,7391,6173,7448,6187,7448,6187,7391,6926,7391,6926,7448,6941,7448,6941,7391,7680,7391,7680,7448,7694,7448,7694,7391,8434,7391,8434,7448,8448,7448,8448,7391,9187,7391,9187,7448,9202,7448,9202,7386xe" filled="true" fillcolor="#858585" stroked="false">
                  <v:path arrowok="t"/>
                  <v:fill type="solid"/>
                </v:shape>
                <v:shape style="position:absolute;left:4699;top:872;width:3994;height:2314" type="#_x0000_t75" id="docshape84" stroked="false">
                  <v:imagedata r:id="rId26" o:title=""/>
                </v:shape>
                <v:shape style="position:absolute;left:9096;top:3838;width:399;height:120" type="#_x0000_t75" id="docshape85" stroked="false">
                  <v:imagedata r:id="rId27" o:title=""/>
                </v:shape>
                <v:shape style="position:absolute;left:9096;top:4174;width:399;height:130" type="#_x0000_t75" id="docshape86" stroked="false">
                  <v:imagedata r:id="rId28" o:title=""/>
                </v:shape>
                <v:shape style="position:absolute;left:9096;top:4515;width:399;height:125" type="#_x0000_t75" id="docshape87" stroked="false">
                  <v:imagedata r:id="rId29" o:title=""/>
                </v:shape>
                <w10:wrap type="none"/>
              </v:group>
            </w:pict>
          </mc:Fallback>
        </mc:AlternateContent>
      </w:r>
      <w:r>
        <w:rPr>
          <w:rFonts w:ascii="Calibri"/>
          <w:spacing w:val="-10"/>
          <w:sz w:val="19"/>
        </w:rPr>
        <w:t>2</w:t>
      </w:r>
    </w:p>
    <w:p>
      <w:pPr>
        <w:pStyle w:val="BodyText"/>
        <w:rPr>
          <w:rFonts w:ascii="Calibri"/>
          <w:sz w:val="19"/>
        </w:rPr>
      </w:pPr>
    </w:p>
    <w:p>
      <w:pPr>
        <w:pStyle w:val="BodyText"/>
        <w:spacing w:before="29"/>
        <w:rPr>
          <w:rFonts w:ascii="Calibri"/>
          <w:sz w:val="19"/>
        </w:rPr>
      </w:pPr>
    </w:p>
    <w:p>
      <w:pPr>
        <w:spacing w:before="0"/>
        <w:ind w:left="1788" w:right="0" w:firstLine="0"/>
        <w:jc w:val="left"/>
        <w:rPr>
          <w:rFonts w:ascii="Calibri"/>
          <w:sz w:val="19"/>
        </w:rPr>
      </w:pPr>
      <w:r>
        <w:rPr>
          <w:rFonts w:ascii="Calibri"/>
          <w:spacing w:val="-5"/>
          <w:sz w:val="19"/>
        </w:rPr>
        <w:t>1.8</w:t>
      </w:r>
    </w:p>
    <w:p>
      <w:pPr>
        <w:pStyle w:val="BodyText"/>
        <w:rPr>
          <w:rFonts w:ascii="Calibri"/>
          <w:sz w:val="19"/>
        </w:rPr>
      </w:pPr>
    </w:p>
    <w:p>
      <w:pPr>
        <w:pStyle w:val="BodyText"/>
        <w:spacing w:before="29"/>
        <w:rPr>
          <w:rFonts w:ascii="Calibri"/>
          <w:sz w:val="19"/>
        </w:rPr>
      </w:pPr>
    </w:p>
    <w:p>
      <w:pPr>
        <w:spacing w:before="0"/>
        <w:ind w:left="1788" w:right="0" w:firstLine="0"/>
        <w:jc w:val="left"/>
        <w:rPr>
          <w:rFonts w:ascii="Calibri"/>
          <w:sz w:val="19"/>
        </w:rPr>
      </w:pPr>
      <w:r>
        <w:rPr>
          <w:rFonts w:ascii="Calibri"/>
          <w:spacing w:val="-5"/>
          <w:sz w:val="19"/>
        </w:rPr>
        <w:t>1.6</w:t>
      </w:r>
    </w:p>
    <w:p>
      <w:pPr>
        <w:pStyle w:val="BodyText"/>
        <w:rPr>
          <w:rFonts w:ascii="Calibri"/>
          <w:sz w:val="19"/>
        </w:rPr>
      </w:pPr>
    </w:p>
    <w:p>
      <w:pPr>
        <w:pStyle w:val="BodyText"/>
        <w:spacing w:before="34"/>
        <w:rPr>
          <w:rFonts w:ascii="Calibri"/>
          <w:sz w:val="19"/>
        </w:rPr>
      </w:pPr>
    </w:p>
    <w:p>
      <w:pPr>
        <w:spacing w:before="0"/>
        <w:ind w:left="1788" w:right="0" w:firstLine="0"/>
        <w:jc w:val="left"/>
        <w:rPr>
          <w:rFonts w:ascii="Calibri"/>
          <w:sz w:val="19"/>
        </w:rPr>
      </w:pPr>
      <w:r>
        <w:rPr>
          <w:rFonts w:ascii="Calibri"/>
          <w:spacing w:val="-5"/>
          <w:sz w:val="19"/>
        </w:rPr>
        <w:t>1.4</w:t>
      </w:r>
    </w:p>
    <w:p>
      <w:pPr>
        <w:pStyle w:val="BodyText"/>
        <w:rPr>
          <w:rFonts w:ascii="Calibri"/>
          <w:sz w:val="19"/>
        </w:rPr>
      </w:pPr>
    </w:p>
    <w:p>
      <w:pPr>
        <w:pStyle w:val="BodyText"/>
        <w:spacing w:before="29"/>
        <w:rPr>
          <w:rFonts w:ascii="Calibri"/>
          <w:sz w:val="19"/>
        </w:rPr>
      </w:pPr>
    </w:p>
    <w:p>
      <w:pPr>
        <w:spacing w:before="0"/>
        <w:ind w:left="1788" w:right="0" w:firstLine="0"/>
        <w:jc w:val="left"/>
        <w:rPr>
          <w:rFonts w:ascii="Calibri"/>
          <w:sz w:val="19"/>
        </w:rPr>
      </w:pPr>
      <w:r>
        <w:rPr>
          <w:rFonts w:ascii="Calibri"/>
          <w:spacing w:val="-5"/>
          <w:sz w:val="19"/>
        </w:rPr>
        <w:t>1.2</w:t>
      </w:r>
    </w:p>
    <w:p>
      <w:pPr>
        <w:pStyle w:val="BodyText"/>
        <w:spacing w:before="187"/>
        <w:rPr>
          <w:rFonts w:ascii="Calibri"/>
          <w:sz w:val="20"/>
        </w:rPr>
      </w:pPr>
    </w:p>
    <w:p>
      <w:pPr>
        <w:spacing w:after="0"/>
        <w:rPr>
          <w:rFonts w:ascii="Calibri"/>
          <w:sz w:val="20"/>
        </w:rPr>
        <w:sectPr>
          <w:pgSz w:w="12240" w:h="15840"/>
          <w:pgMar w:header="0" w:footer="999" w:top="1820" w:bottom="1180" w:left="1720" w:right="760"/>
        </w:sectPr>
      </w:pPr>
    </w:p>
    <w:p>
      <w:pPr>
        <w:spacing w:before="61"/>
        <w:ind w:left="0" w:right="38" w:firstLine="0"/>
        <w:jc w:val="right"/>
        <w:rPr>
          <w:rFonts w:ascii="Calibri"/>
          <w:sz w:val="19"/>
        </w:rPr>
      </w:pPr>
      <w:r>
        <w:rPr/>
        <mc:AlternateContent>
          <mc:Choice Requires="wps">
            <w:drawing>
              <wp:anchor distT="0" distB="0" distL="0" distR="0" allowOverlap="1" layoutInCell="1" locked="0" behindDoc="0" simplePos="0" relativeHeight="15754752">
                <wp:simplePos x="0" y="0"/>
                <wp:positionH relativeFrom="page">
                  <wp:posOffset>2058081</wp:posOffset>
                </wp:positionH>
                <wp:positionV relativeFrom="paragraph">
                  <wp:posOffset>-130792</wp:posOffset>
                </wp:positionV>
                <wp:extent cx="146050" cy="505459"/>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46050" cy="505459"/>
                        </a:xfrm>
                        <a:prstGeom prst="rect">
                          <a:avLst/>
                        </a:prstGeom>
                      </wps:spPr>
                      <wps:txbx>
                        <w:txbxContent>
                          <w:p>
                            <w:pPr>
                              <w:spacing w:line="213" w:lineRule="exact" w:before="0"/>
                              <w:ind w:left="20" w:right="0" w:firstLine="0"/>
                              <w:jc w:val="left"/>
                              <w:rPr>
                                <w:rFonts w:ascii="Calibri"/>
                                <w:b/>
                                <w:sz w:val="19"/>
                              </w:rPr>
                            </w:pPr>
                            <w:r>
                              <w:rPr>
                                <w:rFonts w:ascii="Calibri"/>
                                <w:b/>
                                <w:sz w:val="19"/>
                              </w:rPr>
                              <w:t>ln</w:t>
                            </w:r>
                            <w:r>
                              <w:rPr>
                                <w:rFonts w:ascii="Calibri"/>
                                <w:b/>
                                <w:spacing w:val="-9"/>
                                <w:sz w:val="19"/>
                              </w:rPr>
                              <w:t> </w:t>
                            </w:r>
                            <w:r>
                              <w:rPr>
                                <w:rFonts w:ascii="Calibri"/>
                                <w:b/>
                                <w:sz w:val="19"/>
                              </w:rPr>
                              <w:t>(1/1-</w:t>
                            </w:r>
                            <w:r>
                              <w:rPr>
                                <w:rFonts w:ascii="Calibri"/>
                                <w:b/>
                                <w:spacing w:val="-5"/>
                                <w:sz w:val="19"/>
                              </w:rPr>
                              <w:t>D)</w:t>
                            </w:r>
                          </w:p>
                        </w:txbxContent>
                      </wps:txbx>
                      <wps:bodyPr wrap="square" lIns="0" tIns="0" rIns="0" bIns="0" rtlCol="0" vert="vert270">
                        <a:noAutofit/>
                      </wps:bodyPr>
                    </wps:wsp>
                  </a:graphicData>
                </a:graphic>
              </wp:anchor>
            </w:drawing>
          </mc:Choice>
          <mc:Fallback>
            <w:pict>
              <v:shape style="position:absolute;margin-left:162.053680pt;margin-top:-10.298656pt;width:11.5pt;height:39.8pt;mso-position-horizontal-relative:page;mso-position-vertical-relative:paragraph;z-index:15754752" type="#_x0000_t202" id="docshape88"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z w:val="19"/>
                        </w:rPr>
                        <w:t>ln</w:t>
                      </w:r>
                      <w:r>
                        <w:rPr>
                          <w:rFonts w:ascii="Calibri"/>
                          <w:b/>
                          <w:spacing w:val="-9"/>
                          <w:sz w:val="19"/>
                        </w:rPr>
                        <w:t> </w:t>
                      </w:r>
                      <w:r>
                        <w:rPr>
                          <w:rFonts w:ascii="Calibri"/>
                          <w:b/>
                          <w:sz w:val="19"/>
                        </w:rPr>
                        <w:t>(1/1-</w:t>
                      </w:r>
                      <w:r>
                        <w:rPr>
                          <w:rFonts w:ascii="Calibri"/>
                          <w:b/>
                          <w:spacing w:val="-5"/>
                          <w:sz w:val="19"/>
                        </w:rPr>
                        <w:t>D)</w:t>
                      </w:r>
                    </w:p>
                  </w:txbxContent>
                </v:textbox>
                <w10:wrap type="none"/>
              </v:shape>
            </w:pict>
          </mc:Fallback>
        </mc:AlternateContent>
      </w:r>
      <w:r>
        <w:rPr>
          <w:rFonts w:ascii="Calibri"/>
          <w:spacing w:val="-10"/>
          <w:sz w:val="19"/>
        </w:rPr>
        <w:t>1</w:t>
      </w:r>
    </w:p>
    <w:p>
      <w:pPr>
        <w:pStyle w:val="BodyText"/>
        <w:rPr>
          <w:rFonts w:ascii="Calibri"/>
          <w:sz w:val="19"/>
        </w:rPr>
      </w:pPr>
    </w:p>
    <w:p>
      <w:pPr>
        <w:pStyle w:val="BodyText"/>
        <w:spacing w:before="34"/>
        <w:rPr>
          <w:rFonts w:ascii="Calibri"/>
          <w:sz w:val="19"/>
        </w:rPr>
      </w:pPr>
    </w:p>
    <w:p>
      <w:pPr>
        <w:spacing w:before="0"/>
        <w:ind w:left="0" w:right="38" w:firstLine="0"/>
        <w:jc w:val="right"/>
        <w:rPr>
          <w:rFonts w:ascii="Calibri"/>
          <w:sz w:val="19"/>
        </w:rPr>
      </w:pPr>
      <w:r>
        <w:rPr>
          <w:rFonts w:ascii="Calibri"/>
          <w:spacing w:val="-5"/>
          <w:sz w:val="19"/>
        </w:rPr>
        <w:t>0.8</w:t>
      </w:r>
    </w:p>
    <w:p>
      <w:pPr>
        <w:spacing w:line="352" w:lineRule="auto" w:before="205"/>
        <w:ind w:left="1788" w:right="1613" w:firstLine="0"/>
        <w:jc w:val="left"/>
        <w:rPr>
          <w:rFonts w:ascii="Calibri"/>
          <w:sz w:val="19"/>
        </w:rPr>
      </w:pPr>
      <w:r>
        <w:rPr/>
        <w:br w:type="column"/>
      </w:r>
      <w:r>
        <w:rPr>
          <w:rFonts w:ascii="Calibri"/>
          <w:spacing w:val="-6"/>
          <w:sz w:val="19"/>
        </w:rPr>
        <w:t>DS</w:t>
      </w:r>
      <w:r>
        <w:rPr>
          <w:rFonts w:ascii="Calibri"/>
          <w:sz w:val="19"/>
        </w:rPr>
        <w:t> </w:t>
      </w:r>
      <w:r>
        <w:rPr>
          <w:rFonts w:ascii="Calibri"/>
          <w:spacing w:val="-4"/>
          <w:sz w:val="19"/>
        </w:rPr>
        <w:t>MCS</w:t>
      </w:r>
      <w:r>
        <w:rPr>
          <w:rFonts w:ascii="Calibri"/>
          <w:sz w:val="19"/>
        </w:rPr>
        <w:t> </w:t>
      </w:r>
      <w:r>
        <w:rPr>
          <w:rFonts w:ascii="Calibri"/>
          <w:spacing w:val="-4"/>
          <w:sz w:val="19"/>
        </w:rPr>
        <w:t>GEL</w:t>
      </w:r>
    </w:p>
    <w:p>
      <w:pPr>
        <w:spacing w:after="0" w:line="352" w:lineRule="auto"/>
        <w:jc w:val="left"/>
        <w:rPr>
          <w:rFonts w:ascii="Calibri"/>
          <w:sz w:val="19"/>
        </w:rPr>
        <w:sectPr>
          <w:type w:val="continuous"/>
          <w:pgSz w:w="12240" w:h="15840"/>
          <w:pgMar w:header="0" w:footer="999" w:top="1780" w:bottom="1180" w:left="1720" w:right="760"/>
          <w:cols w:num="2" w:equalWidth="0">
            <w:col w:w="2069" w:space="3940"/>
            <w:col w:w="3751"/>
          </w:cols>
        </w:sectPr>
      </w:pPr>
    </w:p>
    <w:p>
      <w:pPr>
        <w:pStyle w:val="BodyText"/>
        <w:spacing w:before="56"/>
        <w:rPr>
          <w:rFonts w:ascii="Calibri"/>
          <w:sz w:val="19"/>
        </w:rPr>
      </w:pPr>
    </w:p>
    <w:p>
      <w:pPr>
        <w:spacing w:before="0"/>
        <w:ind w:left="1788" w:right="0" w:firstLine="0"/>
        <w:jc w:val="left"/>
        <w:rPr>
          <w:rFonts w:ascii="Calibri"/>
          <w:sz w:val="19"/>
        </w:rPr>
      </w:pPr>
      <w:r>
        <w:rPr>
          <w:rFonts w:ascii="Calibri"/>
          <w:spacing w:val="-5"/>
          <w:sz w:val="19"/>
        </w:rPr>
        <w:t>0.6</w:t>
      </w:r>
    </w:p>
    <w:p>
      <w:pPr>
        <w:pStyle w:val="BodyText"/>
        <w:rPr>
          <w:rFonts w:ascii="Calibri"/>
          <w:sz w:val="19"/>
        </w:rPr>
      </w:pPr>
    </w:p>
    <w:p>
      <w:pPr>
        <w:pStyle w:val="BodyText"/>
        <w:spacing w:before="29"/>
        <w:rPr>
          <w:rFonts w:ascii="Calibri"/>
          <w:sz w:val="19"/>
        </w:rPr>
      </w:pPr>
    </w:p>
    <w:p>
      <w:pPr>
        <w:spacing w:before="0"/>
        <w:ind w:left="1788" w:right="0" w:firstLine="0"/>
        <w:jc w:val="left"/>
        <w:rPr>
          <w:rFonts w:ascii="Calibri"/>
          <w:sz w:val="19"/>
        </w:rPr>
      </w:pPr>
      <w:r>
        <w:rPr>
          <w:rFonts w:ascii="Calibri"/>
          <w:spacing w:val="-5"/>
          <w:sz w:val="19"/>
        </w:rPr>
        <w:t>0.4</w:t>
      </w:r>
    </w:p>
    <w:p>
      <w:pPr>
        <w:pStyle w:val="BodyText"/>
        <w:rPr>
          <w:rFonts w:ascii="Calibri"/>
          <w:sz w:val="19"/>
        </w:rPr>
      </w:pPr>
    </w:p>
    <w:p>
      <w:pPr>
        <w:pStyle w:val="BodyText"/>
        <w:spacing w:before="34"/>
        <w:rPr>
          <w:rFonts w:ascii="Calibri"/>
          <w:sz w:val="19"/>
        </w:rPr>
      </w:pPr>
    </w:p>
    <w:p>
      <w:pPr>
        <w:spacing w:before="0"/>
        <w:ind w:left="1788" w:right="0" w:firstLine="0"/>
        <w:jc w:val="left"/>
        <w:rPr>
          <w:rFonts w:ascii="Calibri"/>
          <w:sz w:val="19"/>
        </w:rPr>
      </w:pPr>
      <w:r>
        <w:rPr>
          <w:rFonts w:ascii="Calibri"/>
          <w:spacing w:val="-5"/>
          <w:sz w:val="19"/>
        </w:rPr>
        <w:t>0.2</w:t>
      </w:r>
    </w:p>
    <w:p>
      <w:pPr>
        <w:pStyle w:val="BodyText"/>
        <w:rPr>
          <w:rFonts w:ascii="Calibri"/>
          <w:sz w:val="19"/>
        </w:rPr>
      </w:pPr>
    </w:p>
    <w:p>
      <w:pPr>
        <w:pStyle w:val="BodyText"/>
        <w:spacing w:before="29"/>
        <w:rPr>
          <w:rFonts w:ascii="Calibri"/>
          <w:sz w:val="19"/>
        </w:rPr>
      </w:pPr>
    </w:p>
    <w:p>
      <w:pPr>
        <w:spacing w:before="0"/>
        <w:ind w:left="1932" w:right="0" w:firstLine="0"/>
        <w:jc w:val="left"/>
        <w:rPr>
          <w:rFonts w:ascii="Calibri"/>
          <w:sz w:val="19"/>
        </w:rPr>
      </w:pPr>
      <w:r>
        <w:rPr>
          <w:rFonts w:ascii="Calibri"/>
          <w:spacing w:val="-10"/>
          <w:sz w:val="19"/>
        </w:rPr>
        <w:t>0</w:t>
      </w:r>
    </w:p>
    <w:p>
      <w:pPr>
        <w:tabs>
          <w:tab w:pos="2859" w:val="left" w:leader="none"/>
          <w:tab w:pos="3564" w:val="left" w:leader="none"/>
          <w:tab w:pos="4318" w:val="left" w:leader="none"/>
          <w:tab w:pos="5071" w:val="left" w:leader="none"/>
          <w:tab w:pos="5825" w:val="left" w:leader="none"/>
          <w:tab w:pos="6579" w:val="left" w:leader="none"/>
          <w:tab w:pos="7332" w:val="left" w:leader="none"/>
        </w:tabs>
        <w:spacing w:before="13"/>
        <w:ind w:left="2153" w:right="0" w:firstLine="0"/>
        <w:jc w:val="left"/>
        <w:rPr>
          <w:rFonts w:ascii="Calibri"/>
          <w:sz w:val="19"/>
        </w:rPr>
      </w:pPr>
      <w:r>
        <w:rPr>
          <w:rFonts w:ascii="Calibri"/>
          <w:spacing w:val="-10"/>
          <w:sz w:val="19"/>
        </w:rPr>
        <w:t>0</w:t>
      </w:r>
      <w:r>
        <w:rPr>
          <w:rFonts w:ascii="Calibri"/>
          <w:sz w:val="19"/>
        </w:rPr>
        <w:tab/>
      </w:r>
      <w:r>
        <w:rPr>
          <w:rFonts w:ascii="Calibri"/>
          <w:spacing w:val="-5"/>
          <w:sz w:val="19"/>
        </w:rPr>
        <w:t>50</w:t>
      </w:r>
      <w:r>
        <w:rPr>
          <w:rFonts w:ascii="Calibri"/>
          <w:sz w:val="19"/>
        </w:rPr>
        <w:tab/>
      </w:r>
      <w:r>
        <w:rPr>
          <w:rFonts w:ascii="Calibri"/>
          <w:spacing w:val="-5"/>
          <w:sz w:val="19"/>
        </w:rPr>
        <w:t>100</w:t>
      </w:r>
      <w:r>
        <w:rPr>
          <w:rFonts w:ascii="Calibri"/>
          <w:sz w:val="19"/>
        </w:rPr>
        <w:tab/>
      </w:r>
      <w:r>
        <w:rPr>
          <w:rFonts w:ascii="Calibri"/>
          <w:spacing w:val="-5"/>
          <w:sz w:val="19"/>
        </w:rPr>
        <w:t>150</w:t>
      </w:r>
      <w:r>
        <w:rPr>
          <w:rFonts w:ascii="Calibri"/>
          <w:sz w:val="19"/>
        </w:rPr>
        <w:tab/>
      </w:r>
      <w:r>
        <w:rPr>
          <w:rFonts w:ascii="Calibri"/>
          <w:spacing w:val="-5"/>
          <w:sz w:val="19"/>
        </w:rPr>
        <w:t>200</w:t>
      </w:r>
      <w:r>
        <w:rPr>
          <w:rFonts w:ascii="Calibri"/>
          <w:sz w:val="19"/>
        </w:rPr>
        <w:tab/>
      </w:r>
      <w:r>
        <w:rPr>
          <w:rFonts w:ascii="Calibri"/>
          <w:spacing w:val="-5"/>
          <w:sz w:val="19"/>
        </w:rPr>
        <w:t>250</w:t>
      </w:r>
      <w:r>
        <w:rPr>
          <w:rFonts w:ascii="Calibri"/>
          <w:sz w:val="19"/>
        </w:rPr>
        <w:tab/>
      </w:r>
      <w:r>
        <w:rPr>
          <w:rFonts w:ascii="Calibri"/>
          <w:spacing w:val="-5"/>
          <w:sz w:val="19"/>
        </w:rPr>
        <w:t>300</w:t>
      </w:r>
      <w:r>
        <w:rPr>
          <w:rFonts w:ascii="Calibri"/>
          <w:sz w:val="19"/>
        </w:rPr>
        <w:tab/>
      </w:r>
      <w:r>
        <w:rPr>
          <w:rFonts w:ascii="Calibri"/>
          <w:spacing w:val="-5"/>
          <w:sz w:val="19"/>
        </w:rPr>
        <w:t>350</w:t>
      </w:r>
    </w:p>
    <w:p>
      <w:pPr>
        <w:spacing w:before="51"/>
        <w:ind w:left="3800" w:right="0" w:firstLine="0"/>
        <w:jc w:val="left"/>
        <w:rPr>
          <w:rFonts w:ascii="Calibri"/>
          <w:b/>
          <w:sz w:val="19"/>
        </w:rPr>
      </w:pPr>
      <w:r>
        <w:rPr>
          <w:rFonts w:ascii="Calibri"/>
          <w:b/>
          <w:spacing w:val="-2"/>
          <w:sz w:val="19"/>
        </w:rPr>
        <w:t>Applied</w:t>
      </w:r>
      <w:r>
        <w:rPr>
          <w:rFonts w:ascii="Calibri"/>
          <w:b/>
          <w:spacing w:val="4"/>
          <w:sz w:val="19"/>
        </w:rPr>
        <w:t> </w:t>
      </w:r>
      <w:r>
        <w:rPr>
          <w:rFonts w:ascii="Calibri"/>
          <w:b/>
          <w:spacing w:val="-2"/>
          <w:sz w:val="19"/>
        </w:rPr>
        <w:t>pressure</w:t>
      </w:r>
      <w:r>
        <w:rPr>
          <w:rFonts w:ascii="Calibri"/>
          <w:b/>
          <w:spacing w:val="-6"/>
          <w:sz w:val="19"/>
        </w:rPr>
        <w:t> </w:t>
      </w:r>
      <w:r>
        <w:rPr>
          <w:rFonts w:ascii="Calibri"/>
          <w:b/>
          <w:spacing w:val="-2"/>
          <w:sz w:val="19"/>
        </w:rPr>
        <w:t>(MN/m</w:t>
      </w:r>
      <w:r>
        <w:rPr>
          <w:rFonts w:ascii="Calibri"/>
          <w:b/>
          <w:spacing w:val="-2"/>
          <w:sz w:val="19"/>
          <w:vertAlign w:val="superscript"/>
        </w:rPr>
        <w:t>2</w:t>
      </w:r>
      <w:r>
        <w:rPr>
          <w:rFonts w:ascii="Calibri"/>
          <w:b/>
          <w:spacing w:val="-2"/>
          <w:sz w:val="19"/>
          <w:vertAlign w:val="baseline"/>
        </w:rPr>
        <w:t>)</w:t>
      </w:r>
    </w:p>
    <w:p>
      <w:pPr>
        <w:pStyle w:val="BodyText"/>
        <w:rPr>
          <w:rFonts w:ascii="Calibri"/>
          <w:b/>
        </w:rPr>
      </w:pPr>
    </w:p>
    <w:p>
      <w:pPr>
        <w:pStyle w:val="BodyText"/>
        <w:rPr>
          <w:rFonts w:ascii="Calibri"/>
          <w:b/>
        </w:rPr>
      </w:pPr>
    </w:p>
    <w:p>
      <w:pPr>
        <w:pStyle w:val="BodyText"/>
        <w:spacing w:before="32"/>
        <w:rPr>
          <w:rFonts w:ascii="Calibri"/>
          <w:b/>
        </w:rPr>
      </w:pPr>
    </w:p>
    <w:p>
      <w:pPr>
        <w:spacing w:before="0"/>
        <w:ind w:left="665" w:right="0" w:firstLine="0"/>
        <w:jc w:val="left"/>
        <w:rPr>
          <w:sz w:val="22"/>
        </w:rPr>
      </w:pPr>
      <w:r>
        <w:rPr>
          <w:sz w:val="22"/>
        </w:rPr>
        <w:t>DS</w:t>
      </w:r>
      <w:r>
        <w:rPr>
          <w:spacing w:val="15"/>
          <w:sz w:val="22"/>
        </w:rPr>
        <w:t> </w:t>
      </w:r>
      <w:r>
        <w:rPr>
          <w:sz w:val="22"/>
        </w:rPr>
        <w:t>=</w:t>
      </w:r>
      <w:r>
        <w:rPr>
          <w:spacing w:val="8"/>
          <w:sz w:val="22"/>
        </w:rPr>
        <w:t> </w:t>
      </w:r>
      <w:r>
        <w:rPr>
          <w:i/>
          <w:sz w:val="22"/>
        </w:rPr>
        <w:t>Digitaria</w:t>
      </w:r>
      <w:r>
        <w:rPr>
          <w:i/>
          <w:spacing w:val="19"/>
          <w:sz w:val="22"/>
        </w:rPr>
        <w:t> </w:t>
      </w:r>
      <w:r>
        <w:rPr>
          <w:i/>
          <w:sz w:val="22"/>
        </w:rPr>
        <w:t>iburua</w:t>
      </w:r>
      <w:r>
        <w:rPr>
          <w:i/>
          <w:spacing w:val="9"/>
          <w:sz w:val="22"/>
        </w:rPr>
        <w:t> </w:t>
      </w:r>
      <w:r>
        <w:rPr>
          <w:sz w:val="22"/>
        </w:rPr>
        <w:t>Starch,</w:t>
      </w:r>
      <w:r>
        <w:rPr>
          <w:spacing w:val="11"/>
          <w:sz w:val="22"/>
        </w:rPr>
        <w:t> </w:t>
      </w:r>
      <w:r>
        <w:rPr>
          <w:sz w:val="22"/>
        </w:rPr>
        <w:t>MCS</w:t>
      </w:r>
      <w:r>
        <w:rPr>
          <w:spacing w:val="4"/>
          <w:sz w:val="22"/>
        </w:rPr>
        <w:t> </w:t>
      </w:r>
      <w:r>
        <w:rPr>
          <w:sz w:val="22"/>
        </w:rPr>
        <w:t>=</w:t>
      </w:r>
      <w:r>
        <w:rPr>
          <w:spacing w:val="8"/>
          <w:sz w:val="22"/>
        </w:rPr>
        <w:t> </w:t>
      </w:r>
      <w:r>
        <w:rPr>
          <w:sz w:val="22"/>
        </w:rPr>
        <w:t>Microcrystalline</w:t>
      </w:r>
      <w:r>
        <w:rPr>
          <w:spacing w:val="12"/>
          <w:sz w:val="22"/>
        </w:rPr>
        <w:t> </w:t>
      </w:r>
      <w:r>
        <w:rPr>
          <w:sz w:val="22"/>
        </w:rPr>
        <w:t>starch,</w:t>
      </w:r>
      <w:r>
        <w:rPr>
          <w:spacing w:val="19"/>
          <w:sz w:val="22"/>
        </w:rPr>
        <w:t> </w:t>
      </w:r>
      <w:r>
        <w:rPr>
          <w:sz w:val="22"/>
        </w:rPr>
        <w:t>GEL</w:t>
      </w:r>
      <w:r>
        <w:rPr>
          <w:spacing w:val="7"/>
          <w:sz w:val="22"/>
        </w:rPr>
        <w:t> </w:t>
      </w:r>
      <w:r>
        <w:rPr>
          <w:sz w:val="22"/>
        </w:rPr>
        <w:t>=</w:t>
      </w:r>
      <w:r>
        <w:rPr>
          <w:spacing w:val="8"/>
          <w:sz w:val="22"/>
        </w:rPr>
        <w:t> </w:t>
      </w:r>
      <w:r>
        <w:rPr>
          <w:spacing w:val="-2"/>
          <w:sz w:val="22"/>
        </w:rPr>
        <w:t>Gelatin</w:t>
      </w:r>
    </w:p>
    <w:p>
      <w:pPr>
        <w:pStyle w:val="BodyText"/>
        <w:spacing w:before="17"/>
      </w:pPr>
    </w:p>
    <w:p>
      <w:pPr>
        <w:spacing w:line="249" w:lineRule="auto" w:before="1"/>
        <w:ind w:left="1913" w:right="1108" w:hanging="1248"/>
        <w:jc w:val="left"/>
        <w:rPr>
          <w:b/>
          <w:sz w:val="22"/>
        </w:rPr>
      </w:pPr>
      <w:r>
        <w:rPr>
          <w:b/>
          <w:sz w:val="22"/>
        </w:rPr>
        <w:t>Figure 4.5: Graph of ln (1/1-D) against pressure (MN/m</w:t>
      </w:r>
      <w:r>
        <w:rPr>
          <w:b/>
          <w:sz w:val="22"/>
          <w:vertAlign w:val="superscript"/>
        </w:rPr>
        <w:t>2</w:t>
      </w:r>
      <w:r>
        <w:rPr>
          <w:b/>
          <w:sz w:val="22"/>
          <w:vertAlign w:val="baseline"/>
        </w:rPr>
        <w:t>) for DS, MCS and GEL </w:t>
      </w:r>
      <w:r>
        <w:rPr>
          <w:b/>
          <w:spacing w:val="-2"/>
          <w:sz w:val="22"/>
          <w:vertAlign w:val="baseline"/>
        </w:rPr>
        <w:t>compacts.</w:t>
      </w:r>
    </w:p>
    <w:p>
      <w:pPr>
        <w:spacing w:after="0" w:line="249" w:lineRule="auto"/>
        <w:jc w:val="left"/>
        <w:rPr>
          <w:sz w:val="22"/>
        </w:rPr>
        <w:sectPr>
          <w:type w:val="continuous"/>
          <w:pgSz w:w="12240" w:h="15840"/>
          <w:pgMar w:header="0" w:footer="999" w:top="1780" w:bottom="1180" w:left="1720" w:right="760"/>
        </w:sectPr>
      </w:pPr>
    </w:p>
    <w:p>
      <w:pPr>
        <w:pStyle w:val="Heading1"/>
        <w:ind w:left="460" w:right="894"/>
      </w:pPr>
      <w:bookmarkStart w:name="_TOC_250028" w:id="133"/>
      <w:r>
        <w:rPr/>
        <w:t>CHAPTER</w:t>
      </w:r>
      <w:r>
        <w:rPr>
          <w:spacing w:val="17"/>
        </w:rPr>
        <w:t> </w:t>
      </w:r>
      <w:bookmarkEnd w:id="133"/>
      <w:r>
        <w:rPr>
          <w:spacing w:val="-4"/>
        </w:rPr>
        <w:t>FIVE</w:t>
      </w:r>
    </w:p>
    <w:p>
      <w:pPr>
        <w:pStyle w:val="BodyText"/>
        <w:spacing w:before="108"/>
        <w:rPr>
          <w:b/>
        </w:rPr>
      </w:pPr>
    </w:p>
    <w:p>
      <w:pPr>
        <w:pStyle w:val="Heading1"/>
        <w:numPr>
          <w:ilvl w:val="1"/>
          <w:numId w:val="36"/>
        </w:numPr>
        <w:tabs>
          <w:tab w:pos="1340" w:val="left" w:leader="none"/>
        </w:tabs>
        <w:spacing w:line="240" w:lineRule="auto" w:before="0" w:after="0"/>
        <w:ind w:left="1340" w:right="0" w:hanging="675"/>
        <w:jc w:val="both"/>
      </w:pPr>
      <w:bookmarkStart w:name="_TOC_250027" w:id="134"/>
      <w:bookmarkEnd w:id="134"/>
      <w:r>
        <w:rPr>
          <w:spacing w:val="-2"/>
        </w:rPr>
        <w:t>DISCUSSION</w:t>
      </w:r>
    </w:p>
    <w:p>
      <w:pPr>
        <w:pStyle w:val="BodyText"/>
        <w:spacing w:before="109"/>
        <w:rPr>
          <w:b/>
        </w:rPr>
      </w:pPr>
    </w:p>
    <w:p>
      <w:pPr>
        <w:pStyle w:val="Heading2"/>
        <w:numPr>
          <w:ilvl w:val="1"/>
          <w:numId w:val="36"/>
        </w:numPr>
        <w:tabs>
          <w:tab w:pos="1340" w:val="left" w:leader="none"/>
        </w:tabs>
        <w:spacing w:line="240" w:lineRule="auto" w:before="0" w:after="0"/>
        <w:ind w:left="1340" w:right="0" w:hanging="675"/>
        <w:jc w:val="both"/>
      </w:pPr>
      <w:bookmarkStart w:name="_TOC_250026" w:id="135"/>
      <w:r>
        <w:rPr/>
        <w:t>Preliminary</w:t>
      </w:r>
      <w:r>
        <w:rPr>
          <w:spacing w:val="18"/>
        </w:rPr>
        <w:t> </w:t>
      </w:r>
      <w:bookmarkEnd w:id="135"/>
      <w:r>
        <w:rPr>
          <w:spacing w:val="-2"/>
        </w:rPr>
        <w:t>Investigation</w:t>
      </w:r>
    </w:p>
    <w:p>
      <w:pPr>
        <w:pStyle w:val="BodyText"/>
        <w:spacing w:line="491" w:lineRule="auto" w:before="246"/>
        <w:ind w:left="665" w:right="1102" w:firstLine="676"/>
        <w:jc w:val="both"/>
      </w:pPr>
      <w:r>
        <w:rPr>
          <w:i/>
        </w:rPr>
        <w:t>Digitaria iburua </w:t>
      </w:r>
      <w:r>
        <w:rPr/>
        <w:t>grains yielded 62.88 % w/w DS. Musa </w:t>
      </w:r>
      <w:r>
        <w:rPr>
          <w:i/>
        </w:rPr>
        <w:t>et al</w:t>
      </w:r>
      <w:r>
        <w:rPr/>
        <w:t>, (2011), calculated the</w:t>
      </w:r>
      <w:r>
        <w:rPr>
          <w:spacing w:val="48"/>
        </w:rPr>
        <w:t> </w:t>
      </w:r>
      <w:r>
        <w:rPr/>
        <w:t>yield</w:t>
      </w:r>
      <w:r>
        <w:rPr>
          <w:spacing w:val="46"/>
        </w:rPr>
        <w:t> </w:t>
      </w:r>
      <w:r>
        <w:rPr/>
        <w:t>of</w:t>
      </w:r>
      <w:r>
        <w:rPr>
          <w:spacing w:val="34"/>
        </w:rPr>
        <w:t> </w:t>
      </w:r>
      <w:r>
        <w:rPr/>
        <w:t>DS</w:t>
      </w:r>
      <w:r>
        <w:rPr>
          <w:spacing w:val="43"/>
        </w:rPr>
        <w:t> </w:t>
      </w:r>
      <w:r>
        <w:rPr/>
        <w:t>to</w:t>
      </w:r>
      <w:r>
        <w:rPr>
          <w:spacing w:val="40"/>
        </w:rPr>
        <w:t> </w:t>
      </w:r>
      <w:r>
        <w:rPr/>
        <w:t>be</w:t>
      </w:r>
      <w:r>
        <w:rPr>
          <w:spacing w:val="37"/>
        </w:rPr>
        <w:t> </w:t>
      </w:r>
      <w:r>
        <w:rPr/>
        <w:t>62.20</w:t>
      </w:r>
      <w:r>
        <w:rPr>
          <w:spacing w:val="46"/>
        </w:rPr>
        <w:t> </w:t>
      </w:r>
      <w:r>
        <w:rPr/>
        <w:t>%</w:t>
      </w:r>
      <w:r>
        <w:rPr>
          <w:spacing w:val="38"/>
        </w:rPr>
        <w:t> </w:t>
      </w:r>
      <w:r>
        <w:rPr/>
        <w:t>w/w</w:t>
      </w:r>
      <w:r>
        <w:rPr>
          <w:spacing w:val="43"/>
        </w:rPr>
        <w:t> </w:t>
      </w:r>
      <w:r>
        <w:rPr/>
        <w:t>and</w:t>
      </w:r>
      <w:r>
        <w:rPr>
          <w:spacing w:val="46"/>
        </w:rPr>
        <w:t> </w:t>
      </w:r>
      <w:r>
        <w:rPr/>
        <w:t>the</w:t>
      </w:r>
      <w:r>
        <w:rPr>
          <w:spacing w:val="43"/>
        </w:rPr>
        <w:t> </w:t>
      </w:r>
      <w:r>
        <w:rPr/>
        <w:t>pregelatinized</w:t>
      </w:r>
      <w:r>
        <w:rPr>
          <w:spacing w:val="45"/>
        </w:rPr>
        <w:t> </w:t>
      </w:r>
      <w:r>
        <w:rPr/>
        <w:t>(modified)</w:t>
      </w:r>
      <w:r>
        <w:rPr>
          <w:spacing w:val="46"/>
        </w:rPr>
        <w:t> </w:t>
      </w:r>
      <w:r>
        <w:rPr/>
        <w:t>starch</w:t>
      </w:r>
      <w:r>
        <w:rPr>
          <w:spacing w:val="51"/>
        </w:rPr>
        <w:t> </w:t>
      </w:r>
      <w:r>
        <w:rPr>
          <w:spacing w:val="-2"/>
        </w:rPr>
        <w:t>yielded</w:t>
      </w:r>
    </w:p>
    <w:p>
      <w:pPr>
        <w:pStyle w:val="BodyText"/>
        <w:spacing w:line="491" w:lineRule="auto"/>
        <w:ind w:left="665" w:right="1101"/>
        <w:jc w:val="both"/>
      </w:pPr>
      <w:r>
        <w:rPr/>
        <w:t>73.18 % w/w. However, on subjecting the starch to acid hydrolysis using 6 N HCl and varying hydrolyzing conditions of temperature (50 – 54 </w:t>
      </w:r>
      <w:r>
        <w:rPr>
          <w:vertAlign w:val="superscript"/>
        </w:rPr>
        <w:t>0</w:t>
      </w:r>
      <w:r>
        <w:rPr>
          <w:vertAlign w:val="baseline"/>
        </w:rPr>
        <w:t>C) and time (6 – 24 h) the percentage</w:t>
      </w:r>
      <w:r>
        <w:rPr>
          <w:spacing w:val="61"/>
          <w:vertAlign w:val="baseline"/>
        </w:rPr>
        <w:t> </w:t>
      </w:r>
      <w:r>
        <w:rPr>
          <w:vertAlign w:val="baseline"/>
        </w:rPr>
        <w:t>yield</w:t>
      </w:r>
      <w:r>
        <w:rPr>
          <w:spacing w:val="58"/>
          <w:vertAlign w:val="baseline"/>
        </w:rPr>
        <w:t> </w:t>
      </w:r>
      <w:r>
        <w:rPr>
          <w:vertAlign w:val="baseline"/>
        </w:rPr>
        <w:t>of</w:t>
      </w:r>
      <w:r>
        <w:rPr>
          <w:spacing w:val="40"/>
          <w:vertAlign w:val="baseline"/>
        </w:rPr>
        <w:t> </w:t>
      </w:r>
      <w:r>
        <w:rPr>
          <w:vertAlign w:val="baseline"/>
        </w:rPr>
        <w:t>microcrystalline</w:t>
      </w:r>
      <w:r>
        <w:rPr>
          <w:spacing w:val="40"/>
          <w:vertAlign w:val="baseline"/>
        </w:rPr>
        <w:t> </w:t>
      </w:r>
      <w:r>
        <w:rPr>
          <w:vertAlign w:val="baseline"/>
        </w:rPr>
        <w:t>(modified)</w:t>
      </w:r>
      <w:r>
        <w:rPr>
          <w:spacing w:val="40"/>
          <w:vertAlign w:val="baseline"/>
        </w:rPr>
        <w:t> </w:t>
      </w:r>
      <w:r>
        <w:rPr>
          <w:vertAlign w:val="baseline"/>
        </w:rPr>
        <w:t>starch</w:t>
      </w:r>
      <w:r>
        <w:rPr>
          <w:spacing w:val="40"/>
          <w:vertAlign w:val="baseline"/>
        </w:rPr>
        <w:t> </w:t>
      </w:r>
      <w:r>
        <w:rPr>
          <w:vertAlign w:val="baseline"/>
        </w:rPr>
        <w:t>was</w:t>
      </w:r>
      <w:r>
        <w:rPr>
          <w:spacing w:val="40"/>
          <w:vertAlign w:val="baseline"/>
        </w:rPr>
        <w:t> </w:t>
      </w:r>
      <w:r>
        <w:rPr>
          <w:vertAlign w:val="baseline"/>
        </w:rPr>
        <w:t>87.52</w:t>
      </w:r>
      <w:r>
        <w:rPr>
          <w:spacing w:val="40"/>
          <w:vertAlign w:val="baseline"/>
        </w:rPr>
        <w:t> </w:t>
      </w:r>
      <w:r>
        <w:rPr>
          <w:vertAlign w:val="baseline"/>
        </w:rPr>
        <w:t>%</w:t>
      </w:r>
      <w:r>
        <w:rPr>
          <w:spacing w:val="40"/>
          <w:vertAlign w:val="baseline"/>
        </w:rPr>
        <w:t> </w:t>
      </w:r>
      <w:r>
        <w:rPr>
          <w:vertAlign w:val="baseline"/>
        </w:rPr>
        <w:t>w/w</w:t>
      </w:r>
      <w:r>
        <w:rPr>
          <w:spacing w:val="40"/>
          <w:vertAlign w:val="baseline"/>
        </w:rPr>
        <w:t> </w:t>
      </w:r>
      <w:r>
        <w:rPr>
          <w:vertAlign w:val="baseline"/>
        </w:rPr>
        <w:t>at</w:t>
      </w:r>
      <w:r>
        <w:rPr>
          <w:spacing w:val="40"/>
          <w:vertAlign w:val="baseline"/>
        </w:rPr>
        <w:t> </w:t>
      </w:r>
      <w:r>
        <w:rPr>
          <w:vertAlign w:val="baseline"/>
        </w:rPr>
        <w:t>6</w:t>
      </w:r>
      <w:r>
        <w:rPr>
          <w:spacing w:val="40"/>
          <w:vertAlign w:val="baseline"/>
        </w:rPr>
        <w:t> </w:t>
      </w:r>
      <w:r>
        <w:rPr>
          <w:vertAlign w:val="baseline"/>
        </w:rPr>
        <w:t>h</w:t>
      </w:r>
      <w:r>
        <w:rPr>
          <w:spacing w:val="40"/>
          <w:vertAlign w:val="baseline"/>
        </w:rPr>
        <w:t> </w:t>
      </w:r>
      <w:r>
        <w:rPr>
          <w:vertAlign w:val="baseline"/>
        </w:rPr>
        <w:t>and</w:t>
      </w:r>
    </w:p>
    <w:p>
      <w:pPr>
        <w:pStyle w:val="BodyText"/>
        <w:spacing w:line="491" w:lineRule="auto"/>
        <w:ind w:left="665" w:right="1103"/>
        <w:jc w:val="both"/>
      </w:pPr>
      <w:r>
        <w:rPr/>
        <w:t>85.14 % w/w at 24 h. This reveals that modification of </w:t>
      </w:r>
      <w:r>
        <w:rPr>
          <w:i/>
        </w:rPr>
        <w:t>Digitaria iburua </w:t>
      </w:r>
      <w:r>
        <w:rPr/>
        <w:t>grains by acid hydrolysis has a better yield than modification by pregelatinization.</w:t>
      </w:r>
    </w:p>
    <w:p>
      <w:pPr>
        <w:pStyle w:val="BodyText"/>
        <w:spacing w:line="491" w:lineRule="auto"/>
        <w:ind w:left="665" w:right="1099" w:firstLine="676"/>
        <w:jc w:val="both"/>
      </w:pPr>
      <w:r>
        <w:rPr/>
        <w:t>The property of color was gradually lost as the hydrolyzing time increased. The presence of protein can cause unwanted</w:t>
      </w:r>
      <w:r>
        <w:rPr>
          <w:spacing w:val="32"/>
        </w:rPr>
        <w:t> </w:t>
      </w:r>
      <w:r>
        <w:rPr/>
        <w:t>colour in starch and</w:t>
      </w:r>
      <w:r>
        <w:rPr>
          <w:spacing w:val="32"/>
        </w:rPr>
        <w:t> </w:t>
      </w:r>
      <w:r>
        <w:rPr/>
        <w:t>starch hydrolysis products via reaction between amino acid groups and reducing sugars - Mailard reaction (Chichester, 1986). This implies that acid hydrolysis can alter the integrity of starches</w:t>
      </w:r>
      <w:r>
        <w:rPr>
          <w:spacing w:val="40"/>
        </w:rPr>
        <w:t> </w:t>
      </w:r>
      <w:r>
        <w:rPr/>
        <w:t>with increase in hydrolyzing time.</w:t>
      </w:r>
    </w:p>
    <w:p>
      <w:pPr>
        <w:pStyle w:val="Heading2"/>
        <w:numPr>
          <w:ilvl w:val="1"/>
          <w:numId w:val="36"/>
        </w:numPr>
        <w:tabs>
          <w:tab w:pos="1340" w:val="left" w:leader="none"/>
        </w:tabs>
        <w:spacing w:line="240" w:lineRule="auto" w:before="233" w:after="0"/>
        <w:ind w:left="1340" w:right="0" w:hanging="675"/>
        <w:jc w:val="both"/>
      </w:pPr>
      <w:r>
        <w:rPr/>
        <w:t>Amylose</w:t>
      </w:r>
      <w:r>
        <w:rPr>
          <w:spacing w:val="9"/>
        </w:rPr>
        <w:t> </w:t>
      </w:r>
      <w:r>
        <w:rPr/>
        <w:t>–</w:t>
      </w:r>
      <w:r>
        <w:rPr>
          <w:spacing w:val="18"/>
        </w:rPr>
        <w:t> </w:t>
      </w:r>
      <w:r>
        <w:rPr/>
        <w:t>Amylopectin</w:t>
      </w:r>
      <w:r>
        <w:rPr>
          <w:spacing w:val="14"/>
        </w:rPr>
        <w:t> </w:t>
      </w:r>
      <w:r>
        <w:rPr/>
        <w:t>Content</w:t>
      </w:r>
      <w:r>
        <w:rPr>
          <w:spacing w:val="11"/>
        </w:rPr>
        <w:t> </w:t>
      </w:r>
      <w:r>
        <w:rPr/>
        <w:t>of</w:t>
      </w:r>
      <w:r>
        <w:rPr>
          <w:spacing w:val="17"/>
        </w:rPr>
        <w:t> </w:t>
      </w:r>
      <w:r>
        <w:rPr>
          <w:spacing w:val="-5"/>
        </w:rPr>
        <w:t>MCS</w:t>
      </w:r>
    </w:p>
    <w:p>
      <w:pPr>
        <w:pStyle w:val="BodyText"/>
        <w:spacing w:line="491" w:lineRule="auto" w:before="241"/>
        <w:ind w:left="665" w:right="1096"/>
        <w:jc w:val="both"/>
      </w:pPr>
      <w:r>
        <w:rPr/>
        <w:t>The amylose – amylopectin content of MCS was determined every 6 h. The results are presented in Table 4.3.The amylose – Amylopectin content for the starches decreased as the time of hydrolysis increased from 6 – 24 h. The results show that there is a higher percentage of amylose</w:t>
      </w:r>
      <w:r>
        <w:rPr>
          <w:spacing w:val="25"/>
        </w:rPr>
        <w:t> </w:t>
      </w:r>
      <w:r>
        <w:rPr/>
        <w:t>content</w:t>
      </w:r>
      <w:r>
        <w:rPr>
          <w:spacing w:val="25"/>
        </w:rPr>
        <w:t> </w:t>
      </w:r>
      <w:r>
        <w:rPr/>
        <w:t>compared</w:t>
      </w:r>
      <w:r>
        <w:rPr>
          <w:spacing w:val="28"/>
        </w:rPr>
        <w:t> </w:t>
      </w:r>
      <w:r>
        <w:rPr/>
        <w:t>to</w:t>
      </w:r>
      <w:r>
        <w:rPr>
          <w:spacing w:val="28"/>
        </w:rPr>
        <w:t> </w:t>
      </w:r>
      <w:r>
        <w:rPr/>
        <w:t>amylopectin</w:t>
      </w:r>
      <w:r>
        <w:rPr>
          <w:spacing w:val="23"/>
        </w:rPr>
        <w:t> </w:t>
      </w:r>
      <w:r>
        <w:rPr/>
        <w:t>content</w:t>
      </w:r>
      <w:r>
        <w:rPr>
          <w:spacing w:val="25"/>
        </w:rPr>
        <w:t> </w:t>
      </w:r>
      <w:r>
        <w:rPr/>
        <w:t>in</w:t>
      </w:r>
      <w:r>
        <w:rPr>
          <w:spacing w:val="23"/>
        </w:rPr>
        <w:t> </w:t>
      </w:r>
      <w:r>
        <w:rPr/>
        <w:t>the starch analyzed. In normal starch, the amylose: amylopectin (Am: AP) ratio is approximately 1:4 (Belitz and Grosh, 1999; Delvile </w:t>
      </w:r>
      <w:r>
        <w:rPr>
          <w:i/>
        </w:rPr>
        <w:t>et al</w:t>
      </w:r>
      <w:r>
        <w:rPr/>
        <w:t>, 2002). Pure starch generally contains 20 – 25 % w/w amylose</w:t>
      </w:r>
      <w:r>
        <w:rPr>
          <w:spacing w:val="40"/>
        </w:rPr>
        <w:t> </w:t>
      </w:r>
      <w:r>
        <w:rPr/>
        <w:t>and</w:t>
      </w:r>
      <w:r>
        <w:rPr>
          <w:spacing w:val="40"/>
        </w:rPr>
        <w:t> </w:t>
      </w:r>
      <w:r>
        <w:rPr/>
        <w:t>75</w:t>
      </w:r>
      <w:r>
        <w:rPr>
          <w:spacing w:val="40"/>
        </w:rPr>
        <w:t> </w:t>
      </w:r>
      <w:r>
        <w:rPr/>
        <w:t>%</w:t>
      </w:r>
      <w:r>
        <w:rPr>
          <w:spacing w:val="40"/>
        </w:rPr>
        <w:t> </w:t>
      </w:r>
      <w:r>
        <w:rPr/>
        <w:t>w/w</w:t>
      </w:r>
      <w:r>
        <w:rPr>
          <w:spacing w:val="40"/>
        </w:rPr>
        <w:t> </w:t>
      </w:r>
      <w:r>
        <w:rPr/>
        <w:t>amylopectin</w:t>
      </w:r>
      <w:r>
        <w:rPr>
          <w:spacing w:val="40"/>
        </w:rPr>
        <w:t> </w:t>
      </w:r>
      <w:r>
        <w:rPr/>
        <w:t>(Brown</w:t>
      </w:r>
      <w:r>
        <w:rPr>
          <w:spacing w:val="40"/>
        </w:rPr>
        <w:t> </w:t>
      </w:r>
      <w:r>
        <w:rPr/>
        <w:t>and</w:t>
      </w:r>
      <w:r>
        <w:rPr>
          <w:spacing w:val="40"/>
        </w:rPr>
        <w:t> </w:t>
      </w:r>
      <w:r>
        <w:rPr/>
        <w:t>Poon,</w:t>
      </w:r>
      <w:r>
        <w:rPr>
          <w:spacing w:val="40"/>
        </w:rPr>
        <w:t> </w:t>
      </w:r>
      <w:r>
        <w:rPr/>
        <w:t>2005).</w:t>
      </w:r>
      <w:r>
        <w:rPr>
          <w:spacing w:val="40"/>
        </w:rPr>
        <w:t> </w:t>
      </w:r>
      <w:r>
        <w:rPr/>
        <w:t>From</w:t>
      </w:r>
      <w:r>
        <w:rPr>
          <w:spacing w:val="40"/>
        </w:rPr>
        <w:t> </w:t>
      </w:r>
      <w:r>
        <w:rPr/>
        <w:t>the</w:t>
      </w:r>
      <w:r>
        <w:rPr>
          <w:spacing w:val="40"/>
        </w:rPr>
        <w:t> </w:t>
      </w:r>
      <w:r>
        <w:rPr/>
        <w:t>results obtained,</w:t>
      </w:r>
      <w:r>
        <w:rPr>
          <w:spacing w:val="20"/>
        </w:rPr>
        <w:t> </w:t>
      </w:r>
      <w:r>
        <w:rPr/>
        <w:t>MCS</w:t>
      </w:r>
      <w:r>
        <w:rPr>
          <w:spacing w:val="18"/>
        </w:rPr>
        <w:t> </w:t>
      </w:r>
      <w:r>
        <w:rPr/>
        <w:t>contained</w:t>
      </w:r>
      <w:r>
        <w:rPr>
          <w:spacing w:val="27"/>
        </w:rPr>
        <w:t> </w:t>
      </w:r>
      <w:r>
        <w:rPr/>
        <w:t>&gt;51.25</w:t>
      </w:r>
      <w:r>
        <w:rPr>
          <w:spacing w:val="21"/>
        </w:rPr>
        <w:t> </w:t>
      </w:r>
      <w:r>
        <w:rPr/>
        <w:t>%</w:t>
      </w:r>
      <w:r>
        <w:rPr>
          <w:spacing w:val="18"/>
        </w:rPr>
        <w:t> </w:t>
      </w:r>
      <w:r>
        <w:rPr/>
        <w:t>w/w</w:t>
      </w:r>
      <w:r>
        <w:rPr>
          <w:spacing w:val="18"/>
        </w:rPr>
        <w:t> </w:t>
      </w:r>
      <w:r>
        <w:rPr/>
        <w:t>amylose</w:t>
      </w:r>
      <w:r>
        <w:rPr>
          <w:spacing w:val="24"/>
        </w:rPr>
        <w:t> </w:t>
      </w:r>
      <w:r>
        <w:rPr/>
        <w:t>and</w:t>
      </w:r>
      <w:r>
        <w:rPr>
          <w:spacing w:val="27"/>
        </w:rPr>
        <w:t> </w:t>
      </w:r>
      <w:r>
        <w:rPr/>
        <w:t>&gt;21.88</w:t>
      </w:r>
      <w:r>
        <w:rPr>
          <w:spacing w:val="21"/>
        </w:rPr>
        <w:t> </w:t>
      </w:r>
      <w:r>
        <w:rPr/>
        <w:t>%</w:t>
      </w:r>
      <w:r>
        <w:rPr>
          <w:spacing w:val="18"/>
        </w:rPr>
        <w:t> </w:t>
      </w:r>
      <w:r>
        <w:rPr/>
        <w:t>w/w</w:t>
      </w:r>
      <w:r>
        <w:rPr>
          <w:spacing w:val="24"/>
        </w:rPr>
        <w:t> </w:t>
      </w:r>
      <w:r>
        <w:rPr/>
        <w:t>amylopectin.</w:t>
      </w:r>
      <w:r>
        <w:rPr>
          <w:spacing w:val="26"/>
        </w:rPr>
        <w:t> </w:t>
      </w:r>
      <w:r>
        <w:rPr/>
        <w:t>The</w:t>
      </w:r>
    </w:p>
    <w:p>
      <w:pPr>
        <w:spacing w:after="0" w:line="491" w:lineRule="auto"/>
        <w:jc w:val="both"/>
        <w:sectPr>
          <w:pgSz w:w="12240" w:h="15840"/>
          <w:pgMar w:header="0" w:footer="999" w:top="1260" w:bottom="1180" w:left="1720" w:right="760"/>
        </w:sectPr>
      </w:pPr>
    </w:p>
    <w:p>
      <w:pPr>
        <w:pStyle w:val="BodyText"/>
        <w:spacing w:line="491" w:lineRule="auto" w:before="75"/>
        <w:ind w:left="665" w:right="1108"/>
      </w:pPr>
      <w:r>
        <w:rPr/>
        <w:t>variations</w:t>
      </w:r>
      <w:r>
        <w:rPr>
          <w:spacing w:val="39"/>
        </w:rPr>
        <w:t> </w:t>
      </w:r>
      <w:r>
        <w:rPr/>
        <w:t>in</w:t>
      </w:r>
      <w:r>
        <w:rPr>
          <w:spacing w:val="38"/>
        </w:rPr>
        <w:t> </w:t>
      </w:r>
      <w:r>
        <w:rPr/>
        <w:t>the</w:t>
      </w:r>
      <w:r>
        <w:rPr>
          <w:spacing w:val="35"/>
        </w:rPr>
        <w:t> </w:t>
      </w:r>
      <w:r>
        <w:rPr/>
        <w:t>amylose-amylopectin</w:t>
      </w:r>
      <w:r>
        <w:rPr>
          <w:spacing w:val="32"/>
        </w:rPr>
        <w:t> </w:t>
      </w:r>
      <w:r>
        <w:rPr/>
        <w:t>content</w:t>
      </w:r>
      <w:r>
        <w:rPr>
          <w:spacing w:val="40"/>
        </w:rPr>
        <w:t> </w:t>
      </w:r>
      <w:r>
        <w:rPr/>
        <w:t>could</w:t>
      </w:r>
      <w:r>
        <w:rPr>
          <w:spacing w:val="40"/>
        </w:rPr>
        <w:t> </w:t>
      </w:r>
      <w:r>
        <w:rPr/>
        <w:t>be</w:t>
      </w:r>
      <w:r>
        <w:rPr>
          <w:spacing w:val="35"/>
        </w:rPr>
        <w:t> </w:t>
      </w:r>
      <w:r>
        <w:rPr/>
        <w:t>due</w:t>
      </w:r>
      <w:r>
        <w:rPr>
          <w:spacing w:val="35"/>
        </w:rPr>
        <w:t> </w:t>
      </w:r>
      <w:r>
        <w:rPr/>
        <w:t>to</w:t>
      </w:r>
      <w:r>
        <w:rPr>
          <w:spacing w:val="40"/>
        </w:rPr>
        <w:t> </w:t>
      </w:r>
      <w:r>
        <w:rPr/>
        <w:t>differences</w:t>
      </w:r>
      <w:r>
        <w:rPr>
          <w:spacing w:val="39"/>
        </w:rPr>
        <w:t> </w:t>
      </w:r>
      <w:r>
        <w:rPr/>
        <w:t>in</w:t>
      </w:r>
      <w:r>
        <w:rPr>
          <w:spacing w:val="38"/>
        </w:rPr>
        <w:t> </w:t>
      </w:r>
      <w:r>
        <w:rPr/>
        <w:t>varieties (cereals, tubers, roots, etc) and geographical location.</w:t>
      </w:r>
    </w:p>
    <w:p>
      <w:pPr>
        <w:pStyle w:val="Heading2"/>
        <w:numPr>
          <w:ilvl w:val="1"/>
          <w:numId w:val="36"/>
        </w:numPr>
        <w:tabs>
          <w:tab w:pos="1342" w:val="left" w:leader="none"/>
        </w:tabs>
        <w:spacing w:line="240" w:lineRule="auto" w:before="230" w:after="0"/>
        <w:ind w:left="1342" w:right="0" w:hanging="677"/>
        <w:jc w:val="left"/>
      </w:pPr>
      <w:bookmarkStart w:name="_TOC_250025" w:id="136"/>
      <w:bookmarkEnd w:id="136"/>
      <w:r>
        <w:rPr>
          <w:spacing w:val="-2"/>
        </w:rPr>
        <w:t>Microscopy</w:t>
      </w:r>
    </w:p>
    <w:p>
      <w:pPr>
        <w:pStyle w:val="BodyText"/>
        <w:spacing w:line="491" w:lineRule="auto" w:before="246"/>
        <w:ind w:left="665" w:right="1092" w:firstLine="676"/>
        <w:jc w:val="both"/>
      </w:pPr>
      <w:r>
        <w:rPr/>
        <w:t>The</w:t>
      </w:r>
      <w:r>
        <w:rPr>
          <w:spacing w:val="36"/>
        </w:rPr>
        <w:t> </w:t>
      </w:r>
      <w:r>
        <w:rPr/>
        <w:t>microscopical</w:t>
      </w:r>
      <w:r>
        <w:rPr>
          <w:spacing w:val="35"/>
        </w:rPr>
        <w:t> </w:t>
      </w:r>
      <w:r>
        <w:rPr/>
        <w:t>examination</w:t>
      </w:r>
      <w:r>
        <w:rPr>
          <w:spacing w:val="38"/>
        </w:rPr>
        <w:t> </w:t>
      </w:r>
      <w:r>
        <w:rPr/>
        <w:t>showed</w:t>
      </w:r>
      <w:r>
        <w:rPr>
          <w:spacing w:val="38"/>
        </w:rPr>
        <w:t> </w:t>
      </w:r>
      <w:r>
        <w:rPr/>
        <w:t>a</w:t>
      </w:r>
      <w:r>
        <w:rPr>
          <w:spacing w:val="36"/>
        </w:rPr>
        <w:t> </w:t>
      </w:r>
      <w:r>
        <w:rPr/>
        <w:t>decrease</w:t>
      </w:r>
      <w:r>
        <w:rPr>
          <w:spacing w:val="40"/>
        </w:rPr>
        <w:t> </w:t>
      </w:r>
      <w:r>
        <w:rPr/>
        <w:t>in the</w:t>
      </w:r>
      <w:r>
        <w:rPr>
          <w:spacing w:val="36"/>
        </w:rPr>
        <w:t> </w:t>
      </w:r>
      <w:r>
        <w:rPr/>
        <w:t>mean particle</w:t>
      </w:r>
      <w:r>
        <w:rPr>
          <w:spacing w:val="36"/>
        </w:rPr>
        <w:t> </w:t>
      </w:r>
      <w:r>
        <w:rPr/>
        <w:t>size</w:t>
      </w:r>
      <w:r>
        <w:rPr>
          <w:spacing w:val="36"/>
        </w:rPr>
        <w:t> </w:t>
      </w:r>
      <w:r>
        <w:rPr/>
        <w:t>of DS from 10.50</w:t>
      </w:r>
      <w:r>
        <w:rPr>
          <w:spacing w:val="33"/>
        </w:rPr>
        <w:t> </w:t>
      </w:r>
      <w:r>
        <w:rPr>
          <w:rFonts w:ascii="Calibri" w:hAnsi="Calibri"/>
        </w:rPr>
        <w:t>µ</w:t>
      </w:r>
      <w:r>
        <w:rPr/>
        <w:t>m to 9.61</w:t>
      </w:r>
      <w:r>
        <w:rPr>
          <w:rFonts w:ascii="Calibri" w:hAnsi="Calibri"/>
        </w:rPr>
        <w:t>µ</w:t>
      </w:r>
      <w:r>
        <w:rPr/>
        <w:t>m for MCS (24</w:t>
      </w:r>
      <w:r>
        <w:rPr>
          <w:spacing w:val="33"/>
        </w:rPr>
        <w:t> </w:t>
      </w:r>
      <w:r>
        <w:rPr/>
        <w:t>h) and</w:t>
      </w:r>
      <w:r>
        <w:rPr>
          <w:spacing w:val="33"/>
        </w:rPr>
        <w:t> </w:t>
      </w:r>
      <w:r>
        <w:rPr/>
        <w:t>there were more spherical particles with MCS. This had some slight improvement on the flow properties of the powder (Staniforth, 2007). The examination also showed that DS and MCS appeared to be spherical in shape as seen in the photomicrographs (x 400 magnification) displayed in Plates</w:t>
      </w:r>
      <w:r>
        <w:rPr>
          <w:spacing w:val="40"/>
        </w:rPr>
        <w:t> </w:t>
      </w:r>
      <w:r>
        <w:rPr/>
        <w:t>4.1</w:t>
      </w:r>
      <w:r>
        <w:rPr>
          <w:spacing w:val="40"/>
        </w:rPr>
        <w:t> </w:t>
      </w:r>
      <w:r>
        <w:rPr/>
        <w:t>and</w:t>
      </w:r>
      <w:r>
        <w:rPr>
          <w:spacing w:val="40"/>
        </w:rPr>
        <w:t> </w:t>
      </w:r>
      <w:r>
        <w:rPr/>
        <w:t>4.2.</w:t>
      </w:r>
      <w:r>
        <w:rPr>
          <w:spacing w:val="40"/>
        </w:rPr>
        <w:t> </w:t>
      </w:r>
      <w:r>
        <w:rPr/>
        <w:t>Figure</w:t>
      </w:r>
      <w:r>
        <w:rPr>
          <w:spacing w:val="39"/>
        </w:rPr>
        <w:t> </w:t>
      </w:r>
      <w:r>
        <w:rPr/>
        <w:t>4.1</w:t>
      </w:r>
      <w:r>
        <w:rPr>
          <w:spacing w:val="40"/>
        </w:rPr>
        <w:t> </w:t>
      </w:r>
      <w:r>
        <w:rPr/>
        <w:t>and</w:t>
      </w:r>
      <w:r>
        <w:rPr>
          <w:spacing w:val="40"/>
        </w:rPr>
        <w:t> </w:t>
      </w:r>
      <w:r>
        <w:rPr/>
        <w:t>4.2</w:t>
      </w:r>
      <w:r>
        <w:rPr>
          <w:spacing w:val="40"/>
        </w:rPr>
        <w:t> </w:t>
      </w:r>
      <w:r>
        <w:rPr/>
        <w:t>show</w:t>
      </w:r>
      <w:r>
        <w:rPr>
          <w:spacing w:val="40"/>
        </w:rPr>
        <w:t> </w:t>
      </w:r>
      <w:r>
        <w:rPr/>
        <w:t>the</w:t>
      </w:r>
      <w:r>
        <w:rPr>
          <w:spacing w:val="39"/>
        </w:rPr>
        <w:t> </w:t>
      </w:r>
      <w:r>
        <w:rPr/>
        <w:t>particle</w:t>
      </w:r>
      <w:r>
        <w:rPr>
          <w:spacing w:val="40"/>
        </w:rPr>
        <w:t> </w:t>
      </w:r>
      <w:r>
        <w:rPr/>
        <w:t>size</w:t>
      </w:r>
      <w:r>
        <w:rPr>
          <w:spacing w:val="40"/>
        </w:rPr>
        <w:t> </w:t>
      </w:r>
      <w:r>
        <w:rPr/>
        <w:t>distribution</w:t>
      </w:r>
      <w:r>
        <w:rPr>
          <w:spacing w:val="37"/>
        </w:rPr>
        <w:t> </w:t>
      </w:r>
      <w:r>
        <w:rPr/>
        <w:t>for</w:t>
      </w:r>
      <w:r>
        <w:rPr>
          <w:spacing w:val="40"/>
        </w:rPr>
        <w:t> </w:t>
      </w:r>
      <w:r>
        <w:rPr/>
        <w:t>DS</w:t>
      </w:r>
      <w:r>
        <w:rPr>
          <w:spacing w:val="40"/>
        </w:rPr>
        <w:t> </w:t>
      </w:r>
      <w:r>
        <w:rPr/>
        <w:t>and MCS with MCS having a lower mean particle size. Plate 1, 2 and 3 shows photomicrographs of DS, MCS and</w:t>
      </w:r>
      <w:r>
        <w:rPr>
          <w:spacing w:val="25"/>
        </w:rPr>
        <w:t> </w:t>
      </w:r>
      <w:r>
        <w:rPr/>
        <w:t>MS respectively when viewed</w:t>
      </w:r>
      <w:r>
        <w:rPr>
          <w:spacing w:val="25"/>
        </w:rPr>
        <w:t> </w:t>
      </w:r>
      <w:r>
        <w:rPr/>
        <w:t>under the microscope at x 400 magnification. DS and MCS are spherical in shape with MCS having a smaller mean particle size (9.58-9.68 </w:t>
      </w:r>
      <w:r>
        <w:rPr>
          <w:rFonts w:ascii="Calibri" w:hAnsi="Calibri"/>
        </w:rPr>
        <w:t>µ</w:t>
      </w:r>
      <w:r>
        <w:rPr/>
        <w:t>m) compared to DS (10.5 </w:t>
      </w:r>
      <w:r>
        <w:rPr>
          <w:rFonts w:ascii="Calibri" w:hAnsi="Calibri"/>
        </w:rPr>
        <w:t>µ</w:t>
      </w:r>
      <w:r>
        <w:rPr/>
        <w:t>m) and MS (12.73 </w:t>
      </w:r>
      <w:r>
        <w:rPr>
          <w:rFonts w:ascii="Calibri" w:hAnsi="Calibri"/>
        </w:rPr>
        <w:t>µ</w:t>
      </w:r>
      <w:r>
        <w:rPr/>
        <w:t>m) as shown in Table 4.3.</w:t>
      </w:r>
    </w:p>
    <w:p>
      <w:pPr>
        <w:pStyle w:val="Heading2"/>
        <w:numPr>
          <w:ilvl w:val="1"/>
          <w:numId w:val="36"/>
        </w:numPr>
        <w:tabs>
          <w:tab w:pos="1342" w:val="left" w:leader="none"/>
        </w:tabs>
        <w:spacing w:line="240" w:lineRule="auto" w:before="232" w:after="0"/>
        <w:ind w:left="1342" w:right="0" w:hanging="677"/>
        <w:jc w:val="left"/>
      </w:pPr>
      <w:bookmarkStart w:name="_TOC_250024" w:id="137"/>
      <w:r>
        <w:rPr/>
        <w:t>Physicochemical</w:t>
      </w:r>
      <w:r>
        <w:rPr>
          <w:spacing w:val="31"/>
        </w:rPr>
        <w:t> </w:t>
      </w:r>
      <w:bookmarkEnd w:id="137"/>
      <w:r>
        <w:rPr>
          <w:spacing w:val="-2"/>
        </w:rPr>
        <w:t>Properties</w:t>
      </w:r>
    </w:p>
    <w:p>
      <w:pPr>
        <w:pStyle w:val="BodyText"/>
        <w:spacing w:line="491" w:lineRule="auto" w:before="246"/>
        <w:ind w:left="665" w:right="1093" w:firstLine="729"/>
        <w:jc w:val="both"/>
      </w:pPr>
      <w:r>
        <w:rPr/>
        <w:t>The physicochemical properties are presented in Table 4.4. The values recorded for</w:t>
      </w:r>
      <w:r>
        <w:rPr>
          <w:spacing w:val="33"/>
        </w:rPr>
        <w:t> </w:t>
      </w:r>
      <w:r>
        <w:rPr/>
        <w:t>the</w:t>
      </w:r>
      <w:r>
        <w:rPr>
          <w:spacing w:val="31"/>
        </w:rPr>
        <w:t> </w:t>
      </w:r>
      <w:r>
        <w:rPr/>
        <w:t>angle</w:t>
      </w:r>
      <w:r>
        <w:rPr>
          <w:spacing w:val="31"/>
        </w:rPr>
        <w:t> </w:t>
      </w:r>
      <w:r>
        <w:rPr/>
        <w:t>of</w:t>
      </w:r>
      <w:r>
        <w:rPr>
          <w:spacing w:val="27"/>
        </w:rPr>
        <w:t> </w:t>
      </w:r>
      <w:r>
        <w:rPr/>
        <w:t>repose</w:t>
      </w:r>
      <w:r>
        <w:rPr>
          <w:spacing w:val="26"/>
        </w:rPr>
        <w:t> </w:t>
      </w:r>
      <w:r>
        <w:rPr/>
        <w:t>for</w:t>
      </w:r>
      <w:r>
        <w:rPr>
          <w:spacing w:val="33"/>
        </w:rPr>
        <w:t> </w:t>
      </w:r>
      <w:r>
        <w:rPr/>
        <w:t>the</w:t>
      </w:r>
      <w:r>
        <w:rPr>
          <w:spacing w:val="31"/>
        </w:rPr>
        <w:t> </w:t>
      </w:r>
      <w:r>
        <w:rPr/>
        <w:t>material</w:t>
      </w:r>
      <w:r>
        <w:rPr>
          <w:spacing w:val="26"/>
        </w:rPr>
        <w:t> </w:t>
      </w:r>
      <w:r>
        <w:rPr/>
        <w:t>was</w:t>
      </w:r>
      <w:r>
        <w:rPr>
          <w:spacing w:val="29"/>
        </w:rPr>
        <w:t> </w:t>
      </w:r>
      <w:r>
        <w:rPr/>
        <w:t>greater</w:t>
      </w:r>
      <w:r>
        <w:rPr>
          <w:spacing w:val="33"/>
        </w:rPr>
        <w:t> </w:t>
      </w:r>
      <w:r>
        <w:rPr/>
        <w:t>than</w:t>
      </w:r>
      <w:r>
        <w:rPr>
          <w:spacing w:val="28"/>
        </w:rPr>
        <w:t> </w:t>
      </w:r>
      <w:r>
        <w:rPr/>
        <w:t>43.0</w:t>
      </w:r>
      <w:r>
        <w:rPr>
          <w:vertAlign w:val="superscript"/>
        </w:rPr>
        <w:t>0</w:t>
      </w:r>
      <w:r>
        <w:rPr>
          <w:vertAlign w:val="baseline"/>
        </w:rPr>
        <w:t>.</w:t>
      </w:r>
      <w:r>
        <w:rPr>
          <w:spacing w:val="31"/>
          <w:vertAlign w:val="baseline"/>
        </w:rPr>
        <w:t> </w:t>
      </w:r>
      <w:r>
        <w:rPr>
          <w:vertAlign w:val="baseline"/>
        </w:rPr>
        <w:t>The</w:t>
      </w:r>
      <w:r>
        <w:rPr>
          <w:spacing w:val="26"/>
          <w:vertAlign w:val="baseline"/>
        </w:rPr>
        <w:t> </w:t>
      </w:r>
      <w:r>
        <w:rPr>
          <w:vertAlign w:val="baseline"/>
        </w:rPr>
        <w:t>angle</w:t>
      </w:r>
      <w:r>
        <w:rPr>
          <w:spacing w:val="31"/>
          <w:vertAlign w:val="baseline"/>
        </w:rPr>
        <w:t> </w:t>
      </w:r>
      <w:r>
        <w:rPr>
          <w:vertAlign w:val="baseline"/>
        </w:rPr>
        <w:t>of</w:t>
      </w:r>
      <w:r>
        <w:rPr>
          <w:spacing w:val="27"/>
          <w:vertAlign w:val="baseline"/>
        </w:rPr>
        <w:t> </w:t>
      </w:r>
      <w:r>
        <w:rPr>
          <w:vertAlign w:val="baseline"/>
        </w:rPr>
        <w:t>repose</w:t>
      </w:r>
      <w:r>
        <w:rPr>
          <w:spacing w:val="26"/>
          <w:vertAlign w:val="baseline"/>
        </w:rPr>
        <w:t> </w:t>
      </w:r>
      <w:r>
        <w:rPr>
          <w:vertAlign w:val="baseline"/>
        </w:rPr>
        <w:t>of DS and MCS was &gt; 45.0</w:t>
      </w:r>
      <w:r>
        <w:rPr>
          <w:vertAlign w:val="superscript"/>
        </w:rPr>
        <w:t>0</w:t>
      </w:r>
      <w:r>
        <w:rPr>
          <w:vertAlign w:val="baseline"/>
        </w:rPr>
        <w:t>. The angle of repose is an index of flowability of a powdered substance.</w:t>
      </w:r>
      <w:r>
        <w:rPr>
          <w:spacing w:val="40"/>
          <w:vertAlign w:val="baseline"/>
        </w:rPr>
        <w:t> </w:t>
      </w:r>
      <w:r>
        <w:rPr>
          <w:vertAlign w:val="baseline"/>
        </w:rPr>
        <w:t>The</w:t>
      </w:r>
      <w:r>
        <w:rPr>
          <w:spacing w:val="40"/>
          <w:vertAlign w:val="baseline"/>
        </w:rPr>
        <w:t> </w:t>
      </w:r>
      <w:r>
        <w:rPr>
          <w:vertAlign w:val="baseline"/>
        </w:rPr>
        <w:t>angle</w:t>
      </w:r>
      <w:r>
        <w:rPr>
          <w:spacing w:val="40"/>
          <w:vertAlign w:val="baseline"/>
        </w:rPr>
        <w:t> </w:t>
      </w:r>
      <w:r>
        <w:rPr>
          <w:vertAlign w:val="baseline"/>
        </w:rPr>
        <w:t>of</w:t>
      </w:r>
      <w:r>
        <w:rPr>
          <w:spacing w:val="40"/>
          <w:vertAlign w:val="baseline"/>
        </w:rPr>
        <w:t> </w:t>
      </w:r>
      <w:r>
        <w:rPr>
          <w:vertAlign w:val="baseline"/>
        </w:rPr>
        <w:t>repose</w:t>
      </w:r>
      <w:r>
        <w:rPr>
          <w:spacing w:val="40"/>
          <w:vertAlign w:val="baseline"/>
        </w:rPr>
        <w:t> </w:t>
      </w:r>
      <w:r>
        <w:rPr>
          <w:vertAlign w:val="baseline"/>
        </w:rPr>
        <w:t>is</w:t>
      </w:r>
      <w:r>
        <w:rPr>
          <w:spacing w:val="40"/>
          <w:vertAlign w:val="baseline"/>
        </w:rPr>
        <w:t> </w:t>
      </w:r>
      <w:r>
        <w:rPr>
          <w:vertAlign w:val="baseline"/>
        </w:rPr>
        <w:t>affected</w:t>
      </w:r>
      <w:r>
        <w:rPr>
          <w:spacing w:val="40"/>
          <w:vertAlign w:val="baseline"/>
        </w:rPr>
        <w:t> </w:t>
      </w:r>
      <w:r>
        <w:rPr>
          <w:vertAlign w:val="baseline"/>
        </w:rPr>
        <w:t>by</w:t>
      </w:r>
      <w:r>
        <w:rPr>
          <w:spacing w:val="40"/>
          <w:vertAlign w:val="baseline"/>
        </w:rPr>
        <w:t> </w:t>
      </w:r>
      <w:r>
        <w:rPr>
          <w:vertAlign w:val="baseline"/>
        </w:rPr>
        <w:t>the</w:t>
      </w:r>
      <w:r>
        <w:rPr>
          <w:spacing w:val="40"/>
          <w:vertAlign w:val="baseline"/>
        </w:rPr>
        <w:t> </w:t>
      </w:r>
      <w:r>
        <w:rPr>
          <w:vertAlign w:val="baseline"/>
        </w:rPr>
        <w:t>cohesiveness</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powder (Staniforth,</w:t>
      </w:r>
      <w:r>
        <w:rPr>
          <w:spacing w:val="25"/>
          <w:vertAlign w:val="baseline"/>
        </w:rPr>
        <w:t> </w:t>
      </w:r>
      <w:r>
        <w:rPr>
          <w:vertAlign w:val="baseline"/>
        </w:rPr>
        <w:t>2007). When the powder</w:t>
      </w:r>
      <w:r>
        <w:rPr>
          <w:spacing w:val="25"/>
          <w:vertAlign w:val="baseline"/>
        </w:rPr>
        <w:t> </w:t>
      </w:r>
      <w:r>
        <w:rPr>
          <w:vertAlign w:val="baseline"/>
        </w:rPr>
        <w:t>is cohesive the</w:t>
      </w:r>
      <w:r>
        <w:rPr>
          <w:spacing w:val="23"/>
          <w:vertAlign w:val="baseline"/>
        </w:rPr>
        <w:t> </w:t>
      </w:r>
      <w:r>
        <w:rPr>
          <w:vertAlign w:val="baseline"/>
        </w:rPr>
        <w:t>angle of repose will be high and</w:t>
      </w:r>
      <w:r>
        <w:rPr>
          <w:spacing w:val="26"/>
          <w:vertAlign w:val="baseline"/>
        </w:rPr>
        <w:t> </w:t>
      </w:r>
      <w:r>
        <w:rPr>
          <w:vertAlign w:val="baseline"/>
        </w:rPr>
        <w:t>if the powder is non-cohesive or adhesive the angle of repose will be low (Bhimte and Tayade,</w:t>
      </w:r>
      <w:r>
        <w:rPr>
          <w:spacing w:val="40"/>
          <w:vertAlign w:val="baseline"/>
        </w:rPr>
        <w:t> </w:t>
      </w:r>
      <w:r>
        <w:rPr>
          <w:vertAlign w:val="baseline"/>
        </w:rPr>
        <w:t>2007).</w:t>
      </w:r>
      <w:r>
        <w:rPr>
          <w:spacing w:val="38"/>
          <w:vertAlign w:val="baseline"/>
        </w:rPr>
        <w:t> </w:t>
      </w:r>
      <w:r>
        <w:rPr>
          <w:vertAlign w:val="baseline"/>
        </w:rPr>
        <w:t>Powders with</w:t>
      </w:r>
      <w:r>
        <w:rPr>
          <w:spacing w:val="40"/>
          <w:vertAlign w:val="baseline"/>
        </w:rPr>
        <w:t> </w:t>
      </w:r>
      <w:r>
        <w:rPr>
          <w:vertAlign w:val="baseline"/>
        </w:rPr>
        <w:t>angle of repose</w:t>
      </w:r>
      <w:r>
        <w:rPr>
          <w:spacing w:val="38"/>
          <w:vertAlign w:val="baseline"/>
        </w:rPr>
        <w:t> </w:t>
      </w:r>
      <w:r>
        <w:rPr>
          <w:vertAlign w:val="baseline"/>
        </w:rPr>
        <w:t>of 23 –</w:t>
      </w:r>
      <w:r>
        <w:rPr>
          <w:spacing w:val="40"/>
          <w:vertAlign w:val="baseline"/>
        </w:rPr>
        <w:t> </w:t>
      </w:r>
      <w:r>
        <w:rPr>
          <w:vertAlign w:val="baseline"/>
        </w:rPr>
        <w:t>35.0</w:t>
      </w:r>
      <w:r>
        <w:rPr>
          <w:vertAlign w:val="superscript"/>
        </w:rPr>
        <w:t>0</w:t>
      </w:r>
      <w:r>
        <w:rPr>
          <w:spacing w:val="40"/>
          <w:vertAlign w:val="baseline"/>
        </w:rPr>
        <w:t> </w:t>
      </w:r>
      <w:r>
        <w:rPr>
          <w:vertAlign w:val="baseline"/>
        </w:rPr>
        <w:t>are considered</w:t>
      </w:r>
      <w:r>
        <w:rPr>
          <w:spacing w:val="39"/>
          <w:vertAlign w:val="baseline"/>
        </w:rPr>
        <w:t> </w:t>
      </w:r>
      <w:r>
        <w:rPr>
          <w:vertAlign w:val="baseline"/>
        </w:rPr>
        <w:t>to possess good</w:t>
      </w:r>
      <w:r>
        <w:rPr>
          <w:spacing w:val="28"/>
          <w:vertAlign w:val="baseline"/>
        </w:rPr>
        <w:t> </w:t>
      </w:r>
      <w:r>
        <w:rPr>
          <w:vertAlign w:val="baseline"/>
        </w:rPr>
        <w:t>flow</w:t>
      </w:r>
      <w:r>
        <w:rPr>
          <w:spacing w:val="26"/>
          <w:vertAlign w:val="baseline"/>
        </w:rPr>
        <w:t> </w:t>
      </w:r>
      <w:r>
        <w:rPr>
          <w:vertAlign w:val="baseline"/>
        </w:rPr>
        <w:t>properties</w:t>
      </w:r>
      <w:r>
        <w:rPr>
          <w:spacing w:val="23"/>
          <w:vertAlign w:val="baseline"/>
        </w:rPr>
        <w:t> </w:t>
      </w:r>
      <w:r>
        <w:rPr>
          <w:vertAlign w:val="baseline"/>
        </w:rPr>
        <w:t>while</w:t>
      </w:r>
      <w:r>
        <w:rPr>
          <w:spacing w:val="26"/>
          <w:vertAlign w:val="baseline"/>
        </w:rPr>
        <w:t> </w:t>
      </w:r>
      <w:r>
        <w:rPr>
          <w:vertAlign w:val="baseline"/>
        </w:rPr>
        <w:t>mildly</w:t>
      </w:r>
      <w:r>
        <w:rPr>
          <w:spacing w:val="22"/>
          <w:vertAlign w:val="baseline"/>
        </w:rPr>
        <w:t> </w:t>
      </w:r>
      <w:r>
        <w:rPr>
          <w:vertAlign w:val="baseline"/>
        </w:rPr>
        <w:t>cohesive</w:t>
      </w:r>
      <w:r>
        <w:rPr>
          <w:spacing w:val="26"/>
          <w:vertAlign w:val="baseline"/>
        </w:rPr>
        <w:t> </w:t>
      </w:r>
      <w:r>
        <w:rPr>
          <w:vertAlign w:val="baseline"/>
        </w:rPr>
        <w:t>powders</w:t>
      </w:r>
      <w:r>
        <w:rPr>
          <w:spacing w:val="29"/>
          <w:vertAlign w:val="baseline"/>
        </w:rPr>
        <w:t> </w:t>
      </w:r>
      <w:r>
        <w:rPr>
          <w:vertAlign w:val="baseline"/>
        </w:rPr>
        <w:t>have</w:t>
      </w:r>
      <w:r>
        <w:rPr>
          <w:spacing w:val="27"/>
          <w:vertAlign w:val="baseline"/>
        </w:rPr>
        <w:t> </w:t>
      </w:r>
      <w:r>
        <w:rPr>
          <w:vertAlign w:val="baseline"/>
        </w:rPr>
        <w:t>angles</w:t>
      </w:r>
      <w:r>
        <w:rPr>
          <w:spacing w:val="23"/>
          <w:vertAlign w:val="baseline"/>
        </w:rPr>
        <w:t> </w:t>
      </w:r>
      <w:r>
        <w:rPr>
          <w:vertAlign w:val="baseline"/>
        </w:rPr>
        <w:t>of</w:t>
      </w:r>
      <w:r>
        <w:rPr>
          <w:spacing w:val="27"/>
          <w:vertAlign w:val="baseline"/>
        </w:rPr>
        <w:t> </w:t>
      </w:r>
      <w:r>
        <w:rPr>
          <w:vertAlign w:val="baseline"/>
        </w:rPr>
        <w:t>repose</w:t>
      </w:r>
      <w:r>
        <w:rPr>
          <w:spacing w:val="26"/>
          <w:vertAlign w:val="baseline"/>
        </w:rPr>
        <w:t> </w:t>
      </w:r>
      <w:r>
        <w:rPr>
          <w:vertAlign w:val="baseline"/>
        </w:rPr>
        <w:t>between</w:t>
      </w:r>
      <w:r>
        <w:rPr>
          <w:spacing w:val="23"/>
          <w:vertAlign w:val="baseline"/>
        </w:rPr>
        <w:t> </w:t>
      </w:r>
      <w:r>
        <w:rPr>
          <w:vertAlign w:val="baseline"/>
        </w:rPr>
        <w:t>40</w:t>
      </w:r>
    </w:p>
    <w:p>
      <w:pPr>
        <w:spacing w:after="0" w:line="491" w:lineRule="auto"/>
        <w:jc w:val="both"/>
        <w:sectPr>
          <w:pgSz w:w="12240" w:h="15840"/>
          <w:pgMar w:header="0" w:footer="999" w:top="1260" w:bottom="1180" w:left="1720" w:right="760"/>
        </w:sectPr>
      </w:pPr>
    </w:p>
    <w:p>
      <w:pPr>
        <w:pStyle w:val="BodyText"/>
        <w:spacing w:line="491" w:lineRule="auto" w:before="115"/>
        <w:ind w:left="665" w:right="1097"/>
        <w:jc w:val="both"/>
      </w:pPr>
      <w:r>
        <w:rPr/>
        <w:t>and 60.0</w:t>
      </w:r>
      <w:r>
        <w:rPr>
          <w:vertAlign w:val="superscript"/>
        </w:rPr>
        <w:t>0</w:t>
      </w:r>
      <w:r>
        <w:rPr>
          <w:vertAlign w:val="baseline"/>
        </w:rPr>
        <w:t> (Neumann, 1967). From the result, the starches are said to have poor flow property because of the high cohesive/adhesive forces between powder particles.</w:t>
      </w:r>
    </w:p>
    <w:p>
      <w:pPr>
        <w:pStyle w:val="BodyText"/>
        <w:spacing w:line="491" w:lineRule="auto"/>
        <w:ind w:left="665" w:right="1099" w:firstLine="676"/>
        <w:jc w:val="both"/>
      </w:pPr>
      <w:r>
        <w:rPr/>
        <w:t>There is a relationship between angle of repose and flow rate. Small angle of repose</w:t>
      </w:r>
      <w:r>
        <w:rPr>
          <w:spacing w:val="26"/>
        </w:rPr>
        <w:t> </w:t>
      </w:r>
      <w:r>
        <w:rPr/>
        <w:t>(≤30.0</w:t>
      </w:r>
      <w:r>
        <w:rPr>
          <w:vertAlign w:val="superscript"/>
        </w:rPr>
        <w:t>0</w:t>
      </w:r>
      <w:r>
        <w:rPr>
          <w:vertAlign w:val="baseline"/>
        </w:rPr>
        <w:t>)</w:t>
      </w:r>
      <w:r>
        <w:rPr>
          <w:spacing w:val="33"/>
          <w:vertAlign w:val="baseline"/>
        </w:rPr>
        <w:t> </w:t>
      </w:r>
      <w:r>
        <w:rPr>
          <w:vertAlign w:val="baseline"/>
        </w:rPr>
        <w:t>implies</w:t>
      </w:r>
      <w:r>
        <w:rPr>
          <w:spacing w:val="30"/>
          <w:vertAlign w:val="baseline"/>
        </w:rPr>
        <w:t> </w:t>
      </w:r>
      <w:r>
        <w:rPr>
          <w:vertAlign w:val="baseline"/>
        </w:rPr>
        <w:t>a</w:t>
      </w:r>
      <w:r>
        <w:rPr>
          <w:spacing w:val="32"/>
          <w:vertAlign w:val="baseline"/>
        </w:rPr>
        <w:t> </w:t>
      </w:r>
      <w:r>
        <w:rPr>
          <w:vertAlign w:val="baseline"/>
        </w:rPr>
        <w:t>faster</w:t>
      </w:r>
      <w:r>
        <w:rPr>
          <w:spacing w:val="39"/>
          <w:vertAlign w:val="baseline"/>
        </w:rPr>
        <w:t> </w:t>
      </w:r>
      <w:r>
        <w:rPr>
          <w:vertAlign w:val="baseline"/>
        </w:rPr>
        <w:t>flow</w:t>
      </w:r>
      <w:r>
        <w:rPr>
          <w:spacing w:val="32"/>
          <w:vertAlign w:val="baseline"/>
        </w:rPr>
        <w:t> </w:t>
      </w:r>
      <w:r>
        <w:rPr>
          <w:vertAlign w:val="baseline"/>
        </w:rPr>
        <w:t>rate</w:t>
      </w:r>
      <w:r>
        <w:rPr>
          <w:spacing w:val="26"/>
          <w:vertAlign w:val="baseline"/>
        </w:rPr>
        <w:t> </w:t>
      </w:r>
      <w:r>
        <w:rPr>
          <w:vertAlign w:val="baseline"/>
        </w:rPr>
        <w:t>(Veslasco</w:t>
      </w:r>
      <w:r>
        <w:rPr>
          <w:spacing w:val="40"/>
          <w:vertAlign w:val="baseline"/>
        </w:rPr>
        <w:t> </w:t>
      </w:r>
      <w:r>
        <w:rPr>
          <w:i/>
          <w:vertAlign w:val="baseline"/>
        </w:rPr>
        <w:t>et</w:t>
      </w:r>
      <w:r>
        <w:rPr>
          <w:i/>
          <w:spacing w:val="25"/>
          <w:vertAlign w:val="baseline"/>
        </w:rPr>
        <w:t> </w:t>
      </w:r>
      <w:r>
        <w:rPr>
          <w:i/>
          <w:vertAlign w:val="baseline"/>
        </w:rPr>
        <w:t>al</w:t>
      </w:r>
      <w:r>
        <w:rPr>
          <w:vertAlign w:val="baseline"/>
        </w:rPr>
        <w:t>,</w:t>
      </w:r>
      <w:r>
        <w:rPr>
          <w:spacing w:val="26"/>
          <w:vertAlign w:val="baseline"/>
        </w:rPr>
        <w:t> </w:t>
      </w:r>
      <w:r>
        <w:rPr>
          <w:vertAlign w:val="baseline"/>
        </w:rPr>
        <w:t>1995).</w:t>
      </w:r>
      <w:r>
        <w:rPr>
          <w:spacing w:val="32"/>
          <w:vertAlign w:val="baseline"/>
        </w:rPr>
        <w:t> </w:t>
      </w:r>
      <w:r>
        <w:rPr>
          <w:vertAlign w:val="baseline"/>
        </w:rPr>
        <w:t>Table</w:t>
      </w:r>
      <w:r>
        <w:rPr>
          <w:spacing w:val="32"/>
          <w:vertAlign w:val="baseline"/>
        </w:rPr>
        <w:t> </w:t>
      </w:r>
      <w:r>
        <w:rPr>
          <w:vertAlign w:val="baseline"/>
        </w:rPr>
        <w:t>4.4</w:t>
      </w:r>
      <w:r>
        <w:rPr>
          <w:spacing w:val="39"/>
          <w:vertAlign w:val="baseline"/>
        </w:rPr>
        <w:t> </w:t>
      </w:r>
      <w:r>
        <w:rPr>
          <w:vertAlign w:val="baseline"/>
        </w:rPr>
        <w:t>shows</w:t>
      </w:r>
      <w:r>
        <w:rPr>
          <w:spacing w:val="25"/>
          <w:vertAlign w:val="baseline"/>
        </w:rPr>
        <w:t> </w:t>
      </w:r>
      <w:r>
        <w:rPr>
          <w:vertAlign w:val="baseline"/>
        </w:rPr>
        <w:t>that the</w:t>
      </w:r>
      <w:r>
        <w:rPr>
          <w:spacing w:val="34"/>
          <w:vertAlign w:val="baseline"/>
        </w:rPr>
        <w:t> </w:t>
      </w:r>
      <w:r>
        <w:rPr>
          <w:vertAlign w:val="baseline"/>
        </w:rPr>
        <w:t>greater</w:t>
      </w:r>
      <w:r>
        <w:rPr>
          <w:spacing w:val="35"/>
          <w:vertAlign w:val="baseline"/>
        </w:rPr>
        <w:t> </w:t>
      </w:r>
      <w:r>
        <w:rPr>
          <w:vertAlign w:val="baseline"/>
        </w:rPr>
        <w:t>the</w:t>
      </w:r>
      <w:r>
        <w:rPr>
          <w:spacing w:val="29"/>
          <w:vertAlign w:val="baseline"/>
        </w:rPr>
        <w:t> </w:t>
      </w:r>
      <w:r>
        <w:rPr>
          <w:vertAlign w:val="baseline"/>
        </w:rPr>
        <w:t>angle</w:t>
      </w:r>
      <w:r>
        <w:rPr>
          <w:spacing w:val="34"/>
          <w:vertAlign w:val="baseline"/>
        </w:rPr>
        <w:t> </w:t>
      </w:r>
      <w:r>
        <w:rPr>
          <w:vertAlign w:val="baseline"/>
        </w:rPr>
        <w:t>of</w:t>
      </w:r>
      <w:r>
        <w:rPr>
          <w:spacing w:val="30"/>
          <w:vertAlign w:val="baseline"/>
        </w:rPr>
        <w:t> </w:t>
      </w:r>
      <w:r>
        <w:rPr>
          <w:vertAlign w:val="baseline"/>
        </w:rPr>
        <w:t>repose</w:t>
      </w:r>
      <w:r>
        <w:rPr>
          <w:spacing w:val="29"/>
          <w:vertAlign w:val="baseline"/>
        </w:rPr>
        <w:t> </w:t>
      </w:r>
      <w:r>
        <w:rPr>
          <w:vertAlign w:val="baseline"/>
        </w:rPr>
        <w:t>the</w:t>
      </w:r>
      <w:r>
        <w:rPr>
          <w:spacing w:val="34"/>
          <w:vertAlign w:val="baseline"/>
        </w:rPr>
        <w:t> </w:t>
      </w:r>
      <w:r>
        <w:rPr>
          <w:vertAlign w:val="baseline"/>
        </w:rPr>
        <w:t>slower</w:t>
      </w:r>
      <w:r>
        <w:rPr>
          <w:spacing w:val="35"/>
          <w:vertAlign w:val="baseline"/>
        </w:rPr>
        <w:t> </w:t>
      </w:r>
      <w:r>
        <w:rPr>
          <w:vertAlign w:val="baseline"/>
        </w:rPr>
        <w:t>the</w:t>
      </w:r>
      <w:r>
        <w:rPr>
          <w:spacing w:val="34"/>
          <w:vertAlign w:val="baseline"/>
        </w:rPr>
        <w:t> </w:t>
      </w:r>
      <w:r>
        <w:rPr>
          <w:vertAlign w:val="baseline"/>
        </w:rPr>
        <w:t>flow</w:t>
      </w:r>
      <w:r>
        <w:rPr>
          <w:spacing w:val="29"/>
          <w:vertAlign w:val="baseline"/>
        </w:rPr>
        <w:t> </w:t>
      </w:r>
      <w:r>
        <w:rPr>
          <w:vertAlign w:val="baseline"/>
        </w:rPr>
        <w:t>rate.</w:t>
      </w:r>
      <w:r>
        <w:rPr>
          <w:spacing w:val="29"/>
          <w:vertAlign w:val="baseline"/>
        </w:rPr>
        <w:t> </w:t>
      </w:r>
      <w:r>
        <w:rPr>
          <w:vertAlign w:val="baseline"/>
        </w:rPr>
        <w:t>MCS</w:t>
      </w:r>
      <w:r>
        <w:rPr>
          <w:spacing w:val="38"/>
          <w:vertAlign w:val="baseline"/>
        </w:rPr>
        <w:t> </w:t>
      </w:r>
      <w:r>
        <w:rPr>
          <w:vertAlign w:val="baseline"/>
        </w:rPr>
        <w:t>at</w:t>
      </w:r>
      <w:r>
        <w:rPr>
          <w:spacing w:val="28"/>
          <w:vertAlign w:val="baseline"/>
        </w:rPr>
        <w:t> </w:t>
      </w:r>
      <w:r>
        <w:rPr>
          <w:vertAlign w:val="baseline"/>
        </w:rPr>
        <w:t>24</w:t>
      </w:r>
      <w:r>
        <w:rPr>
          <w:spacing w:val="31"/>
          <w:vertAlign w:val="baseline"/>
        </w:rPr>
        <w:t> </w:t>
      </w:r>
      <w:r>
        <w:rPr>
          <w:vertAlign w:val="baseline"/>
        </w:rPr>
        <w:t>h</w:t>
      </w:r>
      <w:r>
        <w:rPr>
          <w:spacing w:val="31"/>
          <w:vertAlign w:val="baseline"/>
        </w:rPr>
        <w:t> </w:t>
      </w:r>
      <w:r>
        <w:rPr>
          <w:vertAlign w:val="baseline"/>
        </w:rPr>
        <w:t>hydrolysis</w:t>
      </w:r>
      <w:r>
        <w:rPr>
          <w:spacing w:val="32"/>
          <w:vertAlign w:val="baseline"/>
        </w:rPr>
        <w:t> </w:t>
      </w:r>
      <w:r>
        <w:rPr>
          <w:vertAlign w:val="baseline"/>
        </w:rPr>
        <w:t>time had</w:t>
      </w:r>
      <w:r>
        <w:rPr>
          <w:spacing w:val="40"/>
          <w:vertAlign w:val="baseline"/>
        </w:rPr>
        <w:t> </w:t>
      </w:r>
      <w:r>
        <w:rPr>
          <w:vertAlign w:val="baseline"/>
        </w:rPr>
        <w:t>a</w:t>
      </w:r>
      <w:r>
        <w:rPr>
          <w:spacing w:val="40"/>
          <w:vertAlign w:val="baseline"/>
        </w:rPr>
        <w:t> </w:t>
      </w:r>
      <w:r>
        <w:rPr>
          <w:vertAlign w:val="baseline"/>
        </w:rPr>
        <w:t>faster</w:t>
      </w:r>
      <w:r>
        <w:rPr>
          <w:spacing w:val="40"/>
          <w:vertAlign w:val="baseline"/>
        </w:rPr>
        <w:t> </w:t>
      </w:r>
      <w:r>
        <w:rPr>
          <w:vertAlign w:val="baseline"/>
        </w:rPr>
        <w:t>flow</w:t>
      </w:r>
      <w:r>
        <w:rPr>
          <w:spacing w:val="40"/>
          <w:vertAlign w:val="baseline"/>
        </w:rPr>
        <w:t> </w:t>
      </w:r>
      <w:r>
        <w:rPr>
          <w:vertAlign w:val="baseline"/>
        </w:rPr>
        <w:t>rate</w:t>
      </w:r>
      <w:r>
        <w:rPr>
          <w:spacing w:val="40"/>
          <w:vertAlign w:val="baseline"/>
        </w:rPr>
        <w:t> </w:t>
      </w:r>
      <w:r>
        <w:rPr>
          <w:vertAlign w:val="baseline"/>
        </w:rPr>
        <w:t>compared</w:t>
      </w:r>
      <w:r>
        <w:rPr>
          <w:spacing w:val="40"/>
          <w:vertAlign w:val="baseline"/>
        </w:rPr>
        <w:t> </w:t>
      </w:r>
      <w:r>
        <w:rPr>
          <w:vertAlign w:val="baseline"/>
        </w:rPr>
        <w:t>to</w:t>
      </w:r>
      <w:r>
        <w:rPr>
          <w:spacing w:val="40"/>
          <w:vertAlign w:val="baseline"/>
        </w:rPr>
        <w:t> </w:t>
      </w:r>
      <w:r>
        <w:rPr>
          <w:vertAlign w:val="baseline"/>
        </w:rPr>
        <w:t>6</w:t>
      </w:r>
      <w:r>
        <w:rPr>
          <w:spacing w:val="40"/>
          <w:vertAlign w:val="baseline"/>
        </w:rPr>
        <w:t> </w:t>
      </w:r>
      <w:r>
        <w:rPr>
          <w:vertAlign w:val="baseline"/>
        </w:rPr>
        <w:t>–</w:t>
      </w:r>
      <w:r>
        <w:rPr>
          <w:spacing w:val="40"/>
          <w:vertAlign w:val="baseline"/>
        </w:rPr>
        <w:t> </w:t>
      </w:r>
      <w:r>
        <w:rPr>
          <w:vertAlign w:val="baseline"/>
        </w:rPr>
        <w:t>18</w:t>
      </w:r>
      <w:r>
        <w:rPr>
          <w:spacing w:val="40"/>
          <w:vertAlign w:val="baseline"/>
        </w:rPr>
        <w:t> </w:t>
      </w:r>
      <w:r>
        <w:rPr>
          <w:vertAlign w:val="baseline"/>
        </w:rPr>
        <w:t>h</w:t>
      </w:r>
      <w:r>
        <w:rPr>
          <w:spacing w:val="40"/>
          <w:vertAlign w:val="baseline"/>
        </w:rPr>
        <w:t> </w:t>
      </w:r>
      <w:r>
        <w:rPr>
          <w:vertAlign w:val="baseline"/>
        </w:rPr>
        <w:t>hydrolysis</w:t>
      </w:r>
      <w:r>
        <w:rPr>
          <w:spacing w:val="40"/>
          <w:vertAlign w:val="baseline"/>
        </w:rPr>
        <w:t> </w:t>
      </w:r>
      <w:r>
        <w:rPr>
          <w:vertAlign w:val="baseline"/>
        </w:rPr>
        <w:t>time.</w:t>
      </w:r>
      <w:r>
        <w:rPr>
          <w:spacing w:val="40"/>
          <w:vertAlign w:val="baseline"/>
        </w:rPr>
        <w:t> </w:t>
      </w:r>
      <w:r>
        <w:rPr>
          <w:vertAlign w:val="baseline"/>
        </w:rPr>
        <w:t>The</w:t>
      </w:r>
      <w:r>
        <w:rPr>
          <w:spacing w:val="40"/>
          <w:vertAlign w:val="baseline"/>
        </w:rPr>
        <w:t> </w:t>
      </w:r>
      <w:r>
        <w:rPr>
          <w:vertAlign w:val="baseline"/>
        </w:rPr>
        <w:t>flow</w:t>
      </w:r>
      <w:r>
        <w:rPr>
          <w:spacing w:val="40"/>
          <w:vertAlign w:val="baseline"/>
        </w:rPr>
        <w:t> </w:t>
      </w:r>
      <w:r>
        <w:rPr>
          <w:vertAlign w:val="baseline"/>
        </w:rPr>
        <w:t>rate</w:t>
      </w:r>
      <w:r>
        <w:rPr>
          <w:spacing w:val="40"/>
          <w:vertAlign w:val="baseline"/>
        </w:rPr>
        <w:t> </w:t>
      </w:r>
      <w:r>
        <w:rPr>
          <w:vertAlign w:val="baseline"/>
        </w:rPr>
        <w:t>of</w:t>
      </w:r>
      <w:r>
        <w:rPr>
          <w:spacing w:val="40"/>
          <w:vertAlign w:val="baseline"/>
        </w:rPr>
        <w:t> </w:t>
      </w:r>
      <w:r>
        <w:rPr>
          <w:vertAlign w:val="baseline"/>
        </w:rPr>
        <w:t>the starches is ranked in the order MS &lt; DS &lt; MCS.</w:t>
      </w:r>
    </w:p>
    <w:p>
      <w:pPr>
        <w:pStyle w:val="BodyText"/>
        <w:spacing w:line="491" w:lineRule="auto"/>
        <w:ind w:left="665" w:right="1096" w:firstLine="676"/>
        <w:jc w:val="both"/>
      </w:pPr>
      <w:r>
        <w:rPr/>
        <w:t>The bulk and tapped densities of the starches are shown in Table 4.4. It is shown that the values of the bulk and tapped densities are in the order DS &lt; MS &lt; MCS. This indicates</w:t>
      </w:r>
      <w:r>
        <w:rPr>
          <w:spacing w:val="40"/>
        </w:rPr>
        <w:t> </w:t>
      </w:r>
      <w:r>
        <w:rPr/>
        <w:t>that</w:t>
      </w:r>
      <w:r>
        <w:rPr>
          <w:spacing w:val="40"/>
        </w:rPr>
        <w:t> </w:t>
      </w:r>
      <w:r>
        <w:rPr/>
        <w:t>MCS</w:t>
      </w:r>
      <w:r>
        <w:rPr>
          <w:spacing w:val="40"/>
        </w:rPr>
        <w:t> </w:t>
      </w:r>
      <w:r>
        <w:rPr/>
        <w:t>exhibited</w:t>
      </w:r>
      <w:r>
        <w:rPr>
          <w:spacing w:val="40"/>
        </w:rPr>
        <w:t> </w:t>
      </w:r>
      <w:r>
        <w:rPr/>
        <w:t>the</w:t>
      </w:r>
      <w:r>
        <w:rPr>
          <w:spacing w:val="40"/>
        </w:rPr>
        <w:t> </w:t>
      </w:r>
      <w:r>
        <w:rPr/>
        <w:t>largest</w:t>
      </w:r>
      <w:r>
        <w:rPr>
          <w:spacing w:val="40"/>
        </w:rPr>
        <w:t> </w:t>
      </w:r>
      <w:r>
        <w:rPr/>
        <w:t>maximum</w:t>
      </w:r>
      <w:r>
        <w:rPr>
          <w:spacing w:val="40"/>
        </w:rPr>
        <w:t> </w:t>
      </w:r>
      <w:r>
        <w:rPr/>
        <w:t>volume</w:t>
      </w:r>
      <w:r>
        <w:rPr>
          <w:spacing w:val="40"/>
        </w:rPr>
        <w:t> </w:t>
      </w:r>
      <w:r>
        <w:rPr/>
        <w:t>reduction</w:t>
      </w:r>
      <w:r>
        <w:rPr>
          <w:spacing w:val="40"/>
        </w:rPr>
        <w:t> </w:t>
      </w:r>
      <w:r>
        <w:rPr/>
        <w:t>while</w:t>
      </w:r>
      <w:r>
        <w:rPr>
          <w:spacing w:val="40"/>
        </w:rPr>
        <w:t> </w:t>
      </w:r>
      <w:r>
        <w:rPr/>
        <w:t>NS exhibited the least.</w:t>
      </w:r>
      <w:r>
        <w:rPr>
          <w:spacing w:val="40"/>
        </w:rPr>
        <w:t> </w:t>
      </w:r>
      <w:r>
        <w:rPr/>
        <w:t>The process of volume reduction of powders has been said to be dependent</w:t>
      </w:r>
      <w:r>
        <w:rPr>
          <w:spacing w:val="40"/>
        </w:rPr>
        <w:t> </w:t>
      </w:r>
      <w:r>
        <w:rPr/>
        <w:t>on</w:t>
      </w:r>
      <w:r>
        <w:rPr>
          <w:spacing w:val="40"/>
        </w:rPr>
        <w:t> </w:t>
      </w:r>
      <w:r>
        <w:rPr/>
        <w:t>factors</w:t>
      </w:r>
      <w:r>
        <w:rPr>
          <w:spacing w:val="40"/>
        </w:rPr>
        <w:t> </w:t>
      </w:r>
      <w:r>
        <w:rPr/>
        <w:t>such</w:t>
      </w:r>
      <w:r>
        <w:rPr>
          <w:spacing w:val="40"/>
        </w:rPr>
        <w:t> </w:t>
      </w:r>
      <w:r>
        <w:rPr/>
        <w:t>as</w:t>
      </w:r>
      <w:r>
        <w:rPr>
          <w:spacing w:val="40"/>
        </w:rPr>
        <w:t> </w:t>
      </w:r>
      <w:r>
        <w:rPr/>
        <w:t>shape,</w:t>
      </w:r>
      <w:r>
        <w:rPr>
          <w:spacing w:val="40"/>
        </w:rPr>
        <w:t> </w:t>
      </w:r>
      <w:r>
        <w:rPr/>
        <w:t>size</w:t>
      </w:r>
      <w:r>
        <w:rPr>
          <w:spacing w:val="40"/>
        </w:rPr>
        <w:t> </w:t>
      </w:r>
      <w:r>
        <w:rPr/>
        <w:t>and</w:t>
      </w:r>
      <w:r>
        <w:rPr>
          <w:spacing w:val="40"/>
        </w:rPr>
        <w:t> </w:t>
      </w:r>
      <w:r>
        <w:rPr/>
        <w:t>degree</w:t>
      </w:r>
      <w:r>
        <w:rPr>
          <w:spacing w:val="40"/>
        </w:rPr>
        <w:t> </w:t>
      </w:r>
      <w:r>
        <w:rPr/>
        <w:t>of</w:t>
      </w:r>
      <w:r>
        <w:rPr>
          <w:spacing w:val="40"/>
        </w:rPr>
        <w:t> </w:t>
      </w:r>
      <w:r>
        <w:rPr/>
        <w:t>interparticulate</w:t>
      </w:r>
      <w:r>
        <w:rPr>
          <w:spacing w:val="40"/>
        </w:rPr>
        <w:t> </w:t>
      </w:r>
      <w:r>
        <w:rPr/>
        <w:t>friction (Podczeck and</w:t>
      </w:r>
      <w:r>
        <w:rPr>
          <w:spacing w:val="40"/>
        </w:rPr>
        <w:t> </w:t>
      </w:r>
      <w:r>
        <w:rPr/>
        <w:t>Sharma,</w:t>
      </w:r>
      <w:r>
        <w:rPr>
          <w:spacing w:val="40"/>
        </w:rPr>
        <w:t> </w:t>
      </w:r>
      <w:r>
        <w:rPr/>
        <w:t>1996).</w:t>
      </w:r>
      <w:r>
        <w:rPr>
          <w:spacing w:val="40"/>
        </w:rPr>
        <w:t> </w:t>
      </w:r>
      <w:r>
        <w:rPr/>
        <w:t>However,</w:t>
      </w:r>
      <w:r>
        <w:rPr>
          <w:spacing w:val="40"/>
        </w:rPr>
        <w:t> </w:t>
      </w:r>
      <w:r>
        <w:rPr/>
        <w:t>no</w:t>
      </w:r>
      <w:r>
        <w:rPr>
          <w:spacing w:val="40"/>
        </w:rPr>
        <w:t> </w:t>
      </w:r>
      <w:r>
        <w:rPr/>
        <w:t>general</w:t>
      </w:r>
      <w:r>
        <w:rPr>
          <w:spacing w:val="40"/>
        </w:rPr>
        <w:t> </w:t>
      </w:r>
      <w:r>
        <w:rPr/>
        <w:t>rule</w:t>
      </w:r>
      <w:r>
        <w:rPr>
          <w:spacing w:val="40"/>
        </w:rPr>
        <w:t> </w:t>
      </w:r>
      <w:r>
        <w:rPr/>
        <w:t>exists</w:t>
      </w:r>
      <w:r>
        <w:rPr>
          <w:spacing w:val="40"/>
        </w:rPr>
        <w:t> </w:t>
      </w:r>
      <w:r>
        <w:rPr/>
        <w:t>about</w:t>
      </w:r>
      <w:r>
        <w:rPr>
          <w:spacing w:val="40"/>
        </w:rPr>
        <w:t> </w:t>
      </w:r>
      <w:r>
        <w:rPr/>
        <w:t>the</w:t>
      </w:r>
      <w:r>
        <w:rPr>
          <w:spacing w:val="40"/>
        </w:rPr>
        <w:t> </w:t>
      </w:r>
      <w:r>
        <w:rPr/>
        <w:t>effect</w:t>
      </w:r>
      <w:r>
        <w:rPr>
          <w:spacing w:val="40"/>
        </w:rPr>
        <w:t> </w:t>
      </w:r>
      <w:r>
        <w:rPr/>
        <w:t>of particle</w:t>
      </w:r>
      <w:r>
        <w:rPr>
          <w:spacing w:val="40"/>
        </w:rPr>
        <w:t> </w:t>
      </w:r>
      <w:r>
        <w:rPr/>
        <w:t>size</w:t>
      </w:r>
      <w:r>
        <w:rPr>
          <w:spacing w:val="40"/>
        </w:rPr>
        <w:t> </w:t>
      </w:r>
      <w:r>
        <w:rPr/>
        <w:t>and</w:t>
      </w:r>
      <w:r>
        <w:rPr>
          <w:spacing w:val="40"/>
        </w:rPr>
        <w:t> </w:t>
      </w:r>
      <w:r>
        <w:rPr/>
        <w:t>shape</w:t>
      </w:r>
      <w:r>
        <w:rPr>
          <w:spacing w:val="40"/>
        </w:rPr>
        <w:t> </w:t>
      </w:r>
      <w:r>
        <w:rPr/>
        <w:t>on</w:t>
      </w:r>
      <w:r>
        <w:rPr>
          <w:spacing w:val="40"/>
        </w:rPr>
        <w:t> </w:t>
      </w:r>
      <w:r>
        <w:rPr/>
        <w:t>the</w:t>
      </w:r>
      <w:r>
        <w:rPr>
          <w:spacing w:val="40"/>
        </w:rPr>
        <w:t> </w:t>
      </w:r>
      <w:r>
        <w:rPr/>
        <w:t>packing</w:t>
      </w:r>
      <w:r>
        <w:rPr>
          <w:spacing w:val="40"/>
        </w:rPr>
        <w:t> </w:t>
      </w:r>
      <w:r>
        <w:rPr/>
        <w:t>properties</w:t>
      </w:r>
      <w:r>
        <w:rPr>
          <w:spacing w:val="40"/>
        </w:rPr>
        <w:t> </w:t>
      </w:r>
      <w:r>
        <w:rPr/>
        <w:t>of</w:t>
      </w:r>
      <w:r>
        <w:rPr>
          <w:spacing w:val="40"/>
        </w:rPr>
        <w:t> </w:t>
      </w:r>
      <w:r>
        <w:rPr/>
        <w:t>powder</w:t>
      </w:r>
      <w:r>
        <w:rPr>
          <w:spacing w:val="40"/>
        </w:rPr>
        <w:t> </w:t>
      </w:r>
      <w:r>
        <w:rPr/>
        <w:t>and</w:t>
      </w:r>
      <w:r>
        <w:rPr>
          <w:spacing w:val="40"/>
        </w:rPr>
        <w:t> </w:t>
      </w:r>
      <w:r>
        <w:rPr/>
        <w:t>how</w:t>
      </w:r>
      <w:r>
        <w:rPr>
          <w:spacing w:val="40"/>
        </w:rPr>
        <w:t> </w:t>
      </w:r>
      <w:r>
        <w:rPr/>
        <w:t>these</w:t>
      </w:r>
      <w:r>
        <w:rPr>
          <w:spacing w:val="40"/>
        </w:rPr>
        <w:t> </w:t>
      </w:r>
      <w:r>
        <w:rPr/>
        <w:t>factors interact (Shotton and Obiorah, 1973).</w:t>
      </w:r>
    </w:p>
    <w:p>
      <w:pPr>
        <w:pStyle w:val="BodyText"/>
        <w:spacing w:line="491" w:lineRule="auto" w:before="2"/>
        <w:ind w:left="665" w:right="1096" w:firstLine="676"/>
        <w:jc w:val="both"/>
      </w:pPr>
      <w:r>
        <w:rPr/>
        <w:t>The</w:t>
      </w:r>
      <w:r>
        <w:rPr>
          <w:spacing w:val="40"/>
        </w:rPr>
        <w:t> </w:t>
      </w:r>
      <w:r>
        <w:rPr/>
        <w:t>tapped</w:t>
      </w:r>
      <w:r>
        <w:rPr>
          <w:spacing w:val="40"/>
        </w:rPr>
        <w:t> </w:t>
      </w:r>
      <w:r>
        <w:rPr/>
        <w:t>density</w:t>
      </w:r>
      <w:r>
        <w:rPr>
          <w:spacing w:val="35"/>
        </w:rPr>
        <w:t> </w:t>
      </w:r>
      <w:r>
        <w:rPr/>
        <w:t>results</w:t>
      </w:r>
      <w:r>
        <w:rPr>
          <w:spacing w:val="40"/>
        </w:rPr>
        <w:t> </w:t>
      </w:r>
      <w:r>
        <w:rPr/>
        <w:t>of</w:t>
      </w:r>
      <w:r>
        <w:rPr>
          <w:spacing w:val="40"/>
        </w:rPr>
        <w:t> </w:t>
      </w:r>
      <w:r>
        <w:rPr/>
        <w:t>the</w:t>
      </w:r>
      <w:r>
        <w:rPr>
          <w:spacing w:val="40"/>
        </w:rPr>
        <w:t> </w:t>
      </w:r>
      <w:r>
        <w:rPr/>
        <w:t>granules</w:t>
      </w:r>
      <w:r>
        <w:rPr>
          <w:spacing w:val="40"/>
        </w:rPr>
        <w:t> </w:t>
      </w:r>
      <w:r>
        <w:rPr/>
        <w:t>were</w:t>
      </w:r>
      <w:r>
        <w:rPr>
          <w:spacing w:val="40"/>
        </w:rPr>
        <w:t> </w:t>
      </w:r>
      <w:r>
        <w:rPr/>
        <w:t>higher</w:t>
      </w:r>
      <w:r>
        <w:rPr>
          <w:spacing w:val="40"/>
        </w:rPr>
        <w:t> </w:t>
      </w:r>
      <w:r>
        <w:rPr/>
        <w:t>than</w:t>
      </w:r>
      <w:r>
        <w:rPr>
          <w:spacing w:val="40"/>
        </w:rPr>
        <w:t> </w:t>
      </w:r>
      <w:r>
        <w:rPr/>
        <w:t>the</w:t>
      </w:r>
      <w:r>
        <w:rPr>
          <w:spacing w:val="40"/>
        </w:rPr>
        <w:t> </w:t>
      </w:r>
      <w:r>
        <w:rPr/>
        <w:t>bulk</w:t>
      </w:r>
      <w:r>
        <w:rPr>
          <w:spacing w:val="40"/>
        </w:rPr>
        <w:t> </w:t>
      </w:r>
      <w:r>
        <w:rPr/>
        <w:t>density. This</w:t>
      </w:r>
      <w:r>
        <w:rPr>
          <w:spacing w:val="40"/>
        </w:rPr>
        <w:t> </w:t>
      </w:r>
      <w:r>
        <w:rPr/>
        <w:t>may be</w:t>
      </w:r>
      <w:r>
        <w:rPr>
          <w:spacing w:val="40"/>
        </w:rPr>
        <w:t> </w:t>
      </w:r>
      <w:r>
        <w:rPr/>
        <w:t>due</w:t>
      </w:r>
      <w:r>
        <w:rPr>
          <w:spacing w:val="40"/>
        </w:rPr>
        <w:t> </w:t>
      </w:r>
      <w:r>
        <w:rPr/>
        <w:t>to</w:t>
      </w:r>
      <w:r>
        <w:rPr>
          <w:spacing w:val="40"/>
        </w:rPr>
        <w:t> </w:t>
      </w:r>
      <w:r>
        <w:rPr/>
        <w:t>diminished</w:t>
      </w:r>
      <w:r>
        <w:rPr>
          <w:spacing w:val="40"/>
        </w:rPr>
        <w:t> </w:t>
      </w:r>
      <w:r>
        <w:rPr/>
        <w:t>void</w:t>
      </w:r>
      <w:r>
        <w:rPr>
          <w:spacing w:val="40"/>
        </w:rPr>
        <w:t> </w:t>
      </w:r>
      <w:r>
        <w:rPr/>
        <w:t>spaces</w:t>
      </w:r>
      <w:r>
        <w:rPr>
          <w:spacing w:val="40"/>
        </w:rPr>
        <w:t> </w:t>
      </w:r>
      <w:r>
        <w:rPr/>
        <w:t>as</w:t>
      </w:r>
      <w:r>
        <w:rPr>
          <w:spacing w:val="40"/>
        </w:rPr>
        <w:t> </w:t>
      </w:r>
      <w:r>
        <w:rPr/>
        <w:t>a</w:t>
      </w:r>
      <w:r>
        <w:rPr>
          <w:spacing w:val="40"/>
        </w:rPr>
        <w:t> </w:t>
      </w:r>
      <w:r>
        <w:rPr/>
        <w:t>result</w:t>
      </w:r>
      <w:r>
        <w:rPr>
          <w:spacing w:val="40"/>
        </w:rPr>
        <w:t> </w:t>
      </w:r>
      <w:r>
        <w:rPr/>
        <w:t>of</w:t>
      </w:r>
      <w:r>
        <w:rPr>
          <w:spacing w:val="40"/>
        </w:rPr>
        <w:t> </w:t>
      </w:r>
      <w:r>
        <w:rPr/>
        <w:t>a</w:t>
      </w:r>
      <w:r>
        <w:rPr>
          <w:spacing w:val="40"/>
        </w:rPr>
        <w:t> </w:t>
      </w:r>
      <w:r>
        <w:rPr/>
        <w:t>change</w:t>
      </w:r>
      <w:r>
        <w:rPr>
          <w:spacing w:val="40"/>
        </w:rPr>
        <w:t> </w:t>
      </w:r>
      <w:r>
        <w:rPr/>
        <w:t>in</w:t>
      </w:r>
      <w:r>
        <w:rPr>
          <w:spacing w:val="40"/>
        </w:rPr>
        <w:t> </w:t>
      </w:r>
      <w:r>
        <w:rPr/>
        <w:t>bulk</w:t>
      </w:r>
      <w:r>
        <w:rPr>
          <w:spacing w:val="40"/>
        </w:rPr>
        <w:t> </w:t>
      </w:r>
      <w:r>
        <w:rPr/>
        <w:t>volume (Apeji, 2010). The change in bulk volume was produced by a rearrangement of the packing geometry of packed powder bed (Staniforth and Aulton, 2007). Also, the bulk density result in Table 4.4 was less than the true density of its component particles. The bulk powder contains interparticulate pores or voids (Staniforth and Aulton, 2007). The bulk density of a powder is dependent on particle packing. The order of packing of the starches is as follows: DS&gt;MS&gt;MCS.</w:t>
      </w:r>
    </w:p>
    <w:p>
      <w:pPr>
        <w:pStyle w:val="BodyText"/>
        <w:spacing w:line="491" w:lineRule="auto" w:before="3"/>
        <w:ind w:left="665" w:right="1100" w:firstLine="676"/>
        <w:jc w:val="both"/>
      </w:pPr>
      <w:r>
        <w:rPr/>
        <w:t>According</w:t>
      </w:r>
      <w:r>
        <w:rPr>
          <w:spacing w:val="35"/>
        </w:rPr>
        <w:t> </w:t>
      </w:r>
      <w:r>
        <w:rPr/>
        <w:t>to</w:t>
      </w:r>
      <w:r>
        <w:rPr>
          <w:spacing w:val="40"/>
        </w:rPr>
        <w:t> </w:t>
      </w:r>
      <w:r>
        <w:rPr/>
        <w:t>Hausner`s</w:t>
      </w:r>
      <w:r>
        <w:rPr>
          <w:spacing w:val="40"/>
        </w:rPr>
        <w:t> </w:t>
      </w:r>
      <w:r>
        <w:rPr/>
        <w:t>1967,</w:t>
      </w:r>
      <w:r>
        <w:rPr>
          <w:spacing w:val="40"/>
        </w:rPr>
        <w:t> </w:t>
      </w:r>
      <w:r>
        <w:rPr/>
        <w:t>for</w:t>
      </w:r>
      <w:r>
        <w:rPr>
          <w:spacing w:val="39"/>
        </w:rPr>
        <w:t> </w:t>
      </w:r>
      <w:r>
        <w:rPr/>
        <w:t>powder</w:t>
      </w:r>
      <w:r>
        <w:rPr>
          <w:spacing w:val="40"/>
        </w:rPr>
        <w:t> </w:t>
      </w:r>
      <w:r>
        <w:rPr/>
        <w:t>that</w:t>
      </w:r>
      <w:r>
        <w:rPr>
          <w:spacing w:val="40"/>
        </w:rPr>
        <w:t> </w:t>
      </w:r>
      <w:r>
        <w:rPr/>
        <w:t>possesses</w:t>
      </w:r>
      <w:r>
        <w:rPr>
          <w:spacing w:val="40"/>
        </w:rPr>
        <w:t> </w:t>
      </w:r>
      <w:r>
        <w:rPr/>
        <w:t>good</w:t>
      </w:r>
      <w:r>
        <w:rPr>
          <w:spacing w:val="40"/>
        </w:rPr>
        <w:t> </w:t>
      </w:r>
      <w:r>
        <w:rPr/>
        <w:t>flow</w:t>
      </w:r>
      <w:r>
        <w:rPr>
          <w:spacing w:val="37"/>
        </w:rPr>
        <w:t> </w:t>
      </w:r>
      <w:r>
        <w:rPr/>
        <w:t>properties the</w:t>
      </w:r>
      <w:r>
        <w:rPr>
          <w:spacing w:val="15"/>
        </w:rPr>
        <w:t> </w:t>
      </w:r>
      <w:r>
        <w:rPr/>
        <w:t>angle</w:t>
      </w:r>
      <w:r>
        <w:rPr>
          <w:spacing w:val="9"/>
        </w:rPr>
        <w:t> </w:t>
      </w:r>
      <w:r>
        <w:rPr/>
        <w:t>of</w:t>
      </w:r>
      <w:r>
        <w:rPr>
          <w:spacing w:val="11"/>
        </w:rPr>
        <w:t> </w:t>
      </w:r>
      <w:r>
        <w:rPr/>
        <w:t>repose,</w:t>
      </w:r>
      <w:r>
        <w:rPr>
          <w:spacing w:val="21"/>
        </w:rPr>
        <w:t> </w:t>
      </w:r>
      <w:r>
        <w:rPr/>
        <w:t>Carr’s</w:t>
      </w:r>
      <w:r>
        <w:rPr>
          <w:spacing w:val="13"/>
        </w:rPr>
        <w:t> </w:t>
      </w:r>
      <w:r>
        <w:rPr/>
        <w:t>index</w:t>
      </w:r>
      <w:r>
        <w:rPr>
          <w:spacing w:val="11"/>
        </w:rPr>
        <w:t> </w:t>
      </w:r>
      <w:r>
        <w:rPr/>
        <w:t>and</w:t>
      </w:r>
      <w:r>
        <w:rPr>
          <w:spacing w:val="22"/>
        </w:rPr>
        <w:t> </w:t>
      </w:r>
      <w:r>
        <w:rPr/>
        <w:t>Hausner`s</w:t>
      </w:r>
      <w:r>
        <w:rPr>
          <w:spacing w:val="13"/>
        </w:rPr>
        <w:t> </w:t>
      </w:r>
      <w:r>
        <w:rPr/>
        <w:t>ratio</w:t>
      </w:r>
      <w:r>
        <w:rPr>
          <w:spacing w:val="17"/>
        </w:rPr>
        <w:t> </w:t>
      </w:r>
      <w:r>
        <w:rPr/>
        <w:t>should</w:t>
      </w:r>
      <w:r>
        <w:rPr>
          <w:spacing w:val="17"/>
        </w:rPr>
        <w:t> </w:t>
      </w:r>
      <w:r>
        <w:rPr/>
        <w:t>not</w:t>
      </w:r>
      <w:r>
        <w:rPr>
          <w:spacing w:val="8"/>
        </w:rPr>
        <w:t> </w:t>
      </w:r>
      <w:r>
        <w:rPr/>
        <w:t>be</w:t>
      </w:r>
      <w:r>
        <w:rPr>
          <w:spacing w:val="10"/>
        </w:rPr>
        <w:t> </w:t>
      </w:r>
      <w:r>
        <w:rPr/>
        <w:t>greater</w:t>
      </w:r>
      <w:r>
        <w:rPr>
          <w:spacing w:val="16"/>
        </w:rPr>
        <w:t> </w:t>
      </w:r>
      <w:r>
        <w:rPr/>
        <w:t>than</w:t>
      </w:r>
      <w:r>
        <w:rPr>
          <w:spacing w:val="7"/>
        </w:rPr>
        <w:t> </w:t>
      </w:r>
      <w:r>
        <w:rPr/>
        <w:t>20</w:t>
      </w:r>
      <w:r>
        <w:rPr>
          <w:spacing w:val="11"/>
        </w:rPr>
        <w:t> </w:t>
      </w:r>
      <w:r>
        <w:rPr>
          <w:vertAlign w:val="superscript"/>
        </w:rPr>
        <w:t>0</w:t>
      </w:r>
      <w:r>
        <w:rPr>
          <w:vertAlign w:val="baseline"/>
        </w:rPr>
        <w:t>,</w:t>
      </w:r>
      <w:r>
        <w:rPr>
          <w:spacing w:val="10"/>
          <w:vertAlign w:val="baseline"/>
        </w:rPr>
        <w:t> </w:t>
      </w:r>
      <w:r>
        <w:rPr>
          <w:spacing w:val="-5"/>
          <w:vertAlign w:val="baseline"/>
        </w:rPr>
        <w:t>28</w:t>
      </w:r>
    </w:p>
    <w:p>
      <w:pPr>
        <w:spacing w:after="0" w:line="491" w:lineRule="auto"/>
        <w:jc w:val="both"/>
        <w:sectPr>
          <w:pgSz w:w="12240" w:h="15840"/>
          <w:pgMar w:header="0" w:footer="999" w:top="1220" w:bottom="1180" w:left="1720" w:right="760"/>
        </w:sectPr>
      </w:pPr>
    </w:p>
    <w:p>
      <w:pPr>
        <w:pStyle w:val="BodyText"/>
        <w:spacing w:line="491" w:lineRule="auto" w:before="75"/>
        <w:ind w:left="665" w:right="1094"/>
        <w:jc w:val="both"/>
      </w:pPr>
      <w:r>
        <w:rPr/>
        <w:t>% and 1.20 respectively. The results obtained in Table 4.4, showed that DS and MCS possess</w:t>
      </w:r>
      <w:r>
        <w:rPr>
          <w:spacing w:val="40"/>
        </w:rPr>
        <w:t> </w:t>
      </w:r>
      <w:r>
        <w:rPr/>
        <w:t>poor</w:t>
      </w:r>
      <w:r>
        <w:rPr>
          <w:spacing w:val="40"/>
        </w:rPr>
        <w:t> </w:t>
      </w:r>
      <w:r>
        <w:rPr/>
        <w:t>flow</w:t>
      </w:r>
      <w:r>
        <w:rPr>
          <w:spacing w:val="40"/>
        </w:rPr>
        <w:t> </w:t>
      </w:r>
      <w:r>
        <w:rPr/>
        <w:t>property because</w:t>
      </w:r>
      <w:r>
        <w:rPr>
          <w:spacing w:val="40"/>
        </w:rPr>
        <w:t> </w:t>
      </w:r>
      <w:r>
        <w:rPr/>
        <w:t>they</w:t>
      </w:r>
      <w:r>
        <w:rPr>
          <w:spacing w:val="33"/>
        </w:rPr>
        <w:t> </w:t>
      </w:r>
      <w:r>
        <w:rPr/>
        <w:t>had</w:t>
      </w:r>
      <w:r>
        <w:rPr>
          <w:spacing w:val="40"/>
        </w:rPr>
        <w:t> </w:t>
      </w:r>
      <w:r>
        <w:rPr/>
        <w:t>higher</w:t>
      </w:r>
      <w:r>
        <w:rPr>
          <w:spacing w:val="40"/>
        </w:rPr>
        <w:t> </w:t>
      </w:r>
      <w:r>
        <w:rPr/>
        <w:t>values.</w:t>
      </w:r>
      <w:r>
        <w:rPr>
          <w:spacing w:val="40"/>
        </w:rPr>
        <w:t> </w:t>
      </w:r>
      <w:r>
        <w:rPr/>
        <w:t>The</w:t>
      </w:r>
      <w:r>
        <w:rPr>
          <w:spacing w:val="40"/>
        </w:rPr>
        <w:t> </w:t>
      </w:r>
      <w:r>
        <w:rPr/>
        <w:t>angle</w:t>
      </w:r>
      <w:r>
        <w:rPr>
          <w:spacing w:val="40"/>
        </w:rPr>
        <w:t> </w:t>
      </w:r>
      <w:r>
        <w:rPr/>
        <w:t>of</w:t>
      </w:r>
      <w:r>
        <w:rPr>
          <w:spacing w:val="40"/>
        </w:rPr>
        <w:t> </w:t>
      </w:r>
      <w:r>
        <w:rPr/>
        <w:t>repose</w:t>
      </w:r>
      <w:r>
        <w:rPr>
          <w:spacing w:val="40"/>
        </w:rPr>
        <w:t> </w:t>
      </w:r>
      <w:r>
        <w:rPr/>
        <w:t>and flow</w:t>
      </w:r>
      <w:r>
        <w:rPr>
          <w:spacing w:val="40"/>
        </w:rPr>
        <w:t> </w:t>
      </w:r>
      <w:r>
        <w:rPr/>
        <w:t>rate</w:t>
      </w:r>
      <w:r>
        <w:rPr>
          <w:spacing w:val="40"/>
        </w:rPr>
        <w:t> </w:t>
      </w:r>
      <w:r>
        <w:rPr/>
        <w:t>were</w:t>
      </w:r>
      <w:r>
        <w:rPr>
          <w:spacing w:val="40"/>
        </w:rPr>
        <w:t> </w:t>
      </w:r>
      <w:r>
        <w:rPr/>
        <w:t>the</w:t>
      </w:r>
      <w:r>
        <w:rPr>
          <w:spacing w:val="40"/>
        </w:rPr>
        <w:t> </w:t>
      </w:r>
      <w:r>
        <w:rPr/>
        <w:t>parameters</w:t>
      </w:r>
      <w:r>
        <w:rPr>
          <w:spacing w:val="40"/>
        </w:rPr>
        <w:t> </w:t>
      </w:r>
      <w:r>
        <w:rPr/>
        <w:t>used</w:t>
      </w:r>
      <w:r>
        <w:rPr>
          <w:spacing w:val="40"/>
        </w:rPr>
        <w:t> </w:t>
      </w:r>
      <w:r>
        <w:rPr/>
        <w:t>to</w:t>
      </w:r>
      <w:r>
        <w:rPr>
          <w:spacing w:val="40"/>
        </w:rPr>
        <w:t> </w:t>
      </w:r>
      <w:r>
        <w:rPr/>
        <w:t>determine</w:t>
      </w:r>
      <w:r>
        <w:rPr>
          <w:spacing w:val="40"/>
        </w:rPr>
        <w:t> </w:t>
      </w:r>
      <w:r>
        <w:rPr/>
        <w:t>the</w:t>
      </w:r>
      <w:r>
        <w:rPr>
          <w:spacing w:val="40"/>
        </w:rPr>
        <w:t> </w:t>
      </w:r>
      <w:r>
        <w:rPr/>
        <w:t>flow</w:t>
      </w:r>
      <w:r>
        <w:rPr>
          <w:spacing w:val="40"/>
        </w:rPr>
        <w:t> </w:t>
      </w:r>
      <w:r>
        <w:rPr/>
        <w:t>properties</w:t>
      </w:r>
      <w:r>
        <w:rPr>
          <w:spacing w:val="40"/>
        </w:rPr>
        <w:t> </w:t>
      </w:r>
      <w:r>
        <w:rPr/>
        <w:t>of</w:t>
      </w:r>
      <w:r>
        <w:rPr>
          <w:spacing w:val="40"/>
        </w:rPr>
        <w:t> </w:t>
      </w:r>
      <w:r>
        <w:rPr/>
        <w:t>the</w:t>
      </w:r>
      <w:r>
        <w:rPr>
          <w:spacing w:val="40"/>
        </w:rPr>
        <w:t> </w:t>
      </w:r>
      <w:r>
        <w:rPr/>
        <w:t>starches while Carr`s index and Hausner’s ratio were used to evaluate the rate at which packing occurs. Particle packing has great impact on the flowability of powders, and sometimes used as an indirect method of measuring or quantifying powder flow (Staniforth, 2007). There is a direct relationship between particle packing and bulk and</w:t>
      </w:r>
      <w:r>
        <w:rPr>
          <w:spacing w:val="37"/>
        </w:rPr>
        <w:t> </w:t>
      </w:r>
      <w:r>
        <w:rPr/>
        <w:t>tapped densities.</w:t>
      </w:r>
    </w:p>
    <w:p>
      <w:pPr>
        <w:pStyle w:val="BodyText"/>
        <w:spacing w:line="491" w:lineRule="auto"/>
        <w:ind w:left="665" w:right="1089" w:firstLine="676"/>
        <w:jc w:val="both"/>
      </w:pPr>
      <w:r>
        <w:rPr/>
        <w:t>Carr’s index and Hausner’s ratio previews the</w:t>
      </w:r>
      <w:r>
        <w:rPr>
          <w:spacing w:val="40"/>
        </w:rPr>
        <w:t> </w:t>
      </w:r>
      <w:r>
        <w:rPr/>
        <w:t>degree of densification which</w:t>
      </w:r>
      <w:r>
        <w:rPr>
          <w:spacing w:val="40"/>
        </w:rPr>
        <w:t> </w:t>
      </w:r>
      <w:r>
        <w:rPr/>
        <w:t>would occur during tableting. As the values of these indices increase, the flow of the powder decreases and gives more likelihood of producing tablets with more weight variation (Staniforth, 1996). The values of Carr’s index and Hausner’s ratio for the</w:t>
      </w:r>
      <w:r>
        <w:rPr>
          <w:spacing w:val="40"/>
        </w:rPr>
        <w:t> </w:t>
      </w:r>
      <w:r>
        <w:rPr/>
        <w:t>starches shown in Table 4.4 suggest that they possess poor flow property because they have Carr’s index and Hausner’s ratio greater than 28 % and 1.2 respectively (Hausner, </w:t>
      </w:r>
      <w:r>
        <w:rPr>
          <w:spacing w:val="-2"/>
        </w:rPr>
        <w:t>1967).</w:t>
      </w:r>
    </w:p>
    <w:p>
      <w:pPr>
        <w:pStyle w:val="BodyText"/>
        <w:spacing w:line="491" w:lineRule="auto" w:before="2"/>
        <w:ind w:left="704" w:right="1088" w:firstLine="691"/>
        <w:jc w:val="both"/>
      </w:pPr>
      <w:r>
        <w:rPr/>
        <w:t>Moisture content for the material as shown in Table 4.4; did not exceed the limit of 15 % specified by the BP, 2002</w:t>
      </w:r>
      <w:r>
        <w:rPr>
          <w:spacing w:val="31"/>
        </w:rPr>
        <w:t> </w:t>
      </w:r>
      <w:r>
        <w:rPr/>
        <w:t>for starches. Moisture content affects flow property</w:t>
      </w:r>
      <w:r>
        <w:rPr>
          <w:spacing w:val="40"/>
        </w:rPr>
        <w:t> </w:t>
      </w:r>
      <w:r>
        <w:rPr/>
        <w:t>and</w:t>
      </w:r>
      <w:r>
        <w:rPr>
          <w:spacing w:val="40"/>
        </w:rPr>
        <w:t> </w:t>
      </w:r>
      <w:r>
        <w:rPr/>
        <w:t>stability</w:t>
      </w:r>
      <w:r>
        <w:rPr>
          <w:spacing w:val="40"/>
        </w:rPr>
        <w:t> </w:t>
      </w:r>
      <w:r>
        <w:rPr/>
        <w:t>of</w:t>
      </w:r>
      <w:r>
        <w:rPr>
          <w:spacing w:val="40"/>
        </w:rPr>
        <w:t> </w:t>
      </w:r>
      <w:r>
        <w:rPr/>
        <w:t>a</w:t>
      </w:r>
      <w:r>
        <w:rPr>
          <w:spacing w:val="40"/>
        </w:rPr>
        <w:t> </w:t>
      </w:r>
      <w:r>
        <w:rPr/>
        <w:t>product.</w:t>
      </w:r>
      <w:r>
        <w:rPr>
          <w:spacing w:val="40"/>
        </w:rPr>
        <w:t> </w:t>
      </w:r>
      <w:r>
        <w:rPr/>
        <w:t>This</w:t>
      </w:r>
      <w:r>
        <w:rPr>
          <w:spacing w:val="40"/>
        </w:rPr>
        <w:t> </w:t>
      </w:r>
      <w:r>
        <w:rPr/>
        <w:t>could</w:t>
      </w:r>
      <w:r>
        <w:rPr>
          <w:spacing w:val="40"/>
        </w:rPr>
        <w:t> </w:t>
      </w:r>
      <w:r>
        <w:rPr/>
        <w:t>affect</w:t>
      </w:r>
      <w:r>
        <w:rPr>
          <w:spacing w:val="40"/>
        </w:rPr>
        <w:t> </w:t>
      </w:r>
      <w:r>
        <w:rPr/>
        <w:t>tablet</w:t>
      </w:r>
      <w:r>
        <w:rPr>
          <w:spacing w:val="40"/>
        </w:rPr>
        <w:t> </w:t>
      </w:r>
      <w:r>
        <w:rPr/>
        <w:t>parameters</w:t>
      </w:r>
      <w:r>
        <w:rPr>
          <w:spacing w:val="40"/>
        </w:rPr>
        <w:t> </w:t>
      </w:r>
      <w:r>
        <w:rPr/>
        <w:t>such</w:t>
      </w:r>
      <w:r>
        <w:rPr>
          <w:spacing w:val="40"/>
        </w:rPr>
        <w:t> </w:t>
      </w:r>
      <w:r>
        <w:rPr/>
        <w:t>as</w:t>
      </w:r>
      <w:r>
        <w:rPr>
          <w:spacing w:val="40"/>
        </w:rPr>
        <w:t> </w:t>
      </w:r>
      <w:r>
        <w:rPr/>
        <w:t>weight</w:t>
      </w:r>
      <w:r>
        <w:rPr>
          <w:spacing w:val="40"/>
        </w:rPr>
        <w:t> </w:t>
      </w:r>
      <w:r>
        <w:rPr/>
        <w:t>and content uniformity (Musa </w:t>
      </w:r>
      <w:r>
        <w:rPr>
          <w:i/>
        </w:rPr>
        <w:t>et al</w:t>
      </w:r>
      <w:r>
        <w:rPr/>
        <w:t>, 2008). Moisture is known to modify the flow and mechanical properties of many powders including starches (Adane </w:t>
      </w:r>
      <w:r>
        <w:rPr>
          <w:i/>
        </w:rPr>
        <w:t>et al</w:t>
      </w:r>
      <w:r>
        <w:rPr/>
        <w:t>, 2006).</w:t>
      </w:r>
    </w:p>
    <w:p>
      <w:pPr>
        <w:pStyle w:val="BodyText"/>
        <w:spacing w:line="252" w:lineRule="exact"/>
        <w:ind w:left="297"/>
        <w:jc w:val="center"/>
      </w:pPr>
      <w:r>
        <w:rPr/>
        <w:t>The</w:t>
      </w:r>
      <w:r>
        <w:rPr>
          <w:spacing w:val="20"/>
        </w:rPr>
        <w:t> </w:t>
      </w:r>
      <w:r>
        <w:rPr/>
        <w:t>decreasing</w:t>
      </w:r>
      <w:r>
        <w:rPr>
          <w:spacing w:val="12"/>
        </w:rPr>
        <w:t> </w:t>
      </w:r>
      <w:r>
        <w:rPr/>
        <w:t>order</w:t>
      </w:r>
      <w:r>
        <w:rPr>
          <w:spacing w:val="16"/>
        </w:rPr>
        <w:t> </w:t>
      </w:r>
      <w:r>
        <w:rPr/>
        <w:t>of</w:t>
      </w:r>
      <w:r>
        <w:rPr>
          <w:spacing w:val="17"/>
        </w:rPr>
        <w:t> </w:t>
      </w:r>
      <w:r>
        <w:rPr/>
        <w:t>swelling</w:t>
      </w:r>
      <w:r>
        <w:rPr>
          <w:spacing w:val="18"/>
        </w:rPr>
        <w:t> </w:t>
      </w:r>
      <w:r>
        <w:rPr/>
        <w:t>power</w:t>
      </w:r>
      <w:r>
        <w:rPr>
          <w:spacing w:val="21"/>
        </w:rPr>
        <w:t> </w:t>
      </w:r>
      <w:r>
        <w:rPr/>
        <w:t>as</w:t>
      </w:r>
      <w:r>
        <w:rPr>
          <w:spacing w:val="18"/>
        </w:rPr>
        <w:t> </w:t>
      </w:r>
      <w:r>
        <w:rPr/>
        <w:t>shown</w:t>
      </w:r>
      <w:r>
        <w:rPr>
          <w:spacing w:val="17"/>
        </w:rPr>
        <w:t> </w:t>
      </w:r>
      <w:r>
        <w:rPr/>
        <w:t>in</w:t>
      </w:r>
      <w:r>
        <w:rPr>
          <w:spacing w:val="18"/>
        </w:rPr>
        <w:t> </w:t>
      </w:r>
      <w:r>
        <w:rPr/>
        <w:t>Table</w:t>
      </w:r>
      <w:r>
        <w:rPr>
          <w:spacing w:val="20"/>
        </w:rPr>
        <w:t> </w:t>
      </w:r>
      <w:r>
        <w:rPr/>
        <w:t>4.4</w:t>
      </w:r>
      <w:r>
        <w:rPr>
          <w:spacing w:val="22"/>
        </w:rPr>
        <w:t> </w:t>
      </w:r>
      <w:r>
        <w:rPr/>
        <w:t>was</w:t>
      </w:r>
      <w:r>
        <w:rPr>
          <w:spacing w:val="18"/>
        </w:rPr>
        <w:t> </w:t>
      </w:r>
      <w:r>
        <w:rPr/>
        <w:t>MS</w:t>
      </w:r>
      <w:r>
        <w:rPr>
          <w:spacing w:val="19"/>
        </w:rPr>
        <w:t> </w:t>
      </w:r>
      <w:r>
        <w:rPr/>
        <w:t>&gt;</w:t>
      </w:r>
      <w:r>
        <w:rPr>
          <w:spacing w:val="17"/>
        </w:rPr>
        <w:t> </w:t>
      </w:r>
      <w:r>
        <w:rPr>
          <w:spacing w:val="-5"/>
        </w:rPr>
        <w:t>MCS</w:t>
      </w:r>
    </w:p>
    <w:p>
      <w:pPr>
        <w:pStyle w:val="BodyText"/>
        <w:spacing w:before="17"/>
      </w:pPr>
    </w:p>
    <w:p>
      <w:pPr>
        <w:pStyle w:val="BodyText"/>
        <w:spacing w:line="491" w:lineRule="auto"/>
        <w:ind w:left="704" w:right="1100"/>
        <w:jc w:val="both"/>
      </w:pPr>
      <w:r>
        <w:rPr/>
        <w:t>&gt; DS. The swelling power of starch was attributed to its amylopectin content</w:t>
      </w:r>
      <w:r>
        <w:rPr>
          <w:spacing w:val="24"/>
        </w:rPr>
        <w:t> </w:t>
      </w:r>
      <w:r>
        <w:rPr/>
        <w:t>(Tester </w:t>
      </w:r>
      <w:r>
        <w:rPr>
          <w:i/>
        </w:rPr>
        <w:t>et</w:t>
      </w:r>
      <w:r>
        <w:rPr>
          <w:i/>
          <w:spacing w:val="40"/>
        </w:rPr>
        <w:t> </w:t>
      </w:r>
      <w:r>
        <w:rPr>
          <w:i/>
        </w:rPr>
        <w:t>al</w:t>
      </w:r>
      <w:r>
        <w:rPr/>
        <w:t>, 2004).</w:t>
      </w:r>
    </w:p>
    <w:p>
      <w:pPr>
        <w:pStyle w:val="BodyText"/>
        <w:spacing w:line="491" w:lineRule="auto"/>
        <w:ind w:left="665" w:right="1096" w:firstLine="729"/>
        <w:jc w:val="both"/>
      </w:pPr>
      <w:r>
        <w:rPr/>
        <w:t>There is a marked difference between the moisture sorption capacity of MS as compared to DS and MCS as shown in Table 4.4: (MCS &gt; DS &gt; MS). The values</w:t>
      </w:r>
      <w:r>
        <w:rPr>
          <w:spacing w:val="80"/>
        </w:rPr>
        <w:t> </w:t>
      </w:r>
      <w:r>
        <w:rPr/>
        <w:t>obtained</w:t>
      </w:r>
      <w:r>
        <w:rPr>
          <w:spacing w:val="73"/>
        </w:rPr>
        <w:t> </w:t>
      </w:r>
      <w:r>
        <w:rPr/>
        <w:t>for</w:t>
      </w:r>
      <w:r>
        <w:rPr>
          <w:spacing w:val="64"/>
        </w:rPr>
        <w:t> </w:t>
      </w:r>
      <w:r>
        <w:rPr/>
        <w:t>MCS</w:t>
      </w:r>
      <w:r>
        <w:rPr>
          <w:spacing w:val="65"/>
        </w:rPr>
        <w:t> </w:t>
      </w:r>
      <w:r>
        <w:rPr/>
        <w:t>and</w:t>
      </w:r>
      <w:r>
        <w:rPr>
          <w:spacing w:val="69"/>
        </w:rPr>
        <w:t> </w:t>
      </w:r>
      <w:r>
        <w:rPr/>
        <w:t>DS;</w:t>
      </w:r>
      <w:r>
        <w:rPr>
          <w:spacing w:val="61"/>
        </w:rPr>
        <w:t> </w:t>
      </w:r>
      <w:r>
        <w:rPr/>
        <w:t>24.5</w:t>
      </w:r>
      <w:r>
        <w:rPr>
          <w:spacing w:val="69"/>
        </w:rPr>
        <w:t> </w:t>
      </w:r>
      <w:r>
        <w:rPr/>
        <w:t>–</w:t>
      </w:r>
      <w:r>
        <w:rPr>
          <w:spacing w:val="65"/>
        </w:rPr>
        <w:t> </w:t>
      </w:r>
      <w:r>
        <w:rPr/>
        <w:t>27.0</w:t>
      </w:r>
      <w:r>
        <w:rPr>
          <w:spacing w:val="74"/>
        </w:rPr>
        <w:t> </w:t>
      </w:r>
      <w:r>
        <w:rPr/>
        <w:t>%</w:t>
      </w:r>
      <w:r>
        <w:rPr>
          <w:spacing w:val="65"/>
        </w:rPr>
        <w:t> </w:t>
      </w:r>
      <w:r>
        <w:rPr/>
        <w:t>indicates</w:t>
      </w:r>
      <w:r>
        <w:rPr>
          <w:spacing w:val="64"/>
        </w:rPr>
        <w:t> </w:t>
      </w:r>
      <w:r>
        <w:rPr/>
        <w:t>that</w:t>
      </w:r>
      <w:r>
        <w:rPr>
          <w:spacing w:val="67"/>
        </w:rPr>
        <w:t> </w:t>
      </w:r>
      <w:r>
        <w:rPr/>
        <w:t>MCS</w:t>
      </w:r>
      <w:r>
        <w:rPr>
          <w:spacing w:val="70"/>
        </w:rPr>
        <w:t> </w:t>
      </w:r>
      <w:r>
        <w:rPr/>
        <w:t>and</w:t>
      </w:r>
      <w:r>
        <w:rPr>
          <w:spacing w:val="74"/>
        </w:rPr>
        <w:t> </w:t>
      </w:r>
      <w:r>
        <w:rPr/>
        <w:t>DS</w:t>
      </w:r>
      <w:r>
        <w:rPr>
          <w:spacing w:val="72"/>
        </w:rPr>
        <w:t> </w:t>
      </w:r>
      <w:r>
        <w:rPr/>
        <w:t>are</w:t>
      </w:r>
      <w:r>
        <w:rPr>
          <w:spacing w:val="66"/>
        </w:rPr>
        <w:t> </w:t>
      </w:r>
      <w:r>
        <w:rPr>
          <w:spacing w:val="-4"/>
        </w:rPr>
        <w:t>more</w:t>
      </w:r>
    </w:p>
    <w:p>
      <w:pPr>
        <w:spacing w:after="0" w:line="491" w:lineRule="auto"/>
        <w:jc w:val="both"/>
        <w:sectPr>
          <w:pgSz w:w="12240" w:h="15840"/>
          <w:pgMar w:header="0" w:footer="999" w:top="1260" w:bottom="1180" w:left="1720" w:right="760"/>
        </w:sectPr>
      </w:pPr>
    </w:p>
    <w:p>
      <w:pPr>
        <w:pStyle w:val="BodyText"/>
        <w:spacing w:line="491" w:lineRule="auto" w:before="75"/>
        <w:ind w:left="665" w:right="1098"/>
        <w:jc w:val="both"/>
      </w:pPr>
      <w:r>
        <w:rPr/>
        <w:t>hygroscopic in nature compared to MS. Thus, formulations containing MCS will have stability problems because of their high propensity to absorb moisture (Okafor, 1990). Moisture sorption capacity</w:t>
      </w:r>
      <w:r>
        <w:rPr>
          <w:spacing w:val="40"/>
        </w:rPr>
        <w:t> </w:t>
      </w:r>
      <w:r>
        <w:rPr/>
        <w:t>is a</w:t>
      </w:r>
      <w:r>
        <w:rPr>
          <w:spacing w:val="40"/>
        </w:rPr>
        <w:t> </w:t>
      </w:r>
      <w:r>
        <w:rPr/>
        <w:t>measure of moisture</w:t>
      </w:r>
      <w:r>
        <w:rPr>
          <w:spacing w:val="40"/>
        </w:rPr>
        <w:t> </w:t>
      </w:r>
      <w:r>
        <w:rPr/>
        <w:t>sensitivity of</w:t>
      </w:r>
      <w:r>
        <w:rPr>
          <w:spacing w:val="40"/>
        </w:rPr>
        <w:t> </w:t>
      </w:r>
      <w:r>
        <w:rPr/>
        <w:t>a material</w:t>
      </w:r>
      <w:r>
        <w:rPr>
          <w:spacing w:val="40"/>
        </w:rPr>
        <w:t> </w:t>
      </w:r>
      <w:r>
        <w:rPr/>
        <w:t>and</w:t>
      </w:r>
      <w:r>
        <w:rPr>
          <w:spacing w:val="40"/>
        </w:rPr>
        <w:t> </w:t>
      </w:r>
      <w:r>
        <w:rPr/>
        <w:t>it reflects the relative physical stability of the tablets formulated with the material when stored under humid conditions (Ohwoavworhua and Adelakun, 2005).</w:t>
      </w:r>
    </w:p>
    <w:p>
      <w:pPr>
        <w:pStyle w:val="BodyText"/>
        <w:spacing w:line="491" w:lineRule="auto"/>
        <w:ind w:left="665" w:right="1102" w:firstLine="676"/>
        <w:jc w:val="right"/>
      </w:pPr>
      <w:r>
        <w:rPr/>
        <w:t>A</w:t>
      </w:r>
      <w:r>
        <w:rPr>
          <w:spacing w:val="40"/>
        </w:rPr>
        <w:t> </w:t>
      </w:r>
      <w:r>
        <w:rPr/>
        <w:t>common</w:t>
      </w:r>
      <w:r>
        <w:rPr>
          <w:spacing w:val="32"/>
        </w:rPr>
        <w:t> </w:t>
      </w:r>
      <w:r>
        <w:rPr/>
        <w:t>feature</w:t>
      </w:r>
      <w:r>
        <w:rPr>
          <w:spacing w:val="40"/>
        </w:rPr>
        <w:t> </w:t>
      </w:r>
      <w:r>
        <w:rPr/>
        <w:t>of</w:t>
      </w:r>
      <w:r>
        <w:rPr>
          <w:spacing w:val="37"/>
        </w:rPr>
        <w:t> </w:t>
      </w:r>
      <w:r>
        <w:rPr/>
        <w:t>all</w:t>
      </w:r>
      <w:r>
        <w:rPr>
          <w:spacing w:val="34"/>
        </w:rPr>
        <w:t> </w:t>
      </w:r>
      <w:r>
        <w:rPr/>
        <w:t>theories</w:t>
      </w:r>
      <w:r>
        <w:rPr>
          <w:spacing w:val="39"/>
        </w:rPr>
        <w:t> </w:t>
      </w:r>
      <w:r>
        <w:rPr/>
        <w:t>of</w:t>
      </w:r>
      <w:r>
        <w:rPr>
          <w:spacing w:val="37"/>
        </w:rPr>
        <w:t> </w:t>
      </w:r>
      <w:r>
        <w:rPr/>
        <w:t>disintegration</w:t>
      </w:r>
      <w:r>
        <w:rPr>
          <w:spacing w:val="40"/>
        </w:rPr>
        <w:t> </w:t>
      </w:r>
      <w:r>
        <w:rPr/>
        <w:t>is</w:t>
      </w:r>
      <w:r>
        <w:rPr>
          <w:spacing w:val="33"/>
        </w:rPr>
        <w:t> </w:t>
      </w:r>
      <w:r>
        <w:rPr/>
        <w:t>that</w:t>
      </w:r>
      <w:r>
        <w:rPr>
          <w:spacing w:val="40"/>
        </w:rPr>
        <w:t> </w:t>
      </w:r>
      <w:r>
        <w:rPr/>
        <w:t>penetration</w:t>
      </w:r>
      <w:r>
        <w:rPr>
          <w:spacing w:val="32"/>
        </w:rPr>
        <w:t> </w:t>
      </w:r>
      <w:r>
        <w:rPr/>
        <w:t>of</w:t>
      </w:r>
      <w:r>
        <w:rPr>
          <w:spacing w:val="37"/>
        </w:rPr>
        <w:t> </w:t>
      </w:r>
      <w:r>
        <w:rPr/>
        <w:t>water (or</w:t>
      </w:r>
      <w:r>
        <w:rPr>
          <w:spacing w:val="80"/>
        </w:rPr>
        <w:t> </w:t>
      </w:r>
      <w:r>
        <w:rPr/>
        <w:t>liquid</w:t>
      </w:r>
      <w:r>
        <w:rPr>
          <w:spacing w:val="80"/>
        </w:rPr>
        <w:t> </w:t>
      </w:r>
      <w:r>
        <w:rPr/>
        <w:t>medium)</w:t>
      </w:r>
      <w:r>
        <w:rPr>
          <w:spacing w:val="80"/>
        </w:rPr>
        <w:t> </w:t>
      </w:r>
      <w:r>
        <w:rPr/>
        <w:t>must</w:t>
      </w:r>
      <w:r>
        <w:rPr>
          <w:spacing w:val="80"/>
        </w:rPr>
        <w:t> </w:t>
      </w:r>
      <w:r>
        <w:rPr/>
        <w:t>precede</w:t>
      </w:r>
      <w:r>
        <w:rPr>
          <w:spacing w:val="80"/>
        </w:rPr>
        <w:t> </w:t>
      </w:r>
      <w:r>
        <w:rPr/>
        <w:t>disintegration</w:t>
      </w:r>
      <w:r>
        <w:rPr>
          <w:spacing w:val="80"/>
        </w:rPr>
        <w:t> </w:t>
      </w:r>
      <w:r>
        <w:rPr/>
        <w:t>and</w:t>
      </w:r>
      <w:r>
        <w:rPr>
          <w:spacing w:val="80"/>
        </w:rPr>
        <w:t> </w:t>
      </w:r>
      <w:r>
        <w:rPr/>
        <w:t>this</w:t>
      </w:r>
      <w:r>
        <w:rPr>
          <w:spacing w:val="80"/>
        </w:rPr>
        <w:t> </w:t>
      </w:r>
      <w:r>
        <w:rPr/>
        <w:t>can</w:t>
      </w:r>
      <w:r>
        <w:rPr>
          <w:spacing w:val="80"/>
        </w:rPr>
        <w:t> </w:t>
      </w:r>
      <w:r>
        <w:rPr/>
        <w:t>be</w:t>
      </w:r>
      <w:r>
        <w:rPr>
          <w:spacing w:val="80"/>
        </w:rPr>
        <w:t> </w:t>
      </w:r>
      <w:r>
        <w:rPr/>
        <w:t>assessed</w:t>
      </w:r>
      <w:r>
        <w:rPr>
          <w:spacing w:val="80"/>
        </w:rPr>
        <w:t> </w:t>
      </w:r>
      <w:r>
        <w:rPr/>
        <w:t>by</w:t>
      </w:r>
      <w:r>
        <w:rPr>
          <w:spacing w:val="72"/>
        </w:rPr>
        <w:t> </w:t>
      </w:r>
      <w:r>
        <w:rPr/>
        <w:t>the determination</w:t>
      </w:r>
      <w:r>
        <w:rPr>
          <w:spacing w:val="11"/>
        </w:rPr>
        <w:t> </w:t>
      </w:r>
      <w:r>
        <w:rPr/>
        <w:t>of</w:t>
      </w:r>
      <w:r>
        <w:rPr>
          <w:spacing w:val="15"/>
        </w:rPr>
        <w:t> </w:t>
      </w:r>
      <w:r>
        <w:rPr/>
        <w:t>swelling</w:t>
      </w:r>
      <w:r>
        <w:rPr>
          <w:spacing w:val="12"/>
        </w:rPr>
        <w:t> </w:t>
      </w:r>
      <w:r>
        <w:rPr/>
        <w:t>power</w:t>
      </w:r>
      <w:r>
        <w:rPr>
          <w:spacing w:val="15"/>
        </w:rPr>
        <w:t> </w:t>
      </w:r>
      <w:r>
        <w:rPr/>
        <w:t>and</w:t>
      </w:r>
      <w:r>
        <w:rPr>
          <w:spacing w:val="12"/>
        </w:rPr>
        <w:t> </w:t>
      </w:r>
      <w:r>
        <w:rPr/>
        <w:t>moisture</w:t>
      </w:r>
      <w:r>
        <w:rPr>
          <w:spacing w:val="14"/>
        </w:rPr>
        <w:t> </w:t>
      </w:r>
      <w:r>
        <w:rPr/>
        <w:t>sorption</w:t>
      </w:r>
      <w:r>
        <w:rPr>
          <w:spacing w:val="5"/>
        </w:rPr>
        <w:t> </w:t>
      </w:r>
      <w:r>
        <w:rPr/>
        <w:t>capacity</w:t>
      </w:r>
      <w:r>
        <w:rPr>
          <w:spacing w:val="2"/>
        </w:rPr>
        <w:t> </w:t>
      </w:r>
      <w:r>
        <w:rPr/>
        <w:t>(Caramella</w:t>
      </w:r>
      <w:r>
        <w:rPr>
          <w:spacing w:val="14"/>
        </w:rPr>
        <w:t> </w:t>
      </w:r>
      <w:r>
        <w:rPr>
          <w:i/>
        </w:rPr>
        <w:t>et</w:t>
      </w:r>
      <w:r>
        <w:rPr>
          <w:i/>
          <w:spacing w:val="19"/>
        </w:rPr>
        <w:t> </w:t>
      </w:r>
      <w:r>
        <w:rPr>
          <w:i/>
        </w:rPr>
        <w:t>al</w:t>
      </w:r>
      <w:r>
        <w:rPr/>
        <w:t>,</w:t>
      </w:r>
      <w:r>
        <w:rPr>
          <w:spacing w:val="10"/>
        </w:rPr>
        <w:t> </w:t>
      </w:r>
      <w:r>
        <w:rPr>
          <w:spacing w:val="-2"/>
        </w:rPr>
        <w:t>1986).</w:t>
      </w:r>
    </w:p>
    <w:p>
      <w:pPr>
        <w:pStyle w:val="BodyText"/>
        <w:spacing w:line="494" w:lineRule="auto"/>
        <w:ind w:left="665" w:right="1096" w:firstLine="676"/>
        <w:jc w:val="both"/>
      </w:pPr>
      <w:r>
        <w:rPr/>
        <w:t>The pH of the starches was similar</w:t>
      </w:r>
      <w:r>
        <w:rPr>
          <w:spacing w:val="20"/>
        </w:rPr>
        <w:t> </w:t>
      </w:r>
      <w:r>
        <w:rPr/>
        <w:t>as shown in Table 4.4. MCS was observed to be</w:t>
      </w:r>
      <w:r>
        <w:rPr>
          <w:spacing w:val="36"/>
        </w:rPr>
        <w:t> </w:t>
      </w:r>
      <w:r>
        <w:rPr/>
        <w:t>slightly acidic</w:t>
      </w:r>
      <w:r>
        <w:rPr>
          <w:spacing w:val="40"/>
        </w:rPr>
        <w:t> </w:t>
      </w:r>
      <w:r>
        <w:rPr/>
        <w:t>compared</w:t>
      </w:r>
      <w:r>
        <w:rPr>
          <w:spacing w:val="40"/>
        </w:rPr>
        <w:t> </w:t>
      </w:r>
      <w:r>
        <w:rPr/>
        <w:t>to</w:t>
      </w:r>
      <w:r>
        <w:rPr>
          <w:spacing w:val="40"/>
        </w:rPr>
        <w:t> </w:t>
      </w:r>
      <w:r>
        <w:rPr/>
        <w:t>DS</w:t>
      </w:r>
      <w:r>
        <w:rPr>
          <w:spacing w:val="40"/>
        </w:rPr>
        <w:t> </w:t>
      </w:r>
      <w:r>
        <w:rPr/>
        <w:t>and</w:t>
      </w:r>
      <w:r>
        <w:rPr>
          <w:spacing w:val="40"/>
        </w:rPr>
        <w:t> </w:t>
      </w:r>
      <w:r>
        <w:rPr/>
        <w:t>MS.</w:t>
      </w:r>
      <w:r>
        <w:rPr>
          <w:spacing w:val="36"/>
        </w:rPr>
        <w:t> </w:t>
      </w:r>
      <w:r>
        <w:rPr/>
        <w:t>This</w:t>
      </w:r>
      <w:r>
        <w:rPr>
          <w:spacing w:val="40"/>
        </w:rPr>
        <w:t> </w:t>
      </w:r>
      <w:r>
        <w:rPr/>
        <w:t>was</w:t>
      </w:r>
      <w:r>
        <w:rPr>
          <w:spacing w:val="37"/>
        </w:rPr>
        <w:t> </w:t>
      </w:r>
      <w:r>
        <w:rPr/>
        <w:t>due</w:t>
      </w:r>
      <w:r>
        <w:rPr>
          <w:spacing w:val="40"/>
        </w:rPr>
        <w:t> </w:t>
      </w:r>
      <w:r>
        <w:rPr/>
        <w:t>to</w:t>
      </w:r>
      <w:r>
        <w:rPr>
          <w:spacing w:val="37"/>
        </w:rPr>
        <w:t> </w:t>
      </w:r>
      <w:r>
        <w:rPr/>
        <w:t>the</w:t>
      </w:r>
      <w:r>
        <w:rPr>
          <w:spacing w:val="40"/>
        </w:rPr>
        <w:t> </w:t>
      </w:r>
      <w:r>
        <w:rPr/>
        <w:t>hydrolytic</w:t>
      </w:r>
      <w:r>
        <w:rPr>
          <w:spacing w:val="36"/>
        </w:rPr>
        <w:t> </w:t>
      </w:r>
      <w:r>
        <w:rPr/>
        <w:t>treatment with 0.6 N HCL. It was observed that as the hydrolyzing time increased, MCS became more acidic</w:t>
      </w:r>
      <w:r>
        <w:rPr>
          <w:spacing w:val="20"/>
        </w:rPr>
        <w:t> </w:t>
      </w:r>
      <w:r>
        <w:rPr/>
        <w:t>(hydrolysis time</w:t>
      </w:r>
      <w:r>
        <w:rPr>
          <w:spacing w:val="20"/>
        </w:rPr>
        <w:t> </w:t>
      </w:r>
      <w:r>
        <w:rPr/>
        <w:t>of 6</w:t>
      </w:r>
      <w:r>
        <w:rPr>
          <w:spacing w:val="22"/>
        </w:rPr>
        <w:t> </w:t>
      </w:r>
      <w:r>
        <w:rPr/>
        <w:t>h had</w:t>
      </w:r>
      <w:r>
        <w:rPr>
          <w:spacing w:val="28"/>
        </w:rPr>
        <w:t> </w:t>
      </w:r>
      <w:r>
        <w:rPr/>
        <w:t>a pH of 6.36 while</w:t>
      </w:r>
      <w:r>
        <w:rPr>
          <w:spacing w:val="20"/>
        </w:rPr>
        <w:t> </w:t>
      </w:r>
      <w:r>
        <w:rPr/>
        <w:t>24</w:t>
      </w:r>
      <w:r>
        <w:rPr>
          <w:spacing w:val="21"/>
        </w:rPr>
        <w:t> </w:t>
      </w:r>
      <w:r>
        <w:rPr/>
        <w:t>h had</w:t>
      </w:r>
      <w:r>
        <w:rPr>
          <w:spacing w:val="28"/>
        </w:rPr>
        <w:t> </w:t>
      </w:r>
      <w:r>
        <w:rPr/>
        <w:t>a pH of 6.05).</w:t>
      </w:r>
    </w:p>
    <w:p>
      <w:pPr>
        <w:pStyle w:val="BodyText"/>
        <w:spacing w:line="491" w:lineRule="auto"/>
        <w:ind w:left="665" w:right="1102" w:firstLine="676"/>
        <w:jc w:val="both"/>
      </w:pPr>
      <w:r>
        <w:rPr/>
        <w:t>There is a strong positive correlation when MS is compared with DS (0.979) and MCS</w:t>
      </w:r>
      <w:r>
        <w:rPr>
          <w:spacing w:val="18"/>
        </w:rPr>
        <w:t> </w:t>
      </w:r>
      <w:r>
        <w:rPr/>
        <w:t>(0.974),</w:t>
      </w:r>
      <w:r>
        <w:rPr>
          <w:spacing w:val="25"/>
        </w:rPr>
        <w:t> </w:t>
      </w:r>
      <w:r>
        <w:rPr/>
        <w:t>because</w:t>
      </w:r>
      <w:r>
        <w:rPr>
          <w:spacing w:val="19"/>
        </w:rPr>
        <w:t> </w:t>
      </w:r>
      <w:r>
        <w:rPr/>
        <w:t>the</w:t>
      </w:r>
      <w:r>
        <w:rPr>
          <w:spacing w:val="29"/>
        </w:rPr>
        <w:t> </w:t>
      </w:r>
      <w:r>
        <w:rPr/>
        <w:t>values</w:t>
      </w:r>
      <w:r>
        <w:rPr>
          <w:spacing w:val="16"/>
        </w:rPr>
        <w:t> </w:t>
      </w:r>
      <w:r>
        <w:rPr/>
        <w:t>obtained</w:t>
      </w:r>
      <w:r>
        <w:rPr>
          <w:spacing w:val="26"/>
        </w:rPr>
        <w:t> </w:t>
      </w:r>
      <w:r>
        <w:rPr/>
        <w:t>are</w:t>
      </w:r>
      <w:r>
        <w:rPr>
          <w:spacing w:val="19"/>
        </w:rPr>
        <w:t> </w:t>
      </w:r>
      <w:r>
        <w:rPr/>
        <w:t>close</w:t>
      </w:r>
      <w:r>
        <w:rPr>
          <w:spacing w:val="19"/>
        </w:rPr>
        <w:t> </w:t>
      </w:r>
      <w:r>
        <w:rPr/>
        <w:t>to</w:t>
      </w:r>
      <w:r>
        <w:rPr>
          <w:spacing w:val="20"/>
        </w:rPr>
        <w:t> </w:t>
      </w:r>
      <w:r>
        <w:rPr/>
        <w:t>1.</w:t>
      </w:r>
      <w:r>
        <w:rPr>
          <w:spacing w:val="19"/>
        </w:rPr>
        <w:t> </w:t>
      </w:r>
      <w:r>
        <w:rPr/>
        <w:t>Thus</w:t>
      </w:r>
      <w:r>
        <w:rPr>
          <w:spacing w:val="16"/>
        </w:rPr>
        <w:t> </w:t>
      </w:r>
      <w:r>
        <w:rPr/>
        <w:t>correlation is</w:t>
      </w:r>
      <w:r>
        <w:rPr>
          <w:spacing w:val="21"/>
        </w:rPr>
        <w:t> </w:t>
      </w:r>
      <w:r>
        <w:rPr/>
        <w:t>significant at</w:t>
      </w:r>
      <w:r>
        <w:rPr>
          <w:spacing w:val="40"/>
        </w:rPr>
        <w:t> </w:t>
      </w:r>
      <w:r>
        <w:rPr/>
        <w:t>0.001</w:t>
      </w:r>
      <w:r>
        <w:rPr>
          <w:spacing w:val="40"/>
        </w:rPr>
        <w:t> </w:t>
      </w:r>
      <w:r>
        <w:rPr/>
        <w:t>levels.</w:t>
      </w:r>
      <w:r>
        <w:rPr>
          <w:spacing w:val="40"/>
        </w:rPr>
        <w:t> </w:t>
      </w:r>
      <w:r>
        <w:rPr/>
        <w:t>A</w:t>
      </w:r>
      <w:r>
        <w:rPr>
          <w:spacing w:val="40"/>
        </w:rPr>
        <w:t> </w:t>
      </w:r>
      <w:r>
        <w:rPr/>
        <w:t>stronger</w:t>
      </w:r>
      <w:r>
        <w:rPr>
          <w:spacing w:val="40"/>
        </w:rPr>
        <w:t> </w:t>
      </w:r>
      <w:r>
        <w:rPr/>
        <w:t>correlation</w:t>
      </w:r>
      <w:r>
        <w:rPr>
          <w:spacing w:val="40"/>
        </w:rPr>
        <w:t> </w:t>
      </w:r>
      <w:r>
        <w:rPr/>
        <w:t>is</w:t>
      </w:r>
      <w:r>
        <w:rPr>
          <w:spacing w:val="40"/>
        </w:rPr>
        <w:t> </w:t>
      </w:r>
      <w:r>
        <w:rPr/>
        <w:t>noticed</w:t>
      </w:r>
      <w:r>
        <w:rPr>
          <w:spacing w:val="40"/>
        </w:rPr>
        <w:t> </w:t>
      </w:r>
      <w:r>
        <w:rPr/>
        <w:t>when</w:t>
      </w:r>
      <w:r>
        <w:rPr>
          <w:spacing w:val="40"/>
        </w:rPr>
        <w:t> </w:t>
      </w:r>
      <w:r>
        <w:rPr/>
        <w:t>DS</w:t>
      </w:r>
      <w:r>
        <w:rPr>
          <w:spacing w:val="40"/>
        </w:rPr>
        <w:t> </w:t>
      </w:r>
      <w:r>
        <w:rPr/>
        <w:t>is</w:t>
      </w:r>
      <w:r>
        <w:rPr>
          <w:spacing w:val="40"/>
        </w:rPr>
        <w:t> </w:t>
      </w:r>
      <w:r>
        <w:rPr/>
        <w:t>compared</w:t>
      </w:r>
      <w:r>
        <w:rPr>
          <w:spacing w:val="40"/>
        </w:rPr>
        <w:t> </w:t>
      </w:r>
      <w:r>
        <w:rPr/>
        <w:t>with</w:t>
      </w:r>
      <w:r>
        <w:rPr>
          <w:spacing w:val="40"/>
        </w:rPr>
        <w:t> </w:t>
      </w:r>
      <w:r>
        <w:rPr/>
        <w:t>MCS (0.994) because the value is closer to 1.</w:t>
      </w:r>
    </w:p>
    <w:p>
      <w:pPr>
        <w:pStyle w:val="Heading2"/>
        <w:numPr>
          <w:ilvl w:val="1"/>
          <w:numId w:val="36"/>
        </w:numPr>
        <w:tabs>
          <w:tab w:pos="1342" w:val="left" w:leader="none"/>
        </w:tabs>
        <w:spacing w:line="240" w:lineRule="auto" w:before="222" w:after="0"/>
        <w:ind w:left="1342" w:right="0" w:hanging="677"/>
        <w:jc w:val="left"/>
      </w:pPr>
      <w:bookmarkStart w:name="_TOC_250023" w:id="138"/>
      <w:r>
        <w:rPr/>
        <w:t>Analysis</w:t>
      </w:r>
      <w:r>
        <w:rPr>
          <w:spacing w:val="12"/>
        </w:rPr>
        <w:t> </w:t>
      </w:r>
      <w:r>
        <w:rPr/>
        <w:t>of</w:t>
      </w:r>
      <w:r>
        <w:rPr>
          <w:spacing w:val="10"/>
        </w:rPr>
        <w:t> </w:t>
      </w:r>
      <w:bookmarkEnd w:id="138"/>
      <w:r>
        <w:rPr>
          <w:spacing w:val="-2"/>
        </w:rPr>
        <w:t>Granules</w:t>
      </w:r>
    </w:p>
    <w:p>
      <w:pPr>
        <w:pStyle w:val="BodyText"/>
        <w:spacing w:line="491" w:lineRule="auto" w:before="246"/>
        <w:ind w:left="665" w:right="1089" w:firstLine="729"/>
        <w:jc w:val="both"/>
      </w:pPr>
      <w:r>
        <w:rPr/>
        <w:t>The</w:t>
      </w:r>
      <w:r>
        <w:rPr>
          <w:spacing w:val="22"/>
        </w:rPr>
        <w:t> </w:t>
      </w:r>
      <w:r>
        <w:rPr/>
        <w:t>angle</w:t>
      </w:r>
      <w:r>
        <w:rPr>
          <w:spacing w:val="23"/>
        </w:rPr>
        <w:t> </w:t>
      </w:r>
      <w:r>
        <w:rPr/>
        <w:t>of</w:t>
      </w:r>
      <w:r>
        <w:rPr>
          <w:spacing w:val="18"/>
        </w:rPr>
        <w:t> </w:t>
      </w:r>
      <w:r>
        <w:rPr/>
        <w:t>repose,</w:t>
      </w:r>
      <w:r>
        <w:rPr>
          <w:spacing w:val="29"/>
        </w:rPr>
        <w:t> </w:t>
      </w:r>
      <w:r>
        <w:rPr/>
        <w:t>Carr’s</w:t>
      </w:r>
      <w:r>
        <w:rPr>
          <w:spacing w:val="19"/>
        </w:rPr>
        <w:t> </w:t>
      </w:r>
      <w:r>
        <w:rPr/>
        <w:t>index</w:t>
      </w:r>
      <w:r>
        <w:rPr>
          <w:spacing w:val="19"/>
        </w:rPr>
        <w:t> </w:t>
      </w:r>
      <w:r>
        <w:rPr/>
        <w:t>and</w:t>
      </w:r>
      <w:r>
        <w:rPr>
          <w:spacing w:val="24"/>
        </w:rPr>
        <w:t> </w:t>
      </w:r>
      <w:r>
        <w:rPr/>
        <w:t>Hausner`s</w:t>
      </w:r>
      <w:r>
        <w:rPr>
          <w:spacing w:val="21"/>
        </w:rPr>
        <w:t> </w:t>
      </w:r>
      <w:r>
        <w:rPr/>
        <w:t>ratio</w:t>
      </w:r>
      <w:r>
        <w:rPr>
          <w:spacing w:val="18"/>
        </w:rPr>
        <w:t> </w:t>
      </w:r>
      <w:r>
        <w:rPr/>
        <w:t>of</w:t>
      </w:r>
      <w:r>
        <w:rPr>
          <w:spacing w:val="18"/>
        </w:rPr>
        <w:t> </w:t>
      </w:r>
      <w:r>
        <w:rPr/>
        <w:t>the</w:t>
      </w:r>
      <w:r>
        <w:rPr>
          <w:spacing w:val="28"/>
        </w:rPr>
        <w:t> </w:t>
      </w:r>
      <w:r>
        <w:rPr/>
        <w:t>granules</w:t>
      </w:r>
      <w:r>
        <w:rPr>
          <w:spacing w:val="19"/>
        </w:rPr>
        <w:t> </w:t>
      </w:r>
      <w:r>
        <w:rPr/>
        <w:t>as</w:t>
      </w:r>
      <w:r>
        <w:rPr>
          <w:spacing w:val="19"/>
        </w:rPr>
        <w:t> </w:t>
      </w:r>
      <w:r>
        <w:rPr/>
        <w:t>shown in Tables 4.6 and 4.7 showed a marked improvement compared to that of the starch powder on Table 4.4. Alteration of particle size of starch by the process of granulation produced relatively large sized</w:t>
      </w:r>
      <w:r>
        <w:rPr>
          <w:spacing w:val="40"/>
        </w:rPr>
        <w:t> </w:t>
      </w:r>
      <w:r>
        <w:rPr/>
        <w:t>granules</w:t>
      </w:r>
      <w:r>
        <w:rPr>
          <w:spacing w:val="40"/>
        </w:rPr>
        <w:t> </w:t>
      </w:r>
      <w:r>
        <w:rPr/>
        <w:t>with improved</w:t>
      </w:r>
      <w:r>
        <w:rPr>
          <w:spacing w:val="40"/>
        </w:rPr>
        <w:t> </w:t>
      </w:r>
      <w:r>
        <w:rPr/>
        <w:t>flowability (Staniforth,</w:t>
      </w:r>
      <w:r>
        <w:rPr>
          <w:spacing w:val="40"/>
        </w:rPr>
        <w:t> </w:t>
      </w:r>
      <w:r>
        <w:rPr/>
        <w:t>2007). The flow properties were assessed using the parameters of angle of repose and flow rate while</w:t>
      </w:r>
      <w:r>
        <w:rPr>
          <w:spacing w:val="40"/>
        </w:rPr>
        <w:t> </w:t>
      </w:r>
      <w:r>
        <w:rPr/>
        <w:t>Carr`s</w:t>
      </w:r>
      <w:r>
        <w:rPr>
          <w:spacing w:val="40"/>
        </w:rPr>
        <w:t> </w:t>
      </w:r>
      <w:r>
        <w:rPr/>
        <w:t>index</w:t>
      </w:r>
      <w:r>
        <w:rPr>
          <w:spacing w:val="40"/>
        </w:rPr>
        <w:t> </w:t>
      </w:r>
      <w:r>
        <w:rPr/>
        <w:t>and</w:t>
      </w:r>
      <w:r>
        <w:rPr>
          <w:spacing w:val="40"/>
        </w:rPr>
        <w:t> </w:t>
      </w:r>
      <w:r>
        <w:rPr/>
        <w:t>Hausner`s</w:t>
      </w:r>
      <w:r>
        <w:rPr>
          <w:spacing w:val="40"/>
        </w:rPr>
        <w:t> </w:t>
      </w:r>
      <w:r>
        <w:rPr/>
        <w:t>ratio</w:t>
      </w:r>
      <w:r>
        <w:rPr>
          <w:spacing w:val="40"/>
        </w:rPr>
        <w:t> </w:t>
      </w:r>
      <w:r>
        <w:rPr/>
        <w:t>were</w:t>
      </w:r>
      <w:r>
        <w:rPr>
          <w:spacing w:val="40"/>
        </w:rPr>
        <w:t> </w:t>
      </w:r>
      <w:r>
        <w:rPr/>
        <w:t>used</w:t>
      </w:r>
      <w:r>
        <w:rPr>
          <w:spacing w:val="40"/>
        </w:rPr>
        <w:t> </w:t>
      </w:r>
      <w:r>
        <w:rPr/>
        <w:t>to</w:t>
      </w:r>
      <w:r>
        <w:rPr>
          <w:spacing w:val="40"/>
        </w:rPr>
        <w:t> </w:t>
      </w:r>
      <w:r>
        <w:rPr/>
        <w:t>evaluate</w:t>
      </w:r>
      <w:r>
        <w:rPr>
          <w:spacing w:val="40"/>
        </w:rPr>
        <w:t> </w:t>
      </w:r>
      <w:r>
        <w:rPr/>
        <w:t>starch</w:t>
      </w:r>
      <w:r>
        <w:rPr>
          <w:spacing w:val="40"/>
        </w:rPr>
        <w:t> </w:t>
      </w:r>
      <w:r>
        <w:rPr/>
        <w:t>compressibility. The</w:t>
      </w:r>
      <w:r>
        <w:rPr>
          <w:spacing w:val="37"/>
        </w:rPr>
        <w:t> </w:t>
      </w:r>
      <w:r>
        <w:rPr/>
        <w:t>angle</w:t>
      </w:r>
      <w:r>
        <w:rPr>
          <w:spacing w:val="40"/>
        </w:rPr>
        <w:t> </w:t>
      </w:r>
      <w:r>
        <w:rPr/>
        <w:t>of</w:t>
      </w:r>
      <w:r>
        <w:rPr>
          <w:spacing w:val="38"/>
        </w:rPr>
        <w:t> </w:t>
      </w:r>
      <w:r>
        <w:rPr/>
        <w:t>repose</w:t>
      </w:r>
      <w:r>
        <w:rPr>
          <w:spacing w:val="31"/>
        </w:rPr>
        <w:t> </w:t>
      </w:r>
      <w:r>
        <w:rPr/>
        <w:t>of</w:t>
      </w:r>
      <w:r>
        <w:rPr>
          <w:spacing w:val="38"/>
        </w:rPr>
        <w:t> </w:t>
      </w:r>
      <w:r>
        <w:rPr/>
        <w:t>the</w:t>
      </w:r>
      <w:r>
        <w:rPr>
          <w:spacing w:val="40"/>
        </w:rPr>
        <w:t> </w:t>
      </w:r>
      <w:r>
        <w:rPr/>
        <w:t>granules</w:t>
      </w:r>
      <w:r>
        <w:rPr>
          <w:spacing w:val="40"/>
        </w:rPr>
        <w:t> </w:t>
      </w:r>
      <w:r>
        <w:rPr/>
        <w:t>was</w:t>
      </w:r>
      <w:r>
        <w:rPr>
          <w:spacing w:val="40"/>
        </w:rPr>
        <w:t> </w:t>
      </w:r>
      <w:r>
        <w:rPr/>
        <w:t>less</w:t>
      </w:r>
      <w:r>
        <w:rPr>
          <w:spacing w:val="40"/>
        </w:rPr>
        <w:t> </w:t>
      </w:r>
      <w:r>
        <w:rPr/>
        <w:t>than</w:t>
      </w:r>
      <w:r>
        <w:rPr>
          <w:spacing w:val="39"/>
        </w:rPr>
        <w:t> </w:t>
      </w:r>
      <w:r>
        <w:rPr/>
        <w:t>50</w:t>
      </w:r>
      <w:r>
        <w:rPr>
          <w:vertAlign w:val="superscript"/>
        </w:rPr>
        <w:t>o</w:t>
      </w:r>
      <w:r>
        <w:rPr>
          <w:vertAlign w:val="baseline"/>
        </w:rPr>
        <w:t> thus</w:t>
      </w:r>
      <w:r>
        <w:rPr>
          <w:spacing w:val="40"/>
          <w:vertAlign w:val="baseline"/>
        </w:rPr>
        <w:t> </w:t>
      </w:r>
      <w:r>
        <w:rPr>
          <w:vertAlign w:val="baseline"/>
        </w:rPr>
        <w:t>granules</w:t>
      </w:r>
      <w:r>
        <w:rPr>
          <w:spacing w:val="40"/>
          <w:vertAlign w:val="baseline"/>
        </w:rPr>
        <w:t> </w:t>
      </w:r>
      <w:r>
        <w:rPr>
          <w:vertAlign w:val="baseline"/>
        </w:rPr>
        <w:t>have</w:t>
      </w:r>
      <w:r>
        <w:rPr>
          <w:spacing w:val="40"/>
          <w:vertAlign w:val="baseline"/>
        </w:rPr>
        <w:t> </w:t>
      </w:r>
      <w:r>
        <w:rPr>
          <w:vertAlign w:val="baseline"/>
        </w:rPr>
        <w:t>satisfactory flow</w:t>
      </w:r>
      <w:r>
        <w:rPr>
          <w:spacing w:val="23"/>
          <w:vertAlign w:val="baseline"/>
        </w:rPr>
        <w:t> </w:t>
      </w:r>
      <w:r>
        <w:rPr>
          <w:vertAlign w:val="baseline"/>
        </w:rPr>
        <w:t>properties</w:t>
      </w:r>
      <w:r>
        <w:rPr>
          <w:spacing w:val="22"/>
          <w:vertAlign w:val="baseline"/>
        </w:rPr>
        <w:t> </w:t>
      </w:r>
      <w:r>
        <w:rPr>
          <w:vertAlign w:val="baseline"/>
        </w:rPr>
        <w:t>(Staniforth,</w:t>
      </w:r>
      <w:r>
        <w:rPr>
          <w:spacing w:val="24"/>
          <w:vertAlign w:val="baseline"/>
        </w:rPr>
        <w:t> </w:t>
      </w:r>
      <w:r>
        <w:rPr>
          <w:vertAlign w:val="baseline"/>
        </w:rPr>
        <w:t>2007).</w:t>
      </w:r>
      <w:r>
        <w:rPr>
          <w:spacing w:val="29"/>
          <w:vertAlign w:val="baseline"/>
        </w:rPr>
        <w:t> </w:t>
      </w:r>
      <w:r>
        <w:rPr>
          <w:vertAlign w:val="baseline"/>
        </w:rPr>
        <w:t>Carr’s</w:t>
      </w:r>
      <w:r>
        <w:rPr>
          <w:spacing w:val="20"/>
          <w:vertAlign w:val="baseline"/>
        </w:rPr>
        <w:t> </w:t>
      </w:r>
      <w:r>
        <w:rPr>
          <w:vertAlign w:val="baseline"/>
        </w:rPr>
        <w:t>index</w:t>
      </w:r>
      <w:r>
        <w:rPr>
          <w:spacing w:val="20"/>
          <w:vertAlign w:val="baseline"/>
        </w:rPr>
        <w:t> </w:t>
      </w:r>
      <w:r>
        <w:rPr>
          <w:vertAlign w:val="baseline"/>
        </w:rPr>
        <w:t>of</w:t>
      </w:r>
      <w:r>
        <w:rPr>
          <w:spacing w:val="24"/>
          <w:vertAlign w:val="baseline"/>
        </w:rPr>
        <w:t> </w:t>
      </w:r>
      <w:r>
        <w:rPr>
          <w:vertAlign w:val="baseline"/>
        </w:rPr>
        <w:t>DS</w:t>
      </w:r>
      <w:r>
        <w:rPr>
          <w:spacing w:val="22"/>
          <w:vertAlign w:val="baseline"/>
        </w:rPr>
        <w:t> </w:t>
      </w:r>
      <w:r>
        <w:rPr>
          <w:vertAlign w:val="baseline"/>
        </w:rPr>
        <w:t>and</w:t>
      </w:r>
      <w:r>
        <w:rPr>
          <w:spacing w:val="25"/>
          <w:vertAlign w:val="baseline"/>
        </w:rPr>
        <w:t> </w:t>
      </w:r>
      <w:r>
        <w:rPr>
          <w:vertAlign w:val="baseline"/>
        </w:rPr>
        <w:t>MCS</w:t>
      </w:r>
      <w:r>
        <w:rPr>
          <w:spacing w:val="22"/>
          <w:vertAlign w:val="baseline"/>
        </w:rPr>
        <w:t> </w:t>
      </w:r>
      <w:r>
        <w:rPr>
          <w:vertAlign w:val="baseline"/>
        </w:rPr>
        <w:t>was</w:t>
      </w:r>
      <w:r>
        <w:rPr>
          <w:spacing w:val="16"/>
          <w:vertAlign w:val="baseline"/>
        </w:rPr>
        <w:t> </w:t>
      </w:r>
      <w:r>
        <w:rPr>
          <w:vertAlign w:val="baseline"/>
        </w:rPr>
        <w:t>between</w:t>
      </w:r>
      <w:r>
        <w:rPr>
          <w:spacing w:val="20"/>
          <w:vertAlign w:val="baseline"/>
        </w:rPr>
        <w:t> </w:t>
      </w:r>
      <w:r>
        <w:rPr>
          <w:vertAlign w:val="baseline"/>
        </w:rPr>
        <w:t>7</w:t>
      </w:r>
      <w:r>
        <w:rPr>
          <w:spacing w:val="25"/>
          <w:vertAlign w:val="baseline"/>
        </w:rPr>
        <w:t> </w:t>
      </w:r>
      <w:r>
        <w:rPr>
          <w:vertAlign w:val="baseline"/>
        </w:rPr>
        <w:t>and</w:t>
      </w:r>
      <w:r>
        <w:rPr>
          <w:spacing w:val="31"/>
          <w:vertAlign w:val="baseline"/>
        </w:rPr>
        <w:t> </w:t>
      </w:r>
      <w:r>
        <w:rPr>
          <w:vertAlign w:val="baseline"/>
        </w:rPr>
        <w:t>16</w:t>
      </w:r>
    </w:p>
    <w:p>
      <w:pPr>
        <w:spacing w:after="0" w:line="491" w:lineRule="auto"/>
        <w:jc w:val="both"/>
        <w:sectPr>
          <w:pgSz w:w="12240" w:h="15840"/>
          <w:pgMar w:header="0" w:footer="999" w:top="1260" w:bottom="1180" w:left="1720" w:right="760"/>
        </w:sectPr>
      </w:pPr>
    </w:p>
    <w:p>
      <w:pPr>
        <w:pStyle w:val="BodyText"/>
        <w:spacing w:line="491" w:lineRule="auto" w:before="75"/>
        <w:ind w:left="665" w:right="1096"/>
        <w:jc w:val="both"/>
      </w:pPr>
      <w:r>
        <w:rPr/>
        <w:t>% reflects good (free flowing powdered granules), (Staniforth, 2007). The Carr’s index and the Hausner`s ratio values obtained were less than or equal to 28 % and 1.20 respectively thus the prepared metronidazole granules had better flow properties</w:t>
      </w:r>
      <w:r>
        <w:rPr>
          <w:spacing w:val="80"/>
        </w:rPr>
        <w:t> </w:t>
      </w:r>
      <w:r>
        <w:rPr/>
        <w:t>(Hausner, 1967). The tapped densities for all the granules were higher than the bulk densities. The percentage compressibility (Carr’s index) and ultimately the Hausner`s</w:t>
      </w:r>
      <w:r>
        <w:rPr>
          <w:spacing w:val="80"/>
        </w:rPr>
        <w:t> </w:t>
      </w:r>
      <w:r>
        <w:rPr/>
        <w:t>ratio</w:t>
      </w:r>
      <w:r>
        <w:rPr>
          <w:spacing w:val="40"/>
        </w:rPr>
        <w:t> </w:t>
      </w:r>
      <w:r>
        <w:rPr/>
        <w:t>express</w:t>
      </w:r>
      <w:r>
        <w:rPr>
          <w:spacing w:val="40"/>
        </w:rPr>
        <w:t> </w:t>
      </w:r>
      <w:r>
        <w:rPr/>
        <w:t>the</w:t>
      </w:r>
      <w:r>
        <w:rPr>
          <w:spacing w:val="40"/>
        </w:rPr>
        <w:t> </w:t>
      </w:r>
      <w:r>
        <w:rPr/>
        <w:t>difference</w:t>
      </w:r>
      <w:r>
        <w:rPr>
          <w:spacing w:val="40"/>
        </w:rPr>
        <w:t> </w:t>
      </w:r>
      <w:r>
        <w:rPr/>
        <w:t>between</w:t>
      </w:r>
      <w:r>
        <w:rPr>
          <w:spacing w:val="40"/>
        </w:rPr>
        <w:t> </w:t>
      </w:r>
      <w:r>
        <w:rPr/>
        <w:t>the</w:t>
      </w:r>
      <w:r>
        <w:rPr>
          <w:spacing w:val="40"/>
        </w:rPr>
        <w:t> </w:t>
      </w:r>
      <w:r>
        <w:rPr/>
        <w:t>bulk</w:t>
      </w:r>
      <w:r>
        <w:rPr>
          <w:spacing w:val="40"/>
        </w:rPr>
        <w:t> </w:t>
      </w:r>
      <w:r>
        <w:rPr/>
        <w:t>and</w:t>
      </w:r>
      <w:r>
        <w:rPr>
          <w:spacing w:val="40"/>
        </w:rPr>
        <w:t> </w:t>
      </w:r>
      <w:r>
        <w:rPr/>
        <w:t>tapped</w:t>
      </w:r>
      <w:r>
        <w:rPr>
          <w:spacing w:val="40"/>
        </w:rPr>
        <w:t> </w:t>
      </w:r>
      <w:r>
        <w:rPr/>
        <w:t>densities</w:t>
      </w:r>
      <w:r>
        <w:rPr>
          <w:spacing w:val="40"/>
        </w:rPr>
        <w:t> </w:t>
      </w:r>
      <w:r>
        <w:rPr/>
        <w:t>and</w:t>
      </w:r>
      <w:r>
        <w:rPr>
          <w:spacing w:val="40"/>
        </w:rPr>
        <w:t> </w:t>
      </w:r>
      <w:r>
        <w:rPr/>
        <w:t>the</w:t>
      </w:r>
      <w:r>
        <w:rPr>
          <w:spacing w:val="40"/>
        </w:rPr>
        <w:t> </w:t>
      </w:r>
      <w:r>
        <w:rPr/>
        <w:t>ratio</w:t>
      </w:r>
      <w:r>
        <w:rPr>
          <w:spacing w:val="40"/>
        </w:rPr>
        <w:t> </w:t>
      </w:r>
      <w:r>
        <w:rPr/>
        <w:t>of tapped to bulk density. These indices give a measure of the ability of a material to be reduced in volume under pressure and the indication of the likely flow behavior of granules when subjected to compression forces to form compact mass. It has been</w:t>
      </w:r>
      <w:r>
        <w:rPr>
          <w:spacing w:val="40"/>
        </w:rPr>
        <w:t> </w:t>
      </w:r>
      <w:r>
        <w:rPr/>
        <w:t>reported</w:t>
      </w:r>
      <w:r>
        <w:rPr>
          <w:spacing w:val="23"/>
        </w:rPr>
        <w:t> </w:t>
      </w:r>
      <w:r>
        <w:rPr/>
        <w:t>that</w:t>
      </w:r>
      <w:r>
        <w:rPr>
          <w:spacing w:val="21"/>
        </w:rPr>
        <w:t> </w:t>
      </w:r>
      <w:r>
        <w:rPr/>
        <w:t>the</w:t>
      </w:r>
      <w:r>
        <w:rPr>
          <w:spacing w:val="22"/>
        </w:rPr>
        <w:t> </w:t>
      </w:r>
      <w:r>
        <w:rPr/>
        <w:t>flow</w:t>
      </w:r>
      <w:r>
        <w:rPr>
          <w:spacing w:val="21"/>
        </w:rPr>
        <w:t> </w:t>
      </w:r>
      <w:r>
        <w:rPr/>
        <w:t>of the</w:t>
      </w:r>
      <w:r>
        <w:rPr>
          <w:spacing w:val="27"/>
        </w:rPr>
        <w:t> </w:t>
      </w:r>
      <w:r>
        <w:rPr/>
        <w:t>granules</w:t>
      </w:r>
      <w:r>
        <w:rPr>
          <w:spacing w:val="25"/>
        </w:rPr>
        <w:t> </w:t>
      </w:r>
      <w:r>
        <w:rPr/>
        <w:t>is</w:t>
      </w:r>
      <w:r>
        <w:rPr>
          <w:spacing w:val="19"/>
        </w:rPr>
        <w:t> </w:t>
      </w:r>
      <w:r>
        <w:rPr/>
        <w:t>better</w:t>
      </w:r>
      <w:r>
        <w:rPr>
          <w:spacing w:val="22"/>
        </w:rPr>
        <w:t> </w:t>
      </w:r>
      <w:r>
        <w:rPr/>
        <w:t>when</w:t>
      </w:r>
      <w:r>
        <w:rPr>
          <w:spacing w:val="23"/>
        </w:rPr>
        <w:t> </w:t>
      </w:r>
      <w:r>
        <w:rPr/>
        <w:t>Carr’s</w:t>
      </w:r>
      <w:r>
        <w:rPr>
          <w:spacing w:val="19"/>
        </w:rPr>
        <w:t> </w:t>
      </w:r>
      <w:r>
        <w:rPr/>
        <w:t>index</w:t>
      </w:r>
      <w:r>
        <w:rPr>
          <w:spacing w:val="23"/>
        </w:rPr>
        <w:t> </w:t>
      </w:r>
      <w:r>
        <w:rPr/>
        <w:t>is</w:t>
      </w:r>
      <w:r>
        <w:rPr>
          <w:spacing w:val="25"/>
        </w:rPr>
        <w:t> </w:t>
      </w:r>
      <w:r>
        <w:rPr/>
        <w:t>lower</w:t>
      </w:r>
      <w:r>
        <w:rPr>
          <w:spacing w:val="22"/>
        </w:rPr>
        <w:t> </w:t>
      </w:r>
      <w:r>
        <w:rPr/>
        <w:t>(Schwartz</w:t>
      </w:r>
      <w:r>
        <w:rPr>
          <w:spacing w:val="22"/>
        </w:rPr>
        <w:t> </w:t>
      </w:r>
      <w:r>
        <w:rPr>
          <w:i/>
        </w:rPr>
        <w:t>et al, </w:t>
      </w:r>
      <w:r>
        <w:rPr/>
        <w:t>1975).</w:t>
      </w:r>
    </w:p>
    <w:p>
      <w:pPr>
        <w:pStyle w:val="BodyText"/>
        <w:spacing w:line="491" w:lineRule="auto" w:before="3"/>
        <w:ind w:left="665" w:right="1099" w:firstLine="676"/>
        <w:jc w:val="both"/>
      </w:pPr>
      <w:r>
        <w:rPr/>
        <w:t>Thus metronidazole granules produced had better flow properties. The tapped densities</w:t>
      </w:r>
      <w:r>
        <w:rPr>
          <w:spacing w:val="26"/>
        </w:rPr>
        <w:t> </w:t>
      </w:r>
      <w:r>
        <w:rPr/>
        <w:t>for</w:t>
      </w:r>
      <w:r>
        <w:rPr>
          <w:spacing w:val="29"/>
        </w:rPr>
        <w:t> </w:t>
      </w:r>
      <w:r>
        <w:rPr/>
        <w:t>all</w:t>
      </w:r>
      <w:r>
        <w:rPr>
          <w:spacing w:val="22"/>
        </w:rPr>
        <w:t> </w:t>
      </w:r>
      <w:r>
        <w:rPr/>
        <w:t>the</w:t>
      </w:r>
      <w:r>
        <w:rPr>
          <w:spacing w:val="34"/>
        </w:rPr>
        <w:t> </w:t>
      </w:r>
      <w:r>
        <w:rPr/>
        <w:t>granules</w:t>
      </w:r>
      <w:r>
        <w:rPr>
          <w:spacing w:val="21"/>
        </w:rPr>
        <w:t> </w:t>
      </w:r>
      <w:r>
        <w:rPr/>
        <w:t>were</w:t>
      </w:r>
      <w:r>
        <w:rPr>
          <w:spacing w:val="34"/>
        </w:rPr>
        <w:t> </w:t>
      </w:r>
      <w:r>
        <w:rPr/>
        <w:t>higher</w:t>
      </w:r>
      <w:r>
        <w:rPr>
          <w:spacing w:val="29"/>
        </w:rPr>
        <w:t> </w:t>
      </w:r>
      <w:r>
        <w:rPr/>
        <w:t>than</w:t>
      </w:r>
      <w:r>
        <w:rPr>
          <w:spacing w:val="26"/>
        </w:rPr>
        <w:t> </w:t>
      </w:r>
      <w:r>
        <w:rPr/>
        <w:t>the</w:t>
      </w:r>
      <w:r>
        <w:rPr>
          <w:spacing w:val="34"/>
        </w:rPr>
        <w:t> </w:t>
      </w:r>
      <w:r>
        <w:rPr/>
        <w:t>bulk</w:t>
      </w:r>
      <w:r>
        <w:rPr>
          <w:spacing w:val="25"/>
        </w:rPr>
        <w:t> </w:t>
      </w:r>
      <w:r>
        <w:rPr/>
        <w:t>densities</w:t>
      </w:r>
      <w:r>
        <w:rPr>
          <w:spacing w:val="26"/>
        </w:rPr>
        <w:t> </w:t>
      </w:r>
      <w:r>
        <w:rPr/>
        <w:t>as</w:t>
      </w:r>
      <w:r>
        <w:rPr>
          <w:spacing w:val="26"/>
        </w:rPr>
        <w:t> </w:t>
      </w:r>
      <w:r>
        <w:rPr/>
        <w:t>reflected</w:t>
      </w:r>
      <w:r>
        <w:rPr>
          <w:spacing w:val="31"/>
        </w:rPr>
        <w:t> </w:t>
      </w:r>
      <w:r>
        <w:rPr/>
        <w:t>in</w:t>
      </w:r>
      <w:r>
        <w:rPr>
          <w:spacing w:val="25"/>
        </w:rPr>
        <w:t> </w:t>
      </w:r>
      <w:r>
        <w:rPr>
          <w:spacing w:val="-2"/>
        </w:rPr>
        <w:t>Tables</w:t>
      </w:r>
    </w:p>
    <w:p>
      <w:pPr>
        <w:pStyle w:val="BodyText"/>
        <w:spacing w:line="491" w:lineRule="auto"/>
        <w:ind w:left="665" w:right="1099"/>
        <w:jc w:val="both"/>
      </w:pPr>
      <w:r>
        <w:rPr/>
        <w:t>4.6 and 4.7. Granules produced at varying binder concentrations (2.5 – 12.5 % w/v) as shown in Table 4.6 had better flow properties than granules produced at disintegrant concentration in Table 4.7. This was probably due to increase in granule size with the binder used at different concentrations.</w:t>
      </w:r>
    </w:p>
    <w:p>
      <w:pPr>
        <w:pStyle w:val="BodyText"/>
        <w:spacing w:line="491" w:lineRule="auto"/>
        <w:ind w:left="665" w:right="1097" w:firstLine="676"/>
        <w:jc w:val="both"/>
      </w:pPr>
      <w:r>
        <w:rPr/>
        <w:t>The percentage compressibility (Carr’s index) and ultimately the Hausner`s ratio express the difference between the bulk and tapped densities and the ratio of tapped to</w:t>
      </w:r>
      <w:r>
        <w:rPr>
          <w:spacing w:val="40"/>
        </w:rPr>
        <w:t> </w:t>
      </w:r>
      <w:r>
        <w:rPr/>
        <w:t>bulk density. These indices give a measure of the ability of a material to be reduced in volume under pressure and the indication of the likely flow behavior of granules when subjected to compression forces to form compact mass. Schwartz </w:t>
      </w:r>
      <w:r>
        <w:rPr>
          <w:i/>
        </w:rPr>
        <w:t>et al</w:t>
      </w:r>
      <w:r>
        <w:rPr/>
        <w:t>, (1975) reported that the lower the Car’s index, the better is the predicted</w:t>
      </w:r>
      <w:r>
        <w:rPr>
          <w:spacing w:val="29"/>
        </w:rPr>
        <w:t> </w:t>
      </w:r>
      <w:r>
        <w:rPr/>
        <w:t>flow of the granules.</w:t>
      </w:r>
    </w:p>
    <w:p>
      <w:pPr>
        <w:pStyle w:val="BodyText"/>
        <w:spacing w:line="491" w:lineRule="auto" w:before="2"/>
        <w:ind w:left="665" w:right="1098" w:firstLine="676"/>
        <w:jc w:val="both"/>
      </w:pPr>
      <w:r>
        <w:rPr/>
        <w:t>At all disintegrant concentrations, a strong positive correlation is noticed when</w:t>
      </w:r>
      <w:r>
        <w:rPr>
          <w:spacing w:val="80"/>
        </w:rPr>
        <w:t> </w:t>
      </w:r>
      <w:r>
        <w:rPr/>
        <w:t>MS</w:t>
      </w:r>
      <w:r>
        <w:rPr>
          <w:spacing w:val="36"/>
        </w:rPr>
        <w:t> </w:t>
      </w:r>
      <w:r>
        <w:rPr/>
        <w:t>is</w:t>
      </w:r>
      <w:r>
        <w:rPr>
          <w:spacing w:val="37"/>
        </w:rPr>
        <w:t> </w:t>
      </w:r>
      <w:r>
        <w:rPr/>
        <w:t>compared</w:t>
      </w:r>
      <w:r>
        <w:rPr>
          <w:spacing w:val="46"/>
        </w:rPr>
        <w:t> </w:t>
      </w:r>
      <w:r>
        <w:rPr/>
        <w:t>with</w:t>
      </w:r>
      <w:r>
        <w:rPr>
          <w:spacing w:val="30"/>
        </w:rPr>
        <w:t> </w:t>
      </w:r>
      <w:r>
        <w:rPr/>
        <w:t>DS</w:t>
      </w:r>
      <w:r>
        <w:rPr>
          <w:spacing w:val="37"/>
        </w:rPr>
        <w:t> </w:t>
      </w:r>
      <w:r>
        <w:rPr/>
        <w:t>and</w:t>
      </w:r>
      <w:r>
        <w:rPr>
          <w:spacing w:val="45"/>
        </w:rPr>
        <w:t> </w:t>
      </w:r>
      <w:r>
        <w:rPr/>
        <w:t>MCS</w:t>
      </w:r>
      <w:r>
        <w:rPr>
          <w:spacing w:val="37"/>
        </w:rPr>
        <w:t> </w:t>
      </w:r>
      <w:r>
        <w:rPr/>
        <w:t>(&gt;0.900).</w:t>
      </w:r>
      <w:r>
        <w:rPr>
          <w:spacing w:val="39"/>
        </w:rPr>
        <w:t> </w:t>
      </w:r>
      <w:r>
        <w:rPr/>
        <w:t>A</w:t>
      </w:r>
      <w:r>
        <w:rPr>
          <w:spacing w:val="34"/>
        </w:rPr>
        <w:t> </w:t>
      </w:r>
      <w:r>
        <w:rPr/>
        <w:t>much</w:t>
      </w:r>
      <w:r>
        <w:rPr>
          <w:spacing w:val="35"/>
        </w:rPr>
        <w:t> </w:t>
      </w:r>
      <w:r>
        <w:rPr/>
        <w:t>stronger</w:t>
      </w:r>
      <w:r>
        <w:rPr>
          <w:spacing w:val="40"/>
        </w:rPr>
        <w:t> </w:t>
      </w:r>
      <w:r>
        <w:rPr/>
        <w:t>correlation</w:t>
      </w:r>
      <w:r>
        <w:rPr>
          <w:spacing w:val="36"/>
        </w:rPr>
        <w:t> </w:t>
      </w:r>
      <w:r>
        <w:rPr/>
        <w:t>is</w:t>
      </w:r>
      <w:r>
        <w:rPr>
          <w:spacing w:val="37"/>
        </w:rPr>
        <w:t> </w:t>
      </w:r>
      <w:r>
        <w:rPr>
          <w:spacing w:val="-2"/>
        </w:rPr>
        <w:t>noticed</w:t>
      </w:r>
    </w:p>
    <w:p>
      <w:pPr>
        <w:spacing w:after="0" w:line="491" w:lineRule="auto"/>
        <w:jc w:val="both"/>
        <w:sectPr>
          <w:pgSz w:w="12240" w:h="15840"/>
          <w:pgMar w:header="0" w:footer="999" w:top="1260" w:bottom="1180" w:left="1720" w:right="760"/>
        </w:sectPr>
      </w:pPr>
    </w:p>
    <w:p>
      <w:pPr>
        <w:pStyle w:val="BodyText"/>
        <w:spacing w:line="491" w:lineRule="auto" w:before="75"/>
        <w:ind w:left="665" w:right="1097"/>
        <w:jc w:val="both"/>
      </w:pPr>
      <w:r>
        <w:rPr/>
        <w:t>when MCS is compared with DS (&gt;0.990) except at 2.5 % w/w concentration (0.966). Thus correlation is significant at the 0.01 levels. At all binder concentrations, a strong positive</w:t>
      </w:r>
      <w:r>
        <w:rPr>
          <w:spacing w:val="40"/>
        </w:rPr>
        <w:t> </w:t>
      </w:r>
      <w:r>
        <w:rPr/>
        <w:t>correlation</w:t>
      </w:r>
      <w:r>
        <w:rPr>
          <w:spacing w:val="40"/>
        </w:rPr>
        <w:t> </w:t>
      </w:r>
      <w:r>
        <w:rPr/>
        <w:t>is</w:t>
      </w:r>
      <w:r>
        <w:rPr>
          <w:spacing w:val="40"/>
        </w:rPr>
        <w:t> </w:t>
      </w:r>
      <w:r>
        <w:rPr/>
        <w:t>noticed</w:t>
      </w:r>
      <w:r>
        <w:rPr>
          <w:spacing w:val="40"/>
        </w:rPr>
        <w:t> </w:t>
      </w:r>
      <w:r>
        <w:rPr/>
        <w:t>when</w:t>
      </w:r>
      <w:r>
        <w:rPr>
          <w:spacing w:val="40"/>
        </w:rPr>
        <w:t> </w:t>
      </w:r>
      <w:r>
        <w:rPr/>
        <w:t>GEL</w:t>
      </w:r>
      <w:r>
        <w:rPr>
          <w:spacing w:val="40"/>
        </w:rPr>
        <w:t> </w:t>
      </w:r>
      <w:r>
        <w:rPr/>
        <w:t>is</w:t>
      </w:r>
      <w:r>
        <w:rPr>
          <w:spacing w:val="40"/>
        </w:rPr>
        <w:t> </w:t>
      </w:r>
      <w:r>
        <w:rPr/>
        <w:t>compared</w:t>
      </w:r>
      <w:r>
        <w:rPr>
          <w:spacing w:val="40"/>
        </w:rPr>
        <w:t> </w:t>
      </w:r>
      <w:r>
        <w:rPr/>
        <w:t>with</w:t>
      </w:r>
      <w:r>
        <w:rPr>
          <w:spacing w:val="40"/>
        </w:rPr>
        <w:t> </w:t>
      </w:r>
      <w:r>
        <w:rPr/>
        <w:t>DS</w:t>
      </w:r>
      <w:r>
        <w:rPr>
          <w:spacing w:val="40"/>
        </w:rPr>
        <w:t> </w:t>
      </w:r>
      <w:r>
        <w:rPr/>
        <w:t>and</w:t>
      </w:r>
      <w:r>
        <w:rPr>
          <w:spacing w:val="40"/>
        </w:rPr>
        <w:t> </w:t>
      </w:r>
      <w:r>
        <w:rPr/>
        <w:t>MCS</w:t>
      </w:r>
      <w:r>
        <w:rPr>
          <w:spacing w:val="40"/>
        </w:rPr>
        <w:t> </w:t>
      </w:r>
      <w:r>
        <w:rPr/>
        <w:t>(&gt;0.990) except</w:t>
      </w:r>
      <w:r>
        <w:rPr>
          <w:spacing w:val="40"/>
        </w:rPr>
        <w:t> </w:t>
      </w:r>
      <w:r>
        <w:rPr/>
        <w:t>at</w:t>
      </w:r>
      <w:r>
        <w:rPr>
          <w:spacing w:val="40"/>
        </w:rPr>
        <w:t> </w:t>
      </w:r>
      <w:r>
        <w:rPr/>
        <w:t>5</w:t>
      </w:r>
      <w:r>
        <w:rPr>
          <w:spacing w:val="40"/>
        </w:rPr>
        <w:t> </w:t>
      </w:r>
      <w:r>
        <w:rPr/>
        <w:t>% w/v concentration (0.975</w:t>
      </w:r>
      <w:r>
        <w:rPr>
          <w:spacing w:val="40"/>
        </w:rPr>
        <w:t> </w:t>
      </w:r>
      <w:r>
        <w:rPr/>
        <w:t>and 0.966).</w:t>
      </w:r>
      <w:r>
        <w:rPr>
          <w:spacing w:val="40"/>
        </w:rPr>
        <w:t> </w:t>
      </w:r>
      <w:r>
        <w:rPr/>
        <w:t>A much stronger correlation is noticed</w:t>
      </w:r>
      <w:r>
        <w:rPr>
          <w:spacing w:val="23"/>
        </w:rPr>
        <w:t> </w:t>
      </w:r>
      <w:r>
        <w:rPr/>
        <w:t>when</w:t>
      </w:r>
      <w:r>
        <w:rPr>
          <w:spacing w:val="13"/>
        </w:rPr>
        <w:t> </w:t>
      </w:r>
      <w:r>
        <w:rPr/>
        <w:t>MCS</w:t>
      </w:r>
      <w:r>
        <w:rPr>
          <w:spacing w:val="15"/>
        </w:rPr>
        <w:t> </w:t>
      </w:r>
      <w:r>
        <w:rPr/>
        <w:t>is</w:t>
      </w:r>
      <w:r>
        <w:rPr>
          <w:spacing w:val="14"/>
        </w:rPr>
        <w:t> </w:t>
      </w:r>
      <w:r>
        <w:rPr/>
        <w:t>compared</w:t>
      </w:r>
      <w:r>
        <w:rPr>
          <w:spacing w:val="18"/>
        </w:rPr>
        <w:t> </w:t>
      </w:r>
      <w:r>
        <w:rPr/>
        <w:t>with</w:t>
      </w:r>
      <w:r>
        <w:rPr>
          <w:spacing w:val="7"/>
        </w:rPr>
        <w:t> </w:t>
      </w:r>
      <w:r>
        <w:rPr/>
        <w:t>DS</w:t>
      </w:r>
      <w:r>
        <w:rPr>
          <w:spacing w:val="20"/>
        </w:rPr>
        <w:t> </w:t>
      </w:r>
      <w:r>
        <w:rPr/>
        <w:t>(&gt;0.990).</w:t>
      </w:r>
      <w:r>
        <w:rPr>
          <w:spacing w:val="22"/>
        </w:rPr>
        <w:t> </w:t>
      </w:r>
      <w:r>
        <w:rPr/>
        <w:t>Thus</w:t>
      </w:r>
      <w:r>
        <w:rPr>
          <w:spacing w:val="15"/>
        </w:rPr>
        <w:t> </w:t>
      </w:r>
      <w:r>
        <w:rPr/>
        <w:t>correlation</w:t>
      </w:r>
      <w:r>
        <w:rPr>
          <w:spacing w:val="19"/>
        </w:rPr>
        <w:t> </w:t>
      </w:r>
      <w:r>
        <w:rPr/>
        <w:t>is</w:t>
      </w:r>
      <w:r>
        <w:rPr>
          <w:spacing w:val="18"/>
        </w:rPr>
        <w:t> </w:t>
      </w:r>
      <w:r>
        <w:rPr/>
        <w:t>significant</w:t>
      </w:r>
      <w:r>
        <w:rPr>
          <w:spacing w:val="21"/>
        </w:rPr>
        <w:t> </w:t>
      </w:r>
      <w:r>
        <w:rPr/>
        <w:t>at</w:t>
      </w:r>
      <w:r>
        <w:rPr>
          <w:spacing w:val="21"/>
        </w:rPr>
        <w:t> </w:t>
      </w:r>
      <w:r>
        <w:rPr>
          <w:spacing w:val="-5"/>
        </w:rPr>
        <w:t>the</w:t>
      </w:r>
    </w:p>
    <w:p>
      <w:pPr>
        <w:pStyle w:val="BodyText"/>
        <w:spacing w:line="252" w:lineRule="exact"/>
        <w:ind w:left="665"/>
      </w:pPr>
      <w:r>
        <w:rPr/>
        <w:t>0.01</w:t>
      </w:r>
      <w:r>
        <w:rPr>
          <w:spacing w:val="11"/>
        </w:rPr>
        <w:t> </w:t>
      </w:r>
      <w:r>
        <w:rPr>
          <w:spacing w:val="-2"/>
        </w:rPr>
        <w:t>levels.</w:t>
      </w:r>
    </w:p>
    <w:p>
      <w:pPr>
        <w:pStyle w:val="BodyText"/>
        <w:spacing w:before="243"/>
      </w:pPr>
    </w:p>
    <w:p>
      <w:pPr>
        <w:pStyle w:val="Heading2"/>
        <w:numPr>
          <w:ilvl w:val="1"/>
          <w:numId w:val="36"/>
        </w:numPr>
        <w:tabs>
          <w:tab w:pos="1342" w:val="left" w:leader="none"/>
        </w:tabs>
        <w:spacing w:line="240" w:lineRule="auto" w:before="0" w:after="0"/>
        <w:ind w:left="1342" w:right="0" w:hanging="677"/>
        <w:jc w:val="left"/>
      </w:pPr>
      <w:bookmarkStart w:name="_TOC_250022" w:id="139"/>
      <w:r>
        <w:rPr/>
        <w:t>Evaluation</w:t>
      </w:r>
      <w:r>
        <w:rPr>
          <w:spacing w:val="10"/>
        </w:rPr>
        <w:t> </w:t>
      </w:r>
      <w:r>
        <w:rPr/>
        <w:t>of</w:t>
      </w:r>
      <w:r>
        <w:rPr>
          <w:spacing w:val="14"/>
        </w:rPr>
        <w:t> </w:t>
      </w:r>
      <w:r>
        <w:rPr/>
        <w:t>Tablet</w:t>
      </w:r>
      <w:r>
        <w:rPr>
          <w:spacing w:val="13"/>
        </w:rPr>
        <w:t> </w:t>
      </w:r>
      <w:bookmarkEnd w:id="139"/>
      <w:r>
        <w:rPr>
          <w:spacing w:val="-2"/>
        </w:rPr>
        <w:t>Properties</w:t>
      </w:r>
    </w:p>
    <w:p>
      <w:pPr>
        <w:pStyle w:val="BodyText"/>
        <w:spacing w:line="494" w:lineRule="auto" w:before="246"/>
        <w:ind w:left="665" w:right="1099" w:firstLine="729"/>
        <w:jc w:val="both"/>
      </w:pPr>
      <w:r>
        <w:rPr/>
        <w:t>There a slight variation in the weight of the tablet as shown in Table 4.8 and 4.9 even though it conforms to B.P. 2002 specification (i.e. percentage difference of tablets weighing</w:t>
      </w:r>
      <w:r>
        <w:rPr>
          <w:spacing w:val="48"/>
        </w:rPr>
        <w:t> </w:t>
      </w:r>
      <w:r>
        <w:rPr/>
        <w:t>more</w:t>
      </w:r>
      <w:r>
        <w:rPr>
          <w:spacing w:val="52"/>
        </w:rPr>
        <w:t> </w:t>
      </w:r>
      <w:r>
        <w:rPr/>
        <w:t>than</w:t>
      </w:r>
      <w:r>
        <w:rPr>
          <w:spacing w:val="49"/>
        </w:rPr>
        <w:t> </w:t>
      </w:r>
      <w:r>
        <w:rPr/>
        <w:t>324</w:t>
      </w:r>
      <w:r>
        <w:rPr>
          <w:spacing w:val="54"/>
        </w:rPr>
        <w:t> </w:t>
      </w:r>
      <w:r>
        <w:rPr/>
        <w:t>mg</w:t>
      </w:r>
      <w:r>
        <w:rPr>
          <w:spacing w:val="55"/>
        </w:rPr>
        <w:t> </w:t>
      </w:r>
      <w:r>
        <w:rPr/>
        <w:t>is</w:t>
      </w:r>
      <w:r>
        <w:rPr>
          <w:spacing w:val="51"/>
        </w:rPr>
        <w:t> </w:t>
      </w:r>
      <w:r>
        <w:rPr>
          <w:u w:val="single"/>
        </w:rPr>
        <w:t>+</w:t>
      </w:r>
      <w:r>
        <w:rPr>
          <w:spacing w:val="59"/>
        </w:rPr>
        <w:t> </w:t>
      </w:r>
      <w:r>
        <w:rPr/>
        <w:t>5</w:t>
      </w:r>
      <w:r>
        <w:rPr>
          <w:spacing w:val="58"/>
        </w:rPr>
        <w:t> </w:t>
      </w:r>
      <w:r>
        <w:rPr/>
        <w:t>%).</w:t>
      </w:r>
      <w:r>
        <w:rPr>
          <w:spacing w:val="59"/>
        </w:rPr>
        <w:t> </w:t>
      </w:r>
      <w:r>
        <w:rPr/>
        <w:t>The</w:t>
      </w:r>
      <w:r>
        <w:rPr>
          <w:spacing w:val="57"/>
        </w:rPr>
        <w:t> </w:t>
      </w:r>
      <w:r>
        <w:rPr/>
        <w:t>flow</w:t>
      </w:r>
      <w:r>
        <w:rPr>
          <w:spacing w:val="52"/>
        </w:rPr>
        <w:t> </w:t>
      </w:r>
      <w:r>
        <w:rPr/>
        <w:t>of</w:t>
      </w:r>
      <w:r>
        <w:rPr>
          <w:spacing w:val="48"/>
        </w:rPr>
        <w:t> </w:t>
      </w:r>
      <w:r>
        <w:rPr/>
        <w:t>powder</w:t>
      </w:r>
      <w:r>
        <w:rPr>
          <w:spacing w:val="53"/>
        </w:rPr>
        <w:t> </w:t>
      </w:r>
      <w:r>
        <w:rPr/>
        <w:t>during</w:t>
      </w:r>
      <w:r>
        <w:rPr>
          <w:spacing w:val="49"/>
        </w:rPr>
        <w:t> </w:t>
      </w:r>
      <w:r>
        <w:rPr>
          <w:spacing w:val="-2"/>
        </w:rPr>
        <w:t>manufacturing</w:t>
      </w:r>
    </w:p>
    <w:p>
      <w:pPr>
        <w:pStyle w:val="BodyText"/>
        <w:spacing w:line="491" w:lineRule="auto"/>
        <w:ind w:left="665" w:right="1096"/>
        <w:jc w:val="both"/>
      </w:pPr>
      <w:r>
        <w:rPr/>
        <w:t>dictates the quality of the product in terms of its weight and content uniformity (Prescott and Barnum, 2000). Weight variation in tablets can be reduced if the powder/starches possessed a better flow property.</w:t>
      </w:r>
    </w:p>
    <w:p>
      <w:pPr>
        <w:pStyle w:val="BodyText"/>
        <w:spacing w:line="491" w:lineRule="auto"/>
        <w:ind w:left="665" w:right="1098" w:firstLine="676"/>
        <w:jc w:val="both"/>
      </w:pPr>
      <w:r>
        <w:rPr/>
        <w:t>The results for the uniformity of weight, thickness and diameter for tablets produced</w:t>
      </w:r>
      <w:r>
        <w:rPr>
          <w:spacing w:val="40"/>
        </w:rPr>
        <w:t> </w:t>
      </w:r>
      <w:r>
        <w:rPr/>
        <w:t>at</w:t>
      </w:r>
      <w:r>
        <w:rPr>
          <w:spacing w:val="40"/>
        </w:rPr>
        <w:t> </w:t>
      </w:r>
      <w:r>
        <w:rPr/>
        <w:t>varying</w:t>
      </w:r>
      <w:r>
        <w:rPr>
          <w:spacing w:val="40"/>
        </w:rPr>
        <w:t> </w:t>
      </w:r>
      <w:r>
        <w:rPr/>
        <w:t>binder</w:t>
      </w:r>
      <w:r>
        <w:rPr>
          <w:spacing w:val="40"/>
        </w:rPr>
        <w:t> </w:t>
      </w:r>
      <w:r>
        <w:rPr/>
        <w:t>and</w:t>
      </w:r>
      <w:r>
        <w:rPr>
          <w:spacing w:val="40"/>
        </w:rPr>
        <w:t> </w:t>
      </w:r>
      <w:r>
        <w:rPr/>
        <w:t>disintegrant</w:t>
      </w:r>
      <w:r>
        <w:rPr>
          <w:spacing w:val="40"/>
        </w:rPr>
        <w:t> </w:t>
      </w:r>
      <w:r>
        <w:rPr/>
        <w:t>concentration</w:t>
      </w:r>
      <w:r>
        <w:rPr>
          <w:spacing w:val="40"/>
        </w:rPr>
        <w:t> </w:t>
      </w:r>
      <w:r>
        <w:rPr/>
        <w:t>are</w:t>
      </w:r>
      <w:r>
        <w:rPr>
          <w:spacing w:val="40"/>
        </w:rPr>
        <w:t> </w:t>
      </w:r>
      <w:r>
        <w:rPr/>
        <w:t>presented</w:t>
      </w:r>
      <w:r>
        <w:rPr>
          <w:spacing w:val="40"/>
        </w:rPr>
        <w:t> </w:t>
      </w:r>
      <w:r>
        <w:rPr/>
        <w:t>in</w:t>
      </w:r>
      <w:r>
        <w:rPr>
          <w:spacing w:val="40"/>
        </w:rPr>
        <w:t> </w:t>
      </w:r>
      <w:r>
        <w:rPr/>
        <w:t>Table</w:t>
      </w:r>
      <w:r>
        <w:rPr>
          <w:spacing w:val="40"/>
        </w:rPr>
        <w:t> </w:t>
      </w:r>
      <w:r>
        <w:rPr/>
        <w:t>4.8 and 4.9. The values of the uniformity</w:t>
      </w:r>
      <w:r>
        <w:rPr>
          <w:spacing w:val="-3"/>
        </w:rPr>
        <w:t> </w:t>
      </w:r>
      <w:r>
        <w:rPr/>
        <w:t>of weight for prepared metronidazole tablets range from 677 – 724 mg. The values are within the acceptable limits of BP, 2002 for the respective</w:t>
      </w:r>
      <w:r>
        <w:rPr>
          <w:spacing w:val="35"/>
        </w:rPr>
        <w:t> </w:t>
      </w:r>
      <w:r>
        <w:rPr/>
        <w:t>weights of the</w:t>
      </w:r>
      <w:r>
        <w:rPr>
          <w:spacing w:val="35"/>
        </w:rPr>
        <w:t> </w:t>
      </w:r>
      <w:r>
        <w:rPr/>
        <w:t>tablets.</w:t>
      </w:r>
      <w:r>
        <w:rPr>
          <w:spacing w:val="35"/>
        </w:rPr>
        <w:t> </w:t>
      </w:r>
      <w:r>
        <w:rPr/>
        <w:t>This implies that</w:t>
      </w:r>
      <w:r>
        <w:rPr>
          <w:spacing w:val="35"/>
        </w:rPr>
        <w:t> </w:t>
      </w:r>
      <w:r>
        <w:rPr/>
        <w:t>all batches passed</w:t>
      </w:r>
      <w:r>
        <w:rPr>
          <w:spacing w:val="40"/>
        </w:rPr>
        <w:t> </w:t>
      </w:r>
      <w:r>
        <w:rPr/>
        <w:t>weight</w:t>
      </w:r>
      <w:r>
        <w:rPr>
          <w:spacing w:val="40"/>
        </w:rPr>
        <w:t> </w:t>
      </w:r>
      <w:r>
        <w:rPr/>
        <w:t>variation </w:t>
      </w:r>
      <w:r>
        <w:rPr>
          <w:spacing w:val="-2"/>
        </w:rPr>
        <w:t>test.</w:t>
      </w:r>
    </w:p>
    <w:p>
      <w:pPr>
        <w:pStyle w:val="BodyText"/>
        <w:spacing w:line="491" w:lineRule="auto"/>
        <w:ind w:left="665" w:right="1098" w:firstLine="676"/>
        <w:jc w:val="both"/>
      </w:pPr>
      <w:r>
        <w:rPr/>
        <w:t>The</w:t>
      </w:r>
      <w:r>
        <w:rPr>
          <w:spacing w:val="21"/>
        </w:rPr>
        <w:t> </w:t>
      </w:r>
      <w:r>
        <w:rPr/>
        <w:t>uniform</w:t>
      </w:r>
      <w:r>
        <w:rPr>
          <w:spacing w:val="24"/>
        </w:rPr>
        <w:t> </w:t>
      </w:r>
      <w:r>
        <w:rPr/>
        <w:t>filling</w:t>
      </w:r>
      <w:r>
        <w:rPr>
          <w:spacing w:val="23"/>
        </w:rPr>
        <w:t> </w:t>
      </w:r>
      <w:r>
        <w:rPr/>
        <w:t>of</w:t>
      </w:r>
      <w:r>
        <w:rPr>
          <w:spacing w:val="18"/>
        </w:rPr>
        <w:t> </w:t>
      </w:r>
      <w:r>
        <w:rPr/>
        <w:t>the</w:t>
      </w:r>
      <w:r>
        <w:rPr>
          <w:spacing w:val="27"/>
        </w:rPr>
        <w:t> </w:t>
      </w:r>
      <w:r>
        <w:rPr/>
        <w:t>die</w:t>
      </w:r>
      <w:r>
        <w:rPr>
          <w:spacing w:val="21"/>
        </w:rPr>
        <w:t> </w:t>
      </w:r>
      <w:r>
        <w:rPr/>
        <w:t>cavity was as</w:t>
      </w:r>
      <w:r>
        <w:rPr>
          <w:spacing w:val="19"/>
        </w:rPr>
        <w:t> </w:t>
      </w:r>
      <w:r>
        <w:rPr/>
        <w:t>a</w:t>
      </w:r>
      <w:r>
        <w:rPr>
          <w:spacing w:val="23"/>
        </w:rPr>
        <w:t> </w:t>
      </w:r>
      <w:r>
        <w:rPr/>
        <w:t>result</w:t>
      </w:r>
      <w:r>
        <w:rPr>
          <w:spacing w:val="21"/>
        </w:rPr>
        <w:t> </w:t>
      </w:r>
      <w:r>
        <w:rPr/>
        <w:t>of</w:t>
      </w:r>
      <w:r>
        <w:rPr>
          <w:spacing w:val="18"/>
        </w:rPr>
        <w:t> </w:t>
      </w:r>
      <w:r>
        <w:rPr/>
        <w:t>the</w:t>
      </w:r>
      <w:r>
        <w:rPr>
          <w:spacing w:val="27"/>
        </w:rPr>
        <w:t> </w:t>
      </w:r>
      <w:r>
        <w:rPr/>
        <w:t>good</w:t>
      </w:r>
      <w:r>
        <w:rPr>
          <w:spacing w:val="23"/>
        </w:rPr>
        <w:t> </w:t>
      </w:r>
      <w:r>
        <w:rPr/>
        <w:t>flow</w:t>
      </w:r>
      <w:r>
        <w:rPr>
          <w:spacing w:val="22"/>
        </w:rPr>
        <w:t> </w:t>
      </w:r>
      <w:r>
        <w:rPr/>
        <w:t>properties of the granules and was also enhanced</w:t>
      </w:r>
      <w:r>
        <w:rPr>
          <w:spacing w:val="23"/>
        </w:rPr>
        <w:t> </w:t>
      </w:r>
      <w:r>
        <w:rPr/>
        <w:t>by</w:t>
      </w:r>
      <w:r>
        <w:rPr>
          <w:spacing w:val="-1"/>
        </w:rPr>
        <w:t> </w:t>
      </w:r>
      <w:r>
        <w:rPr/>
        <w:t>the addition of glidant. Rawlins (2004), stated</w:t>
      </w:r>
      <w:r>
        <w:rPr>
          <w:spacing w:val="40"/>
        </w:rPr>
        <w:t> </w:t>
      </w:r>
      <w:r>
        <w:rPr/>
        <w:t>an</w:t>
      </w:r>
      <w:r>
        <w:rPr>
          <w:spacing w:val="20"/>
        </w:rPr>
        <w:t> </w:t>
      </w:r>
      <w:r>
        <w:rPr/>
        <w:t>assumption</w:t>
      </w:r>
      <w:r>
        <w:rPr>
          <w:spacing w:val="20"/>
        </w:rPr>
        <w:t> </w:t>
      </w:r>
      <w:r>
        <w:rPr/>
        <w:t>that</w:t>
      </w:r>
      <w:r>
        <w:rPr>
          <w:spacing w:val="27"/>
        </w:rPr>
        <w:t> </w:t>
      </w:r>
      <w:r>
        <w:rPr/>
        <w:t>the</w:t>
      </w:r>
      <w:r>
        <w:rPr>
          <w:spacing w:val="34"/>
        </w:rPr>
        <w:t> </w:t>
      </w:r>
      <w:r>
        <w:rPr/>
        <w:t>variation</w:t>
      </w:r>
      <w:r>
        <w:rPr>
          <w:spacing w:val="19"/>
        </w:rPr>
        <w:t> </w:t>
      </w:r>
      <w:r>
        <w:rPr/>
        <w:t>in</w:t>
      </w:r>
      <w:r>
        <w:rPr>
          <w:spacing w:val="20"/>
        </w:rPr>
        <w:t> </w:t>
      </w:r>
      <w:r>
        <w:rPr/>
        <w:t>the</w:t>
      </w:r>
      <w:r>
        <w:rPr>
          <w:spacing w:val="22"/>
        </w:rPr>
        <w:t> </w:t>
      </w:r>
      <w:r>
        <w:rPr/>
        <w:t>weight</w:t>
      </w:r>
      <w:r>
        <w:rPr>
          <w:spacing w:val="22"/>
        </w:rPr>
        <w:t> </w:t>
      </w:r>
      <w:r>
        <w:rPr/>
        <w:t>of</w:t>
      </w:r>
      <w:r>
        <w:rPr>
          <w:spacing w:val="24"/>
        </w:rPr>
        <w:t> </w:t>
      </w:r>
      <w:r>
        <w:rPr/>
        <w:t>individual</w:t>
      </w:r>
      <w:r>
        <w:rPr>
          <w:spacing w:val="17"/>
        </w:rPr>
        <w:t> </w:t>
      </w:r>
      <w:r>
        <w:rPr/>
        <w:t>tablets</w:t>
      </w:r>
      <w:r>
        <w:rPr>
          <w:spacing w:val="26"/>
        </w:rPr>
        <w:t> </w:t>
      </w:r>
      <w:r>
        <w:rPr/>
        <w:t>is</w:t>
      </w:r>
      <w:r>
        <w:rPr>
          <w:spacing w:val="20"/>
        </w:rPr>
        <w:t> </w:t>
      </w:r>
      <w:r>
        <w:rPr/>
        <w:t>a</w:t>
      </w:r>
      <w:r>
        <w:rPr>
          <w:spacing w:val="34"/>
        </w:rPr>
        <w:t> </w:t>
      </w:r>
      <w:r>
        <w:rPr/>
        <w:t>valid</w:t>
      </w:r>
      <w:r>
        <w:rPr>
          <w:spacing w:val="31"/>
        </w:rPr>
        <w:t> </w:t>
      </w:r>
      <w:r>
        <w:rPr/>
        <w:t>indication of the corresponding variation in the drug content.</w:t>
      </w:r>
    </w:p>
    <w:p>
      <w:pPr>
        <w:pStyle w:val="BodyText"/>
        <w:spacing w:line="491" w:lineRule="auto"/>
        <w:ind w:left="665" w:right="1102" w:firstLine="676"/>
        <w:jc w:val="both"/>
      </w:pPr>
      <w:r>
        <w:rPr/>
        <w:t>The values of the diameter presented in Table 4.8 were determined by the</w:t>
      </w:r>
      <w:r>
        <w:rPr>
          <w:spacing w:val="80"/>
        </w:rPr>
        <w:t> </w:t>
      </w:r>
      <w:r>
        <w:rPr/>
        <w:t>diameter</w:t>
      </w:r>
      <w:r>
        <w:rPr>
          <w:spacing w:val="42"/>
        </w:rPr>
        <w:t> </w:t>
      </w:r>
      <w:r>
        <w:rPr/>
        <w:t>of</w:t>
      </w:r>
      <w:r>
        <w:rPr>
          <w:spacing w:val="36"/>
        </w:rPr>
        <w:t> </w:t>
      </w:r>
      <w:r>
        <w:rPr/>
        <w:t>the</w:t>
      </w:r>
      <w:r>
        <w:rPr>
          <w:spacing w:val="40"/>
        </w:rPr>
        <w:t> </w:t>
      </w:r>
      <w:r>
        <w:rPr/>
        <w:t>punch</w:t>
      </w:r>
      <w:r>
        <w:rPr>
          <w:spacing w:val="38"/>
        </w:rPr>
        <w:t> </w:t>
      </w:r>
      <w:r>
        <w:rPr/>
        <w:t>and</w:t>
      </w:r>
      <w:r>
        <w:rPr>
          <w:spacing w:val="42"/>
        </w:rPr>
        <w:t> </w:t>
      </w:r>
      <w:r>
        <w:rPr/>
        <w:t>die</w:t>
      </w:r>
      <w:r>
        <w:rPr>
          <w:spacing w:val="35"/>
        </w:rPr>
        <w:t> </w:t>
      </w:r>
      <w:r>
        <w:rPr/>
        <w:t>cavity</w:t>
      </w:r>
      <w:r>
        <w:rPr>
          <w:spacing w:val="38"/>
        </w:rPr>
        <w:t> </w:t>
      </w:r>
      <w:r>
        <w:rPr/>
        <w:t>while</w:t>
      </w:r>
      <w:r>
        <w:rPr>
          <w:spacing w:val="45"/>
        </w:rPr>
        <w:t> </w:t>
      </w:r>
      <w:r>
        <w:rPr/>
        <w:t>values</w:t>
      </w:r>
      <w:r>
        <w:rPr>
          <w:spacing w:val="44"/>
        </w:rPr>
        <w:t> </w:t>
      </w:r>
      <w:r>
        <w:rPr/>
        <w:t>for</w:t>
      </w:r>
      <w:r>
        <w:rPr>
          <w:spacing w:val="37"/>
        </w:rPr>
        <w:t> </w:t>
      </w:r>
      <w:r>
        <w:rPr/>
        <w:t>thickness</w:t>
      </w:r>
      <w:r>
        <w:rPr>
          <w:spacing w:val="39"/>
        </w:rPr>
        <w:t> </w:t>
      </w:r>
      <w:r>
        <w:rPr/>
        <w:t>ranging</w:t>
      </w:r>
      <w:r>
        <w:rPr>
          <w:spacing w:val="43"/>
        </w:rPr>
        <w:t> </w:t>
      </w:r>
      <w:r>
        <w:rPr/>
        <w:t>from</w:t>
      </w:r>
      <w:r>
        <w:rPr>
          <w:spacing w:val="42"/>
        </w:rPr>
        <w:t> </w:t>
      </w:r>
      <w:r>
        <w:rPr/>
        <w:t>5.21</w:t>
      </w:r>
      <w:r>
        <w:rPr>
          <w:spacing w:val="37"/>
        </w:rPr>
        <w:t> </w:t>
      </w:r>
      <w:r>
        <w:rPr>
          <w:spacing w:val="-10"/>
        </w:rPr>
        <w:t>–</w:t>
      </w:r>
    </w:p>
    <w:p>
      <w:pPr>
        <w:spacing w:after="0" w:line="491" w:lineRule="auto"/>
        <w:jc w:val="both"/>
        <w:sectPr>
          <w:pgSz w:w="12240" w:h="15840"/>
          <w:pgMar w:header="0" w:footer="999" w:top="1260" w:bottom="1180" w:left="1720" w:right="760"/>
        </w:sectPr>
      </w:pPr>
    </w:p>
    <w:p>
      <w:pPr>
        <w:pStyle w:val="BodyText"/>
        <w:spacing w:line="491" w:lineRule="auto" w:before="75"/>
        <w:ind w:left="665" w:right="1097"/>
        <w:jc w:val="both"/>
      </w:pPr>
      <w:r>
        <w:rPr/>
        <w:t>5.69 mm may</w:t>
      </w:r>
      <w:r>
        <w:rPr>
          <w:spacing w:val="-1"/>
        </w:rPr>
        <w:t> </w:t>
      </w:r>
      <w:r>
        <w:rPr/>
        <w:t>be due to the compressibility of the material and/or the compression force </w:t>
      </w:r>
      <w:r>
        <w:rPr>
          <w:spacing w:val="-2"/>
        </w:rPr>
        <w:t>applied.</w:t>
      </w:r>
    </w:p>
    <w:p>
      <w:pPr>
        <w:pStyle w:val="BodyText"/>
        <w:spacing w:line="491" w:lineRule="auto"/>
        <w:ind w:left="665" w:right="1092" w:firstLine="672"/>
        <w:jc w:val="both"/>
      </w:pPr>
      <w:r>
        <w:rPr/>
        <w:t>There is no official requirement for crushing strength and friability in the British Pharmacopoeia (BP 2002). Crushing strength reflects tablet strength (Alebiowu and Adeagbo,</w:t>
      </w:r>
      <w:r>
        <w:rPr>
          <w:spacing w:val="40"/>
        </w:rPr>
        <w:t> </w:t>
      </w:r>
      <w:r>
        <w:rPr/>
        <w:t>2009).</w:t>
      </w:r>
      <w:r>
        <w:rPr>
          <w:spacing w:val="40"/>
        </w:rPr>
        <w:t>  </w:t>
      </w:r>
      <w:r>
        <w:rPr/>
        <w:t>The</w:t>
      </w:r>
      <w:r>
        <w:rPr>
          <w:spacing w:val="40"/>
        </w:rPr>
        <w:t> </w:t>
      </w:r>
      <w:r>
        <w:rPr/>
        <w:t>CS</w:t>
      </w:r>
      <w:r>
        <w:rPr>
          <w:spacing w:val="40"/>
        </w:rPr>
        <w:t> </w:t>
      </w:r>
      <w:r>
        <w:rPr/>
        <w:t>values</w:t>
      </w:r>
      <w:r>
        <w:rPr>
          <w:spacing w:val="40"/>
        </w:rPr>
        <w:t> </w:t>
      </w:r>
      <w:r>
        <w:rPr/>
        <w:t>obtained</w:t>
      </w:r>
      <w:r>
        <w:rPr>
          <w:spacing w:val="40"/>
        </w:rPr>
        <w:t> </w:t>
      </w:r>
      <w:r>
        <w:rPr/>
        <w:t>increased</w:t>
      </w:r>
      <w:r>
        <w:rPr>
          <w:spacing w:val="40"/>
        </w:rPr>
        <w:t> </w:t>
      </w:r>
      <w:r>
        <w:rPr/>
        <w:t>as</w:t>
      </w:r>
      <w:r>
        <w:rPr>
          <w:spacing w:val="40"/>
        </w:rPr>
        <w:t> </w:t>
      </w:r>
      <w:r>
        <w:rPr/>
        <w:t>the</w:t>
      </w:r>
      <w:r>
        <w:rPr>
          <w:spacing w:val="40"/>
        </w:rPr>
        <w:t> </w:t>
      </w:r>
      <w:r>
        <w:rPr/>
        <w:t>binder</w:t>
      </w:r>
      <w:r>
        <w:rPr>
          <w:spacing w:val="40"/>
        </w:rPr>
        <w:t> </w:t>
      </w:r>
      <w:r>
        <w:rPr/>
        <w:t>concentration increased</w:t>
      </w:r>
      <w:r>
        <w:rPr>
          <w:spacing w:val="40"/>
        </w:rPr>
        <w:t> </w:t>
      </w:r>
      <w:r>
        <w:rPr/>
        <w:t>as</w:t>
      </w:r>
      <w:r>
        <w:rPr>
          <w:spacing w:val="40"/>
        </w:rPr>
        <w:t> </w:t>
      </w:r>
      <w:r>
        <w:rPr/>
        <w:t>shown</w:t>
      </w:r>
      <w:r>
        <w:rPr>
          <w:spacing w:val="40"/>
        </w:rPr>
        <w:t> </w:t>
      </w:r>
      <w:r>
        <w:rPr/>
        <w:t>in</w:t>
      </w:r>
      <w:r>
        <w:rPr>
          <w:spacing w:val="40"/>
        </w:rPr>
        <w:t> </w:t>
      </w:r>
      <w:r>
        <w:rPr/>
        <w:t>Table</w:t>
      </w:r>
      <w:r>
        <w:rPr>
          <w:spacing w:val="40"/>
        </w:rPr>
        <w:t> </w:t>
      </w:r>
      <w:r>
        <w:rPr/>
        <w:t>4.8</w:t>
      </w:r>
      <w:r>
        <w:rPr>
          <w:spacing w:val="40"/>
        </w:rPr>
        <w:t> </w:t>
      </w:r>
      <w:r>
        <w:rPr/>
        <w:t>and</w:t>
      </w:r>
      <w:r>
        <w:rPr>
          <w:spacing w:val="40"/>
        </w:rPr>
        <w:t> </w:t>
      </w:r>
      <w:r>
        <w:rPr/>
        <w:t>it</w:t>
      </w:r>
      <w:r>
        <w:rPr>
          <w:spacing w:val="40"/>
        </w:rPr>
        <w:t> </w:t>
      </w:r>
      <w:r>
        <w:rPr/>
        <w:t>is</w:t>
      </w:r>
      <w:r>
        <w:rPr>
          <w:spacing w:val="40"/>
        </w:rPr>
        <w:t> </w:t>
      </w:r>
      <w:r>
        <w:rPr/>
        <w:t>in</w:t>
      </w:r>
      <w:r>
        <w:rPr>
          <w:spacing w:val="40"/>
        </w:rPr>
        <w:t> </w:t>
      </w:r>
      <w:r>
        <w:rPr/>
        <w:t>the</w:t>
      </w:r>
      <w:r>
        <w:rPr>
          <w:spacing w:val="40"/>
        </w:rPr>
        <w:t> </w:t>
      </w:r>
      <w:r>
        <w:rPr/>
        <w:t>order;</w:t>
      </w:r>
      <w:r>
        <w:rPr>
          <w:spacing w:val="40"/>
        </w:rPr>
        <w:t> </w:t>
      </w:r>
      <w:r>
        <w:rPr/>
        <w:t>GEL</w:t>
      </w:r>
      <w:r>
        <w:rPr>
          <w:spacing w:val="40"/>
        </w:rPr>
        <w:t> </w:t>
      </w:r>
      <w:r>
        <w:rPr/>
        <w:t>&gt;</w:t>
      </w:r>
      <w:r>
        <w:rPr>
          <w:spacing w:val="40"/>
        </w:rPr>
        <w:t> </w:t>
      </w:r>
      <w:r>
        <w:rPr/>
        <w:t>MCS</w:t>
      </w:r>
      <w:r>
        <w:rPr>
          <w:spacing w:val="40"/>
        </w:rPr>
        <w:t> </w:t>
      </w:r>
      <w:r>
        <w:rPr/>
        <w:t>&gt;</w:t>
      </w:r>
      <w:r>
        <w:rPr>
          <w:spacing w:val="40"/>
        </w:rPr>
        <w:t> </w:t>
      </w:r>
      <w:r>
        <w:rPr/>
        <w:t>DS.</w:t>
      </w:r>
      <w:r>
        <w:rPr>
          <w:spacing w:val="40"/>
        </w:rPr>
        <w:t> </w:t>
      </w:r>
      <w:r>
        <w:rPr/>
        <w:t>For disintegrant concentration, the CS values generally showed a decrease as the</w:t>
      </w:r>
      <w:r>
        <w:rPr>
          <w:spacing w:val="80"/>
        </w:rPr>
        <w:t> </w:t>
      </w:r>
      <w:r>
        <w:rPr/>
        <w:t>concentration increased. The CS</w:t>
      </w:r>
      <w:r>
        <w:rPr>
          <w:spacing w:val="37"/>
        </w:rPr>
        <w:t> </w:t>
      </w:r>
      <w:r>
        <w:rPr/>
        <w:t>is the measure of the structural strength of the tablets. The</w:t>
      </w:r>
      <w:r>
        <w:rPr>
          <w:spacing w:val="40"/>
        </w:rPr>
        <w:t> </w:t>
      </w:r>
      <w:r>
        <w:rPr/>
        <w:t>CS</w:t>
      </w:r>
      <w:r>
        <w:rPr>
          <w:spacing w:val="40"/>
        </w:rPr>
        <w:t> </w:t>
      </w:r>
      <w:r>
        <w:rPr/>
        <w:t>is</w:t>
      </w:r>
      <w:r>
        <w:rPr>
          <w:spacing w:val="40"/>
        </w:rPr>
        <w:t> </w:t>
      </w:r>
      <w:r>
        <w:rPr/>
        <w:t>the</w:t>
      </w:r>
      <w:r>
        <w:rPr>
          <w:spacing w:val="40"/>
        </w:rPr>
        <w:t> </w:t>
      </w:r>
      <w:r>
        <w:rPr/>
        <w:t>applied</w:t>
      </w:r>
      <w:r>
        <w:rPr>
          <w:spacing w:val="40"/>
        </w:rPr>
        <w:t> </w:t>
      </w:r>
      <w:r>
        <w:rPr/>
        <w:t>load</w:t>
      </w:r>
      <w:r>
        <w:rPr>
          <w:spacing w:val="40"/>
        </w:rPr>
        <w:t> </w:t>
      </w:r>
      <w:r>
        <w:rPr/>
        <w:t>that</w:t>
      </w:r>
      <w:r>
        <w:rPr>
          <w:spacing w:val="40"/>
        </w:rPr>
        <w:t> </w:t>
      </w:r>
      <w:r>
        <w:rPr/>
        <w:t>when applied</w:t>
      </w:r>
      <w:r>
        <w:rPr>
          <w:spacing w:val="40"/>
        </w:rPr>
        <w:t> </w:t>
      </w:r>
      <w:r>
        <w:rPr/>
        <w:t>diametrically to</w:t>
      </w:r>
      <w:r>
        <w:rPr>
          <w:spacing w:val="40"/>
        </w:rPr>
        <w:t> </w:t>
      </w:r>
      <w:r>
        <w:rPr/>
        <w:t>a</w:t>
      </w:r>
      <w:r>
        <w:rPr>
          <w:spacing w:val="40"/>
        </w:rPr>
        <w:t> </w:t>
      </w:r>
      <w:r>
        <w:rPr/>
        <w:t>tablet</w:t>
      </w:r>
      <w:r>
        <w:rPr>
          <w:spacing w:val="40"/>
        </w:rPr>
        <w:t> </w:t>
      </w:r>
      <w:r>
        <w:rPr/>
        <w:t>causes</w:t>
      </w:r>
      <w:r>
        <w:rPr>
          <w:spacing w:val="40"/>
        </w:rPr>
        <w:t> </w:t>
      </w:r>
      <w:r>
        <w:rPr/>
        <w:t>it</w:t>
      </w:r>
      <w:r>
        <w:rPr>
          <w:spacing w:val="40"/>
        </w:rPr>
        <w:t> </w:t>
      </w:r>
      <w:r>
        <w:rPr/>
        <w:t>to fracture.</w:t>
      </w:r>
      <w:r>
        <w:rPr>
          <w:spacing w:val="22"/>
        </w:rPr>
        <w:t> </w:t>
      </w:r>
      <w:r>
        <w:rPr/>
        <w:t>The</w:t>
      </w:r>
      <w:r>
        <w:rPr>
          <w:spacing w:val="28"/>
        </w:rPr>
        <w:t> </w:t>
      </w:r>
      <w:r>
        <w:rPr/>
        <w:t>CS</w:t>
      </w:r>
      <w:r>
        <w:rPr>
          <w:spacing w:val="25"/>
        </w:rPr>
        <w:t> </w:t>
      </w:r>
      <w:r>
        <w:rPr/>
        <w:t>is</w:t>
      </w:r>
      <w:r>
        <w:rPr>
          <w:spacing w:val="24"/>
        </w:rPr>
        <w:t> </w:t>
      </w:r>
      <w:r>
        <w:rPr/>
        <w:t>an</w:t>
      </w:r>
      <w:r>
        <w:rPr>
          <w:spacing w:val="23"/>
        </w:rPr>
        <w:t> </w:t>
      </w:r>
      <w:r>
        <w:rPr/>
        <w:t>index</w:t>
      </w:r>
      <w:r>
        <w:rPr>
          <w:spacing w:val="23"/>
        </w:rPr>
        <w:t> </w:t>
      </w:r>
      <w:r>
        <w:rPr/>
        <w:t>used</w:t>
      </w:r>
      <w:r>
        <w:rPr>
          <w:spacing w:val="29"/>
        </w:rPr>
        <w:t> </w:t>
      </w:r>
      <w:r>
        <w:rPr/>
        <w:t>to</w:t>
      </w:r>
      <w:r>
        <w:rPr>
          <w:spacing w:val="29"/>
        </w:rPr>
        <w:t> </w:t>
      </w:r>
      <w:r>
        <w:rPr/>
        <w:t>measure</w:t>
      </w:r>
      <w:r>
        <w:rPr>
          <w:spacing w:val="21"/>
        </w:rPr>
        <w:t> </w:t>
      </w:r>
      <w:r>
        <w:rPr/>
        <w:t>tablet</w:t>
      </w:r>
      <w:r>
        <w:rPr>
          <w:spacing w:val="25"/>
        </w:rPr>
        <w:t> </w:t>
      </w:r>
      <w:r>
        <w:rPr/>
        <w:t>hardness.</w:t>
      </w:r>
      <w:r>
        <w:rPr>
          <w:spacing w:val="29"/>
        </w:rPr>
        <w:t> </w:t>
      </w:r>
      <w:r>
        <w:rPr/>
        <w:t>Tablets</w:t>
      </w:r>
      <w:r>
        <w:rPr>
          <w:spacing w:val="18"/>
        </w:rPr>
        <w:t> </w:t>
      </w:r>
      <w:r>
        <w:rPr/>
        <w:t>are</w:t>
      </w:r>
      <w:r>
        <w:rPr>
          <w:spacing w:val="26"/>
        </w:rPr>
        <w:t> </w:t>
      </w:r>
      <w:r>
        <w:rPr/>
        <w:t>held</w:t>
      </w:r>
      <w:r>
        <w:rPr>
          <w:spacing w:val="34"/>
        </w:rPr>
        <w:t> </w:t>
      </w:r>
      <w:r>
        <w:rPr/>
        <w:t>together by binders that act through Van der Waal forces, electrostatic forces of attraction,</w:t>
      </w:r>
      <w:r>
        <w:rPr>
          <w:spacing w:val="40"/>
        </w:rPr>
        <w:t> </w:t>
      </w:r>
      <w:r>
        <w:rPr/>
        <w:t>frictional</w:t>
      </w:r>
      <w:r>
        <w:rPr>
          <w:spacing w:val="21"/>
        </w:rPr>
        <w:t> </w:t>
      </w:r>
      <w:r>
        <w:rPr/>
        <w:t>and</w:t>
      </w:r>
      <w:r>
        <w:rPr>
          <w:spacing w:val="31"/>
        </w:rPr>
        <w:t> </w:t>
      </w:r>
      <w:r>
        <w:rPr/>
        <w:t>mechanical</w:t>
      </w:r>
      <w:r>
        <w:rPr>
          <w:spacing w:val="27"/>
        </w:rPr>
        <w:t> </w:t>
      </w:r>
      <w:r>
        <w:rPr/>
        <w:t>forces,</w:t>
      </w:r>
      <w:r>
        <w:rPr>
          <w:spacing w:val="28"/>
        </w:rPr>
        <w:t> </w:t>
      </w:r>
      <w:r>
        <w:rPr/>
        <w:t>and</w:t>
      </w:r>
      <w:r>
        <w:rPr>
          <w:spacing w:val="31"/>
        </w:rPr>
        <w:t> </w:t>
      </w:r>
      <w:r>
        <w:rPr/>
        <w:t>forces</w:t>
      </w:r>
      <w:r>
        <w:rPr>
          <w:spacing w:val="20"/>
        </w:rPr>
        <w:t> </w:t>
      </w:r>
      <w:r>
        <w:rPr/>
        <w:t>due</w:t>
      </w:r>
      <w:r>
        <w:rPr>
          <w:spacing w:val="28"/>
        </w:rPr>
        <w:t> </w:t>
      </w:r>
      <w:r>
        <w:rPr/>
        <w:t>to</w:t>
      </w:r>
      <w:r>
        <w:rPr>
          <w:spacing w:val="31"/>
        </w:rPr>
        <w:t> </w:t>
      </w:r>
      <w:r>
        <w:rPr/>
        <w:t>the</w:t>
      </w:r>
      <w:r>
        <w:rPr>
          <w:spacing w:val="28"/>
        </w:rPr>
        <w:t> </w:t>
      </w:r>
      <w:r>
        <w:rPr/>
        <w:t>formation</w:t>
      </w:r>
      <w:r>
        <w:rPr>
          <w:spacing w:val="20"/>
        </w:rPr>
        <w:t> </w:t>
      </w:r>
      <w:r>
        <w:rPr/>
        <w:t>of</w:t>
      </w:r>
      <w:r>
        <w:rPr>
          <w:spacing w:val="24"/>
        </w:rPr>
        <w:t> </w:t>
      </w:r>
      <w:r>
        <w:rPr/>
        <w:t>solid</w:t>
      </w:r>
      <w:r>
        <w:rPr>
          <w:spacing w:val="36"/>
        </w:rPr>
        <w:t> </w:t>
      </w:r>
      <w:r>
        <w:rPr/>
        <w:t>bonds</w:t>
      </w:r>
      <w:r>
        <w:rPr>
          <w:spacing w:val="20"/>
        </w:rPr>
        <w:t> </w:t>
      </w:r>
      <w:r>
        <w:rPr/>
        <w:t>(Musa </w:t>
      </w:r>
      <w:r>
        <w:rPr>
          <w:i/>
        </w:rPr>
        <w:t>et al</w:t>
      </w:r>
      <w:r>
        <w:rPr/>
        <w:t>, 2010).</w:t>
      </w:r>
    </w:p>
    <w:p>
      <w:pPr>
        <w:pStyle w:val="BodyText"/>
        <w:spacing w:line="491" w:lineRule="auto" w:before="2"/>
        <w:ind w:left="665" w:right="1088" w:firstLine="676"/>
        <w:jc w:val="both"/>
      </w:pPr>
      <w:r>
        <w:rPr/>
        <w:t>Friability is a measure of the weakness of the tablets (Alebiowu and Adeagbo, 2009).</w:t>
      </w:r>
      <w:r>
        <w:rPr>
          <w:spacing w:val="40"/>
        </w:rPr>
        <w:t> </w:t>
      </w:r>
      <w:r>
        <w:rPr/>
        <w:t>It</w:t>
      </w:r>
      <w:r>
        <w:rPr>
          <w:spacing w:val="40"/>
        </w:rPr>
        <w:t> </w:t>
      </w:r>
      <w:r>
        <w:rPr/>
        <w:t>gives</w:t>
      </w:r>
      <w:r>
        <w:rPr>
          <w:spacing w:val="40"/>
        </w:rPr>
        <w:t> </w:t>
      </w:r>
      <w:r>
        <w:rPr/>
        <w:t>an</w:t>
      </w:r>
      <w:r>
        <w:rPr>
          <w:spacing w:val="40"/>
        </w:rPr>
        <w:t> </w:t>
      </w:r>
      <w:r>
        <w:rPr/>
        <w:t>indication</w:t>
      </w:r>
      <w:r>
        <w:rPr>
          <w:spacing w:val="40"/>
        </w:rPr>
        <w:t> </w:t>
      </w:r>
      <w:r>
        <w:rPr/>
        <w:t>of</w:t>
      </w:r>
      <w:r>
        <w:rPr>
          <w:spacing w:val="40"/>
        </w:rPr>
        <w:t> </w:t>
      </w:r>
      <w:r>
        <w:rPr/>
        <w:t>the</w:t>
      </w:r>
      <w:r>
        <w:rPr>
          <w:spacing w:val="40"/>
        </w:rPr>
        <w:t> </w:t>
      </w:r>
      <w:r>
        <w:rPr/>
        <w:t>likely</w:t>
      </w:r>
      <w:r>
        <w:rPr>
          <w:spacing w:val="40"/>
        </w:rPr>
        <w:t> </w:t>
      </w:r>
      <w:r>
        <w:rPr/>
        <w:t>edge</w:t>
      </w:r>
      <w:r>
        <w:rPr>
          <w:spacing w:val="40"/>
        </w:rPr>
        <w:t> </w:t>
      </w:r>
      <w:r>
        <w:rPr/>
        <w:t>damage</w:t>
      </w:r>
      <w:r>
        <w:rPr>
          <w:spacing w:val="40"/>
        </w:rPr>
        <w:t> </w:t>
      </w:r>
      <w:r>
        <w:rPr/>
        <w:t>that</w:t>
      </w:r>
      <w:r>
        <w:rPr>
          <w:spacing w:val="40"/>
        </w:rPr>
        <w:t> </w:t>
      </w:r>
      <w:r>
        <w:rPr/>
        <w:t>would</w:t>
      </w:r>
      <w:r>
        <w:rPr>
          <w:spacing w:val="40"/>
        </w:rPr>
        <w:t> </w:t>
      </w:r>
      <w:r>
        <w:rPr/>
        <w:t>occur</w:t>
      </w:r>
      <w:r>
        <w:rPr>
          <w:spacing w:val="40"/>
        </w:rPr>
        <w:t> </w:t>
      </w:r>
      <w:r>
        <w:rPr/>
        <w:t>when</w:t>
      </w:r>
      <w:r>
        <w:rPr>
          <w:spacing w:val="40"/>
        </w:rPr>
        <w:t> </w:t>
      </w:r>
      <w:r>
        <w:rPr/>
        <w:t>the tablets</w:t>
      </w:r>
      <w:r>
        <w:rPr>
          <w:spacing w:val="40"/>
        </w:rPr>
        <w:t> </w:t>
      </w:r>
      <w:r>
        <w:rPr/>
        <w:t>are</w:t>
      </w:r>
      <w:r>
        <w:rPr>
          <w:spacing w:val="40"/>
        </w:rPr>
        <w:t> </w:t>
      </w:r>
      <w:r>
        <w:rPr/>
        <w:t>handled</w:t>
      </w:r>
      <w:r>
        <w:rPr>
          <w:spacing w:val="40"/>
        </w:rPr>
        <w:t> </w:t>
      </w:r>
      <w:r>
        <w:rPr/>
        <w:t>during</w:t>
      </w:r>
      <w:r>
        <w:rPr>
          <w:spacing w:val="40"/>
        </w:rPr>
        <w:t> </w:t>
      </w:r>
      <w:r>
        <w:rPr/>
        <w:t>packing</w:t>
      </w:r>
      <w:r>
        <w:rPr>
          <w:spacing w:val="40"/>
        </w:rPr>
        <w:t> </w:t>
      </w:r>
      <w:r>
        <w:rPr/>
        <w:t>and</w:t>
      </w:r>
      <w:r>
        <w:rPr>
          <w:spacing w:val="40"/>
        </w:rPr>
        <w:t> </w:t>
      </w:r>
      <w:r>
        <w:rPr/>
        <w:t>dispensing.</w:t>
      </w:r>
      <w:r>
        <w:rPr>
          <w:spacing w:val="40"/>
        </w:rPr>
        <w:t> </w:t>
      </w:r>
      <w:r>
        <w:rPr/>
        <w:t>The</w:t>
      </w:r>
      <w:r>
        <w:rPr>
          <w:spacing w:val="40"/>
        </w:rPr>
        <w:t> </w:t>
      </w:r>
      <w:r>
        <w:rPr/>
        <w:t>friability</w:t>
      </w:r>
      <w:r>
        <w:rPr>
          <w:spacing w:val="40"/>
        </w:rPr>
        <w:t> </w:t>
      </w:r>
      <w:r>
        <w:rPr/>
        <w:t>test</w:t>
      </w:r>
      <w:r>
        <w:rPr>
          <w:spacing w:val="40"/>
        </w:rPr>
        <w:t> </w:t>
      </w:r>
      <w:r>
        <w:rPr/>
        <w:t>values</w:t>
      </w:r>
      <w:r>
        <w:rPr>
          <w:spacing w:val="40"/>
        </w:rPr>
        <w:t> </w:t>
      </w:r>
      <w:r>
        <w:rPr/>
        <w:t>are presented</w:t>
      </w:r>
      <w:r>
        <w:rPr>
          <w:spacing w:val="40"/>
        </w:rPr>
        <w:t> </w:t>
      </w:r>
      <w:r>
        <w:rPr/>
        <w:t>in</w:t>
      </w:r>
      <w:r>
        <w:rPr>
          <w:spacing w:val="40"/>
        </w:rPr>
        <w:t> </w:t>
      </w:r>
      <w:r>
        <w:rPr/>
        <w:t>Table</w:t>
      </w:r>
      <w:r>
        <w:rPr>
          <w:spacing w:val="40"/>
        </w:rPr>
        <w:t> </w:t>
      </w:r>
      <w:r>
        <w:rPr/>
        <w:t>4.8</w:t>
      </w:r>
      <w:r>
        <w:rPr>
          <w:spacing w:val="40"/>
        </w:rPr>
        <w:t> </w:t>
      </w:r>
      <w:r>
        <w:rPr/>
        <w:t>and</w:t>
      </w:r>
      <w:r>
        <w:rPr>
          <w:spacing w:val="40"/>
        </w:rPr>
        <w:t> </w:t>
      </w:r>
      <w:r>
        <w:rPr/>
        <w:t>4.9.</w:t>
      </w:r>
      <w:r>
        <w:rPr>
          <w:spacing w:val="40"/>
        </w:rPr>
        <w:t> </w:t>
      </w:r>
      <w:r>
        <w:rPr/>
        <w:t>Values</w:t>
      </w:r>
      <w:r>
        <w:rPr>
          <w:spacing w:val="40"/>
        </w:rPr>
        <w:t> </w:t>
      </w:r>
      <w:r>
        <w:rPr/>
        <w:t>obtained</w:t>
      </w:r>
      <w:r>
        <w:rPr>
          <w:spacing w:val="40"/>
        </w:rPr>
        <w:t> </w:t>
      </w:r>
      <w:r>
        <w:rPr/>
        <w:t>exceeded</w:t>
      </w:r>
      <w:r>
        <w:rPr>
          <w:spacing w:val="40"/>
        </w:rPr>
        <w:t> </w:t>
      </w:r>
      <w:r>
        <w:rPr/>
        <w:t>1</w:t>
      </w:r>
      <w:r>
        <w:rPr>
          <w:spacing w:val="40"/>
        </w:rPr>
        <w:t> </w:t>
      </w:r>
      <w:r>
        <w:rPr/>
        <w:t>%</w:t>
      </w:r>
      <w:r>
        <w:rPr>
          <w:spacing w:val="40"/>
        </w:rPr>
        <w:t> </w:t>
      </w:r>
      <w:r>
        <w:rPr/>
        <w:t>except</w:t>
      </w:r>
      <w:r>
        <w:rPr>
          <w:spacing w:val="40"/>
        </w:rPr>
        <w:t> </w:t>
      </w:r>
      <w:r>
        <w:rPr/>
        <w:t>for</w:t>
      </w:r>
      <w:r>
        <w:rPr>
          <w:spacing w:val="40"/>
        </w:rPr>
        <w:t> </w:t>
      </w:r>
      <w:r>
        <w:rPr/>
        <w:t>tablets produced</w:t>
      </w:r>
      <w:r>
        <w:rPr>
          <w:spacing w:val="40"/>
        </w:rPr>
        <w:t> </w:t>
      </w:r>
      <w:r>
        <w:rPr/>
        <w:t>at</w:t>
      </w:r>
      <w:r>
        <w:rPr>
          <w:spacing w:val="40"/>
        </w:rPr>
        <w:t> </w:t>
      </w:r>
      <w:r>
        <w:rPr/>
        <w:t>12.5</w:t>
      </w:r>
      <w:r>
        <w:rPr>
          <w:spacing w:val="40"/>
        </w:rPr>
        <w:t> </w:t>
      </w:r>
      <w:r>
        <w:rPr/>
        <w:t>%</w:t>
      </w:r>
      <w:r>
        <w:rPr>
          <w:spacing w:val="40"/>
        </w:rPr>
        <w:t> </w:t>
      </w:r>
      <w:r>
        <w:rPr/>
        <w:t>w/v binder</w:t>
      </w:r>
      <w:r>
        <w:rPr>
          <w:spacing w:val="40"/>
        </w:rPr>
        <w:t> </w:t>
      </w:r>
      <w:r>
        <w:rPr/>
        <w:t>concentration.</w:t>
      </w:r>
      <w:r>
        <w:rPr>
          <w:spacing w:val="40"/>
        </w:rPr>
        <w:t> </w:t>
      </w:r>
      <w:r>
        <w:rPr/>
        <w:t>This</w:t>
      </w:r>
      <w:r>
        <w:rPr>
          <w:spacing w:val="40"/>
        </w:rPr>
        <w:t> </w:t>
      </w:r>
      <w:r>
        <w:rPr/>
        <w:t>may be</w:t>
      </w:r>
      <w:r>
        <w:rPr>
          <w:spacing w:val="40"/>
        </w:rPr>
        <w:t> </w:t>
      </w:r>
      <w:r>
        <w:rPr/>
        <w:t>attributed</w:t>
      </w:r>
      <w:r>
        <w:rPr>
          <w:spacing w:val="40"/>
        </w:rPr>
        <w:t> </w:t>
      </w:r>
      <w:r>
        <w:rPr/>
        <w:t>to</w:t>
      </w:r>
      <w:r>
        <w:rPr>
          <w:spacing w:val="40"/>
        </w:rPr>
        <w:t> </w:t>
      </w:r>
      <w:r>
        <w:rPr/>
        <w:t>the</w:t>
      </w:r>
      <w:r>
        <w:rPr>
          <w:spacing w:val="38"/>
        </w:rPr>
        <w:t> </w:t>
      </w:r>
      <w:r>
        <w:rPr/>
        <w:t>fact</w:t>
      </w:r>
      <w:r>
        <w:rPr>
          <w:spacing w:val="40"/>
        </w:rPr>
        <w:t> </w:t>
      </w:r>
      <w:r>
        <w:rPr/>
        <w:t>that MCS and</w:t>
      </w:r>
      <w:r>
        <w:rPr>
          <w:spacing w:val="19"/>
        </w:rPr>
        <w:t> </w:t>
      </w:r>
      <w:r>
        <w:rPr/>
        <w:t>DS had a high moisture sorption capacity as shown in Table 4.3. The friability of tablets containing DS and MCS as binder far exceeded the limit of 1 %. This makes them unsuitable as binder, implying that DS and MCS may not be useful as a direct compressible excipient.</w:t>
      </w:r>
    </w:p>
    <w:p>
      <w:pPr>
        <w:pStyle w:val="BodyText"/>
        <w:spacing w:line="491" w:lineRule="auto" w:before="3"/>
        <w:ind w:left="665" w:right="1098" w:firstLine="676"/>
        <w:jc w:val="both"/>
      </w:pPr>
      <w:r>
        <w:rPr/>
        <w:t>Tablets disintegrate by swelling of the disintegrant which results in development</w:t>
      </w:r>
      <w:r>
        <w:rPr>
          <w:spacing w:val="40"/>
        </w:rPr>
        <w:t> </w:t>
      </w:r>
      <w:r>
        <w:rPr/>
        <w:t>of swelling force, capillary action and breakdown of intermolecular forces resulting in development</w:t>
      </w:r>
      <w:r>
        <w:rPr>
          <w:spacing w:val="37"/>
        </w:rPr>
        <w:t> </w:t>
      </w:r>
      <w:r>
        <w:rPr/>
        <w:t>of</w:t>
      </w:r>
      <w:r>
        <w:rPr>
          <w:spacing w:val="34"/>
        </w:rPr>
        <w:t> </w:t>
      </w:r>
      <w:r>
        <w:rPr/>
        <w:t>a</w:t>
      </w:r>
      <w:r>
        <w:rPr>
          <w:spacing w:val="38"/>
        </w:rPr>
        <w:t> </w:t>
      </w:r>
      <w:r>
        <w:rPr/>
        <w:t>repulsive</w:t>
      </w:r>
      <w:r>
        <w:rPr>
          <w:spacing w:val="43"/>
        </w:rPr>
        <w:t> </w:t>
      </w:r>
      <w:r>
        <w:rPr/>
        <w:t>force</w:t>
      </w:r>
      <w:r>
        <w:rPr>
          <w:spacing w:val="33"/>
        </w:rPr>
        <w:t> </w:t>
      </w:r>
      <w:r>
        <w:rPr/>
        <w:t>between</w:t>
      </w:r>
      <w:r>
        <w:rPr>
          <w:spacing w:val="30"/>
        </w:rPr>
        <w:t> </w:t>
      </w:r>
      <w:r>
        <w:rPr/>
        <w:t>particles</w:t>
      </w:r>
      <w:r>
        <w:rPr>
          <w:spacing w:val="36"/>
        </w:rPr>
        <w:t> </w:t>
      </w:r>
      <w:r>
        <w:rPr/>
        <w:t>(Ngwuluka</w:t>
      </w:r>
      <w:r>
        <w:rPr>
          <w:spacing w:val="35"/>
        </w:rPr>
        <w:t> </w:t>
      </w:r>
      <w:r>
        <w:rPr>
          <w:i/>
        </w:rPr>
        <w:t>et</w:t>
      </w:r>
      <w:r>
        <w:rPr>
          <w:i/>
          <w:spacing w:val="43"/>
        </w:rPr>
        <w:t> </w:t>
      </w:r>
      <w:r>
        <w:rPr>
          <w:i/>
        </w:rPr>
        <w:t>al</w:t>
      </w:r>
      <w:r>
        <w:rPr/>
        <w:t>,</w:t>
      </w:r>
      <w:r>
        <w:rPr>
          <w:spacing w:val="33"/>
        </w:rPr>
        <w:t> </w:t>
      </w:r>
      <w:r>
        <w:rPr/>
        <w:t>2010).</w:t>
      </w:r>
      <w:r>
        <w:rPr>
          <w:spacing w:val="39"/>
        </w:rPr>
        <w:t> </w:t>
      </w:r>
      <w:r>
        <w:rPr/>
        <w:t>The</w:t>
      </w:r>
      <w:r>
        <w:rPr>
          <w:spacing w:val="33"/>
        </w:rPr>
        <w:t> </w:t>
      </w:r>
      <w:r>
        <w:rPr>
          <w:spacing w:val="-4"/>
        </w:rPr>
        <w:t>time</w:t>
      </w:r>
    </w:p>
    <w:p>
      <w:pPr>
        <w:spacing w:after="0" w:line="491" w:lineRule="auto"/>
        <w:jc w:val="both"/>
        <w:sectPr>
          <w:pgSz w:w="12240" w:h="15840"/>
          <w:pgMar w:header="0" w:footer="999" w:top="1260" w:bottom="1180" w:left="1720" w:right="760"/>
        </w:sectPr>
      </w:pPr>
    </w:p>
    <w:p>
      <w:pPr>
        <w:pStyle w:val="BodyText"/>
        <w:spacing w:line="491" w:lineRule="auto" w:before="75"/>
        <w:ind w:left="665" w:right="1096"/>
        <w:jc w:val="both"/>
      </w:pPr>
      <w:r>
        <w:rPr/>
        <w:t>taken for a tablet to disintegrate when immersed in some test fluid should not exceed 15 min for uncoated tablets (BP, 2002). The values for disintegration time (DT) for all batches</w:t>
      </w:r>
      <w:r>
        <w:rPr>
          <w:spacing w:val="40"/>
        </w:rPr>
        <w:t> </w:t>
      </w:r>
      <w:r>
        <w:rPr/>
        <w:t>are</w:t>
      </w:r>
      <w:r>
        <w:rPr>
          <w:spacing w:val="40"/>
        </w:rPr>
        <w:t> </w:t>
      </w:r>
      <w:r>
        <w:rPr/>
        <w:t>presented</w:t>
      </w:r>
      <w:r>
        <w:rPr>
          <w:spacing w:val="40"/>
        </w:rPr>
        <w:t> </w:t>
      </w:r>
      <w:r>
        <w:rPr/>
        <w:t>in</w:t>
      </w:r>
      <w:r>
        <w:rPr>
          <w:spacing w:val="40"/>
        </w:rPr>
        <w:t> </w:t>
      </w:r>
      <w:r>
        <w:rPr/>
        <w:t>Tables</w:t>
      </w:r>
      <w:r>
        <w:rPr>
          <w:spacing w:val="40"/>
        </w:rPr>
        <w:t> </w:t>
      </w:r>
      <w:r>
        <w:rPr/>
        <w:t>4.8</w:t>
      </w:r>
      <w:r>
        <w:rPr>
          <w:spacing w:val="40"/>
        </w:rPr>
        <w:t> </w:t>
      </w:r>
      <w:r>
        <w:rPr/>
        <w:t>and</w:t>
      </w:r>
      <w:r>
        <w:rPr>
          <w:spacing w:val="40"/>
        </w:rPr>
        <w:t> </w:t>
      </w:r>
      <w:r>
        <w:rPr/>
        <w:t>4.9.</w:t>
      </w:r>
      <w:r>
        <w:rPr>
          <w:spacing w:val="40"/>
        </w:rPr>
        <w:t> </w:t>
      </w:r>
      <w:r>
        <w:rPr/>
        <w:t>At</w:t>
      </w:r>
      <w:r>
        <w:rPr>
          <w:spacing w:val="40"/>
        </w:rPr>
        <w:t> </w:t>
      </w:r>
      <w:r>
        <w:rPr/>
        <w:t>all</w:t>
      </w:r>
      <w:r>
        <w:rPr>
          <w:spacing w:val="40"/>
        </w:rPr>
        <w:t> </w:t>
      </w:r>
      <w:r>
        <w:rPr/>
        <w:t>disintegrant</w:t>
      </w:r>
      <w:r>
        <w:rPr>
          <w:spacing w:val="40"/>
        </w:rPr>
        <w:t> </w:t>
      </w:r>
      <w:r>
        <w:rPr/>
        <w:t>concentrations,</w:t>
      </w:r>
      <w:r>
        <w:rPr>
          <w:spacing w:val="40"/>
        </w:rPr>
        <w:t> </w:t>
      </w:r>
      <w:r>
        <w:rPr/>
        <w:t>the tablets disintegrated in less than 15 min. This implies that they all passed the</w:t>
      </w:r>
      <w:r>
        <w:rPr>
          <w:spacing w:val="40"/>
        </w:rPr>
        <w:t> </w:t>
      </w:r>
      <w:r>
        <w:rPr/>
        <w:t>disintegration</w:t>
      </w:r>
      <w:r>
        <w:rPr>
          <w:spacing w:val="31"/>
        </w:rPr>
        <w:t> </w:t>
      </w:r>
      <w:r>
        <w:rPr/>
        <w:t>time</w:t>
      </w:r>
      <w:r>
        <w:rPr>
          <w:spacing w:val="29"/>
        </w:rPr>
        <w:t> </w:t>
      </w:r>
      <w:r>
        <w:rPr/>
        <w:t>test.</w:t>
      </w:r>
      <w:r>
        <w:rPr>
          <w:spacing w:val="34"/>
        </w:rPr>
        <w:t> </w:t>
      </w:r>
      <w:r>
        <w:rPr/>
        <w:t>The</w:t>
      </w:r>
      <w:r>
        <w:rPr>
          <w:spacing w:val="34"/>
        </w:rPr>
        <w:t> </w:t>
      </w:r>
      <w:r>
        <w:rPr/>
        <w:t>order</w:t>
      </w:r>
      <w:r>
        <w:rPr>
          <w:spacing w:val="30"/>
        </w:rPr>
        <w:t> </w:t>
      </w:r>
      <w:r>
        <w:rPr/>
        <w:t>of</w:t>
      </w:r>
      <w:r>
        <w:rPr>
          <w:spacing w:val="30"/>
        </w:rPr>
        <w:t> </w:t>
      </w:r>
      <w:r>
        <w:rPr/>
        <w:t>DT</w:t>
      </w:r>
      <w:r>
        <w:rPr>
          <w:spacing w:val="40"/>
        </w:rPr>
        <w:t> </w:t>
      </w:r>
      <w:r>
        <w:rPr/>
        <w:t>for</w:t>
      </w:r>
      <w:r>
        <w:rPr>
          <w:spacing w:val="36"/>
        </w:rPr>
        <w:t> </w:t>
      </w:r>
      <w:r>
        <w:rPr/>
        <w:t>the</w:t>
      </w:r>
      <w:r>
        <w:rPr>
          <w:spacing w:val="23"/>
        </w:rPr>
        <w:t> </w:t>
      </w:r>
      <w:r>
        <w:rPr/>
        <w:t>starches</w:t>
      </w:r>
      <w:r>
        <w:rPr>
          <w:spacing w:val="32"/>
        </w:rPr>
        <w:t> </w:t>
      </w:r>
      <w:r>
        <w:rPr/>
        <w:t>is</w:t>
      </w:r>
      <w:r>
        <w:rPr>
          <w:spacing w:val="32"/>
        </w:rPr>
        <w:t> </w:t>
      </w:r>
      <w:r>
        <w:rPr/>
        <w:t>as</w:t>
      </w:r>
      <w:r>
        <w:rPr>
          <w:spacing w:val="32"/>
        </w:rPr>
        <w:t> </w:t>
      </w:r>
      <w:r>
        <w:rPr/>
        <w:t>follows:</w:t>
      </w:r>
      <w:r>
        <w:rPr>
          <w:spacing w:val="28"/>
        </w:rPr>
        <w:t> </w:t>
      </w:r>
      <w:r>
        <w:rPr/>
        <w:t>MCS</w:t>
      </w:r>
      <w:r>
        <w:rPr>
          <w:spacing w:val="33"/>
        </w:rPr>
        <w:t> </w:t>
      </w:r>
      <w:r>
        <w:rPr/>
        <w:t>&gt;</w:t>
      </w:r>
      <w:r>
        <w:rPr>
          <w:spacing w:val="31"/>
        </w:rPr>
        <w:t> </w:t>
      </w:r>
      <w:r>
        <w:rPr/>
        <w:t>MS</w:t>
      </w:r>
      <w:r>
        <w:rPr>
          <w:spacing w:val="33"/>
        </w:rPr>
        <w:t> </w:t>
      </w:r>
      <w:r>
        <w:rPr/>
        <w:t>&gt; DS. This confirms the superiority of DS as a</w:t>
      </w:r>
      <w:r>
        <w:rPr>
          <w:spacing w:val="40"/>
        </w:rPr>
        <w:t> </w:t>
      </w:r>
      <w:r>
        <w:rPr/>
        <w:t>good disintegrant compared</w:t>
      </w:r>
      <w:r>
        <w:rPr>
          <w:spacing w:val="40"/>
        </w:rPr>
        <w:t> </w:t>
      </w:r>
      <w:r>
        <w:rPr/>
        <w:t>to</w:t>
      </w:r>
      <w:r>
        <w:rPr>
          <w:spacing w:val="40"/>
        </w:rPr>
        <w:t> </w:t>
      </w:r>
      <w:r>
        <w:rPr/>
        <w:t>MS and MCS. At 12.5 % w/v binder</w:t>
      </w:r>
      <w:r>
        <w:rPr>
          <w:spacing w:val="32"/>
        </w:rPr>
        <w:t> </w:t>
      </w:r>
      <w:r>
        <w:rPr/>
        <w:t>concentration the tablets produced</w:t>
      </w:r>
      <w:r>
        <w:rPr>
          <w:spacing w:val="32"/>
        </w:rPr>
        <w:t> </w:t>
      </w:r>
      <w:r>
        <w:rPr/>
        <w:t>failed</w:t>
      </w:r>
      <w:r>
        <w:rPr>
          <w:spacing w:val="32"/>
        </w:rPr>
        <w:t> </w:t>
      </w:r>
      <w:r>
        <w:rPr/>
        <w:t>the DT test.</w:t>
      </w:r>
    </w:p>
    <w:p>
      <w:pPr>
        <w:pStyle w:val="BodyText"/>
        <w:spacing w:line="491" w:lineRule="auto"/>
        <w:ind w:left="665" w:right="1096" w:firstLine="676"/>
        <w:jc w:val="both"/>
      </w:pPr>
      <w:r>
        <w:rPr/>
        <w:t>The CS/FR index for disintegrant concentration decreased with increase in concentration. The CS/FR index for disintegrant used decreased in this order DS&gt;MCS&gt;MS. The balance between the binding and disintegration properties of the tablets was evaluated using (CS/FR)/DT (Alebiowu and Adeagbo, 2009). The</w:t>
      </w:r>
      <w:r>
        <w:rPr>
          <w:spacing w:val="40"/>
        </w:rPr>
        <w:t> </w:t>
      </w:r>
      <w:r>
        <w:rPr/>
        <w:t>(CS/FR)/DT decreased with increase in disintegrant concentration for all disintegrant types. MS has the highest (CS/FR)/DT ratio at all concentrations. The (CS/FR)/DT ratio for</w:t>
      </w:r>
      <w:r>
        <w:rPr>
          <w:spacing w:val="21"/>
        </w:rPr>
        <w:t> </w:t>
      </w:r>
      <w:r>
        <w:rPr/>
        <w:t>DS</w:t>
      </w:r>
      <w:r>
        <w:rPr>
          <w:spacing w:val="13"/>
        </w:rPr>
        <w:t> </w:t>
      </w:r>
      <w:r>
        <w:rPr/>
        <w:t>and</w:t>
      </w:r>
      <w:r>
        <w:rPr>
          <w:spacing w:val="22"/>
        </w:rPr>
        <w:t> </w:t>
      </w:r>
      <w:r>
        <w:rPr/>
        <w:t>MCS</w:t>
      </w:r>
      <w:r>
        <w:rPr>
          <w:spacing w:val="24"/>
        </w:rPr>
        <w:t> </w:t>
      </w:r>
      <w:r>
        <w:rPr/>
        <w:t>is</w:t>
      </w:r>
      <w:r>
        <w:rPr>
          <w:spacing w:val="17"/>
        </w:rPr>
        <w:t> </w:t>
      </w:r>
      <w:r>
        <w:rPr/>
        <w:t>comparable.</w:t>
      </w:r>
      <w:r>
        <w:rPr>
          <w:spacing w:val="23"/>
        </w:rPr>
        <w:t> </w:t>
      </w:r>
      <w:r>
        <w:rPr/>
        <w:t>(CS/FR)/DT</w:t>
      </w:r>
      <w:r>
        <w:rPr>
          <w:spacing w:val="21"/>
        </w:rPr>
        <w:t> </w:t>
      </w:r>
      <w:r>
        <w:rPr/>
        <w:t>values</w:t>
      </w:r>
      <w:r>
        <w:rPr>
          <w:spacing w:val="17"/>
        </w:rPr>
        <w:t> </w:t>
      </w:r>
      <w:r>
        <w:rPr/>
        <w:t>of</w:t>
      </w:r>
      <w:r>
        <w:rPr>
          <w:spacing w:val="16"/>
        </w:rPr>
        <w:t> </w:t>
      </w:r>
      <w:r>
        <w:rPr/>
        <w:t>DS</w:t>
      </w:r>
      <w:r>
        <w:rPr>
          <w:spacing w:val="24"/>
        </w:rPr>
        <w:t> </w:t>
      </w:r>
      <w:r>
        <w:rPr/>
        <w:t>and</w:t>
      </w:r>
      <w:r>
        <w:rPr>
          <w:spacing w:val="22"/>
        </w:rPr>
        <w:t> </w:t>
      </w:r>
      <w:r>
        <w:rPr/>
        <w:t>MCS</w:t>
      </w:r>
      <w:r>
        <w:rPr>
          <w:spacing w:val="18"/>
        </w:rPr>
        <w:t> </w:t>
      </w:r>
      <w:r>
        <w:rPr/>
        <w:t>at 5.0</w:t>
      </w:r>
      <w:r>
        <w:rPr>
          <w:spacing w:val="22"/>
        </w:rPr>
        <w:t> </w:t>
      </w:r>
      <w:r>
        <w:rPr/>
        <w:t>%</w:t>
      </w:r>
      <w:r>
        <w:rPr>
          <w:spacing w:val="14"/>
        </w:rPr>
        <w:t> </w:t>
      </w:r>
      <w:r>
        <w:rPr/>
        <w:t>w/w</w:t>
      </w:r>
      <w:r>
        <w:rPr>
          <w:spacing w:val="19"/>
        </w:rPr>
        <w:t> </w:t>
      </w:r>
      <w:r>
        <w:rPr/>
        <w:t>and</w:t>
      </w:r>
    </w:p>
    <w:p>
      <w:pPr>
        <w:pStyle w:val="BodyText"/>
        <w:spacing w:line="491" w:lineRule="auto" w:before="2"/>
        <w:ind w:left="665" w:right="1097"/>
        <w:jc w:val="both"/>
      </w:pPr>
      <w:r>
        <w:rPr/>
        <w:t>7.5 % w/w disintegrant concentration is not significant. (CS/FR)/DT is a better index of measuring the quality of tablets. It measures tablet strength and</w:t>
      </w:r>
      <w:r>
        <w:rPr>
          <w:spacing w:val="28"/>
        </w:rPr>
        <w:t> </w:t>
      </w:r>
      <w:r>
        <w:rPr/>
        <w:t>weakness and</w:t>
      </w:r>
      <w:r>
        <w:rPr>
          <w:spacing w:val="28"/>
        </w:rPr>
        <w:t> </w:t>
      </w:r>
      <w:r>
        <w:rPr/>
        <w:t>evaluates all negative effects of these parameters on the disintegration time (Ogaji and Okafor, </w:t>
      </w:r>
      <w:r>
        <w:rPr>
          <w:spacing w:val="-2"/>
        </w:rPr>
        <w:t>2009).</w:t>
      </w:r>
    </w:p>
    <w:p>
      <w:pPr>
        <w:pStyle w:val="BodyText"/>
        <w:spacing w:line="491" w:lineRule="auto"/>
        <w:ind w:left="665" w:right="1101" w:firstLine="676"/>
        <w:jc w:val="both"/>
      </w:pPr>
      <w:r>
        <w:rPr/>
        <w:t>There were slight variations in the mean weight and (CS/FR)/DT values of the tablets produced in Tables 4.8 and 4.9. The results were subjected to statistical analysis. The</w:t>
      </w:r>
      <w:r>
        <w:rPr>
          <w:spacing w:val="18"/>
        </w:rPr>
        <w:t> </w:t>
      </w:r>
      <w:r>
        <w:rPr/>
        <w:t>differences</w:t>
      </w:r>
      <w:r>
        <w:rPr>
          <w:spacing w:val="20"/>
        </w:rPr>
        <w:t> </w:t>
      </w:r>
      <w:r>
        <w:rPr/>
        <w:t>in the</w:t>
      </w:r>
      <w:r>
        <w:rPr>
          <w:spacing w:val="18"/>
        </w:rPr>
        <w:t> </w:t>
      </w:r>
      <w:r>
        <w:rPr/>
        <w:t>properties presented</w:t>
      </w:r>
      <w:r>
        <w:rPr>
          <w:spacing w:val="25"/>
        </w:rPr>
        <w:t> </w:t>
      </w:r>
      <w:r>
        <w:rPr/>
        <w:t>in Tables 4.8</w:t>
      </w:r>
      <w:r>
        <w:rPr>
          <w:spacing w:val="25"/>
        </w:rPr>
        <w:t> </w:t>
      </w:r>
      <w:r>
        <w:rPr/>
        <w:t>and</w:t>
      </w:r>
      <w:r>
        <w:rPr>
          <w:spacing w:val="25"/>
        </w:rPr>
        <w:t> </w:t>
      </w:r>
      <w:r>
        <w:rPr/>
        <w:t>4.9</w:t>
      </w:r>
      <w:r>
        <w:rPr>
          <w:spacing w:val="25"/>
        </w:rPr>
        <w:t> </w:t>
      </w:r>
      <w:r>
        <w:rPr/>
        <w:t>when MS</w:t>
      </w:r>
      <w:r>
        <w:rPr>
          <w:spacing w:val="27"/>
        </w:rPr>
        <w:t> </w:t>
      </w:r>
      <w:r>
        <w:rPr/>
        <w:t>is</w:t>
      </w:r>
      <w:r>
        <w:rPr>
          <w:spacing w:val="20"/>
        </w:rPr>
        <w:t> </w:t>
      </w:r>
      <w:r>
        <w:rPr/>
        <w:t>compared to DS/MCS and when GEL is compared with DS/MCS was significant at p ≤ 0.05 at the 95 % confidence interval.</w:t>
      </w:r>
      <w:r>
        <w:rPr>
          <w:spacing w:val="38"/>
        </w:rPr>
        <w:t> </w:t>
      </w:r>
      <w:r>
        <w:rPr/>
        <w:t>There is a strong positive correlation when DS is compared</w:t>
      </w:r>
      <w:r>
        <w:rPr>
          <w:spacing w:val="40"/>
        </w:rPr>
        <w:t> </w:t>
      </w:r>
      <w:r>
        <w:rPr/>
        <w:t>with MCS.</w:t>
      </w:r>
    </w:p>
    <w:p>
      <w:pPr>
        <w:spacing w:after="0" w:line="491" w:lineRule="auto"/>
        <w:jc w:val="both"/>
        <w:sectPr>
          <w:pgSz w:w="12240" w:h="15840"/>
          <w:pgMar w:header="0" w:footer="999" w:top="1260" w:bottom="1180" w:left="1720" w:right="760"/>
        </w:sectPr>
      </w:pPr>
    </w:p>
    <w:p>
      <w:pPr>
        <w:pStyle w:val="BodyText"/>
        <w:spacing w:line="491" w:lineRule="auto" w:before="75"/>
        <w:ind w:left="665" w:right="1096" w:firstLine="336"/>
        <w:jc w:val="both"/>
      </w:pPr>
      <w:r>
        <w:rPr/>
        <w:t>The dissolution profiles of the tablets are shown in Figures 4.13 and 4.14. The dissolution efficiency (D.E.) which is the percentage of drug released after 30 min was greater</w:t>
      </w:r>
      <w:r>
        <w:rPr>
          <w:spacing w:val="27"/>
        </w:rPr>
        <w:t> </w:t>
      </w:r>
      <w:r>
        <w:rPr/>
        <w:t>than</w:t>
      </w:r>
      <w:r>
        <w:rPr>
          <w:spacing w:val="29"/>
        </w:rPr>
        <w:t> </w:t>
      </w:r>
      <w:r>
        <w:rPr/>
        <w:t>85.00</w:t>
      </w:r>
      <w:r>
        <w:rPr>
          <w:spacing w:val="28"/>
        </w:rPr>
        <w:t> </w:t>
      </w:r>
      <w:r>
        <w:rPr/>
        <w:t>%</w:t>
      </w:r>
      <w:r>
        <w:rPr>
          <w:spacing w:val="26"/>
        </w:rPr>
        <w:t> </w:t>
      </w:r>
      <w:r>
        <w:rPr/>
        <w:t>for</w:t>
      </w:r>
      <w:r>
        <w:rPr>
          <w:spacing w:val="28"/>
        </w:rPr>
        <w:t> </w:t>
      </w:r>
      <w:r>
        <w:rPr/>
        <w:t>7.5</w:t>
      </w:r>
      <w:r>
        <w:rPr>
          <w:spacing w:val="30"/>
        </w:rPr>
        <w:t> </w:t>
      </w:r>
      <w:r>
        <w:rPr/>
        <w:t>%</w:t>
      </w:r>
      <w:r>
        <w:rPr>
          <w:spacing w:val="25"/>
        </w:rPr>
        <w:t> </w:t>
      </w:r>
      <w:r>
        <w:rPr/>
        <w:t>w/v</w:t>
      </w:r>
      <w:r>
        <w:rPr>
          <w:spacing w:val="18"/>
        </w:rPr>
        <w:t> </w:t>
      </w:r>
      <w:r>
        <w:rPr/>
        <w:t>binder</w:t>
      </w:r>
      <w:r>
        <w:rPr>
          <w:spacing w:val="28"/>
        </w:rPr>
        <w:t> </w:t>
      </w:r>
      <w:r>
        <w:rPr/>
        <w:t>concentration</w:t>
      </w:r>
      <w:r>
        <w:rPr>
          <w:spacing w:val="17"/>
        </w:rPr>
        <w:t> </w:t>
      </w:r>
      <w:r>
        <w:rPr/>
        <w:t>and</w:t>
      </w:r>
      <w:r>
        <w:rPr>
          <w:spacing w:val="30"/>
        </w:rPr>
        <w:t> </w:t>
      </w:r>
      <w:r>
        <w:rPr/>
        <w:t>greater</w:t>
      </w:r>
      <w:r>
        <w:rPr>
          <w:spacing w:val="27"/>
        </w:rPr>
        <w:t> </w:t>
      </w:r>
      <w:r>
        <w:rPr/>
        <w:t>than</w:t>
      </w:r>
      <w:r>
        <w:rPr>
          <w:spacing w:val="23"/>
        </w:rPr>
        <w:t> </w:t>
      </w:r>
      <w:r>
        <w:rPr/>
        <w:t>96.00</w:t>
      </w:r>
      <w:r>
        <w:rPr>
          <w:spacing w:val="34"/>
        </w:rPr>
        <w:t> </w:t>
      </w:r>
      <w:r>
        <w:rPr/>
        <w:t>%</w:t>
      </w:r>
      <w:r>
        <w:rPr>
          <w:spacing w:val="20"/>
        </w:rPr>
        <w:t> </w:t>
      </w:r>
      <w:r>
        <w:rPr>
          <w:spacing w:val="-5"/>
        </w:rPr>
        <w:t>for</w:t>
      </w:r>
    </w:p>
    <w:p>
      <w:pPr>
        <w:pStyle w:val="BodyText"/>
        <w:spacing w:line="491" w:lineRule="auto"/>
        <w:ind w:left="665" w:right="1097"/>
        <w:jc w:val="both"/>
      </w:pPr>
      <w:r>
        <w:rPr/>
        <w:t>10.0 % w/w disintegrant concentration. The order of D.E for 7.5 % w/v binder concentration was DS&gt;MCS&gt;GEL while the order of D.E for 10.0 % w/w disintegrant concentration was DS &gt; MS &gt; MCS.</w:t>
      </w:r>
    </w:p>
    <w:p>
      <w:pPr>
        <w:pStyle w:val="BodyText"/>
        <w:spacing w:line="491" w:lineRule="auto"/>
        <w:ind w:left="665" w:right="1098" w:firstLine="676"/>
        <w:jc w:val="both"/>
      </w:pPr>
      <w:r>
        <w:rPr/>
        <w:t>All the batches of tablets passed the B.P. 2002 dissolution test for tablets which specifies that at least 70 % of the drug should be solution after 30 min. Only batch of</w:t>
      </w:r>
      <w:r>
        <w:rPr>
          <w:spacing w:val="40"/>
        </w:rPr>
        <w:t> </w:t>
      </w:r>
      <w:r>
        <w:rPr/>
        <w:t>tablet of DS – Metronidazole of 10.0</w:t>
      </w:r>
      <w:r>
        <w:rPr>
          <w:spacing w:val="40"/>
        </w:rPr>
        <w:t> </w:t>
      </w:r>
      <w:r>
        <w:rPr/>
        <w:t>% w/w disintegrant concentration was able to</w:t>
      </w:r>
      <w:r>
        <w:rPr>
          <w:spacing w:val="40"/>
        </w:rPr>
        <w:t> </w:t>
      </w:r>
      <w:r>
        <w:rPr/>
        <w:t>release 100 % of the drug after 30 min. The rate of absorption of poorly soluble drugs is usually</w:t>
      </w:r>
      <w:r>
        <w:rPr>
          <w:spacing w:val="40"/>
        </w:rPr>
        <w:t> </w:t>
      </w:r>
      <w:r>
        <w:rPr/>
        <w:t>controlled</w:t>
      </w:r>
      <w:r>
        <w:rPr>
          <w:spacing w:val="40"/>
        </w:rPr>
        <w:t> </w:t>
      </w:r>
      <w:r>
        <w:rPr/>
        <w:t>by</w:t>
      </w:r>
      <w:r>
        <w:rPr>
          <w:spacing w:val="40"/>
        </w:rPr>
        <w:t> </w:t>
      </w:r>
      <w:r>
        <w:rPr/>
        <w:t>their</w:t>
      </w:r>
      <w:r>
        <w:rPr>
          <w:spacing w:val="40"/>
        </w:rPr>
        <w:t> </w:t>
      </w:r>
      <w:r>
        <w:rPr/>
        <w:t>dissolution</w:t>
      </w:r>
      <w:r>
        <w:rPr>
          <w:spacing w:val="40"/>
        </w:rPr>
        <w:t> </w:t>
      </w:r>
      <w:r>
        <w:rPr/>
        <w:t>rate</w:t>
      </w:r>
      <w:r>
        <w:rPr>
          <w:spacing w:val="40"/>
        </w:rPr>
        <w:t> </w:t>
      </w:r>
      <w:r>
        <w:rPr/>
        <w:t>in</w:t>
      </w:r>
      <w:r>
        <w:rPr>
          <w:spacing w:val="40"/>
        </w:rPr>
        <w:t> </w:t>
      </w:r>
      <w:r>
        <w:rPr/>
        <w:t>the</w:t>
      </w:r>
      <w:r>
        <w:rPr>
          <w:spacing w:val="40"/>
        </w:rPr>
        <w:t> </w:t>
      </w:r>
      <w:r>
        <w:rPr/>
        <w:t>gastrointestinal</w:t>
      </w:r>
      <w:r>
        <w:rPr>
          <w:spacing w:val="40"/>
        </w:rPr>
        <w:t> </w:t>
      </w:r>
      <w:r>
        <w:rPr/>
        <w:t>tract</w:t>
      </w:r>
      <w:r>
        <w:rPr>
          <w:spacing w:val="40"/>
        </w:rPr>
        <w:t> </w:t>
      </w:r>
      <w:r>
        <w:rPr/>
        <w:t>(Ogaji</w:t>
      </w:r>
      <w:r>
        <w:rPr>
          <w:spacing w:val="40"/>
        </w:rPr>
        <w:t> </w:t>
      </w:r>
      <w:r>
        <w:rPr/>
        <w:t>and Okafor, 2009).</w:t>
      </w:r>
    </w:p>
    <w:p>
      <w:pPr>
        <w:pStyle w:val="BodyText"/>
        <w:spacing w:line="491" w:lineRule="auto" w:before="2"/>
        <w:ind w:left="665" w:right="1097" w:firstLine="676"/>
        <w:jc w:val="both"/>
      </w:pPr>
      <w:r>
        <w:rPr/>
        <w:t>It can be seen from the results obtained that the dissolution corresponds to the disintegration time of the tablets. The disintegration time for the tablets was fast which resulted in a corresponding rapid drug release. Batches formulated with DS had a better dissolution profile compared to MCS, MS and GEL.</w:t>
      </w:r>
    </w:p>
    <w:p>
      <w:pPr>
        <w:pStyle w:val="Heading2"/>
        <w:numPr>
          <w:ilvl w:val="1"/>
          <w:numId w:val="36"/>
        </w:numPr>
        <w:tabs>
          <w:tab w:pos="1340" w:val="left" w:leader="none"/>
        </w:tabs>
        <w:spacing w:line="240" w:lineRule="auto" w:before="230" w:after="0"/>
        <w:ind w:left="1340" w:right="0" w:hanging="675"/>
        <w:jc w:val="both"/>
      </w:pPr>
      <w:bookmarkStart w:name="_TOC_250021" w:id="140"/>
      <w:r>
        <w:rPr/>
        <w:t>Compression</w:t>
      </w:r>
      <w:r>
        <w:rPr>
          <w:spacing w:val="27"/>
        </w:rPr>
        <w:t> </w:t>
      </w:r>
      <w:r>
        <w:rPr/>
        <w:t>property</w:t>
      </w:r>
      <w:r>
        <w:rPr>
          <w:spacing w:val="11"/>
        </w:rPr>
        <w:t> </w:t>
      </w:r>
      <w:bookmarkEnd w:id="140"/>
      <w:r>
        <w:rPr>
          <w:spacing w:val="-4"/>
        </w:rPr>
        <w:t>study</w:t>
      </w:r>
    </w:p>
    <w:p>
      <w:pPr>
        <w:pStyle w:val="BodyText"/>
        <w:spacing w:line="491" w:lineRule="auto" w:before="246"/>
        <w:ind w:left="665" w:right="1092" w:firstLine="676"/>
        <w:jc w:val="both"/>
      </w:pPr>
      <w:r>
        <w:rPr/>
        <w:t>The</w:t>
      </w:r>
      <w:r>
        <w:rPr>
          <w:spacing w:val="40"/>
        </w:rPr>
        <w:t> </w:t>
      </w:r>
      <w:r>
        <w:rPr/>
        <w:t>mode</w:t>
      </w:r>
      <w:r>
        <w:rPr>
          <w:spacing w:val="40"/>
        </w:rPr>
        <w:t> </w:t>
      </w:r>
      <w:r>
        <w:rPr/>
        <w:t>of</w:t>
      </w:r>
      <w:r>
        <w:rPr>
          <w:spacing w:val="40"/>
        </w:rPr>
        <w:t> </w:t>
      </w:r>
      <w:r>
        <w:rPr/>
        <w:t>fragmentation</w:t>
      </w:r>
      <w:r>
        <w:rPr>
          <w:spacing w:val="40"/>
        </w:rPr>
        <w:t> </w:t>
      </w:r>
      <w:r>
        <w:rPr/>
        <w:t>or</w:t>
      </w:r>
      <w:r>
        <w:rPr>
          <w:spacing w:val="40"/>
        </w:rPr>
        <w:t> </w:t>
      </w:r>
      <w:r>
        <w:rPr/>
        <w:t>deformation</w:t>
      </w:r>
      <w:r>
        <w:rPr>
          <w:spacing w:val="40"/>
        </w:rPr>
        <w:t> </w:t>
      </w:r>
      <w:r>
        <w:rPr/>
        <w:t>of</w:t>
      </w:r>
      <w:r>
        <w:rPr>
          <w:spacing w:val="40"/>
        </w:rPr>
        <w:t> </w:t>
      </w:r>
      <w:r>
        <w:rPr/>
        <w:t>the</w:t>
      </w:r>
      <w:r>
        <w:rPr>
          <w:spacing w:val="40"/>
        </w:rPr>
        <w:t> </w:t>
      </w:r>
      <w:r>
        <w:rPr/>
        <w:t>powder</w:t>
      </w:r>
      <w:r>
        <w:rPr>
          <w:spacing w:val="40"/>
        </w:rPr>
        <w:t> </w:t>
      </w:r>
      <w:r>
        <w:rPr/>
        <w:t>was</w:t>
      </w:r>
      <w:r>
        <w:rPr>
          <w:spacing w:val="40"/>
        </w:rPr>
        <w:t> </w:t>
      </w:r>
      <w:r>
        <w:rPr/>
        <w:t>assessed</w:t>
      </w:r>
      <w:r>
        <w:rPr>
          <w:spacing w:val="40"/>
        </w:rPr>
        <w:t> </w:t>
      </w:r>
      <w:r>
        <w:rPr/>
        <w:t>by Heckel analysis. According to Heckel equation, powder compression follows first order kinetics, with the interparticulate pores as the product and the compactibility of the</w:t>
      </w:r>
      <w:r>
        <w:rPr>
          <w:spacing w:val="40"/>
        </w:rPr>
        <w:t> </w:t>
      </w:r>
      <w:r>
        <w:rPr/>
        <w:t>powder bed as the product. The mean yield pressure P</w:t>
      </w:r>
      <w:r>
        <w:rPr>
          <w:vertAlign w:val="subscript"/>
        </w:rPr>
        <w:t>Y</w:t>
      </w:r>
      <w:r>
        <w:rPr>
          <w:spacing w:val="-1"/>
          <w:vertAlign w:val="baseline"/>
        </w:rPr>
        <w:t> </w:t>
      </w:r>
      <w:r>
        <w:rPr>
          <w:vertAlign w:val="baseline"/>
        </w:rPr>
        <w:t>is the pressure at which plastic deformation of a particle is initiated. The D</w:t>
      </w:r>
      <w:r>
        <w:rPr>
          <w:vertAlign w:val="subscript"/>
        </w:rPr>
        <w:t>O</w:t>
      </w:r>
      <w:r>
        <w:rPr>
          <w:vertAlign w:val="baseline"/>
        </w:rPr>
        <w:t> value refers to the relative density at zero pressure.</w:t>
      </w:r>
      <w:r>
        <w:rPr>
          <w:spacing w:val="40"/>
          <w:vertAlign w:val="baseline"/>
        </w:rPr>
        <w:t> </w:t>
      </w:r>
      <w:r>
        <w:rPr>
          <w:vertAlign w:val="baseline"/>
        </w:rPr>
        <w:t>D</w:t>
      </w:r>
      <w:r>
        <w:rPr>
          <w:vertAlign w:val="subscript"/>
        </w:rPr>
        <w:t>A</w:t>
      </w:r>
      <w:r>
        <w:rPr>
          <w:spacing w:val="40"/>
          <w:vertAlign w:val="baseline"/>
        </w:rPr>
        <w:t> </w:t>
      </w:r>
      <w:r>
        <w:rPr>
          <w:vertAlign w:val="baseline"/>
        </w:rPr>
        <w:t>value</w:t>
      </w:r>
      <w:r>
        <w:rPr>
          <w:spacing w:val="40"/>
          <w:vertAlign w:val="baseline"/>
        </w:rPr>
        <w:t> </w:t>
      </w:r>
      <w:r>
        <w:rPr>
          <w:vertAlign w:val="baseline"/>
        </w:rPr>
        <w:t>reflects</w:t>
      </w:r>
      <w:r>
        <w:rPr>
          <w:spacing w:val="40"/>
          <w:vertAlign w:val="baseline"/>
        </w:rPr>
        <w:t> </w:t>
      </w:r>
      <w:r>
        <w:rPr>
          <w:vertAlign w:val="baseline"/>
        </w:rPr>
        <w:t>the</w:t>
      </w:r>
      <w:r>
        <w:rPr>
          <w:spacing w:val="40"/>
          <w:vertAlign w:val="baseline"/>
        </w:rPr>
        <w:t> </w:t>
      </w:r>
      <w:r>
        <w:rPr>
          <w:vertAlign w:val="baseline"/>
        </w:rPr>
        <w:t>total</w:t>
      </w:r>
      <w:r>
        <w:rPr>
          <w:spacing w:val="40"/>
          <w:vertAlign w:val="baseline"/>
        </w:rPr>
        <w:t> </w:t>
      </w:r>
      <w:r>
        <w:rPr>
          <w:vertAlign w:val="baseline"/>
        </w:rPr>
        <w:t>deformation</w:t>
      </w:r>
      <w:r>
        <w:rPr>
          <w:spacing w:val="40"/>
          <w:vertAlign w:val="baseline"/>
        </w:rPr>
        <w:t> </w:t>
      </w:r>
      <w:r>
        <w:rPr>
          <w:vertAlign w:val="baseline"/>
        </w:rPr>
        <w:t>occurring</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powder</w:t>
      </w:r>
      <w:r>
        <w:rPr>
          <w:spacing w:val="40"/>
          <w:vertAlign w:val="baseline"/>
        </w:rPr>
        <w:t> </w:t>
      </w:r>
      <w:r>
        <w:rPr>
          <w:vertAlign w:val="baseline"/>
        </w:rPr>
        <w:t>while</w:t>
      </w:r>
      <w:r>
        <w:rPr>
          <w:spacing w:val="40"/>
          <w:vertAlign w:val="baseline"/>
        </w:rPr>
        <w:t> </w:t>
      </w:r>
      <w:r>
        <w:rPr>
          <w:vertAlign w:val="baseline"/>
        </w:rPr>
        <w:t>D</w:t>
      </w:r>
      <w:r>
        <w:rPr>
          <w:vertAlign w:val="subscript"/>
        </w:rPr>
        <w:t>B</w:t>
      </w:r>
      <w:r>
        <w:rPr>
          <w:vertAlign w:val="baseline"/>
        </w:rPr>
        <w:t> values are an indication of the fragmentation tendency of the material. The Heckel plots show</w:t>
      </w:r>
      <w:r>
        <w:rPr>
          <w:spacing w:val="22"/>
          <w:vertAlign w:val="baseline"/>
        </w:rPr>
        <w:t> </w:t>
      </w:r>
      <w:r>
        <w:rPr>
          <w:vertAlign w:val="baseline"/>
        </w:rPr>
        <w:t>that</w:t>
      </w:r>
      <w:r>
        <w:rPr>
          <w:spacing w:val="28"/>
          <w:vertAlign w:val="baseline"/>
        </w:rPr>
        <w:t> </w:t>
      </w:r>
      <w:r>
        <w:rPr>
          <w:vertAlign w:val="baseline"/>
        </w:rPr>
        <w:t>DS,</w:t>
      </w:r>
      <w:r>
        <w:rPr>
          <w:spacing w:val="22"/>
          <w:vertAlign w:val="baseline"/>
        </w:rPr>
        <w:t> </w:t>
      </w:r>
      <w:r>
        <w:rPr>
          <w:vertAlign w:val="baseline"/>
        </w:rPr>
        <w:t>MCS</w:t>
      </w:r>
      <w:r>
        <w:rPr>
          <w:spacing w:val="28"/>
          <w:vertAlign w:val="baseline"/>
        </w:rPr>
        <w:t> </w:t>
      </w:r>
      <w:r>
        <w:rPr>
          <w:vertAlign w:val="baseline"/>
        </w:rPr>
        <w:t>and</w:t>
      </w:r>
      <w:r>
        <w:rPr>
          <w:spacing w:val="25"/>
          <w:vertAlign w:val="baseline"/>
        </w:rPr>
        <w:t> </w:t>
      </w:r>
      <w:r>
        <w:rPr>
          <w:vertAlign w:val="baseline"/>
        </w:rPr>
        <w:t>GEL</w:t>
      </w:r>
      <w:r>
        <w:rPr>
          <w:spacing w:val="24"/>
          <w:vertAlign w:val="baseline"/>
        </w:rPr>
        <w:t> </w:t>
      </w:r>
      <w:r>
        <w:rPr>
          <w:vertAlign w:val="baseline"/>
        </w:rPr>
        <w:t>possess</w:t>
      </w:r>
      <w:r>
        <w:rPr>
          <w:spacing w:val="20"/>
          <w:vertAlign w:val="baseline"/>
        </w:rPr>
        <w:t> </w:t>
      </w:r>
      <w:r>
        <w:rPr>
          <w:vertAlign w:val="baseline"/>
        </w:rPr>
        <w:t>non-linear</w:t>
      </w:r>
      <w:r>
        <w:rPr>
          <w:spacing w:val="30"/>
          <w:vertAlign w:val="baseline"/>
        </w:rPr>
        <w:t> </w:t>
      </w:r>
      <w:r>
        <w:rPr>
          <w:vertAlign w:val="baseline"/>
        </w:rPr>
        <w:t>curves</w:t>
      </w:r>
      <w:r>
        <w:rPr>
          <w:spacing w:val="20"/>
          <w:vertAlign w:val="baseline"/>
        </w:rPr>
        <w:t> </w:t>
      </w:r>
      <w:r>
        <w:rPr>
          <w:vertAlign w:val="baseline"/>
        </w:rPr>
        <w:t>at</w:t>
      </w:r>
      <w:r>
        <w:rPr>
          <w:spacing w:val="22"/>
          <w:vertAlign w:val="baseline"/>
        </w:rPr>
        <w:t> </w:t>
      </w:r>
      <w:r>
        <w:rPr>
          <w:vertAlign w:val="baseline"/>
        </w:rPr>
        <w:t>lower</w:t>
      </w:r>
      <w:r>
        <w:rPr>
          <w:spacing w:val="24"/>
          <w:vertAlign w:val="baseline"/>
        </w:rPr>
        <w:t> </w:t>
      </w:r>
      <w:r>
        <w:rPr>
          <w:vertAlign w:val="baseline"/>
        </w:rPr>
        <w:t>and</w:t>
      </w:r>
      <w:r>
        <w:rPr>
          <w:spacing w:val="25"/>
          <w:vertAlign w:val="baseline"/>
        </w:rPr>
        <w:t> </w:t>
      </w:r>
      <w:r>
        <w:rPr>
          <w:vertAlign w:val="baseline"/>
        </w:rPr>
        <w:t>higher</w:t>
      </w:r>
      <w:r>
        <w:rPr>
          <w:spacing w:val="24"/>
          <w:vertAlign w:val="baseline"/>
        </w:rPr>
        <w:t> </w:t>
      </w:r>
      <w:r>
        <w:rPr>
          <w:spacing w:val="-2"/>
          <w:vertAlign w:val="baseline"/>
        </w:rPr>
        <w:t>pressures.</w:t>
      </w:r>
    </w:p>
    <w:p>
      <w:pPr>
        <w:spacing w:after="0" w:line="491" w:lineRule="auto"/>
        <w:jc w:val="both"/>
        <w:sectPr>
          <w:pgSz w:w="12240" w:h="15840"/>
          <w:pgMar w:header="0" w:footer="999" w:top="1260" w:bottom="1180" w:left="1720" w:right="760"/>
        </w:sectPr>
      </w:pPr>
    </w:p>
    <w:p>
      <w:pPr>
        <w:pStyle w:val="BodyText"/>
        <w:spacing w:line="491" w:lineRule="auto" w:before="75"/>
        <w:ind w:left="665" w:right="1091"/>
        <w:jc w:val="both"/>
      </w:pPr>
      <w:r>
        <w:rPr/>
        <w:t>The non – linear parts of the plot had an initial curvature at low pressure which reflects particle</w:t>
      </w:r>
      <w:r>
        <w:rPr>
          <w:spacing w:val="40"/>
        </w:rPr>
        <w:t> </w:t>
      </w:r>
      <w:r>
        <w:rPr/>
        <w:t>fragmentation and</w:t>
      </w:r>
      <w:r>
        <w:rPr>
          <w:spacing w:val="40"/>
        </w:rPr>
        <w:t> </w:t>
      </w:r>
      <w:r>
        <w:rPr/>
        <w:t>rearrangement while</w:t>
      </w:r>
      <w:r>
        <w:rPr>
          <w:spacing w:val="40"/>
        </w:rPr>
        <w:t> </w:t>
      </w:r>
      <w:r>
        <w:rPr/>
        <w:t>the</w:t>
      </w:r>
      <w:r>
        <w:rPr>
          <w:spacing w:val="40"/>
        </w:rPr>
        <w:t> </w:t>
      </w:r>
      <w:r>
        <w:rPr/>
        <w:t>deviation from</w:t>
      </w:r>
      <w:r>
        <w:rPr>
          <w:spacing w:val="40"/>
        </w:rPr>
        <w:t> </w:t>
      </w:r>
      <w:r>
        <w:rPr/>
        <w:t>a straight</w:t>
      </w:r>
      <w:r>
        <w:rPr>
          <w:spacing w:val="40"/>
        </w:rPr>
        <w:t> </w:t>
      </w:r>
      <w:r>
        <w:rPr/>
        <w:t>line at higher pressure was as a result of capping of the powder (Alderborn, 2002). The linear curve for the compression pressures suggests the materials compacted by plastic deformation. A linear curve obtained from the results indicates deformation mainly by plastic flow (Odeku, 2005).The linear plot from which the Heckel equation is derived appeared between low and high pressures. P</w:t>
      </w:r>
      <w:r>
        <w:rPr>
          <w:vertAlign w:val="subscript"/>
        </w:rPr>
        <w:t>Y</w:t>
      </w:r>
      <w:r>
        <w:rPr>
          <w:vertAlign w:val="baseline"/>
        </w:rPr>
        <w:t> value is ranked in this order: GEL&gt;MCS&gt;DS. D</w:t>
      </w:r>
      <w:r>
        <w:rPr>
          <w:vertAlign w:val="subscript"/>
        </w:rPr>
        <w:t>O</w:t>
      </w:r>
      <w:r>
        <w:rPr>
          <w:vertAlign w:val="baseline"/>
        </w:rPr>
        <w:t> and D</w:t>
      </w:r>
      <w:r>
        <w:rPr>
          <w:vertAlign w:val="subscript"/>
        </w:rPr>
        <w:t>A</w:t>
      </w:r>
      <w:r>
        <w:rPr>
          <w:vertAlign w:val="baseline"/>
        </w:rPr>
        <w:t> is in this order: GEL&gt;MCS&gt;DS. D</w:t>
      </w:r>
      <w:r>
        <w:rPr>
          <w:vertAlign w:val="subscript"/>
        </w:rPr>
        <w:t>B</w:t>
      </w:r>
      <w:r>
        <w:rPr>
          <w:vertAlign w:val="baseline"/>
        </w:rPr>
        <w:t> value is in the order: MCS&gt;GEL&gt;DS implying that MCS had the greatest tendency to fragment compared to GEL or DS. The P</w:t>
      </w:r>
      <w:r>
        <w:rPr>
          <w:vertAlign w:val="subscript"/>
        </w:rPr>
        <w:t>Y</w:t>
      </w:r>
      <w:r>
        <w:rPr>
          <w:vertAlign w:val="baseline"/>
        </w:rPr>
        <w:t> values derived from the part of the Heckel plot rank in this order: DS&gt;MCS&gt;GEL. This implies that DS easily undergoes deformation or that the onset of plastic deformation is</w:t>
      </w:r>
      <w:r>
        <w:rPr>
          <w:spacing w:val="30"/>
          <w:vertAlign w:val="baseline"/>
        </w:rPr>
        <w:t> </w:t>
      </w:r>
      <w:r>
        <w:rPr>
          <w:vertAlign w:val="baseline"/>
        </w:rPr>
        <w:t>faster compared to MCS</w:t>
      </w:r>
      <w:r>
        <w:rPr>
          <w:spacing w:val="32"/>
          <w:vertAlign w:val="baseline"/>
        </w:rPr>
        <w:t> </w:t>
      </w:r>
      <w:r>
        <w:rPr>
          <w:vertAlign w:val="baseline"/>
        </w:rPr>
        <w:t>and GEL. The slope of the</w:t>
      </w:r>
      <w:r>
        <w:rPr>
          <w:spacing w:val="33"/>
          <w:vertAlign w:val="baseline"/>
        </w:rPr>
        <w:t> </w:t>
      </w:r>
      <w:r>
        <w:rPr>
          <w:vertAlign w:val="baseline"/>
        </w:rPr>
        <w:t>Heckel plot was calculated from the compression part of the plot and the slope provides information</w:t>
      </w:r>
      <w:r>
        <w:rPr>
          <w:spacing w:val="40"/>
          <w:vertAlign w:val="baseline"/>
        </w:rPr>
        <w:t> </w:t>
      </w:r>
      <w:r>
        <w:rPr>
          <w:vertAlign w:val="baseline"/>
        </w:rPr>
        <w:t>on the total deformation of the powder during the compression phase. Picker-Freyer and Brink (2006), stated that a lower Heckel slope corresponds to</w:t>
      </w:r>
      <w:r>
        <w:rPr>
          <w:spacing w:val="40"/>
          <w:vertAlign w:val="baseline"/>
        </w:rPr>
        <w:t> </w:t>
      </w:r>
      <w:r>
        <w:rPr>
          <w:vertAlign w:val="baseline"/>
        </w:rPr>
        <w:t>a higher mean yield</w:t>
      </w:r>
      <w:r>
        <w:rPr>
          <w:spacing w:val="40"/>
          <w:vertAlign w:val="baseline"/>
        </w:rPr>
        <w:t> </w:t>
      </w:r>
      <w:r>
        <w:rPr>
          <w:vertAlign w:val="baseline"/>
        </w:rPr>
        <w:t>pressure and thus a higher resistance against deformation while a higher Heckel slope corresponds to a low mean yield pressure and thus a higher and easier deformation. The results show that mean yield pressure P</w:t>
      </w:r>
      <w:r>
        <w:rPr>
          <w:vertAlign w:val="subscript"/>
        </w:rPr>
        <w:t>Y,</w:t>
      </w:r>
      <w:r>
        <w:rPr>
          <w:vertAlign w:val="baseline"/>
        </w:rPr>
        <w:t> values are all high and rank in this order GEL&gt;MCS&gt;DS.</w:t>
      </w:r>
      <w:r>
        <w:rPr>
          <w:spacing w:val="34"/>
          <w:vertAlign w:val="baseline"/>
        </w:rPr>
        <w:t> </w:t>
      </w:r>
      <w:r>
        <w:rPr>
          <w:vertAlign w:val="baseline"/>
        </w:rPr>
        <w:t>This</w:t>
      </w:r>
      <w:r>
        <w:rPr>
          <w:spacing w:val="37"/>
          <w:vertAlign w:val="baseline"/>
        </w:rPr>
        <w:t> </w:t>
      </w:r>
      <w:r>
        <w:rPr>
          <w:vertAlign w:val="baseline"/>
        </w:rPr>
        <w:t>implies</w:t>
      </w:r>
      <w:r>
        <w:rPr>
          <w:spacing w:val="37"/>
          <w:vertAlign w:val="baseline"/>
        </w:rPr>
        <w:t> </w:t>
      </w:r>
      <w:r>
        <w:rPr>
          <w:vertAlign w:val="baseline"/>
        </w:rPr>
        <w:t>that</w:t>
      </w:r>
      <w:r>
        <w:rPr>
          <w:spacing w:val="38"/>
          <w:vertAlign w:val="baseline"/>
        </w:rPr>
        <w:t> </w:t>
      </w:r>
      <w:r>
        <w:rPr>
          <w:vertAlign w:val="baseline"/>
        </w:rPr>
        <w:t>a</w:t>
      </w:r>
      <w:r>
        <w:rPr>
          <w:spacing w:val="40"/>
          <w:vertAlign w:val="baseline"/>
        </w:rPr>
        <w:t> </w:t>
      </w:r>
      <w:r>
        <w:rPr>
          <w:vertAlign w:val="baseline"/>
        </w:rPr>
        <w:t>higher</w:t>
      </w:r>
      <w:r>
        <w:rPr>
          <w:spacing w:val="40"/>
          <w:vertAlign w:val="baseline"/>
        </w:rPr>
        <w:t> </w:t>
      </w:r>
      <w:r>
        <w:rPr>
          <w:vertAlign w:val="baseline"/>
        </w:rPr>
        <w:t>resistance against</w:t>
      </w:r>
      <w:r>
        <w:rPr>
          <w:spacing w:val="38"/>
          <w:vertAlign w:val="baseline"/>
        </w:rPr>
        <w:t> </w:t>
      </w:r>
      <w:r>
        <w:rPr>
          <w:vertAlign w:val="baseline"/>
        </w:rPr>
        <w:t>pressure is</w:t>
      </w:r>
      <w:r>
        <w:rPr>
          <w:spacing w:val="37"/>
          <w:vertAlign w:val="baseline"/>
        </w:rPr>
        <w:t> </w:t>
      </w:r>
      <w:r>
        <w:rPr>
          <w:vertAlign w:val="baseline"/>
        </w:rPr>
        <w:t>required.</w:t>
      </w:r>
      <w:r>
        <w:rPr>
          <w:spacing w:val="39"/>
          <w:vertAlign w:val="baseline"/>
        </w:rPr>
        <w:t> </w:t>
      </w:r>
      <w:r>
        <w:rPr>
          <w:vertAlign w:val="baseline"/>
        </w:rPr>
        <w:t>DS and</w:t>
      </w:r>
      <w:r>
        <w:rPr>
          <w:spacing w:val="40"/>
          <w:vertAlign w:val="baseline"/>
        </w:rPr>
        <w:t> </w:t>
      </w:r>
      <w:r>
        <w:rPr>
          <w:vertAlign w:val="baseline"/>
        </w:rPr>
        <w:t>MCS do not deform readily on compression at</w:t>
      </w:r>
      <w:r>
        <w:rPr>
          <w:spacing w:val="40"/>
          <w:vertAlign w:val="baseline"/>
        </w:rPr>
        <w:t> </w:t>
      </w:r>
      <w:r>
        <w:rPr>
          <w:vertAlign w:val="baseline"/>
        </w:rPr>
        <w:t>low pressures. The mean yield pressure was high which is indicative of higher resistance against plastic deformation.</w:t>
      </w:r>
    </w:p>
    <w:p>
      <w:pPr>
        <w:spacing w:after="0" w:line="491" w:lineRule="auto"/>
        <w:jc w:val="both"/>
        <w:sectPr>
          <w:pgSz w:w="12240" w:h="15840"/>
          <w:pgMar w:header="0" w:footer="999" w:top="1260" w:bottom="1180" w:left="1720" w:right="760"/>
        </w:sectPr>
      </w:pPr>
    </w:p>
    <w:p>
      <w:pPr>
        <w:pStyle w:val="Heading1"/>
        <w:ind w:left="0" w:right="435"/>
      </w:pPr>
      <w:bookmarkStart w:name="_TOC_250020" w:id="141"/>
      <w:r>
        <w:rPr/>
        <w:t>CHAPTER</w:t>
      </w:r>
      <w:r>
        <w:rPr>
          <w:spacing w:val="17"/>
        </w:rPr>
        <w:t> </w:t>
      </w:r>
      <w:bookmarkEnd w:id="141"/>
      <w:r>
        <w:rPr>
          <w:spacing w:val="-5"/>
        </w:rPr>
        <w:t>SIX</w:t>
      </w:r>
    </w:p>
    <w:p>
      <w:pPr>
        <w:pStyle w:val="Heading1"/>
        <w:numPr>
          <w:ilvl w:val="1"/>
          <w:numId w:val="37"/>
        </w:numPr>
        <w:tabs>
          <w:tab w:pos="1342" w:val="left" w:leader="none"/>
        </w:tabs>
        <w:spacing w:line="240" w:lineRule="auto" w:before="232" w:after="0"/>
        <w:ind w:left="1342" w:right="0" w:hanging="677"/>
        <w:jc w:val="left"/>
      </w:pPr>
      <w:bookmarkStart w:name="_TOC_250019" w:id="142"/>
      <w:r>
        <w:rPr/>
        <w:t>SUMMARY</w:t>
      </w:r>
      <w:r>
        <w:rPr>
          <w:spacing w:val="14"/>
        </w:rPr>
        <w:t> </w:t>
      </w:r>
      <w:r>
        <w:rPr/>
        <w:t>AND</w:t>
      </w:r>
      <w:r>
        <w:rPr>
          <w:spacing w:val="16"/>
        </w:rPr>
        <w:t> </w:t>
      </w:r>
      <w:bookmarkEnd w:id="142"/>
      <w:r>
        <w:rPr>
          <w:spacing w:val="-2"/>
        </w:rPr>
        <w:t>CONCLUSION</w:t>
      </w:r>
    </w:p>
    <w:p>
      <w:pPr>
        <w:pStyle w:val="BodyText"/>
        <w:spacing w:line="496" w:lineRule="auto" w:before="241"/>
        <w:ind w:left="665" w:right="1103" w:firstLine="619"/>
        <w:jc w:val="both"/>
      </w:pPr>
      <w:r>
        <w:rPr>
          <w:i/>
        </w:rPr>
        <w:t>Digitaria iburua </w:t>
      </w:r>
      <w:r>
        <w:rPr/>
        <w:t>grains produced a high yield of DS. Modification of DS by acid hydrolysis produced microcrystalline starch (MCS) with a greater yield.</w:t>
      </w:r>
    </w:p>
    <w:p>
      <w:pPr>
        <w:pStyle w:val="BodyText"/>
        <w:spacing w:line="491" w:lineRule="auto"/>
        <w:ind w:left="665" w:right="1101" w:firstLine="561"/>
        <w:jc w:val="both"/>
      </w:pPr>
      <w:r>
        <w:rPr/>
        <w:t>Microscopical studies showed that DS and MCS appeared spherical with particle size ranging from 2.0 – 22.0 </w:t>
      </w:r>
      <w:r>
        <w:rPr>
          <w:rFonts w:ascii="Calibri" w:hAnsi="Calibri"/>
        </w:rPr>
        <w:t>µ</w:t>
      </w:r>
      <w:r>
        <w:rPr/>
        <w:t>m.</w:t>
      </w:r>
    </w:p>
    <w:p>
      <w:pPr>
        <w:pStyle w:val="BodyText"/>
        <w:spacing w:line="494" w:lineRule="auto"/>
        <w:ind w:left="665" w:right="1095" w:firstLine="504"/>
        <w:jc w:val="both"/>
      </w:pPr>
      <w:r>
        <w:rPr/>
        <w:t>MCS possessed better flow and compressibility</w:t>
      </w:r>
      <w:r>
        <w:rPr>
          <w:spacing w:val="-1"/>
        </w:rPr>
        <w:t> </w:t>
      </w:r>
      <w:r>
        <w:rPr/>
        <w:t>properties compared to DS but not superior</w:t>
      </w:r>
      <w:r>
        <w:rPr>
          <w:spacing w:val="40"/>
        </w:rPr>
        <w:t> </w:t>
      </w:r>
      <w:r>
        <w:rPr/>
        <w:t>to</w:t>
      </w:r>
      <w:r>
        <w:rPr>
          <w:spacing w:val="40"/>
        </w:rPr>
        <w:t> </w:t>
      </w:r>
      <w:r>
        <w:rPr/>
        <w:t>MS as demonstrated by the</w:t>
      </w:r>
      <w:r>
        <w:rPr>
          <w:spacing w:val="40"/>
        </w:rPr>
        <w:t> </w:t>
      </w:r>
      <w:r>
        <w:rPr/>
        <w:t>parameters (i.e.</w:t>
      </w:r>
      <w:r>
        <w:rPr>
          <w:spacing w:val="40"/>
        </w:rPr>
        <w:t> </w:t>
      </w:r>
      <w:r>
        <w:rPr/>
        <w:t>angle</w:t>
      </w:r>
      <w:r>
        <w:rPr>
          <w:spacing w:val="40"/>
        </w:rPr>
        <w:t> </w:t>
      </w:r>
      <w:r>
        <w:rPr/>
        <w:t>of repose,</w:t>
      </w:r>
      <w:r>
        <w:rPr>
          <w:spacing w:val="40"/>
        </w:rPr>
        <w:t> </w:t>
      </w:r>
      <w:r>
        <w:rPr/>
        <w:t>flow rate, Hausner ratio and Carr’s index). The produced metronidazole granules had greater flow and</w:t>
      </w:r>
      <w:r>
        <w:rPr>
          <w:spacing w:val="80"/>
        </w:rPr>
        <w:t> </w:t>
      </w:r>
      <w:r>
        <w:rPr/>
        <w:t>compressible properties.</w:t>
      </w:r>
    </w:p>
    <w:p>
      <w:pPr>
        <w:pStyle w:val="BodyText"/>
        <w:spacing w:line="491" w:lineRule="auto"/>
        <w:ind w:left="665" w:right="1099" w:firstLine="504"/>
        <w:jc w:val="both"/>
      </w:pPr>
      <w:r>
        <w:rPr/>
        <w:t>MCS is not a good direct compressible material because it failed the dilution potential test.</w:t>
      </w:r>
    </w:p>
    <w:p>
      <w:pPr>
        <w:pStyle w:val="BodyText"/>
        <w:spacing w:line="491" w:lineRule="auto"/>
        <w:ind w:left="665" w:right="1102" w:firstLine="336"/>
        <w:jc w:val="both"/>
      </w:pPr>
      <w:r>
        <w:rPr/>
        <w:t>The amylose content of DS and MCS was greater than amylopectin content at</w:t>
      </w:r>
      <w:r>
        <w:rPr>
          <w:spacing w:val="40"/>
        </w:rPr>
        <w:t> </w:t>
      </w:r>
      <w:r>
        <w:rPr/>
        <w:t>different hydrolyzing times.</w:t>
      </w:r>
    </w:p>
    <w:p>
      <w:pPr>
        <w:pStyle w:val="BodyText"/>
        <w:spacing w:line="494" w:lineRule="auto"/>
        <w:ind w:left="665" w:right="1096" w:firstLine="388"/>
        <w:jc w:val="both"/>
      </w:pPr>
      <w:r>
        <w:rPr/>
        <w:t>The</w:t>
      </w:r>
      <w:r>
        <w:rPr>
          <w:spacing w:val="40"/>
        </w:rPr>
        <w:t> </w:t>
      </w:r>
      <w:r>
        <w:rPr/>
        <w:t>friability test</w:t>
      </w:r>
      <w:r>
        <w:rPr>
          <w:spacing w:val="40"/>
        </w:rPr>
        <w:t> </w:t>
      </w:r>
      <w:r>
        <w:rPr/>
        <w:t>conducted</w:t>
      </w:r>
      <w:r>
        <w:rPr>
          <w:spacing w:val="40"/>
        </w:rPr>
        <w:t> </w:t>
      </w:r>
      <w:r>
        <w:rPr/>
        <w:t>revealed</w:t>
      </w:r>
      <w:r>
        <w:rPr>
          <w:spacing w:val="40"/>
        </w:rPr>
        <w:t> </w:t>
      </w:r>
      <w:r>
        <w:rPr/>
        <w:t>that</w:t>
      </w:r>
      <w:r>
        <w:rPr>
          <w:spacing w:val="40"/>
        </w:rPr>
        <w:t> </w:t>
      </w:r>
      <w:r>
        <w:rPr/>
        <w:t>metronidazole</w:t>
      </w:r>
      <w:r>
        <w:rPr>
          <w:spacing w:val="40"/>
        </w:rPr>
        <w:t> </w:t>
      </w:r>
      <w:r>
        <w:rPr/>
        <w:t>tablets</w:t>
      </w:r>
      <w:r>
        <w:rPr>
          <w:spacing w:val="40"/>
        </w:rPr>
        <w:t> </w:t>
      </w:r>
      <w:r>
        <w:rPr/>
        <w:t>produced</w:t>
      </w:r>
      <w:r>
        <w:rPr>
          <w:spacing w:val="40"/>
        </w:rPr>
        <w:t> </w:t>
      </w:r>
      <w:r>
        <w:rPr/>
        <w:t>were weak. The tablets passed disintegration and dissolution tests with some exceptions as discussed earlier in Chapter 4. The (CS/FR)/DT results showed that tablets produced are generally weak.</w:t>
      </w:r>
    </w:p>
    <w:p>
      <w:pPr>
        <w:pStyle w:val="BodyText"/>
        <w:spacing w:line="491" w:lineRule="auto"/>
        <w:ind w:left="665" w:right="1102" w:firstLine="672"/>
        <w:jc w:val="both"/>
      </w:pPr>
      <w:r>
        <w:rPr/>
        <w:t>The</w:t>
      </w:r>
      <w:r>
        <w:rPr>
          <w:spacing w:val="40"/>
        </w:rPr>
        <w:t> </w:t>
      </w:r>
      <w:r>
        <w:rPr/>
        <w:t>mean</w:t>
      </w:r>
      <w:r>
        <w:rPr>
          <w:spacing w:val="40"/>
        </w:rPr>
        <w:t> </w:t>
      </w:r>
      <w:r>
        <w:rPr/>
        <w:t>yield</w:t>
      </w:r>
      <w:r>
        <w:rPr>
          <w:spacing w:val="40"/>
        </w:rPr>
        <w:t> </w:t>
      </w:r>
      <w:r>
        <w:rPr/>
        <w:t>pressure</w:t>
      </w:r>
      <w:r>
        <w:rPr>
          <w:spacing w:val="40"/>
        </w:rPr>
        <w:t> </w:t>
      </w:r>
      <w:r>
        <w:rPr/>
        <w:t>was</w:t>
      </w:r>
      <w:r>
        <w:rPr>
          <w:spacing w:val="40"/>
        </w:rPr>
        <w:t> </w:t>
      </w:r>
      <w:r>
        <w:rPr/>
        <w:t>high</w:t>
      </w:r>
      <w:r>
        <w:rPr>
          <w:spacing w:val="40"/>
        </w:rPr>
        <w:t> </w:t>
      </w:r>
      <w:r>
        <w:rPr/>
        <w:t>which</w:t>
      </w:r>
      <w:r>
        <w:rPr>
          <w:spacing w:val="40"/>
        </w:rPr>
        <w:t> </w:t>
      </w:r>
      <w:r>
        <w:rPr/>
        <w:t>is</w:t>
      </w:r>
      <w:r>
        <w:rPr>
          <w:spacing w:val="40"/>
        </w:rPr>
        <w:t> </w:t>
      </w:r>
      <w:r>
        <w:rPr/>
        <w:t>indicative</w:t>
      </w:r>
      <w:r>
        <w:rPr>
          <w:spacing w:val="40"/>
        </w:rPr>
        <w:t> </w:t>
      </w:r>
      <w:r>
        <w:rPr/>
        <w:t>of</w:t>
      </w:r>
      <w:r>
        <w:rPr>
          <w:spacing w:val="40"/>
        </w:rPr>
        <w:t> </w:t>
      </w:r>
      <w:r>
        <w:rPr/>
        <w:t>higher</w:t>
      </w:r>
      <w:r>
        <w:rPr>
          <w:spacing w:val="40"/>
        </w:rPr>
        <w:t> </w:t>
      </w:r>
      <w:r>
        <w:rPr/>
        <w:t>resistance against plastic deformation.</w:t>
      </w:r>
    </w:p>
    <w:p>
      <w:pPr>
        <w:pStyle w:val="BodyText"/>
        <w:spacing w:line="253" w:lineRule="exact"/>
        <w:ind w:left="1342"/>
      </w:pPr>
      <w:r>
        <w:rPr/>
        <w:t>It</w:t>
      </w:r>
      <w:r>
        <w:rPr>
          <w:spacing w:val="12"/>
        </w:rPr>
        <w:t> </w:t>
      </w:r>
      <w:r>
        <w:rPr/>
        <w:t>can</w:t>
      </w:r>
      <w:r>
        <w:rPr>
          <w:spacing w:val="5"/>
        </w:rPr>
        <w:t> </w:t>
      </w:r>
      <w:r>
        <w:rPr/>
        <w:t>be</w:t>
      </w:r>
      <w:r>
        <w:rPr>
          <w:spacing w:val="8"/>
        </w:rPr>
        <w:t> </w:t>
      </w:r>
      <w:r>
        <w:rPr/>
        <w:t>concluded</w:t>
      </w:r>
      <w:r>
        <w:rPr>
          <w:spacing w:val="11"/>
        </w:rPr>
        <w:t> </w:t>
      </w:r>
      <w:r>
        <w:rPr>
          <w:spacing w:val="-4"/>
        </w:rPr>
        <w:t>that:</w:t>
      </w:r>
    </w:p>
    <w:p>
      <w:pPr>
        <w:pStyle w:val="ListParagraph"/>
        <w:numPr>
          <w:ilvl w:val="2"/>
          <w:numId w:val="37"/>
        </w:numPr>
        <w:tabs>
          <w:tab w:pos="1340" w:val="left" w:leader="none"/>
          <w:tab w:pos="1342" w:val="left" w:leader="none"/>
        </w:tabs>
        <w:spacing w:line="491" w:lineRule="auto" w:before="243" w:after="0"/>
        <w:ind w:left="1342" w:right="1088" w:hanging="336"/>
        <w:jc w:val="both"/>
        <w:rPr>
          <w:sz w:val="22"/>
        </w:rPr>
      </w:pPr>
      <w:r>
        <w:rPr>
          <w:sz w:val="22"/>
        </w:rPr>
        <w:t>Modification of </w:t>
      </w:r>
      <w:r>
        <w:rPr>
          <w:i/>
          <w:sz w:val="22"/>
        </w:rPr>
        <w:t>Digitaria iburua </w:t>
      </w:r>
      <w:r>
        <w:rPr>
          <w:sz w:val="22"/>
        </w:rPr>
        <w:t>starch by acid hydrolysis did not improve the compressibility of DS because the amylose content of MCS was greater than the amylopectin content which</w:t>
      </w:r>
      <w:r>
        <w:rPr>
          <w:spacing w:val="31"/>
          <w:sz w:val="22"/>
        </w:rPr>
        <w:t> </w:t>
      </w:r>
      <w:r>
        <w:rPr>
          <w:sz w:val="22"/>
        </w:rPr>
        <w:t>is responsible for increasing the relative crystallinity</w:t>
      </w:r>
      <w:r>
        <w:rPr>
          <w:spacing w:val="80"/>
          <w:sz w:val="22"/>
        </w:rPr>
        <w:t> </w:t>
      </w:r>
      <w:r>
        <w:rPr>
          <w:sz w:val="22"/>
        </w:rPr>
        <w:t>of the starch.</w:t>
      </w:r>
    </w:p>
    <w:p>
      <w:pPr>
        <w:spacing w:after="0" w:line="491" w:lineRule="auto"/>
        <w:jc w:val="both"/>
        <w:rPr>
          <w:sz w:val="22"/>
        </w:rPr>
        <w:sectPr>
          <w:pgSz w:w="12240" w:h="15840"/>
          <w:pgMar w:header="0" w:footer="999" w:top="1260" w:bottom="1180" w:left="1720" w:right="760"/>
        </w:sectPr>
      </w:pPr>
    </w:p>
    <w:p>
      <w:pPr>
        <w:pStyle w:val="ListParagraph"/>
        <w:numPr>
          <w:ilvl w:val="2"/>
          <w:numId w:val="37"/>
        </w:numPr>
        <w:tabs>
          <w:tab w:pos="1340" w:val="left" w:leader="none"/>
          <w:tab w:pos="1342" w:val="left" w:leader="none"/>
        </w:tabs>
        <w:spacing w:line="491" w:lineRule="auto" w:before="75" w:after="0"/>
        <w:ind w:left="1342" w:right="1099" w:hanging="336"/>
        <w:jc w:val="both"/>
        <w:rPr>
          <w:sz w:val="22"/>
        </w:rPr>
      </w:pPr>
      <w:r>
        <w:rPr>
          <w:sz w:val="22"/>
        </w:rPr>
        <w:t>Modification of </w:t>
      </w:r>
      <w:r>
        <w:rPr>
          <w:i/>
          <w:sz w:val="22"/>
        </w:rPr>
        <w:t>Digitaria iburua </w:t>
      </w:r>
      <w:r>
        <w:rPr>
          <w:sz w:val="22"/>
        </w:rPr>
        <w:t>starch by acid hydrolysis increases the mean yield pressure (P</w:t>
      </w:r>
      <w:r>
        <w:rPr>
          <w:sz w:val="22"/>
          <w:vertAlign w:val="subscript"/>
        </w:rPr>
        <w:t>Y</w:t>
      </w:r>
      <w:r>
        <w:rPr>
          <w:sz w:val="22"/>
          <w:vertAlign w:val="baseline"/>
        </w:rPr>
        <w:t>) for deformation with corresponding decline in onset of deformation and lesser total deformation.</w:t>
      </w:r>
    </w:p>
    <w:p>
      <w:pPr>
        <w:pStyle w:val="ListParagraph"/>
        <w:numPr>
          <w:ilvl w:val="2"/>
          <w:numId w:val="37"/>
        </w:numPr>
        <w:tabs>
          <w:tab w:pos="1340" w:val="left" w:leader="none"/>
          <w:tab w:pos="1342" w:val="left" w:leader="none"/>
        </w:tabs>
        <w:spacing w:line="491" w:lineRule="auto" w:before="0" w:after="0"/>
        <w:ind w:left="1342" w:right="1101" w:hanging="336"/>
        <w:jc w:val="both"/>
        <w:rPr>
          <w:sz w:val="22"/>
        </w:rPr>
      </w:pPr>
      <w:r>
        <w:rPr>
          <w:sz w:val="22"/>
        </w:rPr>
        <w:t>MCS fragmented</w:t>
      </w:r>
      <w:r>
        <w:rPr>
          <w:spacing w:val="40"/>
          <w:sz w:val="22"/>
        </w:rPr>
        <w:t> </w:t>
      </w:r>
      <w:r>
        <w:rPr>
          <w:sz w:val="22"/>
        </w:rPr>
        <w:t>on compaction,</w:t>
      </w:r>
      <w:r>
        <w:rPr>
          <w:spacing w:val="40"/>
          <w:sz w:val="22"/>
        </w:rPr>
        <w:t> </w:t>
      </w:r>
      <w:r>
        <w:rPr>
          <w:sz w:val="22"/>
        </w:rPr>
        <w:t>thus</w:t>
      </w:r>
      <w:r>
        <w:rPr>
          <w:spacing w:val="40"/>
          <w:sz w:val="22"/>
        </w:rPr>
        <w:t> </w:t>
      </w:r>
      <w:r>
        <w:rPr>
          <w:sz w:val="22"/>
        </w:rPr>
        <w:t>no</w:t>
      </w:r>
      <w:r>
        <w:rPr>
          <w:spacing w:val="40"/>
          <w:sz w:val="22"/>
        </w:rPr>
        <w:t> </w:t>
      </w:r>
      <w:r>
        <w:rPr>
          <w:sz w:val="22"/>
        </w:rPr>
        <w:t>further</w:t>
      </w:r>
      <w:r>
        <w:rPr>
          <w:spacing w:val="40"/>
          <w:sz w:val="22"/>
        </w:rPr>
        <w:t> </w:t>
      </w:r>
      <w:r>
        <w:rPr>
          <w:sz w:val="22"/>
        </w:rPr>
        <w:t>compactional</w:t>
      </w:r>
      <w:r>
        <w:rPr>
          <w:spacing w:val="40"/>
          <w:sz w:val="22"/>
        </w:rPr>
        <w:t> </w:t>
      </w:r>
      <w:r>
        <w:rPr>
          <w:sz w:val="22"/>
        </w:rPr>
        <w:t>studies</w:t>
      </w:r>
      <w:r>
        <w:rPr>
          <w:spacing w:val="40"/>
          <w:sz w:val="22"/>
        </w:rPr>
        <w:t> </w:t>
      </w:r>
      <w:r>
        <w:rPr>
          <w:sz w:val="22"/>
        </w:rPr>
        <w:t>was carried out.</w:t>
      </w:r>
    </w:p>
    <w:p>
      <w:pPr>
        <w:pStyle w:val="ListParagraph"/>
        <w:numPr>
          <w:ilvl w:val="2"/>
          <w:numId w:val="37"/>
        </w:numPr>
        <w:tabs>
          <w:tab w:pos="1340" w:val="left" w:leader="none"/>
          <w:tab w:pos="1342" w:val="left" w:leader="none"/>
        </w:tabs>
        <w:spacing w:line="491" w:lineRule="auto" w:before="0" w:after="0"/>
        <w:ind w:left="1342" w:right="1099" w:hanging="336"/>
        <w:jc w:val="both"/>
        <w:rPr>
          <w:sz w:val="22"/>
        </w:rPr>
      </w:pPr>
      <w:r>
        <w:rPr>
          <w:sz w:val="22"/>
        </w:rPr>
        <w:t>Modification of </w:t>
      </w:r>
      <w:r>
        <w:rPr>
          <w:i/>
          <w:sz w:val="22"/>
        </w:rPr>
        <w:t>Digitaria iburua </w:t>
      </w:r>
      <w:r>
        <w:rPr>
          <w:sz w:val="22"/>
        </w:rPr>
        <w:t>starch by acid hydrolysis did not make the material a suitable direct compressible excipient and thus cannot be employed in direct compression tableting.</w:t>
      </w:r>
    </w:p>
    <w:p>
      <w:pPr>
        <w:pStyle w:val="Heading1"/>
        <w:numPr>
          <w:ilvl w:val="1"/>
          <w:numId w:val="37"/>
        </w:numPr>
        <w:tabs>
          <w:tab w:pos="1342" w:val="left" w:leader="none"/>
        </w:tabs>
        <w:spacing w:line="240" w:lineRule="auto" w:before="229" w:after="0"/>
        <w:ind w:left="1342" w:right="0" w:hanging="677"/>
        <w:jc w:val="left"/>
      </w:pPr>
      <w:bookmarkStart w:name="_TOC_250018" w:id="143"/>
      <w:bookmarkEnd w:id="143"/>
      <w:r>
        <w:rPr>
          <w:spacing w:val="-2"/>
        </w:rPr>
        <w:t>RECOMMENDATIONS</w:t>
      </w:r>
    </w:p>
    <w:p>
      <w:pPr>
        <w:pStyle w:val="ListParagraph"/>
        <w:numPr>
          <w:ilvl w:val="2"/>
          <w:numId w:val="37"/>
        </w:numPr>
        <w:tabs>
          <w:tab w:pos="1340" w:val="left" w:leader="none"/>
          <w:tab w:pos="1342" w:val="left" w:leader="none"/>
        </w:tabs>
        <w:spacing w:line="491" w:lineRule="auto" w:before="251" w:after="0"/>
        <w:ind w:left="1342" w:right="1101" w:hanging="336"/>
        <w:jc w:val="both"/>
        <w:rPr>
          <w:sz w:val="22"/>
        </w:rPr>
      </w:pPr>
      <w:r>
        <w:rPr>
          <w:sz w:val="22"/>
        </w:rPr>
        <w:t>Investigation</w:t>
      </w:r>
      <w:r>
        <w:rPr>
          <w:spacing w:val="28"/>
          <w:sz w:val="22"/>
        </w:rPr>
        <w:t> </w:t>
      </w:r>
      <w:r>
        <w:rPr>
          <w:sz w:val="22"/>
        </w:rPr>
        <w:t>into</w:t>
      </w:r>
      <w:r>
        <w:rPr>
          <w:spacing w:val="28"/>
          <w:sz w:val="22"/>
        </w:rPr>
        <w:t> </w:t>
      </w:r>
      <w:r>
        <w:rPr>
          <w:sz w:val="22"/>
        </w:rPr>
        <w:t>other</w:t>
      </w:r>
      <w:r>
        <w:rPr>
          <w:spacing w:val="27"/>
          <w:sz w:val="22"/>
        </w:rPr>
        <w:t> </w:t>
      </w:r>
      <w:r>
        <w:rPr>
          <w:sz w:val="22"/>
        </w:rPr>
        <w:t>methods of</w:t>
      </w:r>
      <w:r>
        <w:rPr>
          <w:spacing w:val="27"/>
          <w:sz w:val="22"/>
        </w:rPr>
        <w:t> </w:t>
      </w:r>
      <w:r>
        <w:rPr>
          <w:sz w:val="22"/>
        </w:rPr>
        <w:t>production</w:t>
      </w:r>
      <w:r>
        <w:rPr>
          <w:spacing w:val="24"/>
          <w:sz w:val="22"/>
        </w:rPr>
        <w:t> </w:t>
      </w:r>
      <w:r>
        <w:rPr>
          <w:sz w:val="22"/>
        </w:rPr>
        <w:t>of</w:t>
      </w:r>
      <w:r>
        <w:rPr>
          <w:spacing w:val="22"/>
          <w:sz w:val="22"/>
        </w:rPr>
        <w:t> </w:t>
      </w:r>
      <w:r>
        <w:rPr>
          <w:sz w:val="22"/>
        </w:rPr>
        <w:t>modified</w:t>
      </w:r>
      <w:r>
        <w:rPr>
          <w:spacing w:val="28"/>
          <w:sz w:val="22"/>
        </w:rPr>
        <w:t> </w:t>
      </w:r>
      <w:r>
        <w:rPr>
          <w:sz w:val="22"/>
        </w:rPr>
        <w:t>starch may give</w:t>
      </w:r>
      <w:r>
        <w:rPr>
          <w:spacing w:val="26"/>
          <w:sz w:val="22"/>
        </w:rPr>
        <w:t> </w:t>
      </w:r>
      <w:r>
        <w:rPr>
          <w:sz w:val="22"/>
        </w:rPr>
        <w:t>rise to </w:t>
      </w:r>
      <w:r>
        <w:rPr>
          <w:i/>
          <w:sz w:val="22"/>
        </w:rPr>
        <w:t>Digitaria</w:t>
      </w:r>
      <w:r>
        <w:rPr>
          <w:i/>
          <w:spacing w:val="30"/>
          <w:sz w:val="22"/>
        </w:rPr>
        <w:t> </w:t>
      </w:r>
      <w:r>
        <w:rPr>
          <w:i/>
          <w:sz w:val="22"/>
        </w:rPr>
        <w:t>iburua </w:t>
      </w:r>
      <w:r>
        <w:rPr>
          <w:sz w:val="22"/>
        </w:rPr>
        <w:t>starch which may be a suitable direct compressible material.</w:t>
      </w:r>
    </w:p>
    <w:p>
      <w:pPr>
        <w:pStyle w:val="ListParagraph"/>
        <w:numPr>
          <w:ilvl w:val="2"/>
          <w:numId w:val="37"/>
        </w:numPr>
        <w:tabs>
          <w:tab w:pos="1340" w:val="left" w:leader="none"/>
          <w:tab w:pos="1342" w:val="left" w:leader="none"/>
        </w:tabs>
        <w:spacing w:line="491" w:lineRule="auto" w:before="91" w:after="0"/>
        <w:ind w:left="1342" w:right="1097" w:hanging="336"/>
        <w:jc w:val="both"/>
        <w:rPr>
          <w:sz w:val="22"/>
        </w:rPr>
      </w:pPr>
      <w:r>
        <w:rPr>
          <w:sz w:val="22"/>
        </w:rPr>
        <w:t>The modified starch (MCS) should be used with other excipients to produce</w:t>
      </w:r>
      <w:r>
        <w:rPr>
          <w:spacing w:val="80"/>
          <w:sz w:val="22"/>
        </w:rPr>
        <w:t> </w:t>
      </w:r>
      <w:r>
        <w:rPr>
          <w:sz w:val="22"/>
        </w:rPr>
        <w:t>tablets that require fast disintegration e.g. orally disintegrating tablet or orodispersible tablet (ODT).</w:t>
      </w:r>
    </w:p>
    <w:p>
      <w:pPr>
        <w:spacing w:after="0" w:line="491" w:lineRule="auto"/>
        <w:jc w:val="both"/>
        <w:rPr>
          <w:sz w:val="22"/>
        </w:rPr>
        <w:sectPr>
          <w:pgSz w:w="12240" w:h="15840"/>
          <w:pgMar w:header="0" w:footer="999" w:top="1260" w:bottom="1180" w:left="1720" w:right="760"/>
        </w:sectPr>
      </w:pPr>
    </w:p>
    <w:p>
      <w:pPr>
        <w:pStyle w:val="Heading1"/>
        <w:spacing w:before="66"/>
        <w:ind w:left="460" w:right="894"/>
      </w:pPr>
      <w:bookmarkStart w:name="_TOC_250017" w:id="144"/>
      <w:bookmarkEnd w:id="144"/>
      <w:r>
        <w:rPr>
          <w:spacing w:val="-2"/>
        </w:rPr>
        <w:t>REFERENCES</w:t>
      </w:r>
    </w:p>
    <w:p>
      <w:pPr>
        <w:pStyle w:val="BodyText"/>
        <w:spacing w:line="244" w:lineRule="auto" w:before="246"/>
        <w:ind w:left="665" w:right="1096"/>
        <w:jc w:val="both"/>
      </w:pPr>
      <w:r>
        <w:rPr/>
        <w:t>Adams,</w:t>
      </w:r>
      <w:r>
        <w:rPr>
          <w:spacing w:val="40"/>
        </w:rPr>
        <w:t> </w:t>
      </w:r>
      <w:r>
        <w:rPr/>
        <w:t>M.J.</w:t>
      </w:r>
      <w:r>
        <w:rPr>
          <w:spacing w:val="40"/>
        </w:rPr>
        <w:t> </w:t>
      </w:r>
      <w:r>
        <w:rPr/>
        <w:t>and</w:t>
      </w:r>
      <w:r>
        <w:rPr>
          <w:spacing w:val="40"/>
        </w:rPr>
        <w:t> </w:t>
      </w:r>
      <w:r>
        <w:rPr/>
        <w:t>Mckeown,</w:t>
      </w:r>
      <w:r>
        <w:rPr>
          <w:spacing w:val="40"/>
        </w:rPr>
        <w:t> </w:t>
      </w:r>
      <w:r>
        <w:rPr/>
        <w:t>R.</w:t>
      </w:r>
      <w:r>
        <w:rPr>
          <w:spacing w:val="40"/>
        </w:rPr>
        <w:t> </w:t>
      </w:r>
      <w:r>
        <w:rPr/>
        <w:t>(1996).</w:t>
      </w:r>
      <w:r>
        <w:rPr>
          <w:spacing w:val="40"/>
        </w:rPr>
        <w:t> </w:t>
      </w:r>
      <w:r>
        <w:rPr/>
        <w:t>Micromechanical</w:t>
      </w:r>
      <w:r>
        <w:rPr>
          <w:spacing w:val="40"/>
        </w:rPr>
        <w:t> </w:t>
      </w:r>
      <w:r>
        <w:rPr/>
        <w:t>analyses</w:t>
      </w:r>
      <w:r>
        <w:rPr>
          <w:spacing w:val="40"/>
        </w:rPr>
        <w:t> </w:t>
      </w:r>
      <w:r>
        <w:rPr/>
        <w:t>of</w:t>
      </w:r>
      <w:r>
        <w:rPr>
          <w:spacing w:val="40"/>
        </w:rPr>
        <w:t> </w:t>
      </w:r>
      <w:r>
        <w:rPr/>
        <w:t>the</w:t>
      </w:r>
      <w:r>
        <w:rPr>
          <w:spacing w:val="40"/>
        </w:rPr>
        <w:t> </w:t>
      </w:r>
      <w:r>
        <w:rPr/>
        <w:t>pressure volume relationship for powders under confined uniaxial compression. </w:t>
      </w:r>
      <w:r>
        <w:rPr>
          <w:i/>
        </w:rPr>
        <w:t>Powder Technol</w:t>
      </w:r>
      <w:r>
        <w:rPr/>
        <w:t>. </w:t>
      </w:r>
      <w:r>
        <w:rPr>
          <w:spacing w:val="-2"/>
        </w:rPr>
        <w:t>88:155-163.</w:t>
      </w:r>
    </w:p>
    <w:p>
      <w:pPr>
        <w:pStyle w:val="BodyText"/>
        <w:spacing w:before="9"/>
      </w:pPr>
    </w:p>
    <w:p>
      <w:pPr>
        <w:pStyle w:val="BodyText"/>
        <w:spacing w:line="244" w:lineRule="auto"/>
        <w:ind w:left="665" w:right="1099"/>
        <w:jc w:val="both"/>
      </w:pPr>
      <w:r>
        <w:rPr/>
        <w:t>Adebayo,</w:t>
      </w:r>
      <w:r>
        <w:rPr>
          <w:spacing w:val="40"/>
        </w:rPr>
        <w:t> </w:t>
      </w:r>
      <w:r>
        <w:rPr/>
        <w:t>A.S.,</w:t>
      </w:r>
      <w:r>
        <w:rPr>
          <w:spacing w:val="40"/>
        </w:rPr>
        <w:t> </w:t>
      </w:r>
      <w:r>
        <w:rPr/>
        <w:t>Itiola,</w:t>
      </w:r>
      <w:r>
        <w:rPr>
          <w:spacing w:val="40"/>
        </w:rPr>
        <w:t> </w:t>
      </w:r>
      <w:r>
        <w:rPr/>
        <w:t>O.A.,</w:t>
      </w:r>
      <w:r>
        <w:rPr>
          <w:spacing w:val="40"/>
        </w:rPr>
        <w:t> </w:t>
      </w:r>
      <w:r>
        <w:rPr/>
        <w:t>(2003).</w:t>
      </w:r>
      <w:r>
        <w:rPr>
          <w:spacing w:val="40"/>
        </w:rPr>
        <w:t> </w:t>
      </w:r>
      <w:r>
        <w:rPr/>
        <w:t>Effects</w:t>
      </w:r>
      <w:r>
        <w:rPr>
          <w:spacing w:val="40"/>
        </w:rPr>
        <w:t> </w:t>
      </w:r>
      <w:r>
        <w:rPr/>
        <w:t>of</w:t>
      </w:r>
      <w:r>
        <w:rPr>
          <w:spacing w:val="40"/>
        </w:rPr>
        <w:t> </w:t>
      </w:r>
      <w:r>
        <w:rPr/>
        <w:t>Breadfruit</w:t>
      </w:r>
      <w:r>
        <w:rPr>
          <w:spacing w:val="40"/>
        </w:rPr>
        <w:t> </w:t>
      </w:r>
      <w:r>
        <w:rPr/>
        <w:t>and</w:t>
      </w:r>
      <w:r>
        <w:rPr>
          <w:spacing w:val="40"/>
        </w:rPr>
        <w:t> </w:t>
      </w:r>
      <w:r>
        <w:rPr/>
        <w:t>Cocoyam</w:t>
      </w:r>
      <w:r>
        <w:rPr>
          <w:spacing w:val="40"/>
        </w:rPr>
        <w:t> </w:t>
      </w:r>
      <w:r>
        <w:rPr/>
        <w:t>Starch Mucilage binder on disintegration and dissolution behaviours of paracetamol tablet formulation. </w:t>
      </w:r>
      <w:r>
        <w:rPr>
          <w:i/>
        </w:rPr>
        <w:t>J. Pharm</w:t>
      </w:r>
      <w:r>
        <w:rPr/>
        <w:t>. </w:t>
      </w:r>
      <w:r>
        <w:rPr>
          <w:i/>
        </w:rPr>
        <w:t>Tech. </w:t>
      </w:r>
      <w:r>
        <w:rPr/>
        <w:t>P. 78-88.</w:t>
      </w:r>
    </w:p>
    <w:p>
      <w:pPr>
        <w:pStyle w:val="BodyText"/>
        <w:spacing w:before="10"/>
      </w:pPr>
    </w:p>
    <w:p>
      <w:pPr>
        <w:pStyle w:val="BodyText"/>
        <w:spacing w:line="244" w:lineRule="auto"/>
        <w:ind w:left="665" w:right="1093"/>
        <w:jc w:val="both"/>
      </w:pPr>
      <w:r>
        <w:rPr/>
        <w:t>Adane, M., Endale, A., Bultosa, G., Abdel-Mohsen, M.G. and Mariam, T. (2006)</w:t>
      </w:r>
      <w:r>
        <w:rPr>
          <w:spacing w:val="80"/>
        </w:rPr>
        <w:t> </w:t>
      </w:r>
      <w:r>
        <w:rPr/>
        <w:t>Isolation and Physicochemical characterization of Godare (Colocasia </w:t>
      </w:r>
      <w:r>
        <w:rPr>
          <w:i/>
        </w:rPr>
        <w:t>esculenta</w:t>
      </w:r>
      <w:r>
        <w:rPr/>
        <w:t>) Starch from Ethiopia. </w:t>
      </w:r>
      <w:r>
        <w:rPr>
          <w:i/>
        </w:rPr>
        <w:t>Ethiop Pharm J. </w:t>
      </w:r>
      <w:r>
        <w:rPr/>
        <w:t>24: 13-22.</w:t>
      </w:r>
    </w:p>
    <w:p>
      <w:pPr>
        <w:pStyle w:val="BodyText"/>
        <w:spacing w:before="10"/>
      </w:pPr>
    </w:p>
    <w:p>
      <w:pPr>
        <w:pStyle w:val="BodyText"/>
        <w:spacing w:line="244" w:lineRule="auto"/>
        <w:ind w:left="665" w:right="1102"/>
        <w:jc w:val="both"/>
      </w:pPr>
      <w:r>
        <w:rPr/>
        <w:t>Adeyeye, M.C. and Brittain, H.G. (2008). Preformulation in Solid Dosage Form Development (Drug and the Pharmaceutical Sciences) pp 357-433, 477-511.</w:t>
      </w:r>
    </w:p>
    <w:p>
      <w:pPr>
        <w:pStyle w:val="BodyText"/>
        <w:spacing w:before="8"/>
      </w:pPr>
    </w:p>
    <w:p>
      <w:pPr>
        <w:pStyle w:val="BodyText"/>
        <w:spacing w:line="244" w:lineRule="auto"/>
        <w:ind w:left="665" w:right="1096"/>
        <w:jc w:val="both"/>
      </w:pPr>
      <w:r>
        <w:rPr/>
        <w:t>Akande, O.F. (1988). Evaluation of Millet Starch as a Binder and Disintegrant. MSc.Thesis submitted to the Department of Pharmaceutics and Pharmaceutical Microbiology, Faculty of Pharmaceutical Sciences, Ahmadu Bello University, Zaria.</w:t>
      </w:r>
    </w:p>
    <w:p>
      <w:pPr>
        <w:pStyle w:val="BodyText"/>
        <w:spacing w:before="10"/>
      </w:pPr>
    </w:p>
    <w:p>
      <w:pPr>
        <w:pStyle w:val="BodyText"/>
        <w:spacing w:line="244" w:lineRule="auto"/>
        <w:ind w:left="665" w:right="1097"/>
        <w:jc w:val="both"/>
      </w:pPr>
      <w:r>
        <w:rPr/>
        <w:t>Alderborn,</w:t>
      </w:r>
      <w:r>
        <w:rPr>
          <w:spacing w:val="40"/>
        </w:rPr>
        <w:t> </w:t>
      </w:r>
      <w:r>
        <w:rPr/>
        <w:t>G.</w:t>
      </w:r>
      <w:r>
        <w:rPr>
          <w:spacing w:val="40"/>
        </w:rPr>
        <w:t> </w:t>
      </w:r>
      <w:r>
        <w:rPr/>
        <w:t>(2002).</w:t>
      </w:r>
      <w:r>
        <w:rPr>
          <w:spacing w:val="40"/>
        </w:rPr>
        <w:t> </w:t>
      </w:r>
      <w:r>
        <w:rPr/>
        <w:t>Tablets</w:t>
      </w:r>
      <w:r>
        <w:rPr>
          <w:spacing w:val="40"/>
        </w:rPr>
        <w:t> </w:t>
      </w:r>
      <w:r>
        <w:rPr/>
        <w:t>and</w:t>
      </w:r>
      <w:r>
        <w:rPr>
          <w:spacing w:val="40"/>
        </w:rPr>
        <w:t> </w:t>
      </w:r>
      <w:r>
        <w:rPr/>
        <w:t>compaction</w:t>
      </w:r>
      <w:r>
        <w:rPr>
          <w:spacing w:val="40"/>
        </w:rPr>
        <w:t> </w:t>
      </w:r>
      <w:r>
        <w:rPr/>
        <w:t>In: Aulton,</w:t>
      </w:r>
      <w:r>
        <w:rPr>
          <w:spacing w:val="40"/>
        </w:rPr>
        <w:t> </w:t>
      </w:r>
      <w:r>
        <w:rPr/>
        <w:t>M.E.</w:t>
      </w:r>
      <w:r>
        <w:rPr>
          <w:spacing w:val="40"/>
        </w:rPr>
        <w:t> </w:t>
      </w:r>
      <w:r>
        <w:rPr/>
        <w:t>(ed.).</w:t>
      </w:r>
      <w:r>
        <w:rPr>
          <w:spacing w:val="40"/>
        </w:rPr>
        <w:t> </w:t>
      </w:r>
      <w:r>
        <w:rPr/>
        <w:t>Pharmaceutics: The Science of Dosage form design, 2</w:t>
      </w:r>
      <w:r>
        <w:rPr>
          <w:vertAlign w:val="superscript"/>
        </w:rPr>
        <w:t>nd</w:t>
      </w:r>
      <w:r>
        <w:rPr>
          <w:vertAlign w:val="baseline"/>
        </w:rPr>
        <w:t> edition. Churchill Livingstone, New York, pp. </w:t>
      </w:r>
      <w:r>
        <w:rPr>
          <w:spacing w:val="-2"/>
          <w:vertAlign w:val="baseline"/>
        </w:rPr>
        <w:t>397-440.</w:t>
      </w:r>
    </w:p>
    <w:p>
      <w:pPr>
        <w:pStyle w:val="BodyText"/>
        <w:spacing w:before="14"/>
      </w:pPr>
    </w:p>
    <w:p>
      <w:pPr>
        <w:pStyle w:val="BodyText"/>
        <w:spacing w:line="244" w:lineRule="auto" w:before="1"/>
        <w:ind w:left="665" w:right="1097"/>
        <w:jc w:val="both"/>
      </w:pPr>
      <w:r>
        <w:rPr/>
        <w:t>Alebiowu, G. and Adeagbo, A.A. (2009). Disintegrant properties of a paracetamol tablet formulation lubricated with co-processed lubricants. </w:t>
      </w:r>
      <w:r>
        <w:rPr>
          <w:i/>
        </w:rPr>
        <w:t>Farmacia, </w:t>
      </w:r>
      <w:r>
        <w:rPr>
          <w:b/>
        </w:rPr>
        <w:t>57 </w:t>
      </w:r>
      <w:r>
        <w:rPr/>
        <w:t>(4): 500-510.</w:t>
      </w:r>
    </w:p>
    <w:p>
      <w:pPr>
        <w:pStyle w:val="BodyText"/>
        <w:spacing w:before="8"/>
      </w:pPr>
    </w:p>
    <w:p>
      <w:pPr>
        <w:pStyle w:val="BodyText"/>
        <w:spacing w:line="244" w:lineRule="auto"/>
        <w:ind w:left="665" w:right="1091"/>
        <w:jc w:val="both"/>
      </w:pPr>
      <w:r>
        <w:rPr/>
        <w:t>Alebiowu, G. and Itiola, O.A. (2001). Effects of Natural and Pregelatinized Sorghum, Plantain and</w:t>
      </w:r>
      <w:r>
        <w:rPr>
          <w:spacing w:val="40"/>
        </w:rPr>
        <w:t> </w:t>
      </w:r>
      <w:r>
        <w:rPr/>
        <w:t>corn starch binders on the compressional characteristics of Paracetamol</w:t>
      </w:r>
      <w:r>
        <w:rPr>
          <w:spacing w:val="40"/>
        </w:rPr>
        <w:t> </w:t>
      </w:r>
      <w:r>
        <w:rPr/>
        <w:t>tablet formulations. </w:t>
      </w:r>
      <w:r>
        <w:rPr>
          <w:i/>
        </w:rPr>
        <w:t>Pharm. Tech. </w:t>
      </w:r>
      <w:r>
        <w:rPr/>
        <w:t>2001. 26-30.</w:t>
      </w:r>
    </w:p>
    <w:p>
      <w:pPr>
        <w:pStyle w:val="BodyText"/>
        <w:spacing w:before="10"/>
      </w:pPr>
    </w:p>
    <w:p>
      <w:pPr>
        <w:pStyle w:val="BodyText"/>
        <w:spacing w:line="244" w:lineRule="auto"/>
        <w:ind w:left="665" w:right="1098"/>
        <w:jc w:val="both"/>
      </w:pPr>
      <w:r>
        <w:rPr/>
        <w:t>Alebiowu, G. and Itiola, O.A. (2002). Compressional characteristics of native and pregelatinized</w:t>
      </w:r>
      <w:r>
        <w:rPr>
          <w:spacing w:val="40"/>
        </w:rPr>
        <w:t> </w:t>
      </w:r>
      <w:r>
        <w:rPr/>
        <w:t>sorghum,</w:t>
      </w:r>
      <w:r>
        <w:rPr>
          <w:spacing w:val="40"/>
        </w:rPr>
        <w:t> </w:t>
      </w:r>
      <w:r>
        <w:rPr/>
        <w:t>plaintain and</w:t>
      </w:r>
      <w:r>
        <w:rPr>
          <w:spacing w:val="40"/>
        </w:rPr>
        <w:t> </w:t>
      </w:r>
      <w:r>
        <w:rPr/>
        <w:t>corn</w:t>
      </w:r>
      <w:r>
        <w:rPr>
          <w:spacing w:val="40"/>
        </w:rPr>
        <w:t> </w:t>
      </w:r>
      <w:r>
        <w:rPr/>
        <w:t>starches</w:t>
      </w:r>
      <w:r>
        <w:rPr>
          <w:spacing w:val="40"/>
        </w:rPr>
        <w:t> </w:t>
      </w:r>
      <w:r>
        <w:rPr/>
        <w:t>and</w:t>
      </w:r>
      <w:r>
        <w:rPr>
          <w:spacing w:val="40"/>
        </w:rPr>
        <w:t> </w:t>
      </w:r>
      <w:r>
        <w:rPr/>
        <w:t>the</w:t>
      </w:r>
      <w:r>
        <w:rPr>
          <w:spacing w:val="40"/>
        </w:rPr>
        <w:t> </w:t>
      </w:r>
      <w:r>
        <w:rPr/>
        <w:t>mechanical</w:t>
      </w:r>
      <w:r>
        <w:rPr>
          <w:spacing w:val="40"/>
        </w:rPr>
        <w:t> </w:t>
      </w:r>
      <w:r>
        <w:rPr/>
        <w:t>properties of their tablets. </w:t>
      </w:r>
      <w:r>
        <w:rPr>
          <w:i/>
        </w:rPr>
        <w:t>Drug Dev. Ind. Pharm., </w:t>
      </w:r>
      <w:r>
        <w:rPr>
          <w:b/>
        </w:rPr>
        <w:t>28 </w:t>
      </w:r>
      <w:r>
        <w:rPr/>
        <w:t>(6): 663-672</w:t>
      </w:r>
    </w:p>
    <w:p>
      <w:pPr>
        <w:pStyle w:val="BodyText"/>
        <w:spacing w:before="9"/>
      </w:pPr>
    </w:p>
    <w:p>
      <w:pPr>
        <w:pStyle w:val="BodyText"/>
        <w:spacing w:line="244" w:lineRule="auto" w:before="1"/>
        <w:ind w:left="665" w:right="1097"/>
        <w:jc w:val="both"/>
      </w:pPr>
      <w:r>
        <w:rPr/>
        <w:t>Amidon, G.E., Peck, G.E., Block, L.H., Katdare, A. and Sheehan, C. (2007). Proposed New USP</w:t>
      </w:r>
      <w:r>
        <w:rPr>
          <w:spacing w:val="40"/>
        </w:rPr>
        <w:t> </w:t>
      </w:r>
      <w:r>
        <w:rPr/>
        <w:t>General</w:t>
      </w:r>
      <w:r>
        <w:rPr>
          <w:spacing w:val="40"/>
        </w:rPr>
        <w:t> </w:t>
      </w:r>
      <w:r>
        <w:rPr/>
        <w:t>Information on excipient</w:t>
      </w:r>
      <w:r>
        <w:rPr>
          <w:spacing w:val="40"/>
        </w:rPr>
        <w:t> </w:t>
      </w:r>
      <w:r>
        <w:rPr/>
        <w:t>performance.</w:t>
      </w:r>
      <w:r>
        <w:rPr>
          <w:spacing w:val="40"/>
        </w:rPr>
        <w:t> </w:t>
      </w:r>
      <w:r>
        <w:rPr>
          <w:i/>
        </w:rPr>
        <w:t>Pharmacopocial</w:t>
      </w:r>
      <w:r>
        <w:rPr>
          <w:i/>
          <w:spacing w:val="40"/>
        </w:rPr>
        <w:t> </w:t>
      </w:r>
      <w:r>
        <w:rPr>
          <w:i/>
        </w:rPr>
        <w:t>Forum. </w:t>
      </w:r>
      <w:r>
        <w:rPr>
          <w:b/>
        </w:rPr>
        <w:t>33 </w:t>
      </w:r>
      <w:r>
        <w:rPr>
          <w:spacing w:val="-4"/>
        </w:rPr>
        <w:t>(6).</w:t>
      </w:r>
    </w:p>
    <w:p>
      <w:pPr>
        <w:pStyle w:val="BodyText"/>
        <w:spacing w:before="9"/>
      </w:pPr>
    </w:p>
    <w:p>
      <w:pPr>
        <w:pStyle w:val="BodyText"/>
        <w:spacing w:line="244" w:lineRule="auto"/>
        <w:ind w:left="665" w:right="1097"/>
        <w:jc w:val="both"/>
      </w:pPr>
      <w:r>
        <w:rPr/>
        <w:t>Anwar, E., Khotimah,.H. and Yanuar, A. (2006). An approach on pregelatinized cassava starch phosphate esters as hydrophilic polymer excipients for controlled release tablet </w:t>
      </w:r>
      <w:r>
        <w:rPr>
          <w:i/>
        </w:rPr>
        <w:t>J. Med. Sci.</w:t>
      </w:r>
      <w:r>
        <w:rPr/>
        <w:t>, </w:t>
      </w:r>
      <w:r>
        <w:rPr>
          <w:b/>
        </w:rPr>
        <w:t>6 </w:t>
      </w:r>
      <w:r>
        <w:rPr/>
        <w:t>(6): 923-929.</w:t>
      </w:r>
    </w:p>
    <w:p>
      <w:pPr>
        <w:pStyle w:val="BodyText"/>
        <w:spacing w:before="10"/>
      </w:pPr>
    </w:p>
    <w:p>
      <w:pPr>
        <w:pStyle w:val="BodyText"/>
        <w:spacing w:line="249" w:lineRule="auto"/>
        <w:ind w:left="665" w:right="1799"/>
      </w:pPr>
      <w:r>
        <w:rPr/>
        <w:t>A.O.A.C. (1980). Official Methods of Analysis, 13</w:t>
      </w:r>
      <w:r>
        <w:rPr>
          <w:vertAlign w:val="superscript"/>
        </w:rPr>
        <w:t>t</w:t>
      </w:r>
      <w:r>
        <w:rPr>
          <w:vertAlign w:val="superscript"/>
        </w:rPr>
        <w:t>h</w:t>
      </w:r>
      <w:r>
        <w:rPr>
          <w:vertAlign w:val="baseline"/>
        </w:rPr>
        <w:t> ed. Association of Official Analytical Chemist. </w:t>
      </w:r>
      <w:r>
        <w:rPr>
          <w:i/>
          <w:vertAlign w:val="baseline"/>
        </w:rPr>
        <w:t>AOAC inc</w:t>
      </w:r>
      <w:r>
        <w:rPr>
          <w:vertAlign w:val="baseline"/>
        </w:rPr>
        <w:t>. Washington DC.</w:t>
      </w:r>
    </w:p>
    <w:p>
      <w:pPr>
        <w:spacing w:after="0" w:line="249" w:lineRule="auto"/>
        <w:sectPr>
          <w:pgSz w:w="12240" w:h="15840"/>
          <w:pgMar w:header="0" w:footer="999" w:top="1500" w:bottom="1180" w:left="1720" w:right="760"/>
        </w:sectPr>
      </w:pPr>
    </w:p>
    <w:p>
      <w:pPr>
        <w:pStyle w:val="BodyText"/>
        <w:spacing w:line="244" w:lineRule="auto" w:before="75"/>
        <w:ind w:left="665" w:right="1101"/>
        <w:jc w:val="both"/>
      </w:pPr>
      <w:r>
        <w:rPr/>
        <w:t>Apeji, Y.E. (2010). Tabletting Properties of Microcrystalline Starch Derived from</w:t>
      </w:r>
      <w:r>
        <w:rPr>
          <w:spacing w:val="80"/>
        </w:rPr>
        <w:t> </w:t>
      </w:r>
      <w:r>
        <w:rPr/>
        <w:t>Cassava (</w:t>
      </w:r>
      <w:r>
        <w:rPr>
          <w:i/>
        </w:rPr>
        <w:t>Manihot esculenta </w:t>
      </w:r>
      <w:r>
        <w:rPr/>
        <w:t>Crantz) starch by Enzymatic Hydrolysis Using α-amylase enzyme.</w:t>
      </w:r>
      <w:r>
        <w:rPr>
          <w:spacing w:val="40"/>
        </w:rPr>
        <w:t> </w:t>
      </w:r>
      <w:r>
        <w:rPr/>
        <w:t>MSc Thesis. Ahmadu Bello University, Zaria.</w:t>
      </w:r>
    </w:p>
    <w:p>
      <w:pPr>
        <w:pStyle w:val="BodyText"/>
        <w:spacing w:before="10"/>
      </w:pPr>
    </w:p>
    <w:p>
      <w:pPr>
        <w:pStyle w:val="BodyText"/>
        <w:spacing w:line="244" w:lineRule="auto"/>
        <w:ind w:left="665" w:right="1088"/>
        <w:jc w:val="both"/>
      </w:pPr>
      <w:r>
        <w:rPr/>
        <w:t>Atichikudomchai,</w:t>
      </w:r>
      <w:r>
        <w:rPr>
          <w:spacing w:val="39"/>
        </w:rPr>
        <w:t> </w:t>
      </w:r>
      <w:r>
        <w:rPr/>
        <w:t>N.,</w:t>
      </w:r>
      <w:r>
        <w:rPr>
          <w:spacing w:val="33"/>
        </w:rPr>
        <w:t> </w:t>
      </w:r>
      <w:r>
        <w:rPr/>
        <w:t>Shobsngob,</w:t>
      </w:r>
      <w:r>
        <w:rPr>
          <w:spacing w:val="33"/>
        </w:rPr>
        <w:t> </w:t>
      </w:r>
      <w:r>
        <w:rPr/>
        <w:t>S.,</w:t>
      </w:r>
      <w:r>
        <w:rPr>
          <w:spacing w:val="39"/>
        </w:rPr>
        <w:t> </w:t>
      </w:r>
      <w:r>
        <w:rPr/>
        <w:t>Chinachoti,</w:t>
      </w:r>
      <w:r>
        <w:rPr>
          <w:spacing w:val="33"/>
        </w:rPr>
        <w:t> </w:t>
      </w:r>
      <w:r>
        <w:rPr/>
        <w:t>P.</w:t>
      </w:r>
      <w:r>
        <w:rPr>
          <w:spacing w:val="33"/>
        </w:rPr>
        <w:t> </w:t>
      </w:r>
      <w:r>
        <w:rPr/>
        <w:t>and</w:t>
      </w:r>
      <w:r>
        <w:rPr>
          <w:spacing w:val="40"/>
        </w:rPr>
        <w:t> </w:t>
      </w:r>
      <w:r>
        <w:rPr/>
        <w:t>Varavinit,</w:t>
      </w:r>
      <w:r>
        <w:rPr>
          <w:spacing w:val="33"/>
        </w:rPr>
        <w:t> </w:t>
      </w:r>
      <w:r>
        <w:rPr/>
        <w:t>S.</w:t>
      </w:r>
      <w:r>
        <w:rPr>
          <w:spacing w:val="33"/>
        </w:rPr>
        <w:t> </w:t>
      </w:r>
      <w:r>
        <w:rPr/>
        <w:t>(2001).</w:t>
      </w:r>
      <w:r>
        <w:rPr>
          <w:spacing w:val="39"/>
        </w:rPr>
        <w:t> </w:t>
      </w:r>
      <w:r>
        <w:rPr/>
        <w:t>A</w:t>
      </w:r>
      <w:r>
        <w:rPr>
          <w:spacing w:val="27"/>
        </w:rPr>
        <w:t> </w:t>
      </w:r>
      <w:r>
        <w:rPr/>
        <w:t>study of some physicochemical properties of high-crystalline tapioca starch. </w:t>
      </w:r>
      <w:r>
        <w:rPr>
          <w:i/>
        </w:rPr>
        <w:t>Starch/starke</w:t>
      </w:r>
      <w:r>
        <w:rPr/>
        <w:t>, </w:t>
      </w:r>
      <w:r>
        <w:rPr>
          <w:spacing w:val="-2"/>
        </w:rPr>
        <w:t>53:577-581.</w:t>
      </w:r>
    </w:p>
    <w:p>
      <w:pPr>
        <w:pStyle w:val="BodyText"/>
        <w:spacing w:before="9"/>
      </w:pPr>
    </w:p>
    <w:p>
      <w:pPr>
        <w:pStyle w:val="BodyText"/>
        <w:spacing w:line="244" w:lineRule="auto" w:before="1"/>
        <w:ind w:left="665" w:right="1098"/>
        <w:jc w:val="both"/>
      </w:pPr>
      <w:r>
        <w:rPr/>
        <w:t>Ashford, M., Aulton, M.E., Second Edition (2002). Pharmaceutics. The Science of</w:t>
      </w:r>
      <w:r>
        <w:rPr>
          <w:spacing w:val="80"/>
        </w:rPr>
        <w:t> </w:t>
      </w:r>
      <w:r>
        <w:rPr/>
        <w:t>Dosage Form Design.Churchill Living Stone New York, Pp. 234-252.</w:t>
      </w:r>
    </w:p>
    <w:p>
      <w:pPr>
        <w:pStyle w:val="BodyText"/>
        <w:spacing w:before="13"/>
      </w:pPr>
    </w:p>
    <w:p>
      <w:pPr>
        <w:pStyle w:val="BodyText"/>
        <w:ind w:left="665"/>
        <w:jc w:val="both"/>
      </w:pPr>
      <w:r>
        <w:rPr/>
        <w:t>Aiyer,</w:t>
      </w:r>
      <w:r>
        <w:rPr>
          <w:spacing w:val="16"/>
        </w:rPr>
        <w:t> </w:t>
      </w:r>
      <w:r>
        <w:rPr/>
        <w:t>P.V.</w:t>
      </w:r>
      <w:r>
        <w:rPr>
          <w:spacing w:val="16"/>
        </w:rPr>
        <w:t> </w:t>
      </w:r>
      <w:r>
        <w:rPr/>
        <w:t>(2005).</w:t>
      </w:r>
      <w:r>
        <w:rPr>
          <w:spacing w:val="6"/>
        </w:rPr>
        <w:t> </w:t>
      </w:r>
      <w:r>
        <w:rPr/>
        <w:t>Amylases</w:t>
      </w:r>
      <w:r>
        <w:rPr>
          <w:spacing w:val="8"/>
        </w:rPr>
        <w:t> </w:t>
      </w:r>
      <w:r>
        <w:rPr/>
        <w:t>and</w:t>
      </w:r>
      <w:r>
        <w:rPr>
          <w:spacing w:val="17"/>
        </w:rPr>
        <w:t> </w:t>
      </w:r>
      <w:r>
        <w:rPr/>
        <w:t>their</w:t>
      </w:r>
      <w:r>
        <w:rPr>
          <w:spacing w:val="12"/>
        </w:rPr>
        <w:t> </w:t>
      </w:r>
      <w:r>
        <w:rPr/>
        <w:t>applications.</w:t>
      </w:r>
      <w:r>
        <w:rPr>
          <w:spacing w:val="12"/>
        </w:rPr>
        <w:t> </w:t>
      </w:r>
      <w:r>
        <w:rPr>
          <w:i/>
        </w:rPr>
        <w:t>Afr.</w:t>
      </w:r>
      <w:r>
        <w:rPr>
          <w:i/>
          <w:spacing w:val="6"/>
        </w:rPr>
        <w:t> </w:t>
      </w:r>
      <w:r>
        <w:rPr>
          <w:i/>
        </w:rPr>
        <w:t>J.</w:t>
      </w:r>
      <w:r>
        <w:rPr>
          <w:i/>
          <w:spacing w:val="6"/>
        </w:rPr>
        <w:t> </w:t>
      </w:r>
      <w:r>
        <w:rPr>
          <w:i/>
        </w:rPr>
        <w:t>Biotech</w:t>
      </w:r>
      <w:r>
        <w:rPr/>
        <w:t>.,</w:t>
      </w:r>
      <w:r>
        <w:rPr>
          <w:spacing w:val="10"/>
        </w:rPr>
        <w:t> </w:t>
      </w:r>
      <w:r>
        <w:rPr>
          <w:b/>
        </w:rPr>
        <w:t>4</w:t>
      </w:r>
      <w:r>
        <w:rPr>
          <w:b/>
          <w:spacing w:val="13"/>
        </w:rPr>
        <w:t> </w:t>
      </w:r>
      <w:r>
        <w:rPr/>
        <w:t>(13):</w:t>
      </w:r>
      <w:r>
        <w:rPr>
          <w:spacing w:val="4"/>
        </w:rPr>
        <w:t> </w:t>
      </w:r>
      <w:r>
        <w:rPr/>
        <w:t>1525-</w:t>
      </w:r>
      <w:r>
        <w:rPr>
          <w:spacing w:val="-2"/>
        </w:rPr>
        <w:t>1529.</w:t>
      </w:r>
    </w:p>
    <w:p>
      <w:pPr>
        <w:pStyle w:val="BodyText"/>
        <w:spacing w:before="12"/>
      </w:pPr>
    </w:p>
    <w:p>
      <w:pPr>
        <w:pStyle w:val="BodyText"/>
        <w:ind w:left="665" w:right="1096"/>
        <w:jc w:val="both"/>
      </w:pPr>
      <w:r>
        <w:rPr/>
        <w:t>Behall, K.M., Scholfield, D.J., Canary, J. (1988). Amylose Chemistry. </w:t>
      </w:r>
      <w:r>
        <w:rPr>
          <w:i/>
        </w:rPr>
        <w:t>Am, J. Clin. Nutr.</w:t>
      </w:r>
      <w:r>
        <w:rPr/>
        <w:t>47, 428.</w:t>
      </w:r>
    </w:p>
    <w:p>
      <w:pPr>
        <w:pStyle w:val="BodyText"/>
        <w:spacing w:before="14"/>
      </w:pPr>
    </w:p>
    <w:p>
      <w:pPr>
        <w:pStyle w:val="BodyText"/>
        <w:ind w:left="665"/>
        <w:jc w:val="both"/>
      </w:pPr>
      <w:r>
        <w:rPr/>
        <w:t>Behall,</w:t>
      </w:r>
      <w:r>
        <w:rPr>
          <w:spacing w:val="56"/>
        </w:rPr>
        <w:t> </w:t>
      </w:r>
      <w:r>
        <w:rPr/>
        <w:t>K.M.,</w:t>
      </w:r>
      <w:r>
        <w:rPr>
          <w:spacing w:val="50"/>
        </w:rPr>
        <w:t> </w:t>
      </w:r>
      <w:r>
        <w:rPr/>
        <w:t>Scholfield,</w:t>
      </w:r>
      <w:r>
        <w:rPr>
          <w:spacing w:val="51"/>
        </w:rPr>
        <w:t> </w:t>
      </w:r>
      <w:r>
        <w:rPr/>
        <w:t>D.J.,</w:t>
      </w:r>
      <w:r>
        <w:rPr>
          <w:spacing w:val="50"/>
        </w:rPr>
        <w:t> </w:t>
      </w:r>
      <w:r>
        <w:rPr/>
        <w:t>Yuhaniak,</w:t>
      </w:r>
      <w:r>
        <w:rPr>
          <w:spacing w:val="55"/>
        </w:rPr>
        <w:t> </w:t>
      </w:r>
      <w:r>
        <w:rPr/>
        <w:t>I.,</w:t>
      </w:r>
      <w:r>
        <w:rPr>
          <w:spacing w:val="51"/>
        </w:rPr>
        <w:t> </w:t>
      </w:r>
      <w:r>
        <w:rPr/>
        <w:t>Canary,</w:t>
      </w:r>
      <w:r>
        <w:rPr>
          <w:spacing w:val="56"/>
        </w:rPr>
        <w:t> </w:t>
      </w:r>
      <w:r>
        <w:rPr/>
        <w:t>J.</w:t>
      </w:r>
      <w:r>
        <w:rPr>
          <w:spacing w:val="51"/>
        </w:rPr>
        <w:t> </w:t>
      </w:r>
      <w:r>
        <w:rPr/>
        <w:t>(1989).</w:t>
      </w:r>
      <w:r>
        <w:rPr>
          <w:spacing w:val="54"/>
        </w:rPr>
        <w:t> </w:t>
      </w:r>
      <w:r>
        <w:rPr/>
        <w:t>Amylose</w:t>
      </w:r>
      <w:r>
        <w:rPr>
          <w:spacing w:val="49"/>
        </w:rPr>
        <w:t> </w:t>
      </w:r>
      <w:r>
        <w:rPr>
          <w:spacing w:val="-2"/>
        </w:rPr>
        <w:t>Chemistry.</w:t>
      </w:r>
    </w:p>
    <w:p>
      <w:pPr>
        <w:spacing w:before="11"/>
        <w:ind w:left="665" w:right="0" w:firstLine="0"/>
        <w:jc w:val="both"/>
        <w:rPr>
          <w:sz w:val="22"/>
        </w:rPr>
      </w:pPr>
      <w:r>
        <w:rPr>
          <w:i/>
          <w:sz w:val="22"/>
        </w:rPr>
        <w:t>Am</w:t>
      </w:r>
      <w:r>
        <w:rPr>
          <w:i/>
          <w:spacing w:val="8"/>
          <w:sz w:val="22"/>
        </w:rPr>
        <w:t> </w:t>
      </w:r>
      <w:r>
        <w:rPr>
          <w:i/>
          <w:sz w:val="22"/>
        </w:rPr>
        <w:t>J.</w:t>
      </w:r>
      <w:r>
        <w:rPr>
          <w:i/>
          <w:spacing w:val="10"/>
          <w:sz w:val="22"/>
        </w:rPr>
        <w:t> </w:t>
      </w:r>
      <w:r>
        <w:rPr>
          <w:i/>
          <w:sz w:val="22"/>
        </w:rPr>
        <w:t>Clin.</w:t>
      </w:r>
      <w:r>
        <w:rPr>
          <w:i/>
          <w:spacing w:val="11"/>
          <w:sz w:val="22"/>
        </w:rPr>
        <w:t> </w:t>
      </w:r>
      <w:r>
        <w:rPr>
          <w:i/>
          <w:sz w:val="22"/>
        </w:rPr>
        <w:t>Nutr</w:t>
      </w:r>
      <w:r>
        <w:rPr>
          <w:sz w:val="22"/>
        </w:rPr>
        <w:t>.</w:t>
      </w:r>
      <w:r>
        <w:rPr>
          <w:spacing w:val="4"/>
          <w:sz w:val="22"/>
        </w:rPr>
        <w:t> </w:t>
      </w:r>
      <w:r>
        <w:rPr>
          <w:sz w:val="22"/>
        </w:rPr>
        <w:t>49, </w:t>
      </w:r>
      <w:r>
        <w:rPr>
          <w:spacing w:val="-4"/>
          <w:sz w:val="22"/>
        </w:rPr>
        <w:t>557.</w:t>
      </w:r>
    </w:p>
    <w:p>
      <w:pPr>
        <w:pStyle w:val="BodyText"/>
        <w:spacing w:before="12"/>
      </w:pPr>
    </w:p>
    <w:p>
      <w:pPr>
        <w:pStyle w:val="BodyText"/>
        <w:spacing w:line="244" w:lineRule="auto" w:before="1"/>
        <w:ind w:left="665" w:right="1106"/>
        <w:jc w:val="both"/>
      </w:pPr>
      <w:r>
        <w:rPr/>
        <w:t>Bhimte, N.A. and Tayade P.T. (2007). Evaluation of microcrystalline cellulose prepared from sisal fibres as a tablet excipient.</w:t>
      </w:r>
      <w:r>
        <w:rPr>
          <w:spacing w:val="32"/>
        </w:rPr>
        <w:t> </w:t>
      </w:r>
      <w:r>
        <w:rPr>
          <w:i/>
        </w:rPr>
        <w:t>AAPS Pharm Sci. Tech </w:t>
      </w:r>
      <w:r>
        <w:rPr>
          <w:b/>
        </w:rPr>
        <w:t>8 </w:t>
      </w:r>
      <w:r>
        <w:rPr/>
        <w:t>(1). E56-E62</w:t>
      </w:r>
    </w:p>
    <w:p>
      <w:pPr>
        <w:pStyle w:val="BodyText"/>
        <w:spacing w:before="8"/>
      </w:pPr>
    </w:p>
    <w:p>
      <w:pPr>
        <w:pStyle w:val="BodyText"/>
        <w:spacing w:line="244" w:lineRule="auto"/>
        <w:ind w:left="665" w:right="1103"/>
        <w:jc w:val="both"/>
      </w:pPr>
      <w:r>
        <w:rPr/>
        <w:t>Billi, M.S. (1975). Manufacture of Chloroquine Phosphate tablets using cassava starch. Unpublished B.Sc Project submitted to the Department of Pharmaceutics and Pharmaceutical Microbiology, Ahmadu Bello University, Zaria.</w:t>
      </w:r>
    </w:p>
    <w:p>
      <w:pPr>
        <w:pStyle w:val="BodyText"/>
        <w:spacing w:before="10"/>
      </w:pPr>
    </w:p>
    <w:p>
      <w:pPr>
        <w:pStyle w:val="BodyText"/>
        <w:spacing w:line="244" w:lineRule="auto"/>
        <w:ind w:left="665" w:right="1104"/>
        <w:jc w:val="both"/>
      </w:pPr>
      <w:r>
        <w:rPr/>
        <w:t>British</w:t>
      </w:r>
      <w:r>
        <w:rPr>
          <w:spacing w:val="40"/>
        </w:rPr>
        <w:t> </w:t>
      </w:r>
      <w:r>
        <w:rPr/>
        <w:t>Pharmacopoeia,</w:t>
      </w:r>
      <w:r>
        <w:rPr>
          <w:spacing w:val="40"/>
        </w:rPr>
        <w:t> </w:t>
      </w:r>
      <w:r>
        <w:rPr/>
        <w:t>(1980).Vol.</w:t>
      </w:r>
      <w:r>
        <w:rPr>
          <w:spacing w:val="40"/>
        </w:rPr>
        <w:t> </w:t>
      </w:r>
      <w:r>
        <w:rPr/>
        <w:t>I</w:t>
      </w:r>
      <w:r>
        <w:rPr>
          <w:spacing w:val="40"/>
        </w:rPr>
        <w:t> </w:t>
      </w:r>
      <w:r>
        <w:rPr/>
        <w:t>and</w:t>
      </w:r>
      <w:r>
        <w:rPr>
          <w:spacing w:val="40"/>
        </w:rPr>
        <w:t> </w:t>
      </w:r>
      <w:r>
        <w:rPr/>
        <w:t>II:</w:t>
      </w:r>
      <w:r>
        <w:rPr>
          <w:spacing w:val="40"/>
        </w:rPr>
        <w:t> </w:t>
      </w:r>
      <w:r>
        <w:rPr/>
        <w:t>Her</w:t>
      </w:r>
      <w:r>
        <w:rPr>
          <w:spacing w:val="40"/>
        </w:rPr>
        <w:t> </w:t>
      </w:r>
      <w:r>
        <w:rPr/>
        <w:t>Majesty’s</w:t>
      </w:r>
      <w:r>
        <w:rPr>
          <w:spacing w:val="40"/>
        </w:rPr>
        <w:t> </w:t>
      </w:r>
      <w:r>
        <w:rPr/>
        <w:t>Stationary</w:t>
      </w:r>
      <w:r>
        <w:rPr>
          <w:spacing w:val="40"/>
        </w:rPr>
        <w:t> </w:t>
      </w:r>
      <w:r>
        <w:rPr/>
        <w:t>Office, University Press, Cambridge.</w:t>
      </w:r>
    </w:p>
    <w:p>
      <w:pPr>
        <w:pStyle w:val="BodyText"/>
        <w:spacing w:before="8"/>
      </w:pPr>
    </w:p>
    <w:p>
      <w:pPr>
        <w:pStyle w:val="BodyText"/>
        <w:spacing w:line="244" w:lineRule="auto"/>
        <w:ind w:left="665" w:right="1105"/>
        <w:jc w:val="both"/>
      </w:pPr>
      <w:r>
        <w:rPr/>
        <w:t>British</w:t>
      </w:r>
      <w:r>
        <w:rPr>
          <w:spacing w:val="40"/>
        </w:rPr>
        <w:t> </w:t>
      </w:r>
      <w:r>
        <w:rPr/>
        <w:t>Pharmacopoeia,</w:t>
      </w:r>
      <w:r>
        <w:rPr>
          <w:spacing w:val="40"/>
        </w:rPr>
        <w:t> </w:t>
      </w:r>
      <w:r>
        <w:rPr/>
        <w:t>(1993).</w:t>
      </w:r>
      <w:r>
        <w:rPr>
          <w:spacing w:val="40"/>
        </w:rPr>
        <w:t> </w:t>
      </w:r>
      <w:r>
        <w:rPr/>
        <w:t>Vol</w:t>
      </w:r>
      <w:r>
        <w:rPr>
          <w:spacing w:val="40"/>
        </w:rPr>
        <w:t> </w:t>
      </w:r>
      <w:r>
        <w:rPr/>
        <w:t>I</w:t>
      </w:r>
      <w:r>
        <w:rPr>
          <w:spacing w:val="40"/>
        </w:rPr>
        <w:t> </w:t>
      </w:r>
      <w:r>
        <w:rPr/>
        <w:t>and</w:t>
      </w:r>
      <w:r>
        <w:rPr>
          <w:spacing w:val="40"/>
        </w:rPr>
        <w:t> </w:t>
      </w:r>
      <w:r>
        <w:rPr/>
        <w:t>II:</w:t>
      </w:r>
      <w:r>
        <w:rPr>
          <w:spacing w:val="40"/>
        </w:rPr>
        <w:t> </w:t>
      </w:r>
      <w:r>
        <w:rPr/>
        <w:t>Her</w:t>
      </w:r>
      <w:r>
        <w:rPr>
          <w:spacing w:val="40"/>
        </w:rPr>
        <w:t> </w:t>
      </w:r>
      <w:r>
        <w:rPr/>
        <w:t>Magesty’s</w:t>
      </w:r>
      <w:r>
        <w:rPr>
          <w:spacing w:val="40"/>
        </w:rPr>
        <w:t> </w:t>
      </w:r>
      <w:r>
        <w:rPr/>
        <w:t>Stationary</w:t>
      </w:r>
      <w:r>
        <w:rPr>
          <w:spacing w:val="40"/>
        </w:rPr>
        <w:t> </w:t>
      </w:r>
      <w:r>
        <w:rPr/>
        <w:t>Office, University Press, Cambridge.</w:t>
      </w:r>
    </w:p>
    <w:p>
      <w:pPr>
        <w:pStyle w:val="BodyText"/>
        <w:spacing w:before="9"/>
      </w:pPr>
    </w:p>
    <w:p>
      <w:pPr>
        <w:pStyle w:val="BodyText"/>
        <w:spacing w:line="249" w:lineRule="auto"/>
        <w:ind w:left="665" w:right="1103"/>
        <w:jc w:val="both"/>
      </w:pPr>
      <w:r>
        <w:rPr/>
        <w:t>British Pharmacopoeia.</w:t>
      </w:r>
      <w:r>
        <w:rPr>
          <w:spacing w:val="40"/>
        </w:rPr>
        <w:t> </w:t>
      </w:r>
      <w:r>
        <w:rPr/>
        <w:t>(2002).</w:t>
      </w:r>
      <w:r>
        <w:rPr>
          <w:spacing w:val="40"/>
        </w:rPr>
        <w:t> </w:t>
      </w:r>
      <w:r>
        <w:rPr/>
        <w:t>Vol.</w:t>
      </w:r>
      <w:r>
        <w:rPr>
          <w:spacing w:val="40"/>
        </w:rPr>
        <w:t> </w:t>
      </w:r>
      <w:r>
        <w:rPr/>
        <w:t>1</w:t>
      </w:r>
      <w:r>
        <w:rPr>
          <w:spacing w:val="40"/>
        </w:rPr>
        <w:t> </w:t>
      </w:r>
      <w:r>
        <w:rPr/>
        <w:t>and</w:t>
      </w:r>
      <w:r>
        <w:rPr>
          <w:spacing w:val="40"/>
        </w:rPr>
        <w:t> </w:t>
      </w:r>
      <w:r>
        <w:rPr/>
        <w:t>II:</w:t>
      </w:r>
      <w:r>
        <w:rPr>
          <w:spacing w:val="40"/>
        </w:rPr>
        <w:t> </w:t>
      </w:r>
      <w:r>
        <w:rPr/>
        <w:t>Her</w:t>
      </w:r>
      <w:r>
        <w:rPr>
          <w:spacing w:val="40"/>
        </w:rPr>
        <w:t> </w:t>
      </w:r>
      <w:r>
        <w:rPr/>
        <w:t>Majesty’s</w:t>
      </w:r>
      <w:r>
        <w:rPr>
          <w:spacing w:val="40"/>
        </w:rPr>
        <w:t> </w:t>
      </w:r>
      <w:r>
        <w:rPr/>
        <w:t>Stationery Office, University Press, Cambridge.</w:t>
      </w:r>
    </w:p>
    <w:p>
      <w:pPr>
        <w:pStyle w:val="BodyText"/>
        <w:spacing w:before="3"/>
      </w:pPr>
    </w:p>
    <w:p>
      <w:pPr>
        <w:pStyle w:val="BodyText"/>
        <w:ind w:left="665" w:right="1101"/>
        <w:jc w:val="both"/>
      </w:pPr>
      <w:r>
        <w:rPr/>
        <w:t>Brown, W.H., Poon,</w:t>
      </w:r>
      <w:r>
        <w:rPr>
          <w:spacing w:val="28"/>
        </w:rPr>
        <w:t> </w:t>
      </w:r>
      <w:r>
        <w:rPr/>
        <w:t>T. (2005).</w:t>
      </w:r>
      <w:r>
        <w:rPr>
          <w:spacing w:val="30"/>
        </w:rPr>
        <w:t> </w:t>
      </w:r>
      <w:r>
        <w:rPr/>
        <w:t>Introduction to</w:t>
      </w:r>
      <w:r>
        <w:rPr>
          <w:spacing w:val="30"/>
        </w:rPr>
        <w:t> </w:t>
      </w:r>
      <w:r>
        <w:rPr/>
        <w:t>Organic</w:t>
      </w:r>
      <w:r>
        <w:rPr>
          <w:spacing w:val="27"/>
        </w:rPr>
        <w:t> </w:t>
      </w:r>
      <w:r>
        <w:rPr/>
        <w:t>Chemistry (3</w:t>
      </w:r>
      <w:r>
        <w:rPr>
          <w:vertAlign w:val="superscript"/>
        </w:rPr>
        <w:t>rd</w:t>
      </w:r>
      <w:r>
        <w:rPr>
          <w:vertAlign w:val="baseline"/>
        </w:rPr>
        <w:t> Ed).Wiley.ISBN </w:t>
      </w:r>
      <w:r>
        <w:rPr>
          <w:spacing w:val="-2"/>
          <w:vertAlign w:val="baseline"/>
        </w:rPr>
        <w:t>0-471-44451-0.</w:t>
      </w:r>
    </w:p>
    <w:p>
      <w:pPr>
        <w:pStyle w:val="BodyText"/>
        <w:spacing w:before="14"/>
      </w:pPr>
    </w:p>
    <w:p>
      <w:pPr>
        <w:spacing w:line="249" w:lineRule="auto" w:before="0"/>
        <w:ind w:left="665" w:right="1097" w:firstLine="0"/>
        <w:jc w:val="both"/>
        <w:rPr>
          <w:sz w:val="22"/>
        </w:rPr>
      </w:pPr>
      <w:r>
        <w:rPr>
          <w:sz w:val="22"/>
        </w:rPr>
        <w:t>Buleon, A., Colonna, P., Planchot, V., Ball, S. (1998). Starch Chemistry. </w:t>
      </w:r>
      <w:r>
        <w:rPr>
          <w:i/>
          <w:sz w:val="22"/>
        </w:rPr>
        <w:t>Int. J. Biol. </w:t>
      </w:r>
      <w:r>
        <w:rPr>
          <w:i/>
          <w:spacing w:val="-2"/>
          <w:sz w:val="22"/>
        </w:rPr>
        <w:t>Macromol.</w:t>
      </w:r>
      <w:r>
        <w:rPr>
          <w:spacing w:val="-2"/>
          <w:sz w:val="22"/>
        </w:rPr>
        <w:t>23:85.</w:t>
      </w:r>
    </w:p>
    <w:p>
      <w:pPr>
        <w:pStyle w:val="BodyText"/>
        <w:spacing w:before="3"/>
      </w:pPr>
    </w:p>
    <w:p>
      <w:pPr>
        <w:pStyle w:val="BodyText"/>
        <w:spacing w:line="244" w:lineRule="auto"/>
        <w:ind w:left="665" w:right="1103"/>
        <w:jc w:val="both"/>
        <w:rPr>
          <w:i/>
        </w:rPr>
      </w:pPr>
      <w:r>
        <w:rPr/>
        <w:t>Caramella, C., Colombo, P., Conte, U., Ferrari, U., LaManna, A., VanKamp, H.V. and Bolhuis G.K. (1986). Water uptake and disintegrating force measurements: Towards a general understanding of disintegration mechanisms. </w:t>
      </w:r>
      <w:r>
        <w:rPr>
          <w:i/>
        </w:rPr>
        <w:t>Drug Dev. Ind.</w:t>
      </w:r>
    </w:p>
    <w:p>
      <w:pPr>
        <w:spacing w:before="4"/>
        <w:ind w:left="665" w:right="0" w:firstLine="0"/>
        <w:jc w:val="both"/>
        <w:rPr>
          <w:sz w:val="22"/>
        </w:rPr>
      </w:pPr>
      <w:r>
        <w:rPr>
          <w:i/>
          <w:sz w:val="22"/>
        </w:rPr>
        <w:t>Pharm.</w:t>
      </w:r>
      <w:r>
        <w:rPr>
          <w:i/>
          <w:spacing w:val="14"/>
          <w:sz w:val="22"/>
        </w:rPr>
        <w:t> </w:t>
      </w:r>
      <w:r>
        <w:rPr>
          <w:sz w:val="22"/>
        </w:rPr>
        <w:t>12:</w:t>
      </w:r>
      <w:r>
        <w:rPr>
          <w:spacing w:val="11"/>
          <w:sz w:val="22"/>
        </w:rPr>
        <w:t> </w:t>
      </w:r>
      <w:r>
        <w:rPr>
          <w:sz w:val="22"/>
        </w:rPr>
        <w:t>1749-</w:t>
      </w:r>
      <w:r>
        <w:rPr>
          <w:spacing w:val="-4"/>
          <w:sz w:val="22"/>
        </w:rPr>
        <w:t>1766.</w:t>
      </w:r>
    </w:p>
    <w:p>
      <w:pPr>
        <w:pStyle w:val="BodyText"/>
        <w:spacing w:before="12"/>
      </w:pPr>
    </w:p>
    <w:p>
      <w:pPr>
        <w:pStyle w:val="BodyText"/>
        <w:spacing w:line="244" w:lineRule="auto"/>
        <w:ind w:left="665" w:right="1108"/>
        <w:rPr>
          <w:i/>
        </w:rPr>
      </w:pPr>
      <w:r>
        <w:rPr/>
        <w:t>Chichester, C.O. (1986). Advances in Food Research (Advances in Food and Nutrition Research). Boston: Academic Press. </w:t>
      </w:r>
      <w:r>
        <w:rPr>
          <w:i/>
        </w:rPr>
        <w:t>ISBN 0-12-016430-2.</w:t>
      </w:r>
    </w:p>
    <w:p>
      <w:pPr>
        <w:spacing w:after="0" w:line="244" w:lineRule="auto"/>
        <w:sectPr>
          <w:pgSz w:w="12240" w:h="15840"/>
          <w:pgMar w:header="0" w:footer="999" w:top="1260" w:bottom="1180" w:left="1720" w:right="760"/>
        </w:sectPr>
      </w:pPr>
    </w:p>
    <w:p>
      <w:pPr>
        <w:pStyle w:val="BodyText"/>
        <w:spacing w:line="244" w:lineRule="auto" w:before="75"/>
        <w:ind w:left="665" w:right="1101"/>
        <w:jc w:val="both"/>
      </w:pPr>
      <w:r>
        <w:rPr/>
        <w:t>Croghan,</w:t>
      </w:r>
      <w:r>
        <w:rPr>
          <w:spacing w:val="40"/>
        </w:rPr>
        <w:t> </w:t>
      </w:r>
      <w:r>
        <w:rPr/>
        <w:t>M.</w:t>
      </w:r>
      <w:r>
        <w:rPr>
          <w:spacing w:val="40"/>
        </w:rPr>
        <w:t> </w:t>
      </w:r>
      <w:r>
        <w:rPr/>
        <w:t>and</w:t>
      </w:r>
      <w:r>
        <w:rPr>
          <w:spacing w:val="40"/>
        </w:rPr>
        <w:t> </w:t>
      </w:r>
      <w:r>
        <w:rPr/>
        <w:t>Mason,</w:t>
      </w:r>
      <w:r>
        <w:rPr>
          <w:spacing w:val="40"/>
        </w:rPr>
        <w:t> </w:t>
      </w:r>
      <w:r>
        <w:rPr/>
        <w:t>W.</w:t>
      </w:r>
      <w:r>
        <w:rPr>
          <w:spacing w:val="40"/>
        </w:rPr>
        <w:t> </w:t>
      </w:r>
      <w:r>
        <w:rPr/>
        <w:t>(1998)</w:t>
      </w:r>
      <w:r>
        <w:rPr>
          <w:spacing w:val="40"/>
        </w:rPr>
        <w:t> </w:t>
      </w:r>
      <w:r>
        <w:rPr/>
        <w:t>“100</w:t>
      </w:r>
      <w:r>
        <w:rPr>
          <w:spacing w:val="40"/>
        </w:rPr>
        <w:t> </w:t>
      </w:r>
      <w:r>
        <w:rPr/>
        <w:t>years</w:t>
      </w:r>
      <w:r>
        <w:rPr>
          <w:spacing w:val="38"/>
        </w:rPr>
        <w:t> </w:t>
      </w:r>
      <w:r>
        <w:rPr/>
        <w:t>of</w:t>
      </w:r>
      <w:r>
        <w:rPr>
          <w:spacing w:val="40"/>
        </w:rPr>
        <w:t> </w:t>
      </w:r>
      <w:r>
        <w:rPr/>
        <w:t>Starch</w:t>
      </w:r>
      <w:r>
        <w:rPr>
          <w:spacing w:val="40"/>
        </w:rPr>
        <w:t> </w:t>
      </w:r>
      <w:r>
        <w:rPr/>
        <w:t>Innovation”.</w:t>
      </w:r>
      <w:r>
        <w:rPr>
          <w:spacing w:val="40"/>
        </w:rPr>
        <w:t> </w:t>
      </w:r>
      <w:r>
        <w:rPr/>
        <w:t>Food</w:t>
      </w:r>
      <w:r>
        <w:rPr>
          <w:spacing w:val="40"/>
        </w:rPr>
        <w:t> </w:t>
      </w:r>
      <w:r>
        <w:rPr/>
        <w:t>Science and Technology Today, Pp. 17-24.</w:t>
      </w:r>
    </w:p>
    <w:p>
      <w:pPr>
        <w:pStyle w:val="BodyText"/>
        <w:spacing w:before="8"/>
      </w:pPr>
    </w:p>
    <w:p>
      <w:pPr>
        <w:pStyle w:val="BodyText"/>
        <w:spacing w:line="244" w:lineRule="auto" w:before="1"/>
        <w:ind w:left="665" w:right="1103"/>
        <w:jc w:val="both"/>
      </w:pPr>
      <w:r>
        <w:rPr/>
        <w:t>Dankwerts, P.V. (1951). Significance of Liquid-film coefficients in gas absorption. </w:t>
      </w:r>
      <w:r>
        <w:rPr>
          <w:i/>
        </w:rPr>
        <w:t>Md Eng. Chem</w:t>
      </w:r>
      <w:r>
        <w:rPr/>
        <w:t>. 43:1460-7.</w:t>
      </w:r>
    </w:p>
    <w:p>
      <w:pPr>
        <w:pStyle w:val="BodyText"/>
        <w:spacing w:before="8"/>
      </w:pPr>
    </w:p>
    <w:p>
      <w:pPr>
        <w:pStyle w:val="BodyText"/>
        <w:spacing w:line="244" w:lineRule="auto"/>
        <w:ind w:left="665" w:right="1102"/>
        <w:jc w:val="both"/>
      </w:pPr>
      <w:r>
        <w:rPr/>
        <w:t>David, J (2008). Pharmaceutics – Dosage Form and Design. Pharmaceutical Press. (London Chicago) pp. 203-253.</w:t>
      </w:r>
    </w:p>
    <w:p>
      <w:pPr>
        <w:pStyle w:val="BodyText"/>
        <w:spacing w:before="9"/>
      </w:pPr>
    </w:p>
    <w:p>
      <w:pPr>
        <w:pStyle w:val="BodyText"/>
        <w:spacing w:line="244" w:lineRule="auto"/>
        <w:ind w:left="665" w:right="1102"/>
        <w:jc w:val="both"/>
      </w:pPr>
      <w:r>
        <w:rPr/>
        <w:t>Denny, P.J. (2002). Compaction equations: a comparison of the Heckel and Kawakita equations. </w:t>
      </w:r>
      <w:r>
        <w:rPr>
          <w:i/>
        </w:rPr>
        <w:t>Powder Technol. </w:t>
      </w:r>
      <w:r>
        <w:rPr/>
        <w:t>127:162-172.</w:t>
      </w:r>
    </w:p>
    <w:p>
      <w:pPr>
        <w:pStyle w:val="BodyText"/>
        <w:spacing w:before="8"/>
      </w:pPr>
    </w:p>
    <w:p>
      <w:pPr>
        <w:pStyle w:val="BodyText"/>
        <w:spacing w:line="249" w:lineRule="auto"/>
        <w:ind w:left="665" w:right="1101"/>
        <w:jc w:val="both"/>
      </w:pPr>
      <w:r>
        <w:rPr/>
        <w:t>Deshpande,</w:t>
      </w:r>
      <w:r>
        <w:rPr>
          <w:spacing w:val="40"/>
        </w:rPr>
        <w:t> </w:t>
      </w:r>
      <w:r>
        <w:rPr/>
        <w:t>A.V.</w:t>
      </w:r>
      <w:r>
        <w:rPr>
          <w:spacing w:val="40"/>
        </w:rPr>
        <w:t> </w:t>
      </w:r>
      <w:r>
        <w:rPr/>
        <w:t>and</w:t>
      </w:r>
      <w:r>
        <w:rPr>
          <w:spacing w:val="40"/>
        </w:rPr>
        <w:t> </w:t>
      </w:r>
      <w:r>
        <w:rPr/>
        <w:t>Panya,</w:t>
      </w:r>
      <w:r>
        <w:rPr>
          <w:spacing w:val="40"/>
        </w:rPr>
        <w:t> </w:t>
      </w:r>
      <w:r>
        <w:rPr/>
        <w:t>L.B.</w:t>
      </w:r>
      <w:r>
        <w:rPr>
          <w:spacing w:val="40"/>
        </w:rPr>
        <w:t> </w:t>
      </w:r>
      <w:r>
        <w:rPr/>
        <w:t>(1987).</w:t>
      </w:r>
      <w:r>
        <w:rPr>
          <w:spacing w:val="40"/>
        </w:rPr>
        <w:t> </w:t>
      </w:r>
      <w:r>
        <w:rPr/>
        <w:t>Sorghum</w:t>
      </w:r>
      <w:r>
        <w:rPr>
          <w:spacing w:val="40"/>
        </w:rPr>
        <w:t> </w:t>
      </w:r>
      <w:r>
        <w:rPr/>
        <w:t>starch</w:t>
      </w:r>
      <w:r>
        <w:rPr>
          <w:spacing w:val="40"/>
        </w:rPr>
        <w:t> </w:t>
      </w:r>
      <w:r>
        <w:rPr/>
        <w:t>as</w:t>
      </w:r>
      <w:r>
        <w:rPr>
          <w:spacing w:val="40"/>
        </w:rPr>
        <w:t> </w:t>
      </w:r>
      <w:r>
        <w:rPr/>
        <w:t>tablet</w:t>
      </w:r>
      <w:r>
        <w:rPr>
          <w:spacing w:val="40"/>
        </w:rPr>
        <w:t> </w:t>
      </w:r>
      <w:r>
        <w:rPr/>
        <w:t>excipients.</w:t>
      </w:r>
      <w:r>
        <w:rPr>
          <w:spacing w:val="40"/>
        </w:rPr>
        <w:t> </w:t>
      </w:r>
      <w:r>
        <w:rPr>
          <w:i/>
        </w:rPr>
        <w:t>J. Pharm. Pharmacol </w:t>
      </w:r>
      <w:r>
        <w:rPr/>
        <w:t>39:495.</w:t>
      </w:r>
    </w:p>
    <w:p>
      <w:pPr>
        <w:pStyle w:val="BodyText"/>
        <w:spacing w:before="3"/>
      </w:pPr>
    </w:p>
    <w:p>
      <w:pPr>
        <w:pStyle w:val="BodyText"/>
        <w:spacing w:before="1"/>
        <w:ind w:left="665" w:right="1108"/>
      </w:pPr>
      <w:r>
        <w:rPr/>
        <w:t>Eichie,</w:t>
      </w:r>
      <w:r>
        <w:rPr>
          <w:spacing w:val="37"/>
        </w:rPr>
        <w:t> </w:t>
      </w:r>
      <w:r>
        <w:rPr/>
        <w:t>F.S.</w:t>
      </w:r>
      <w:r>
        <w:rPr>
          <w:spacing w:val="37"/>
        </w:rPr>
        <w:t> </w:t>
      </w:r>
      <w:r>
        <w:rPr/>
        <w:t>and</w:t>
      </w:r>
      <w:r>
        <w:rPr>
          <w:spacing w:val="38"/>
        </w:rPr>
        <w:t> </w:t>
      </w:r>
      <w:r>
        <w:rPr/>
        <w:t>Okor,</w:t>
      </w:r>
      <w:r>
        <w:rPr>
          <w:spacing w:val="37"/>
        </w:rPr>
        <w:t> </w:t>
      </w:r>
      <w:r>
        <w:rPr/>
        <w:t>R.S.</w:t>
      </w:r>
      <w:r>
        <w:rPr>
          <w:spacing w:val="32"/>
        </w:rPr>
        <w:t> </w:t>
      </w:r>
      <w:r>
        <w:rPr/>
        <w:t>(2002).</w:t>
      </w:r>
      <w:r>
        <w:rPr>
          <w:spacing w:val="31"/>
        </w:rPr>
        <w:t> </w:t>
      </w:r>
      <w:r>
        <w:rPr/>
        <w:t>Effect</w:t>
      </w:r>
      <w:r>
        <w:rPr>
          <w:spacing w:val="35"/>
        </w:rPr>
        <w:t> </w:t>
      </w:r>
      <w:r>
        <w:rPr/>
        <w:t>of</w:t>
      </w:r>
      <w:r>
        <w:rPr>
          <w:spacing w:val="32"/>
        </w:rPr>
        <w:t> </w:t>
      </w:r>
      <w:r>
        <w:rPr/>
        <w:t>Acid</w:t>
      </w:r>
      <w:r>
        <w:rPr>
          <w:spacing w:val="38"/>
        </w:rPr>
        <w:t> </w:t>
      </w:r>
      <w:r>
        <w:rPr/>
        <w:t>treatment</w:t>
      </w:r>
      <w:r>
        <w:rPr>
          <w:spacing w:val="35"/>
        </w:rPr>
        <w:t> </w:t>
      </w:r>
      <w:r>
        <w:rPr/>
        <w:t>on</w:t>
      </w:r>
      <w:r>
        <w:rPr>
          <w:spacing w:val="28"/>
        </w:rPr>
        <w:t> </w:t>
      </w:r>
      <w:r>
        <w:rPr/>
        <w:t>the</w:t>
      </w:r>
      <w:r>
        <w:rPr>
          <w:spacing w:val="31"/>
        </w:rPr>
        <w:t> </w:t>
      </w:r>
      <w:r>
        <w:rPr/>
        <w:t>consolidation</w:t>
      </w:r>
      <w:r>
        <w:rPr>
          <w:spacing w:val="28"/>
        </w:rPr>
        <w:t> </w:t>
      </w:r>
      <w:r>
        <w:rPr/>
        <w:t>and Plasto-elasticity of tapioca powder. </w:t>
      </w:r>
      <w:r>
        <w:rPr>
          <w:i/>
        </w:rPr>
        <w:t>Trop. J. Pharm Res.</w:t>
      </w:r>
      <w:r>
        <w:rPr>
          <w:b/>
        </w:rPr>
        <w:t>1 </w:t>
      </w:r>
      <w:r>
        <w:rPr/>
        <w:t>(1): 45-49.</w:t>
      </w:r>
    </w:p>
    <w:p>
      <w:pPr>
        <w:pStyle w:val="BodyText"/>
        <w:spacing w:before="13"/>
      </w:pPr>
    </w:p>
    <w:p>
      <w:pPr>
        <w:pStyle w:val="BodyText"/>
        <w:spacing w:line="249" w:lineRule="auto"/>
        <w:ind w:left="665" w:right="1100"/>
        <w:jc w:val="both"/>
      </w:pPr>
      <w:r>
        <w:rPr/>
        <w:t>Eliasson,</w:t>
      </w:r>
      <w:r>
        <w:rPr>
          <w:spacing w:val="40"/>
        </w:rPr>
        <w:t> </w:t>
      </w:r>
      <w:r>
        <w:rPr/>
        <w:t>A.C.</w:t>
      </w:r>
      <w:r>
        <w:rPr>
          <w:spacing w:val="40"/>
        </w:rPr>
        <w:t> </w:t>
      </w:r>
      <w:r>
        <w:rPr/>
        <w:t>and</w:t>
      </w:r>
      <w:r>
        <w:rPr>
          <w:spacing w:val="40"/>
        </w:rPr>
        <w:t> </w:t>
      </w:r>
      <w:r>
        <w:rPr/>
        <w:t>Gudmundsson,</w:t>
      </w:r>
      <w:r>
        <w:rPr>
          <w:spacing w:val="40"/>
        </w:rPr>
        <w:t> </w:t>
      </w:r>
      <w:r>
        <w:rPr/>
        <w:t>M.</w:t>
      </w:r>
      <w:r>
        <w:rPr>
          <w:spacing w:val="40"/>
        </w:rPr>
        <w:t> </w:t>
      </w:r>
      <w:r>
        <w:rPr/>
        <w:t>(1996).</w:t>
      </w:r>
      <w:r>
        <w:rPr>
          <w:spacing w:val="40"/>
        </w:rPr>
        <w:t> </w:t>
      </w:r>
      <w:r>
        <w:rPr/>
        <w:t>Physicochemical</w:t>
      </w:r>
      <w:r>
        <w:rPr>
          <w:spacing w:val="33"/>
        </w:rPr>
        <w:t> </w:t>
      </w:r>
      <w:r>
        <w:rPr/>
        <w:t>and</w:t>
      </w:r>
      <w:r>
        <w:rPr>
          <w:spacing w:val="40"/>
        </w:rPr>
        <w:t> </w:t>
      </w:r>
      <w:r>
        <w:rPr/>
        <w:t>functional</w:t>
      </w:r>
      <w:r>
        <w:rPr>
          <w:spacing w:val="39"/>
        </w:rPr>
        <w:t> </w:t>
      </w:r>
      <w:r>
        <w:rPr/>
        <w:t>aspects In: Eliasson, A., (ed.), Carbohydrate in Food. New York. P. 431-501.</w:t>
      </w:r>
    </w:p>
    <w:p>
      <w:pPr>
        <w:pStyle w:val="BodyText"/>
        <w:spacing w:before="3"/>
      </w:pPr>
    </w:p>
    <w:p>
      <w:pPr>
        <w:spacing w:line="244" w:lineRule="auto" w:before="1"/>
        <w:ind w:left="665" w:right="1097" w:firstLine="0"/>
        <w:jc w:val="both"/>
        <w:rPr>
          <w:sz w:val="22"/>
        </w:rPr>
      </w:pPr>
      <w:r>
        <w:rPr>
          <w:sz w:val="22"/>
        </w:rPr>
        <w:t>Esezobo, S. and Ambujam, V. (1982). An evaluation of starch obtained from Plantain </w:t>
      </w:r>
      <w:r>
        <w:rPr>
          <w:i/>
          <w:sz w:val="22"/>
        </w:rPr>
        <w:t>Musa Paradisiaca </w:t>
      </w:r>
      <w:r>
        <w:rPr>
          <w:sz w:val="22"/>
        </w:rPr>
        <w:t>as a binder and disintegrant for compressed tablets. </w:t>
      </w:r>
      <w:r>
        <w:rPr>
          <w:i/>
          <w:sz w:val="22"/>
        </w:rPr>
        <w:t>J. Pharm: Pharmacol </w:t>
      </w:r>
      <w:r>
        <w:rPr>
          <w:sz w:val="22"/>
        </w:rPr>
        <w:t>34:761.</w:t>
      </w:r>
    </w:p>
    <w:p>
      <w:pPr>
        <w:pStyle w:val="BodyText"/>
        <w:spacing w:before="9"/>
      </w:pPr>
    </w:p>
    <w:p>
      <w:pPr>
        <w:pStyle w:val="BodyText"/>
        <w:ind w:left="665"/>
      </w:pPr>
      <w:r>
        <w:rPr/>
        <w:t>European</w:t>
      </w:r>
      <w:r>
        <w:rPr>
          <w:spacing w:val="11"/>
        </w:rPr>
        <w:t> </w:t>
      </w:r>
      <w:r>
        <w:rPr/>
        <w:t>Pharmacopoeia</w:t>
      </w:r>
      <w:r>
        <w:rPr>
          <w:spacing w:val="14"/>
        </w:rPr>
        <w:t> </w:t>
      </w:r>
      <w:r>
        <w:rPr/>
        <w:t>3</w:t>
      </w:r>
      <w:r>
        <w:rPr>
          <w:vertAlign w:val="superscript"/>
        </w:rPr>
        <w:t>rd</w:t>
      </w:r>
      <w:r>
        <w:rPr>
          <w:spacing w:val="12"/>
          <w:vertAlign w:val="baseline"/>
        </w:rPr>
        <w:t> </w:t>
      </w:r>
      <w:r>
        <w:rPr>
          <w:vertAlign w:val="baseline"/>
        </w:rPr>
        <w:t>Edition</w:t>
      </w:r>
      <w:r>
        <w:rPr>
          <w:spacing w:val="11"/>
          <w:vertAlign w:val="baseline"/>
        </w:rPr>
        <w:t> </w:t>
      </w:r>
      <w:r>
        <w:rPr>
          <w:vertAlign w:val="baseline"/>
        </w:rPr>
        <w:t>(1997).</w:t>
      </w:r>
      <w:r>
        <w:rPr>
          <w:spacing w:val="20"/>
          <w:vertAlign w:val="baseline"/>
        </w:rPr>
        <w:t> </w:t>
      </w:r>
      <w:r>
        <w:rPr>
          <w:vertAlign w:val="baseline"/>
        </w:rPr>
        <w:t>Council</w:t>
      </w:r>
      <w:r>
        <w:rPr>
          <w:spacing w:val="14"/>
          <w:vertAlign w:val="baseline"/>
        </w:rPr>
        <w:t> </w:t>
      </w:r>
      <w:r>
        <w:rPr>
          <w:vertAlign w:val="baseline"/>
        </w:rPr>
        <w:t>of</w:t>
      </w:r>
      <w:r>
        <w:rPr>
          <w:spacing w:val="10"/>
          <w:vertAlign w:val="baseline"/>
        </w:rPr>
        <w:t> </w:t>
      </w:r>
      <w:r>
        <w:rPr>
          <w:vertAlign w:val="baseline"/>
        </w:rPr>
        <w:t>Europe,</w:t>
      </w:r>
      <w:r>
        <w:rPr>
          <w:spacing w:val="15"/>
          <w:vertAlign w:val="baseline"/>
        </w:rPr>
        <w:t> </w:t>
      </w:r>
      <w:r>
        <w:rPr>
          <w:spacing w:val="-2"/>
          <w:vertAlign w:val="baseline"/>
        </w:rPr>
        <w:t>Strasbourg.</w:t>
      </w:r>
    </w:p>
    <w:p>
      <w:pPr>
        <w:pStyle w:val="BodyText"/>
        <w:spacing w:before="13"/>
      </w:pPr>
    </w:p>
    <w:p>
      <w:pPr>
        <w:pStyle w:val="BodyText"/>
        <w:spacing w:line="244" w:lineRule="auto"/>
        <w:ind w:left="665" w:right="1094"/>
        <w:jc w:val="both"/>
      </w:pPr>
      <w:r>
        <w:rPr/>
        <w:t>European Pharmacopoeia, Fourth Edition (2002).Convention on the Elaboration of European</w:t>
      </w:r>
      <w:r>
        <w:rPr>
          <w:spacing w:val="40"/>
        </w:rPr>
        <w:t> </w:t>
      </w:r>
      <w:r>
        <w:rPr/>
        <w:t>Pharmacopeia,</w:t>
      </w:r>
      <w:r>
        <w:rPr>
          <w:spacing w:val="40"/>
        </w:rPr>
        <w:t> </w:t>
      </w:r>
      <w:r>
        <w:rPr/>
        <w:t>Council</w:t>
      </w:r>
      <w:r>
        <w:rPr>
          <w:spacing w:val="40"/>
        </w:rPr>
        <w:t> </w:t>
      </w:r>
      <w:r>
        <w:rPr/>
        <w:t>of</w:t>
      </w:r>
      <w:r>
        <w:rPr>
          <w:spacing w:val="40"/>
        </w:rPr>
        <w:t> </w:t>
      </w:r>
      <w:r>
        <w:rPr/>
        <w:t>Europe,</w:t>
      </w:r>
      <w:r>
        <w:rPr>
          <w:spacing w:val="40"/>
        </w:rPr>
        <w:t> </w:t>
      </w:r>
      <w:r>
        <w:rPr/>
        <w:t>Strasbourg</w:t>
      </w:r>
      <w:r>
        <w:rPr>
          <w:spacing w:val="40"/>
        </w:rPr>
        <w:t> </w:t>
      </w:r>
      <w:r>
        <w:rPr/>
        <w:t>Cedex,</w:t>
      </w:r>
      <w:r>
        <w:rPr>
          <w:spacing w:val="40"/>
        </w:rPr>
        <w:t> </w:t>
      </w:r>
      <w:r>
        <w:rPr/>
        <w:t>France,</w:t>
      </w:r>
      <w:r>
        <w:rPr>
          <w:spacing w:val="40"/>
        </w:rPr>
        <w:t> </w:t>
      </w:r>
      <w:r>
        <w:rPr/>
        <w:t>pp.</w:t>
      </w:r>
      <w:r>
        <w:rPr>
          <w:spacing w:val="40"/>
        </w:rPr>
        <w:t> </w:t>
      </w:r>
      <w:r>
        <w:rPr/>
        <w:t>191-201 </w:t>
      </w:r>
      <w:r>
        <w:rPr>
          <w:spacing w:val="-4"/>
        </w:rPr>
        <w:t>561.</w:t>
      </w:r>
    </w:p>
    <w:p>
      <w:pPr>
        <w:pStyle w:val="BodyText"/>
        <w:spacing w:before="14"/>
      </w:pPr>
    </w:p>
    <w:p>
      <w:pPr>
        <w:pStyle w:val="BodyText"/>
        <w:spacing w:line="244" w:lineRule="auto"/>
        <w:ind w:left="665" w:right="1098"/>
        <w:jc w:val="both"/>
      </w:pPr>
      <w:r>
        <w:rPr/>
        <w:t>Gambo, A. (2009). Evaluation of Fonio (</w:t>
      </w:r>
      <w:r>
        <w:rPr>
          <w:i/>
        </w:rPr>
        <w:t>Digitaria iburua) </w:t>
      </w:r>
      <w:r>
        <w:rPr/>
        <w:t>starch on Tablet Excipient. MSc Thesis,</w:t>
      </w:r>
      <w:r>
        <w:rPr>
          <w:spacing w:val="40"/>
        </w:rPr>
        <w:t> </w:t>
      </w:r>
      <w:r>
        <w:rPr/>
        <w:t>Dept. of Pharmaceutics and</w:t>
      </w:r>
      <w:r>
        <w:rPr>
          <w:spacing w:val="40"/>
        </w:rPr>
        <w:t> </w:t>
      </w:r>
      <w:r>
        <w:rPr/>
        <w:t>Pharmaceutical Microbiology,</w:t>
      </w:r>
      <w:r>
        <w:rPr>
          <w:spacing w:val="40"/>
        </w:rPr>
        <w:t> </w:t>
      </w:r>
      <w:r>
        <w:rPr/>
        <w:t>Faculty of Pharm. Sci., A.B.U., Zaria.</w:t>
      </w:r>
    </w:p>
    <w:p>
      <w:pPr>
        <w:pStyle w:val="BodyText"/>
        <w:spacing w:before="10"/>
      </w:pPr>
    </w:p>
    <w:p>
      <w:pPr>
        <w:pStyle w:val="BodyText"/>
        <w:ind w:left="665"/>
      </w:pPr>
      <w:r>
        <w:rPr/>
        <w:t>Hamdi,</w:t>
      </w:r>
      <w:r>
        <w:rPr>
          <w:spacing w:val="71"/>
        </w:rPr>
        <w:t> </w:t>
      </w:r>
      <w:r>
        <w:rPr/>
        <w:t>G.G.</w:t>
      </w:r>
      <w:r>
        <w:rPr>
          <w:spacing w:val="67"/>
        </w:rPr>
        <w:t> </w:t>
      </w:r>
      <w:r>
        <w:rPr/>
        <w:t>and</w:t>
      </w:r>
      <w:r>
        <w:rPr>
          <w:spacing w:val="73"/>
        </w:rPr>
        <w:t> </w:t>
      </w:r>
      <w:r>
        <w:rPr/>
        <w:t>Ponchel,</w:t>
      </w:r>
      <w:r>
        <w:rPr>
          <w:spacing w:val="72"/>
        </w:rPr>
        <w:t> </w:t>
      </w:r>
      <w:r>
        <w:rPr/>
        <w:t>D.D.</w:t>
      </w:r>
      <w:r>
        <w:rPr>
          <w:spacing w:val="66"/>
        </w:rPr>
        <w:t> </w:t>
      </w:r>
      <w:r>
        <w:rPr/>
        <w:t>(1999).</w:t>
      </w:r>
      <w:r>
        <w:rPr>
          <w:spacing w:val="72"/>
        </w:rPr>
        <w:t> </w:t>
      </w:r>
      <w:r>
        <w:rPr/>
        <w:t>Enzymatic</w:t>
      </w:r>
      <w:r>
        <w:rPr>
          <w:spacing w:val="66"/>
        </w:rPr>
        <w:t> </w:t>
      </w:r>
      <w:r>
        <w:rPr/>
        <w:t>degradation</w:t>
      </w:r>
      <w:r>
        <w:rPr>
          <w:spacing w:val="63"/>
        </w:rPr>
        <w:t> </w:t>
      </w:r>
      <w:r>
        <w:rPr/>
        <w:t>of</w:t>
      </w:r>
      <w:r>
        <w:rPr>
          <w:spacing w:val="62"/>
        </w:rPr>
        <w:t> </w:t>
      </w:r>
      <w:r>
        <w:rPr>
          <w:spacing w:val="-2"/>
        </w:rPr>
        <w:t>epichlorohydrin</w:t>
      </w:r>
    </w:p>
    <w:p>
      <w:pPr>
        <w:pStyle w:val="BodyText"/>
        <w:spacing w:before="1"/>
        <w:ind w:left="665"/>
      </w:pPr>
      <w:r>
        <w:rPr/>
        <w:t>crosslinked</w:t>
      </w:r>
      <w:r>
        <w:rPr>
          <w:spacing w:val="24"/>
        </w:rPr>
        <w:t> </w:t>
      </w:r>
      <w:r>
        <w:rPr/>
        <w:t>starch</w:t>
      </w:r>
      <w:r>
        <w:rPr>
          <w:spacing w:val="13"/>
        </w:rPr>
        <w:t> </w:t>
      </w:r>
      <w:r>
        <w:rPr/>
        <w:t>microspheres</w:t>
      </w:r>
      <w:r>
        <w:rPr>
          <w:spacing w:val="15"/>
        </w:rPr>
        <w:t> </w:t>
      </w:r>
      <w:r>
        <w:rPr/>
        <w:t>by</w:t>
      </w:r>
      <w:r>
        <w:rPr>
          <w:spacing w:val="-6"/>
        </w:rPr>
        <w:t> </w:t>
      </w:r>
      <w:r>
        <w:rPr/>
        <w:t>α-</w:t>
      </w:r>
      <w:r>
        <w:rPr>
          <w:spacing w:val="19"/>
        </w:rPr>
        <w:t> </w:t>
      </w:r>
      <w:r>
        <w:rPr/>
        <w:t>amylase.</w:t>
      </w:r>
      <w:r>
        <w:rPr>
          <w:spacing w:val="23"/>
        </w:rPr>
        <w:t> </w:t>
      </w:r>
      <w:r>
        <w:rPr>
          <w:i/>
        </w:rPr>
        <w:t>Pharm.</w:t>
      </w:r>
      <w:r>
        <w:rPr>
          <w:i/>
          <w:spacing w:val="12"/>
        </w:rPr>
        <w:t> </w:t>
      </w:r>
      <w:r>
        <w:rPr>
          <w:i/>
        </w:rPr>
        <w:t>Res</w:t>
      </w:r>
      <w:r>
        <w:rPr/>
        <w:t>.,</w:t>
      </w:r>
      <w:r>
        <w:rPr>
          <w:spacing w:val="6"/>
        </w:rPr>
        <w:t> </w:t>
      </w:r>
      <w:r>
        <w:rPr/>
        <w:t>16:867-</w:t>
      </w:r>
      <w:r>
        <w:rPr>
          <w:spacing w:val="-4"/>
        </w:rPr>
        <w:t>875.</w:t>
      </w:r>
    </w:p>
    <w:p>
      <w:pPr>
        <w:pStyle w:val="BodyText"/>
        <w:spacing w:before="13"/>
      </w:pPr>
    </w:p>
    <w:p>
      <w:pPr>
        <w:pStyle w:val="BodyText"/>
        <w:spacing w:line="249" w:lineRule="auto"/>
        <w:ind w:left="665" w:right="1098"/>
        <w:jc w:val="both"/>
      </w:pPr>
      <w:r>
        <w:rPr/>
        <w:t>Harlan, J.R. (1993). Genetic Resources in Africa P65 in: J. Janick and J.E. Simon (eds). New Crops.Wiley Press New York.</w:t>
      </w:r>
    </w:p>
    <w:p>
      <w:pPr>
        <w:pStyle w:val="BodyText"/>
        <w:spacing w:before="3"/>
      </w:pPr>
    </w:p>
    <w:p>
      <w:pPr>
        <w:spacing w:line="244" w:lineRule="auto" w:before="0"/>
        <w:ind w:left="665" w:right="1097" w:firstLine="0"/>
        <w:jc w:val="both"/>
        <w:rPr>
          <w:sz w:val="22"/>
        </w:rPr>
      </w:pPr>
      <w:r>
        <w:rPr>
          <w:sz w:val="22"/>
        </w:rPr>
        <w:t>Hixson,</w:t>
      </w:r>
      <w:r>
        <w:rPr>
          <w:spacing w:val="21"/>
          <w:sz w:val="22"/>
        </w:rPr>
        <w:t> </w:t>
      </w:r>
      <w:r>
        <w:rPr>
          <w:sz w:val="22"/>
        </w:rPr>
        <w:t>A.,</w:t>
      </w:r>
      <w:r>
        <w:rPr>
          <w:spacing w:val="21"/>
          <w:sz w:val="22"/>
        </w:rPr>
        <w:t> </w:t>
      </w:r>
      <w:r>
        <w:rPr>
          <w:sz w:val="22"/>
        </w:rPr>
        <w:t>Crowell,</w:t>
      </w:r>
      <w:r>
        <w:rPr>
          <w:spacing w:val="21"/>
          <w:sz w:val="22"/>
        </w:rPr>
        <w:t> </w:t>
      </w:r>
      <w:r>
        <w:rPr>
          <w:sz w:val="22"/>
        </w:rPr>
        <w:t>J.</w:t>
      </w:r>
      <w:r>
        <w:rPr>
          <w:spacing w:val="21"/>
          <w:sz w:val="22"/>
        </w:rPr>
        <w:t> </w:t>
      </w:r>
      <w:r>
        <w:rPr>
          <w:sz w:val="22"/>
        </w:rPr>
        <w:t>(1931).</w:t>
      </w:r>
      <w:r>
        <w:rPr>
          <w:spacing w:val="28"/>
          <w:sz w:val="22"/>
        </w:rPr>
        <w:t> </w:t>
      </w:r>
      <w:r>
        <w:rPr>
          <w:sz w:val="22"/>
        </w:rPr>
        <w:t>Modeling and</w:t>
      </w:r>
      <w:r>
        <w:rPr>
          <w:spacing w:val="28"/>
          <w:sz w:val="22"/>
        </w:rPr>
        <w:t> </w:t>
      </w:r>
      <w:r>
        <w:rPr>
          <w:sz w:val="22"/>
        </w:rPr>
        <w:t>comparison of dissolution</w:t>
      </w:r>
      <w:r>
        <w:rPr>
          <w:spacing w:val="22"/>
          <w:sz w:val="22"/>
        </w:rPr>
        <w:t> </w:t>
      </w:r>
      <w:r>
        <w:rPr>
          <w:sz w:val="22"/>
        </w:rPr>
        <w:t>profile.</w:t>
      </w:r>
      <w:r>
        <w:rPr>
          <w:spacing w:val="23"/>
          <w:sz w:val="22"/>
        </w:rPr>
        <w:t> </w:t>
      </w:r>
      <w:r>
        <w:rPr>
          <w:i/>
          <w:sz w:val="22"/>
        </w:rPr>
        <w:t>Eur.</w:t>
      </w:r>
      <w:r>
        <w:rPr>
          <w:i/>
          <w:spacing w:val="21"/>
          <w:sz w:val="22"/>
        </w:rPr>
        <w:t> </w:t>
      </w:r>
      <w:r>
        <w:rPr>
          <w:i/>
          <w:sz w:val="22"/>
        </w:rPr>
        <w:t>J. of Pharma. Sci. </w:t>
      </w:r>
      <w:r>
        <w:rPr>
          <w:sz w:val="22"/>
        </w:rPr>
        <w:t>23: 923.</w:t>
      </w:r>
    </w:p>
    <w:p>
      <w:pPr>
        <w:pStyle w:val="BodyText"/>
        <w:spacing w:before="8"/>
      </w:pPr>
    </w:p>
    <w:p>
      <w:pPr>
        <w:pStyle w:val="BodyText"/>
        <w:spacing w:line="244" w:lineRule="auto" w:before="1"/>
        <w:ind w:left="665" w:right="1102"/>
        <w:jc w:val="both"/>
      </w:pPr>
      <w:r>
        <w:rPr/>
        <w:t>Huijiberchts, A.M.L. (2008). Multifunctional Starch derivatives: Synthesis, Characterization and Properties. Ph.D Thesis Wageningen University, Wageningen, The </w:t>
      </w:r>
      <w:r>
        <w:rPr>
          <w:spacing w:val="-2"/>
        </w:rPr>
        <w:t>Netherlands.</w:t>
      </w:r>
    </w:p>
    <w:p>
      <w:pPr>
        <w:pStyle w:val="BodyText"/>
        <w:spacing w:before="9"/>
      </w:pPr>
    </w:p>
    <w:p>
      <w:pPr>
        <w:spacing w:line="244" w:lineRule="auto" w:before="0"/>
        <w:ind w:left="665" w:right="1100" w:firstLine="0"/>
        <w:jc w:val="both"/>
        <w:rPr>
          <w:sz w:val="22"/>
        </w:rPr>
      </w:pPr>
      <w:r>
        <w:rPr>
          <w:sz w:val="22"/>
        </w:rPr>
        <w:t>Hausner, N.H. (1967). Flow Properties of some Pharmaceutical Powders. </w:t>
      </w:r>
      <w:r>
        <w:rPr>
          <w:i/>
          <w:sz w:val="22"/>
        </w:rPr>
        <w:t>Int. J. Powder Metall., </w:t>
      </w:r>
      <w:r>
        <w:rPr>
          <w:sz w:val="22"/>
        </w:rPr>
        <w:t>3: 7-11.</w:t>
      </w:r>
    </w:p>
    <w:p>
      <w:pPr>
        <w:spacing w:after="0" w:line="244" w:lineRule="auto"/>
        <w:jc w:val="both"/>
        <w:rPr>
          <w:sz w:val="22"/>
        </w:rPr>
        <w:sectPr>
          <w:pgSz w:w="12240" w:h="15840"/>
          <w:pgMar w:header="0" w:footer="999" w:top="1260" w:bottom="1180" w:left="1720" w:right="760"/>
        </w:sectPr>
      </w:pPr>
    </w:p>
    <w:p>
      <w:pPr>
        <w:pStyle w:val="BodyText"/>
        <w:spacing w:line="244" w:lineRule="auto" w:before="74"/>
        <w:ind w:left="665" w:right="1098"/>
        <w:jc w:val="both"/>
      </w:pPr>
      <w:r>
        <w:rPr/>
        <w:t>Ibezim.,</w:t>
      </w:r>
      <w:r>
        <w:rPr>
          <w:spacing w:val="40"/>
        </w:rPr>
        <w:t> </w:t>
      </w:r>
      <w:r>
        <w:rPr/>
        <w:t>E.C.,</w:t>
      </w:r>
      <w:r>
        <w:rPr>
          <w:spacing w:val="40"/>
        </w:rPr>
        <w:t> </w:t>
      </w:r>
      <w:r>
        <w:rPr/>
        <w:t>Ofoefule,</w:t>
      </w:r>
      <w:r>
        <w:rPr>
          <w:spacing w:val="40"/>
        </w:rPr>
        <w:t> </w:t>
      </w:r>
      <w:r>
        <w:rPr/>
        <w:t>S.I.,</w:t>
      </w:r>
      <w:r>
        <w:rPr>
          <w:spacing w:val="40"/>
        </w:rPr>
        <w:t> </w:t>
      </w:r>
      <w:r>
        <w:rPr/>
        <w:t>Omeje,</w:t>
      </w:r>
      <w:r>
        <w:rPr>
          <w:spacing w:val="40"/>
        </w:rPr>
        <w:t> </w:t>
      </w:r>
      <w:r>
        <w:rPr/>
        <w:t>E.O.,</w:t>
      </w:r>
      <w:r>
        <w:rPr>
          <w:spacing w:val="40"/>
        </w:rPr>
        <w:t> </w:t>
      </w:r>
      <w:r>
        <w:rPr/>
        <w:t>Onyishi</w:t>
      </w:r>
      <w:r>
        <w:rPr>
          <w:spacing w:val="40"/>
        </w:rPr>
        <w:t> </w:t>
      </w:r>
      <w:r>
        <w:rPr/>
        <w:t>V.I.</w:t>
      </w:r>
      <w:r>
        <w:rPr>
          <w:spacing w:val="40"/>
        </w:rPr>
        <w:t> </w:t>
      </w:r>
      <w:r>
        <w:rPr/>
        <w:t>and</w:t>
      </w:r>
      <w:r>
        <w:rPr>
          <w:spacing w:val="40"/>
        </w:rPr>
        <w:t> </w:t>
      </w:r>
      <w:r>
        <w:rPr/>
        <w:t>Odoh,</w:t>
      </w:r>
      <w:r>
        <w:rPr>
          <w:spacing w:val="40"/>
        </w:rPr>
        <w:t> </w:t>
      </w:r>
      <w:r>
        <w:rPr/>
        <w:t>U.E.</w:t>
      </w:r>
      <w:r>
        <w:rPr>
          <w:spacing w:val="40"/>
        </w:rPr>
        <w:t> </w:t>
      </w:r>
      <w:r>
        <w:rPr/>
        <w:t>(2008).</w:t>
      </w:r>
      <w:r>
        <w:rPr>
          <w:spacing w:val="40"/>
        </w:rPr>
        <w:t> </w:t>
      </w:r>
      <w:r>
        <w:rPr/>
        <w:t>The Role of Ginger Starch as a binder in Acetaminophen Tablets.</w:t>
      </w:r>
      <w:r>
        <w:rPr>
          <w:spacing w:val="40"/>
        </w:rPr>
        <w:t> </w:t>
      </w:r>
      <w:r>
        <w:rPr>
          <w:i/>
        </w:rPr>
        <w:t>Scientific Research and Essay</w:t>
      </w:r>
      <w:r>
        <w:rPr/>
        <w:t>. </w:t>
      </w:r>
      <w:r>
        <w:rPr>
          <w:b/>
        </w:rPr>
        <w:t>3 </w:t>
      </w:r>
      <w:r>
        <w:rPr/>
        <w:t>(2). Pp. 046-050.</w:t>
      </w:r>
    </w:p>
    <w:p>
      <w:pPr>
        <w:pStyle w:val="BodyText"/>
        <w:spacing w:before="10"/>
      </w:pPr>
    </w:p>
    <w:p>
      <w:pPr>
        <w:pStyle w:val="BodyText"/>
        <w:spacing w:line="244" w:lineRule="auto"/>
        <w:ind w:left="665" w:right="1093"/>
        <w:jc w:val="both"/>
      </w:pPr>
      <w:r>
        <w:rPr/>
        <w:t>Isah, A.B. (2005). Tabletting and Hypoglyceamic Properties of </w:t>
      </w:r>
      <w:r>
        <w:rPr>
          <w:i/>
        </w:rPr>
        <w:t>Stachytarpheta</w:t>
      </w:r>
      <w:r>
        <w:rPr>
          <w:i/>
          <w:spacing w:val="40"/>
        </w:rPr>
        <w:t> </w:t>
      </w:r>
      <w:r>
        <w:rPr>
          <w:i/>
        </w:rPr>
        <w:t>angustifoua </w:t>
      </w:r>
      <w:r>
        <w:rPr/>
        <w:t>(Verbanaceae) extract. Ph.D Dissertation submitted to the Department of Pharmaceutics and Pharmaceutical Microbiology, Ahmadu Bello University, Zaria. </w:t>
      </w:r>
      <w:r>
        <w:rPr>
          <w:spacing w:val="-2"/>
        </w:rPr>
        <w:t>Nigeria.</w:t>
      </w:r>
    </w:p>
    <w:p>
      <w:pPr>
        <w:pStyle w:val="BodyText"/>
        <w:spacing w:before="11"/>
      </w:pPr>
    </w:p>
    <w:p>
      <w:pPr>
        <w:pStyle w:val="BodyText"/>
        <w:spacing w:line="244" w:lineRule="auto"/>
        <w:ind w:left="665" w:right="1103"/>
        <w:jc w:val="both"/>
      </w:pPr>
      <w:r>
        <w:rPr/>
        <w:t>Itiola, O.A, Odeniyi, M.A. and Adetunji, O.A. (2006). Compression, Mechanical and Release</w:t>
      </w:r>
      <w:r>
        <w:rPr>
          <w:spacing w:val="40"/>
        </w:rPr>
        <w:t> </w:t>
      </w:r>
      <w:r>
        <w:rPr/>
        <w:t>Properties</w:t>
      </w:r>
      <w:r>
        <w:rPr>
          <w:spacing w:val="40"/>
        </w:rPr>
        <w:t> </w:t>
      </w:r>
      <w:r>
        <w:rPr/>
        <w:t>of</w:t>
      </w:r>
      <w:r>
        <w:rPr>
          <w:spacing w:val="40"/>
        </w:rPr>
        <w:t> </w:t>
      </w:r>
      <w:r>
        <w:rPr/>
        <w:t>Chloroquine</w:t>
      </w:r>
      <w:r>
        <w:rPr>
          <w:spacing w:val="40"/>
        </w:rPr>
        <w:t> </w:t>
      </w:r>
      <w:r>
        <w:rPr/>
        <w:t>Prosphate</w:t>
      </w:r>
      <w:r>
        <w:rPr>
          <w:spacing w:val="40"/>
        </w:rPr>
        <w:t> </w:t>
      </w:r>
      <w:r>
        <w:rPr/>
        <w:t>Tablets</w:t>
      </w:r>
      <w:r>
        <w:rPr>
          <w:spacing w:val="40"/>
        </w:rPr>
        <w:t> </w:t>
      </w:r>
      <w:r>
        <w:rPr/>
        <w:t>containing</w:t>
      </w:r>
      <w:r>
        <w:rPr>
          <w:spacing w:val="40"/>
        </w:rPr>
        <w:t> </w:t>
      </w:r>
      <w:r>
        <w:rPr/>
        <w:t>corn</w:t>
      </w:r>
      <w:r>
        <w:rPr>
          <w:spacing w:val="40"/>
        </w:rPr>
        <w:t> </w:t>
      </w:r>
      <w:r>
        <w:rPr/>
        <w:t>and</w:t>
      </w:r>
      <w:r>
        <w:rPr>
          <w:spacing w:val="40"/>
        </w:rPr>
        <w:t> </w:t>
      </w:r>
      <w:r>
        <w:rPr/>
        <w:t>Trifoliate Yam starches as Binders. </w:t>
      </w:r>
      <w:r>
        <w:rPr>
          <w:i/>
        </w:rPr>
        <w:t>Trop J of Pharm Res</w:t>
      </w:r>
      <w:r>
        <w:rPr/>
        <w:t>, </w:t>
      </w:r>
      <w:r>
        <w:rPr>
          <w:b/>
        </w:rPr>
        <w:t>5 </w:t>
      </w:r>
      <w:r>
        <w:rPr/>
        <w:t>(2): 589-596.</w:t>
      </w:r>
    </w:p>
    <w:p>
      <w:pPr>
        <w:pStyle w:val="BodyText"/>
        <w:spacing w:before="9"/>
      </w:pPr>
    </w:p>
    <w:p>
      <w:pPr>
        <w:pStyle w:val="BodyText"/>
        <w:spacing w:line="249" w:lineRule="auto" w:before="1"/>
        <w:ind w:left="665" w:right="1094"/>
        <w:jc w:val="both"/>
      </w:pPr>
      <w:r>
        <w:rPr/>
        <w:t>Itiola, O.A. and Odeku, O.A. (2005). Packing and Cohesive Properties of some locally extracted starches.</w:t>
      </w:r>
      <w:r>
        <w:rPr>
          <w:spacing w:val="40"/>
        </w:rPr>
        <w:t> </w:t>
      </w:r>
      <w:r>
        <w:rPr>
          <w:i/>
        </w:rPr>
        <w:t>Trop J of Pharm Res</w:t>
      </w:r>
      <w:r>
        <w:rPr/>
        <w:t>, </w:t>
      </w:r>
      <w:r>
        <w:rPr>
          <w:b/>
        </w:rPr>
        <w:t>4 </w:t>
      </w:r>
      <w:r>
        <w:rPr/>
        <w:t>(1): 363-368.</w:t>
      </w:r>
    </w:p>
    <w:p>
      <w:pPr>
        <w:pStyle w:val="BodyText"/>
        <w:spacing w:before="3"/>
      </w:pPr>
    </w:p>
    <w:p>
      <w:pPr>
        <w:pStyle w:val="BodyText"/>
        <w:spacing w:line="244" w:lineRule="auto"/>
        <w:ind w:left="665" w:right="1097"/>
        <w:jc w:val="both"/>
      </w:pPr>
      <w:r>
        <w:rPr/>
        <w:t>Iwuagwu,</w:t>
      </w:r>
      <w:r>
        <w:rPr>
          <w:spacing w:val="40"/>
        </w:rPr>
        <w:t> </w:t>
      </w:r>
      <w:r>
        <w:rPr/>
        <w:t>A.M., Nwuoshai,</w:t>
      </w:r>
      <w:r>
        <w:rPr>
          <w:spacing w:val="40"/>
        </w:rPr>
        <w:t> </w:t>
      </w:r>
      <w:r>
        <w:rPr/>
        <w:t>C.A. and</w:t>
      </w:r>
      <w:r>
        <w:rPr>
          <w:spacing w:val="40"/>
        </w:rPr>
        <w:t> </w:t>
      </w:r>
      <w:r>
        <w:rPr/>
        <w:t>Iseogoni,</w:t>
      </w:r>
      <w:r>
        <w:rPr>
          <w:spacing w:val="40"/>
        </w:rPr>
        <w:t> </w:t>
      </w:r>
      <w:r>
        <w:rPr/>
        <w:t>F.E. (1986).</w:t>
      </w:r>
      <w:r>
        <w:rPr>
          <w:spacing w:val="40"/>
        </w:rPr>
        <w:t> </w:t>
      </w:r>
      <w:r>
        <w:rPr/>
        <w:t>Investigation into</w:t>
      </w:r>
      <w:r>
        <w:rPr>
          <w:spacing w:val="40"/>
        </w:rPr>
        <w:t> </w:t>
      </w:r>
      <w:r>
        <w:rPr/>
        <w:t>the binding and</w:t>
      </w:r>
      <w:r>
        <w:rPr>
          <w:spacing w:val="40"/>
        </w:rPr>
        <w:t> </w:t>
      </w:r>
      <w:r>
        <w:rPr/>
        <w:t>disintegrant</w:t>
      </w:r>
      <w:r>
        <w:rPr>
          <w:spacing w:val="40"/>
        </w:rPr>
        <w:t> </w:t>
      </w:r>
      <w:r>
        <w:rPr/>
        <w:t>properties from selected</w:t>
      </w:r>
      <w:r>
        <w:rPr>
          <w:spacing w:val="40"/>
        </w:rPr>
        <w:t> </w:t>
      </w:r>
      <w:r>
        <w:rPr/>
        <w:t>diassoreaceae plants.</w:t>
      </w:r>
      <w:r>
        <w:rPr>
          <w:spacing w:val="40"/>
        </w:rPr>
        <w:t> </w:t>
      </w:r>
      <w:r>
        <w:rPr>
          <w:i/>
        </w:rPr>
        <w:t>Nig. J.</w:t>
      </w:r>
      <w:r>
        <w:rPr>
          <w:i/>
          <w:spacing w:val="40"/>
        </w:rPr>
        <w:t> </w:t>
      </w:r>
      <w:r>
        <w:rPr>
          <w:i/>
        </w:rPr>
        <w:t>Pharm. Sci. </w:t>
      </w:r>
      <w:r>
        <w:rPr/>
        <w:t>2:10.</w:t>
      </w:r>
    </w:p>
    <w:p>
      <w:pPr>
        <w:pStyle w:val="BodyText"/>
        <w:spacing w:before="9"/>
      </w:pPr>
    </w:p>
    <w:p>
      <w:pPr>
        <w:pStyle w:val="BodyText"/>
        <w:spacing w:line="244" w:lineRule="auto" w:before="1"/>
        <w:ind w:left="665" w:right="1104"/>
        <w:jc w:val="both"/>
      </w:pPr>
      <w:r>
        <w:rPr/>
        <w:t>Jaiyeoba, K.T. and Opakunle, W.O. (1979). The diluent and</w:t>
      </w:r>
      <w:r>
        <w:rPr>
          <w:spacing w:val="35"/>
        </w:rPr>
        <w:t> </w:t>
      </w:r>
      <w:r>
        <w:rPr/>
        <w:t>Glidant properties of yam</w:t>
      </w:r>
      <w:r>
        <w:rPr>
          <w:spacing w:val="40"/>
        </w:rPr>
        <w:t> </w:t>
      </w:r>
      <w:r>
        <w:rPr/>
        <w:t>and cassava starches. </w:t>
      </w:r>
      <w:r>
        <w:rPr>
          <w:i/>
        </w:rPr>
        <w:t>Mfg. Chem. Aero News </w:t>
      </w:r>
      <w:r>
        <w:rPr>
          <w:b/>
        </w:rPr>
        <w:t>49 </w:t>
      </w:r>
      <w:r>
        <w:rPr/>
        <w:t>(5,6): 60, 77.</w:t>
      </w:r>
    </w:p>
    <w:p>
      <w:pPr>
        <w:pStyle w:val="BodyText"/>
        <w:spacing w:before="8"/>
      </w:pPr>
    </w:p>
    <w:p>
      <w:pPr>
        <w:pStyle w:val="BodyText"/>
        <w:ind w:left="665"/>
        <w:rPr>
          <w:i/>
        </w:rPr>
      </w:pPr>
      <w:r>
        <w:rPr/>
        <w:t>Jideani,</w:t>
      </w:r>
      <w:r>
        <w:rPr>
          <w:spacing w:val="68"/>
        </w:rPr>
        <w:t> </w:t>
      </w:r>
      <w:r>
        <w:rPr/>
        <w:t>I.A.</w:t>
      </w:r>
      <w:r>
        <w:rPr>
          <w:spacing w:val="63"/>
        </w:rPr>
        <w:t> </w:t>
      </w:r>
      <w:r>
        <w:rPr/>
        <w:t>(1999)</w:t>
      </w:r>
      <w:r>
        <w:rPr>
          <w:spacing w:val="69"/>
        </w:rPr>
        <w:t> </w:t>
      </w:r>
      <w:r>
        <w:rPr/>
        <w:t>Traditional</w:t>
      </w:r>
      <w:r>
        <w:rPr>
          <w:spacing w:val="56"/>
        </w:rPr>
        <w:t> </w:t>
      </w:r>
      <w:r>
        <w:rPr/>
        <w:t>and</w:t>
      </w:r>
      <w:r>
        <w:rPr>
          <w:spacing w:val="70"/>
        </w:rPr>
        <w:t> </w:t>
      </w:r>
      <w:r>
        <w:rPr/>
        <w:t>Possible</w:t>
      </w:r>
      <w:r>
        <w:rPr>
          <w:spacing w:val="62"/>
        </w:rPr>
        <w:t> </w:t>
      </w:r>
      <w:r>
        <w:rPr/>
        <w:t>Technological</w:t>
      </w:r>
      <w:r>
        <w:rPr>
          <w:spacing w:val="57"/>
        </w:rPr>
        <w:t> </w:t>
      </w:r>
      <w:r>
        <w:rPr/>
        <w:t>uses</w:t>
      </w:r>
      <w:r>
        <w:rPr>
          <w:spacing w:val="66"/>
        </w:rPr>
        <w:t> </w:t>
      </w:r>
      <w:r>
        <w:rPr/>
        <w:t>of</w:t>
      </w:r>
      <w:r>
        <w:rPr>
          <w:spacing w:val="64"/>
        </w:rPr>
        <w:t> </w:t>
      </w:r>
      <w:r>
        <w:rPr>
          <w:i/>
        </w:rPr>
        <w:t>Digitaria</w:t>
      </w:r>
      <w:r>
        <w:rPr>
          <w:i/>
          <w:spacing w:val="69"/>
        </w:rPr>
        <w:t> </w:t>
      </w:r>
      <w:r>
        <w:rPr>
          <w:i/>
          <w:spacing w:val="-2"/>
        </w:rPr>
        <w:t>exilis</w:t>
      </w:r>
    </w:p>
    <w:p>
      <w:pPr>
        <w:spacing w:before="6"/>
        <w:ind w:left="665" w:right="0" w:firstLine="0"/>
        <w:jc w:val="left"/>
        <w:rPr>
          <w:sz w:val="22"/>
        </w:rPr>
      </w:pPr>
      <w:r>
        <w:rPr>
          <w:sz w:val="22"/>
        </w:rPr>
        <w:t>(acha)</w:t>
      </w:r>
      <w:r>
        <w:rPr>
          <w:spacing w:val="12"/>
          <w:sz w:val="22"/>
        </w:rPr>
        <w:t> </w:t>
      </w:r>
      <w:r>
        <w:rPr>
          <w:sz w:val="22"/>
        </w:rPr>
        <w:t>and</w:t>
      </w:r>
      <w:r>
        <w:rPr>
          <w:spacing w:val="19"/>
          <w:sz w:val="22"/>
        </w:rPr>
        <w:t> </w:t>
      </w:r>
      <w:r>
        <w:rPr>
          <w:i/>
          <w:sz w:val="22"/>
        </w:rPr>
        <w:t>D.</w:t>
      </w:r>
      <w:r>
        <w:rPr>
          <w:i/>
          <w:spacing w:val="6"/>
          <w:sz w:val="22"/>
        </w:rPr>
        <w:t> </w:t>
      </w:r>
      <w:r>
        <w:rPr>
          <w:i/>
          <w:sz w:val="22"/>
        </w:rPr>
        <w:t>iburua</w:t>
      </w:r>
      <w:r>
        <w:rPr>
          <w:i/>
          <w:spacing w:val="13"/>
          <w:sz w:val="22"/>
        </w:rPr>
        <w:t> </w:t>
      </w:r>
      <w:r>
        <w:rPr>
          <w:sz w:val="22"/>
        </w:rPr>
        <w:t>(Iburu): </w:t>
      </w:r>
      <w:r>
        <w:rPr>
          <w:i/>
          <w:sz w:val="22"/>
        </w:rPr>
        <w:t>A</w:t>
      </w:r>
      <w:r>
        <w:rPr>
          <w:i/>
          <w:spacing w:val="17"/>
          <w:sz w:val="22"/>
        </w:rPr>
        <w:t> </w:t>
      </w:r>
      <w:r>
        <w:rPr>
          <w:i/>
          <w:sz w:val="22"/>
        </w:rPr>
        <w:t>Review</w:t>
      </w:r>
      <w:r>
        <w:rPr>
          <w:i/>
          <w:spacing w:val="3"/>
          <w:sz w:val="22"/>
        </w:rPr>
        <w:t> </w:t>
      </w:r>
      <w:r>
        <w:rPr>
          <w:i/>
          <w:sz w:val="22"/>
        </w:rPr>
        <w:t>Plant</w:t>
      </w:r>
      <w:r>
        <w:rPr>
          <w:i/>
          <w:spacing w:val="4"/>
          <w:sz w:val="22"/>
        </w:rPr>
        <w:t> </w:t>
      </w:r>
      <w:r>
        <w:rPr>
          <w:i/>
          <w:sz w:val="22"/>
        </w:rPr>
        <w:t>foods</w:t>
      </w:r>
      <w:r>
        <w:rPr>
          <w:i/>
          <w:spacing w:val="9"/>
          <w:sz w:val="22"/>
        </w:rPr>
        <w:t> </w:t>
      </w:r>
      <w:r>
        <w:rPr>
          <w:i/>
          <w:sz w:val="22"/>
        </w:rPr>
        <w:t>Human</w:t>
      </w:r>
      <w:r>
        <w:rPr>
          <w:i/>
          <w:spacing w:val="12"/>
          <w:sz w:val="22"/>
        </w:rPr>
        <w:t> </w:t>
      </w:r>
      <w:r>
        <w:rPr>
          <w:i/>
          <w:sz w:val="22"/>
        </w:rPr>
        <w:t>Nutri</w:t>
      </w:r>
      <w:r>
        <w:rPr>
          <w:sz w:val="22"/>
        </w:rPr>
        <w:t>.</w:t>
      </w:r>
      <w:r>
        <w:rPr>
          <w:spacing w:val="6"/>
          <w:sz w:val="22"/>
        </w:rPr>
        <w:t> </w:t>
      </w:r>
      <w:r>
        <w:rPr>
          <w:sz w:val="22"/>
        </w:rPr>
        <w:t>54:</w:t>
      </w:r>
      <w:r>
        <w:rPr>
          <w:spacing w:val="10"/>
          <w:sz w:val="22"/>
        </w:rPr>
        <w:t> </w:t>
      </w:r>
      <w:r>
        <w:rPr>
          <w:sz w:val="22"/>
        </w:rPr>
        <w:t>363-</w:t>
      </w:r>
      <w:r>
        <w:rPr>
          <w:spacing w:val="-4"/>
          <w:sz w:val="22"/>
        </w:rPr>
        <w:t>374.</w:t>
      </w:r>
    </w:p>
    <w:p>
      <w:pPr>
        <w:pStyle w:val="BodyText"/>
        <w:spacing w:before="13"/>
      </w:pPr>
    </w:p>
    <w:p>
      <w:pPr>
        <w:pStyle w:val="BodyText"/>
        <w:spacing w:line="244" w:lineRule="auto"/>
        <w:ind w:left="665" w:right="1105"/>
        <w:jc w:val="both"/>
      </w:pPr>
      <w:r>
        <w:rPr/>
        <w:t>Karen,</w:t>
      </w:r>
      <w:r>
        <w:rPr>
          <w:spacing w:val="40"/>
        </w:rPr>
        <w:t> </w:t>
      </w:r>
      <w:r>
        <w:rPr/>
        <w:t>de Leschery.</w:t>
      </w:r>
      <w:r>
        <w:rPr>
          <w:spacing w:val="40"/>
        </w:rPr>
        <w:t> </w:t>
      </w:r>
      <w:r>
        <w:rPr/>
        <w:t>(2004) More Fonio</w:t>
      </w:r>
      <w:r>
        <w:rPr>
          <w:spacing w:val="40"/>
        </w:rPr>
        <w:t> </w:t>
      </w:r>
      <w:r>
        <w:rPr/>
        <w:t>Less</w:t>
      </w:r>
      <w:r>
        <w:rPr>
          <w:spacing w:val="40"/>
        </w:rPr>
        <w:t> </w:t>
      </w:r>
      <w:r>
        <w:rPr/>
        <w:t>Hard</w:t>
      </w:r>
      <w:r>
        <w:rPr>
          <w:spacing w:val="40"/>
        </w:rPr>
        <w:t> </w:t>
      </w:r>
      <w:r>
        <w:rPr/>
        <w:t>Work.</w:t>
      </w:r>
      <w:r>
        <w:rPr>
          <w:spacing w:val="40"/>
        </w:rPr>
        <w:t> </w:t>
      </w:r>
      <w:r>
        <w:rPr/>
        <w:t>Publication of Aramco Services Company.</w:t>
      </w:r>
    </w:p>
    <w:p>
      <w:pPr>
        <w:pStyle w:val="BodyText"/>
        <w:spacing w:before="8"/>
      </w:pPr>
    </w:p>
    <w:p>
      <w:pPr>
        <w:pStyle w:val="BodyText"/>
        <w:spacing w:line="249" w:lineRule="auto"/>
        <w:ind w:left="665" w:right="1098"/>
        <w:jc w:val="both"/>
      </w:pPr>
      <w:r>
        <w:rPr/>
        <w:t>Kawakita, K. and Ludde, K.H. (1971). Some Considerations on Powder Compression Equations.</w:t>
      </w:r>
      <w:r>
        <w:rPr>
          <w:i/>
        </w:rPr>
        <w:t>Powder Technol</w:t>
      </w:r>
      <w:r>
        <w:rPr/>
        <w:t>. 4:61-68.</w:t>
      </w:r>
    </w:p>
    <w:p>
      <w:pPr>
        <w:pStyle w:val="BodyText"/>
        <w:spacing w:before="3"/>
      </w:pPr>
    </w:p>
    <w:p>
      <w:pPr>
        <w:pStyle w:val="BodyText"/>
        <w:spacing w:before="1"/>
        <w:ind w:left="665" w:right="1108"/>
      </w:pPr>
      <w:r>
        <w:rPr/>
        <w:t>Kawakita,</w:t>
      </w:r>
      <w:r>
        <w:rPr>
          <w:spacing w:val="80"/>
        </w:rPr>
        <w:t> </w:t>
      </w:r>
      <w:r>
        <w:rPr/>
        <w:t>K.,</w:t>
      </w:r>
      <w:r>
        <w:rPr>
          <w:spacing w:val="80"/>
        </w:rPr>
        <w:t> </w:t>
      </w:r>
      <w:r>
        <w:rPr/>
        <w:t>Hattori,</w:t>
      </w:r>
      <w:r>
        <w:rPr>
          <w:spacing w:val="80"/>
        </w:rPr>
        <w:t> </w:t>
      </w:r>
      <w:r>
        <w:rPr/>
        <w:t>I.</w:t>
      </w:r>
      <w:r>
        <w:rPr>
          <w:spacing w:val="80"/>
        </w:rPr>
        <w:t> </w:t>
      </w:r>
      <w:r>
        <w:rPr/>
        <w:t>and</w:t>
      </w:r>
      <w:r>
        <w:rPr>
          <w:spacing w:val="80"/>
        </w:rPr>
        <w:t> </w:t>
      </w:r>
      <w:r>
        <w:rPr/>
        <w:t>Kishigami,</w:t>
      </w:r>
      <w:r>
        <w:rPr>
          <w:spacing w:val="80"/>
        </w:rPr>
        <w:t> </w:t>
      </w:r>
      <w:r>
        <w:rPr/>
        <w:t>M.</w:t>
      </w:r>
      <w:r>
        <w:rPr>
          <w:spacing w:val="80"/>
        </w:rPr>
        <w:t> </w:t>
      </w:r>
      <w:r>
        <w:rPr/>
        <w:t>(1977).</w:t>
      </w:r>
      <w:r>
        <w:rPr>
          <w:spacing w:val="80"/>
        </w:rPr>
        <w:t> </w:t>
      </w:r>
      <w:r>
        <w:rPr/>
        <w:t>Characteristic</w:t>
      </w:r>
      <w:r>
        <w:rPr>
          <w:spacing w:val="80"/>
        </w:rPr>
        <w:t> </w:t>
      </w:r>
      <w:r>
        <w:rPr/>
        <w:t>constants</w:t>
      </w:r>
      <w:r>
        <w:rPr>
          <w:spacing w:val="80"/>
        </w:rPr>
        <w:t> </w:t>
      </w:r>
      <w:r>
        <w:rPr/>
        <w:t>in</w:t>
      </w:r>
      <w:r>
        <w:rPr>
          <w:spacing w:val="40"/>
        </w:rPr>
        <w:t> </w:t>
      </w:r>
      <w:r>
        <w:rPr/>
        <w:t>Kawakita’s Powder Compression equation. </w:t>
      </w:r>
      <w:r>
        <w:rPr>
          <w:i/>
        </w:rPr>
        <w:t>J. Powder</w:t>
      </w:r>
      <w:r>
        <w:rPr>
          <w:i/>
          <w:spacing w:val="40"/>
        </w:rPr>
        <w:t> </w:t>
      </w:r>
      <w:r>
        <w:rPr>
          <w:i/>
        </w:rPr>
        <w:t>Bulk Solids Technol. </w:t>
      </w:r>
      <w:r>
        <w:rPr/>
        <w:t>1:3-8.</w:t>
      </w:r>
    </w:p>
    <w:p>
      <w:pPr>
        <w:pStyle w:val="BodyText"/>
        <w:spacing w:before="13"/>
      </w:pPr>
    </w:p>
    <w:p>
      <w:pPr>
        <w:pStyle w:val="BodyText"/>
        <w:spacing w:line="244" w:lineRule="auto"/>
        <w:ind w:left="665" w:right="1092"/>
        <w:jc w:val="both"/>
      </w:pPr>
      <w:r>
        <w:rPr/>
        <w:t>Keshri, V.J. Chakrabarti, T. and Srivastava, G.P. (1974). Effects of various starches as binder on the physical properties of sulphanilamide tablet formulation. </w:t>
      </w:r>
      <w:r>
        <w:rPr>
          <w:i/>
        </w:rPr>
        <w:t>Indian J. Pharm</w:t>
      </w:r>
      <w:r>
        <w:rPr/>
        <w:t>. </w:t>
      </w:r>
      <w:r>
        <w:rPr>
          <w:spacing w:val="-2"/>
        </w:rPr>
        <w:t>36:100.</w:t>
      </w:r>
    </w:p>
    <w:p>
      <w:pPr>
        <w:pStyle w:val="BodyText"/>
        <w:spacing w:before="15"/>
      </w:pPr>
    </w:p>
    <w:p>
      <w:pPr>
        <w:pStyle w:val="BodyText"/>
        <w:spacing w:line="244" w:lineRule="auto"/>
        <w:ind w:left="665" w:right="1095"/>
        <w:jc w:val="both"/>
      </w:pPr>
      <w:r>
        <w:rPr/>
        <w:t>Kittipongpatana,O.S., Chaitep, W., Charumanee, S. and Kittipongpatana, N. (2006)</w:t>
      </w:r>
      <w:r>
        <w:rPr>
          <w:spacing w:val="40"/>
        </w:rPr>
        <w:t> </w:t>
      </w:r>
      <w:r>
        <w:rPr/>
        <w:t>Effects</w:t>
      </w:r>
      <w:r>
        <w:rPr>
          <w:spacing w:val="40"/>
        </w:rPr>
        <w:t> </w:t>
      </w:r>
      <w:r>
        <w:rPr/>
        <w:t>of Amylose</w:t>
      </w:r>
      <w:r>
        <w:rPr>
          <w:spacing w:val="40"/>
        </w:rPr>
        <w:t> </w:t>
      </w:r>
      <w:r>
        <w:rPr/>
        <w:t>Content</w:t>
      </w:r>
      <w:r>
        <w:rPr>
          <w:spacing w:val="40"/>
        </w:rPr>
        <w:t> </w:t>
      </w:r>
      <w:r>
        <w:rPr/>
        <w:t>on</w:t>
      </w:r>
      <w:r>
        <w:rPr>
          <w:spacing w:val="40"/>
        </w:rPr>
        <w:t> </w:t>
      </w:r>
      <w:r>
        <w:rPr/>
        <w:t>the</w:t>
      </w:r>
      <w:r>
        <w:rPr>
          <w:spacing w:val="40"/>
        </w:rPr>
        <w:t> </w:t>
      </w:r>
      <w:r>
        <w:rPr/>
        <w:t>physic</w:t>
      </w:r>
      <w:r>
        <w:rPr>
          <w:spacing w:val="40"/>
        </w:rPr>
        <w:t> </w:t>
      </w:r>
      <w:r>
        <w:rPr/>
        <w:t>Chemical</w:t>
      </w:r>
      <w:r>
        <w:rPr>
          <w:spacing w:val="40"/>
        </w:rPr>
        <w:t> </w:t>
      </w:r>
      <w:r>
        <w:rPr/>
        <w:t>Properties</w:t>
      </w:r>
      <w:r>
        <w:rPr>
          <w:spacing w:val="40"/>
        </w:rPr>
        <w:t> </w:t>
      </w:r>
      <w:r>
        <w:rPr/>
        <w:t>of Sodium Carboxymethyl rice starches. </w:t>
      </w:r>
      <w:r>
        <w:rPr>
          <w:i/>
        </w:rPr>
        <w:t>CMU, Journal, </w:t>
      </w:r>
      <w:r>
        <w:rPr>
          <w:b/>
        </w:rPr>
        <w:t>5 </w:t>
      </w:r>
      <w:r>
        <w:rPr/>
        <w:t>(2): 199-207.</w:t>
      </w:r>
    </w:p>
    <w:p>
      <w:pPr>
        <w:pStyle w:val="BodyText"/>
        <w:spacing w:before="9"/>
      </w:pPr>
    </w:p>
    <w:p>
      <w:pPr>
        <w:pStyle w:val="BodyText"/>
        <w:spacing w:line="244" w:lineRule="auto" w:before="1"/>
        <w:ind w:left="665" w:right="1093"/>
        <w:jc w:val="both"/>
      </w:pPr>
      <w:r>
        <w:rPr/>
        <w:t>Korhonen,</w:t>
      </w:r>
      <w:r>
        <w:rPr>
          <w:spacing w:val="40"/>
        </w:rPr>
        <w:t> </w:t>
      </w:r>
      <w:r>
        <w:rPr/>
        <w:t>O.,</w:t>
      </w:r>
      <w:r>
        <w:rPr>
          <w:spacing w:val="40"/>
        </w:rPr>
        <w:t> </w:t>
      </w:r>
      <w:r>
        <w:rPr/>
        <w:t>Pohja,</w:t>
      </w:r>
      <w:r>
        <w:rPr>
          <w:spacing w:val="40"/>
        </w:rPr>
        <w:t> </w:t>
      </w:r>
      <w:r>
        <w:rPr/>
        <w:t>S.,</w:t>
      </w:r>
      <w:r>
        <w:rPr>
          <w:spacing w:val="40"/>
        </w:rPr>
        <w:t> </w:t>
      </w:r>
      <w:r>
        <w:rPr/>
        <w:t>Peltonen,</w:t>
      </w:r>
      <w:r>
        <w:rPr>
          <w:spacing w:val="40"/>
        </w:rPr>
        <w:t> </w:t>
      </w:r>
      <w:r>
        <w:rPr/>
        <w:t>S.,</w:t>
      </w:r>
      <w:r>
        <w:rPr>
          <w:spacing w:val="40"/>
        </w:rPr>
        <w:t> </w:t>
      </w:r>
      <w:r>
        <w:rPr/>
        <w:t>Suikho,</w:t>
      </w:r>
      <w:r>
        <w:rPr>
          <w:spacing w:val="40"/>
        </w:rPr>
        <w:t> </w:t>
      </w:r>
      <w:r>
        <w:rPr/>
        <w:t>E.,</w:t>
      </w:r>
      <w:r>
        <w:rPr>
          <w:spacing w:val="40"/>
        </w:rPr>
        <w:t> </w:t>
      </w:r>
      <w:r>
        <w:rPr/>
        <w:t>Mira,</w:t>
      </w:r>
      <w:r>
        <w:rPr>
          <w:spacing w:val="40"/>
        </w:rPr>
        <w:t> </w:t>
      </w:r>
      <w:r>
        <w:rPr/>
        <w:t>V.,</w:t>
      </w:r>
      <w:r>
        <w:rPr>
          <w:spacing w:val="40"/>
        </w:rPr>
        <w:t> </w:t>
      </w:r>
      <w:r>
        <w:rPr/>
        <w:t>Paronen,</w:t>
      </w:r>
      <w:r>
        <w:rPr>
          <w:spacing w:val="40"/>
        </w:rPr>
        <w:t> </w:t>
      </w:r>
      <w:r>
        <w:rPr/>
        <w:t>P.</w:t>
      </w:r>
      <w:r>
        <w:rPr>
          <w:spacing w:val="40"/>
        </w:rPr>
        <w:t> </w:t>
      </w:r>
      <w:r>
        <w:rPr/>
        <w:t>and Ketolainen,J.</w:t>
      </w:r>
      <w:r>
        <w:rPr>
          <w:spacing w:val="40"/>
        </w:rPr>
        <w:t> </w:t>
      </w:r>
      <w:r>
        <w:rPr/>
        <w:t>(2002).</w:t>
      </w:r>
      <w:r>
        <w:rPr>
          <w:spacing w:val="40"/>
        </w:rPr>
        <w:t> </w:t>
      </w:r>
      <w:r>
        <w:rPr/>
        <w:t>Effects of</w:t>
      </w:r>
      <w:r>
        <w:rPr>
          <w:spacing w:val="40"/>
        </w:rPr>
        <w:t> </w:t>
      </w:r>
      <w:r>
        <w:rPr/>
        <w:t>Physical</w:t>
      </w:r>
      <w:r>
        <w:rPr>
          <w:spacing w:val="40"/>
        </w:rPr>
        <w:t> </w:t>
      </w:r>
      <w:r>
        <w:rPr/>
        <w:t>properties</w:t>
      </w:r>
      <w:r>
        <w:rPr>
          <w:spacing w:val="40"/>
        </w:rPr>
        <w:t> </w:t>
      </w:r>
      <w:r>
        <w:rPr/>
        <w:t>for</w:t>
      </w:r>
      <w:r>
        <w:rPr>
          <w:spacing w:val="40"/>
        </w:rPr>
        <w:t> </w:t>
      </w:r>
      <w:r>
        <w:rPr/>
        <w:t>starch</w:t>
      </w:r>
      <w:r>
        <w:rPr>
          <w:spacing w:val="40"/>
        </w:rPr>
        <w:t> </w:t>
      </w:r>
      <w:r>
        <w:rPr/>
        <w:t>acetate</w:t>
      </w:r>
      <w:r>
        <w:rPr>
          <w:spacing w:val="40"/>
        </w:rPr>
        <w:t> </w:t>
      </w:r>
      <w:r>
        <w:rPr/>
        <w:t>powder on tableting. </w:t>
      </w:r>
      <w:r>
        <w:rPr>
          <w:i/>
        </w:rPr>
        <w:t>AAPS Pharm Sci Tech.</w:t>
      </w:r>
      <w:r>
        <w:rPr/>
        <w:t>, </w:t>
      </w:r>
      <w:r>
        <w:rPr>
          <w:b/>
        </w:rPr>
        <w:t>3 </w:t>
      </w:r>
      <w:r>
        <w:rPr/>
        <w:t>(4):1-9.</w:t>
      </w:r>
    </w:p>
    <w:p>
      <w:pPr>
        <w:pStyle w:val="BodyText"/>
        <w:spacing w:before="9"/>
      </w:pPr>
    </w:p>
    <w:p>
      <w:pPr>
        <w:spacing w:line="244" w:lineRule="auto" w:before="0"/>
        <w:ind w:left="665" w:right="1091" w:firstLine="0"/>
        <w:jc w:val="both"/>
        <w:rPr>
          <w:sz w:val="22"/>
        </w:rPr>
      </w:pPr>
      <w:r>
        <w:rPr>
          <w:sz w:val="22"/>
        </w:rPr>
        <w:t>Le Bail, P., Morin, F.G. and Marchessault, R.H. (1999). </w:t>
      </w:r>
      <w:r>
        <w:rPr>
          <w:i/>
          <w:sz w:val="22"/>
        </w:rPr>
        <w:t>International Journal of Biological Molecules, </w:t>
      </w:r>
      <w:r>
        <w:rPr>
          <w:sz w:val="22"/>
        </w:rPr>
        <w:t>26:193-200.</w:t>
      </w:r>
    </w:p>
    <w:p>
      <w:pPr>
        <w:spacing w:after="0" w:line="244" w:lineRule="auto"/>
        <w:jc w:val="both"/>
        <w:rPr>
          <w:sz w:val="22"/>
        </w:rPr>
        <w:sectPr>
          <w:pgSz w:w="12240" w:h="15840"/>
          <w:pgMar w:header="0" w:footer="999" w:top="1520" w:bottom="1180" w:left="1720" w:right="760"/>
        </w:sectPr>
      </w:pPr>
    </w:p>
    <w:p>
      <w:pPr>
        <w:pStyle w:val="BodyText"/>
        <w:spacing w:line="244" w:lineRule="auto" w:before="75"/>
        <w:ind w:left="665" w:right="1156"/>
        <w:jc w:val="both"/>
      </w:pPr>
      <w:r>
        <w:rPr/>
        <w:t>Light,</w:t>
      </w:r>
      <w:r>
        <w:rPr>
          <w:spacing w:val="40"/>
        </w:rPr>
        <w:t> </w:t>
      </w:r>
      <w:r>
        <w:rPr/>
        <w:t>J.M.</w:t>
      </w:r>
      <w:r>
        <w:rPr>
          <w:spacing w:val="40"/>
        </w:rPr>
        <w:t> </w:t>
      </w:r>
      <w:r>
        <w:rPr/>
        <w:t>(1990).</w:t>
      </w:r>
      <w:r>
        <w:rPr>
          <w:spacing w:val="40"/>
        </w:rPr>
        <w:t> </w:t>
      </w:r>
      <w:r>
        <w:rPr/>
        <w:t>Modified</w:t>
      </w:r>
      <w:r>
        <w:rPr>
          <w:spacing w:val="40"/>
        </w:rPr>
        <w:t> </w:t>
      </w:r>
      <w:r>
        <w:rPr/>
        <w:t>Food</w:t>
      </w:r>
      <w:r>
        <w:rPr>
          <w:spacing w:val="40"/>
        </w:rPr>
        <w:t> </w:t>
      </w:r>
      <w:r>
        <w:rPr/>
        <w:t>Starches:</w:t>
      </w:r>
      <w:r>
        <w:rPr>
          <w:spacing w:val="40"/>
        </w:rPr>
        <w:t> </w:t>
      </w:r>
      <w:r>
        <w:rPr/>
        <w:t>Why,</w:t>
      </w:r>
      <w:r>
        <w:rPr>
          <w:spacing w:val="40"/>
        </w:rPr>
        <w:t> </w:t>
      </w:r>
      <w:r>
        <w:rPr/>
        <w:t>What,</w:t>
      </w:r>
      <w:r>
        <w:rPr>
          <w:spacing w:val="40"/>
        </w:rPr>
        <w:t> </w:t>
      </w:r>
      <w:r>
        <w:rPr/>
        <w:t>Where</w:t>
      </w:r>
      <w:r>
        <w:rPr>
          <w:spacing w:val="40"/>
        </w:rPr>
        <w:t> </w:t>
      </w:r>
      <w:r>
        <w:rPr/>
        <w:t>and</w:t>
      </w:r>
      <w:r>
        <w:rPr>
          <w:spacing w:val="40"/>
        </w:rPr>
        <w:t> </w:t>
      </w:r>
      <w:r>
        <w:rPr/>
        <w:t>How?</w:t>
      </w:r>
      <w:r>
        <w:rPr>
          <w:spacing w:val="40"/>
        </w:rPr>
        <w:t> </w:t>
      </w:r>
      <w:r>
        <w:rPr/>
        <w:t>Cereal Food</w:t>
      </w:r>
      <w:r>
        <w:rPr>
          <w:spacing w:val="40"/>
        </w:rPr>
        <w:t> </w:t>
      </w:r>
      <w:r>
        <w:rPr/>
        <w:t>World.</w:t>
      </w:r>
      <w:r>
        <w:rPr>
          <w:spacing w:val="40"/>
        </w:rPr>
        <w:t> </w:t>
      </w:r>
      <w:r>
        <w:rPr>
          <w:b/>
        </w:rPr>
        <w:t>35</w:t>
      </w:r>
      <w:r>
        <w:rPr/>
        <w:t>(11):</w:t>
      </w:r>
      <w:r>
        <w:rPr>
          <w:spacing w:val="40"/>
        </w:rPr>
        <w:t> </w:t>
      </w:r>
      <w:r>
        <w:rPr/>
        <w:t>1081-1092.</w:t>
      </w:r>
    </w:p>
    <w:p>
      <w:pPr>
        <w:pStyle w:val="BodyText"/>
        <w:spacing w:before="8"/>
      </w:pPr>
    </w:p>
    <w:p>
      <w:pPr>
        <w:pStyle w:val="BodyText"/>
        <w:spacing w:line="244" w:lineRule="auto" w:before="1"/>
        <w:ind w:left="665" w:right="1092"/>
        <w:jc w:val="both"/>
      </w:pPr>
      <w:r>
        <w:rPr/>
        <w:t>Mali, S., Grossmann, M.V.E., Garda, M.A., Martino, M.N., Zaritzky, N.E. (2006). </w:t>
      </w:r>
      <w:r>
        <w:rPr>
          <w:i/>
        </w:rPr>
        <w:t>J.</w:t>
      </w:r>
      <w:r>
        <w:rPr>
          <w:i/>
          <w:spacing w:val="80"/>
        </w:rPr>
        <w:t> </w:t>
      </w:r>
      <w:r>
        <w:rPr>
          <w:i/>
        </w:rPr>
        <w:t>Food Eng. </w:t>
      </w:r>
      <w:r>
        <w:rPr>
          <w:b/>
        </w:rPr>
        <w:t>75 </w:t>
      </w:r>
      <w:r>
        <w:rPr/>
        <w:t>(4).</w:t>
      </w:r>
    </w:p>
    <w:p>
      <w:pPr>
        <w:pStyle w:val="BodyText"/>
        <w:spacing w:before="8"/>
      </w:pPr>
    </w:p>
    <w:p>
      <w:pPr>
        <w:pStyle w:val="BodyText"/>
        <w:spacing w:line="244" w:lineRule="auto"/>
        <w:ind w:left="665" w:right="1106"/>
        <w:jc w:val="both"/>
      </w:pPr>
      <w:r>
        <w:rPr/>
        <w:t>Mital, H.C. and Ocran, J. (1968).Cassava and Yam Starches as tablet binder and disintegrants. </w:t>
      </w:r>
      <w:r>
        <w:rPr>
          <w:i/>
        </w:rPr>
        <w:t>Pharm. Acta.Helv.</w:t>
      </w:r>
      <w:r>
        <w:rPr/>
        <w:t>43:493.</w:t>
      </w:r>
    </w:p>
    <w:p>
      <w:pPr>
        <w:pStyle w:val="BodyText"/>
        <w:spacing w:before="9"/>
      </w:pPr>
    </w:p>
    <w:p>
      <w:pPr>
        <w:pStyle w:val="BodyText"/>
        <w:spacing w:line="244" w:lineRule="auto"/>
        <w:ind w:left="665" w:right="1095"/>
        <w:jc w:val="both"/>
      </w:pPr>
      <w:r>
        <w:rPr/>
        <w:t>Mitrevej, A., Faroongsarng, D. and Sinchaipanid, N. (1996). Compression behavior of spray dried rice starch. </w:t>
      </w:r>
      <w:r>
        <w:rPr>
          <w:i/>
        </w:rPr>
        <w:t>Int. J. Pharm.</w:t>
      </w:r>
      <w:r>
        <w:rPr/>
        <w:t>, 140:61-68.</w:t>
      </w:r>
    </w:p>
    <w:p>
      <w:pPr>
        <w:pStyle w:val="BodyText"/>
        <w:spacing w:before="8"/>
      </w:pPr>
    </w:p>
    <w:p>
      <w:pPr>
        <w:pStyle w:val="BodyText"/>
        <w:spacing w:line="249" w:lineRule="auto"/>
        <w:ind w:left="665" w:right="1097"/>
        <w:jc w:val="both"/>
      </w:pPr>
      <w:r>
        <w:rPr/>
        <w:t>Muazu, J., (2008) Evaluation of Fonio (</w:t>
      </w:r>
      <w:r>
        <w:rPr>
          <w:i/>
        </w:rPr>
        <w:t>Digitaria exilis) </w:t>
      </w:r>
      <w:r>
        <w:rPr/>
        <w:t>starch as tablet excipient, MSc Thesis Ahmadu Bello University, Zaria.</w:t>
      </w:r>
    </w:p>
    <w:p>
      <w:pPr>
        <w:pStyle w:val="BodyText"/>
        <w:spacing w:before="3"/>
      </w:pPr>
    </w:p>
    <w:p>
      <w:pPr>
        <w:pStyle w:val="BodyText"/>
        <w:spacing w:line="244" w:lineRule="auto" w:before="1"/>
        <w:ind w:left="665" w:right="1102"/>
        <w:jc w:val="both"/>
      </w:pPr>
      <w:r>
        <w:rPr/>
        <w:t>Muazu, J., Musa H., and Bhatia P.G., (2009).Effects of Native and Pregelatinised Fonio Starches on Compression, Mechanical and Release Properteis of Paracetamol Tablet Formulations. </w:t>
      </w:r>
      <w:r>
        <w:rPr>
          <w:i/>
        </w:rPr>
        <w:t>J of Adv in Med and Pharm Sci</w:t>
      </w:r>
      <w:r>
        <w:rPr/>
        <w:t>, </w:t>
      </w:r>
      <w:r>
        <w:rPr>
          <w:b/>
        </w:rPr>
        <w:t>3 </w:t>
      </w:r>
      <w:r>
        <w:rPr/>
        <w:t>No. 1, Pp. 56-61.</w:t>
      </w:r>
    </w:p>
    <w:p>
      <w:pPr>
        <w:pStyle w:val="BodyText"/>
        <w:spacing w:before="9"/>
      </w:pPr>
    </w:p>
    <w:p>
      <w:pPr>
        <w:spacing w:line="244" w:lineRule="auto" w:before="0"/>
        <w:ind w:left="665" w:right="1102" w:firstLine="0"/>
        <w:jc w:val="both"/>
        <w:rPr>
          <w:sz w:val="22"/>
        </w:rPr>
      </w:pPr>
      <w:r>
        <w:rPr>
          <w:sz w:val="22"/>
        </w:rPr>
        <w:t>Musa, H; Ochu, S, Bhatia, P.G. and Gwarzo, M.S (2008) Studies on the Physico- chemical/Properties</w:t>
      </w:r>
      <w:r>
        <w:rPr>
          <w:spacing w:val="80"/>
          <w:sz w:val="22"/>
        </w:rPr>
        <w:t> </w:t>
      </w:r>
      <w:r>
        <w:rPr>
          <w:sz w:val="22"/>
        </w:rPr>
        <w:t>of</w:t>
      </w:r>
      <w:r>
        <w:rPr>
          <w:spacing w:val="80"/>
          <w:sz w:val="22"/>
        </w:rPr>
        <w:t> </w:t>
      </w:r>
      <w:r>
        <w:rPr>
          <w:sz w:val="22"/>
        </w:rPr>
        <w:t>Starches</w:t>
      </w:r>
      <w:r>
        <w:rPr>
          <w:spacing w:val="80"/>
          <w:sz w:val="22"/>
        </w:rPr>
        <w:t> </w:t>
      </w:r>
      <w:r>
        <w:rPr>
          <w:sz w:val="22"/>
        </w:rPr>
        <w:t>from</w:t>
      </w:r>
      <w:r>
        <w:rPr>
          <w:spacing w:val="80"/>
          <w:sz w:val="22"/>
        </w:rPr>
        <w:t> </w:t>
      </w:r>
      <w:r>
        <w:rPr>
          <w:i/>
          <w:sz w:val="22"/>
        </w:rPr>
        <w:t>Hordeum</w:t>
      </w:r>
      <w:r>
        <w:rPr>
          <w:i/>
          <w:spacing w:val="80"/>
          <w:sz w:val="22"/>
        </w:rPr>
        <w:t> </w:t>
      </w:r>
      <w:r>
        <w:rPr>
          <w:i/>
          <w:sz w:val="22"/>
        </w:rPr>
        <w:t>vulgare</w:t>
      </w:r>
      <w:r>
        <w:rPr>
          <w:i/>
          <w:spacing w:val="80"/>
          <w:sz w:val="22"/>
        </w:rPr>
        <w:t> </w:t>
      </w:r>
      <w:r>
        <w:rPr>
          <w:sz w:val="22"/>
        </w:rPr>
        <w:t>and</w:t>
      </w:r>
      <w:r>
        <w:rPr>
          <w:spacing w:val="80"/>
          <w:sz w:val="22"/>
        </w:rPr>
        <w:t> </w:t>
      </w:r>
      <w:r>
        <w:rPr>
          <w:i/>
          <w:sz w:val="22"/>
        </w:rPr>
        <w:t>Zea</w:t>
      </w:r>
      <w:r>
        <w:rPr>
          <w:i/>
          <w:spacing w:val="80"/>
          <w:sz w:val="22"/>
        </w:rPr>
        <w:t> </w:t>
      </w:r>
      <w:r>
        <w:rPr>
          <w:i/>
          <w:sz w:val="22"/>
        </w:rPr>
        <w:t>mays</w:t>
      </w:r>
      <w:r>
        <w:rPr>
          <w:sz w:val="22"/>
        </w:rPr>
        <w:t>.</w:t>
      </w:r>
      <w:r>
        <w:rPr>
          <w:spacing w:val="73"/>
          <w:w w:val="150"/>
          <w:sz w:val="22"/>
        </w:rPr>
        <w:t> </w:t>
      </w:r>
      <w:r>
        <w:rPr>
          <w:i/>
          <w:sz w:val="22"/>
        </w:rPr>
        <w:t>West</w:t>
      </w:r>
      <w:r>
        <w:rPr>
          <w:i/>
          <w:spacing w:val="80"/>
          <w:sz w:val="22"/>
        </w:rPr>
        <w:t> </w:t>
      </w:r>
      <w:r>
        <w:rPr>
          <w:i/>
          <w:sz w:val="22"/>
        </w:rPr>
        <w:t>Afr</w:t>
      </w:r>
      <w:r>
        <w:rPr>
          <w:i/>
          <w:spacing w:val="80"/>
          <w:sz w:val="22"/>
        </w:rPr>
        <w:t> </w:t>
      </w:r>
      <w:r>
        <w:rPr>
          <w:i/>
          <w:sz w:val="22"/>
        </w:rPr>
        <w:t>J of Pharm</w:t>
      </w:r>
      <w:r>
        <w:rPr>
          <w:sz w:val="22"/>
        </w:rPr>
        <w:t>, </w:t>
      </w:r>
      <w:r>
        <w:rPr>
          <w:b/>
          <w:sz w:val="22"/>
        </w:rPr>
        <w:t>21 </w:t>
      </w:r>
      <w:r>
        <w:rPr>
          <w:sz w:val="22"/>
        </w:rPr>
        <w:t>(1): 46 - 50.</w:t>
      </w:r>
    </w:p>
    <w:p>
      <w:pPr>
        <w:pStyle w:val="BodyText"/>
        <w:spacing w:before="10"/>
      </w:pPr>
    </w:p>
    <w:p>
      <w:pPr>
        <w:spacing w:line="244" w:lineRule="auto" w:before="0"/>
        <w:ind w:left="665" w:right="1211" w:firstLine="0"/>
        <w:jc w:val="both"/>
        <w:rPr>
          <w:sz w:val="22"/>
        </w:rPr>
      </w:pPr>
      <w:r>
        <w:rPr>
          <w:sz w:val="22"/>
        </w:rPr>
        <w:t>Musa, H. Ochu, S.N and Bhatia,</w:t>
      </w:r>
      <w:r>
        <w:rPr>
          <w:spacing w:val="-3"/>
          <w:sz w:val="22"/>
        </w:rPr>
        <w:t> </w:t>
      </w:r>
      <w:r>
        <w:rPr>
          <w:sz w:val="22"/>
        </w:rPr>
        <w:t>P.G.</w:t>
      </w:r>
      <w:r>
        <w:rPr>
          <w:spacing w:val="-3"/>
          <w:sz w:val="22"/>
        </w:rPr>
        <w:t> </w:t>
      </w:r>
      <w:r>
        <w:rPr>
          <w:sz w:val="22"/>
        </w:rPr>
        <w:t>(2010)</w:t>
      </w:r>
      <w:r>
        <w:rPr>
          <w:spacing w:val="-3"/>
          <w:sz w:val="22"/>
        </w:rPr>
        <w:t> </w:t>
      </w:r>
      <w:r>
        <w:rPr>
          <w:sz w:val="22"/>
        </w:rPr>
        <w:t>Evaluation</w:t>
      </w:r>
      <w:r>
        <w:rPr>
          <w:spacing w:val="-8"/>
          <w:sz w:val="22"/>
        </w:rPr>
        <w:t> </w:t>
      </w:r>
      <w:r>
        <w:rPr>
          <w:sz w:val="22"/>
        </w:rPr>
        <w:t>of</w:t>
      </w:r>
      <w:r>
        <w:rPr>
          <w:spacing w:val="-8"/>
          <w:sz w:val="22"/>
        </w:rPr>
        <w:t> </w:t>
      </w:r>
      <w:r>
        <w:rPr>
          <w:sz w:val="22"/>
        </w:rPr>
        <w:t>the Tablet Binding</w:t>
      </w:r>
      <w:r>
        <w:rPr>
          <w:spacing w:val="-2"/>
          <w:sz w:val="22"/>
        </w:rPr>
        <w:t> </w:t>
      </w:r>
      <w:r>
        <w:rPr>
          <w:sz w:val="22"/>
        </w:rPr>
        <w:t>Properties of Barley (</w:t>
      </w:r>
      <w:r>
        <w:rPr>
          <w:i/>
          <w:sz w:val="22"/>
        </w:rPr>
        <w:t>Hordeum</w:t>
      </w:r>
      <w:r>
        <w:rPr>
          <w:i/>
          <w:spacing w:val="28"/>
          <w:sz w:val="22"/>
        </w:rPr>
        <w:t> </w:t>
      </w:r>
      <w:r>
        <w:rPr>
          <w:i/>
          <w:sz w:val="22"/>
        </w:rPr>
        <w:t>vulgare</w:t>
      </w:r>
      <w:r>
        <w:rPr>
          <w:sz w:val="22"/>
        </w:rPr>
        <w:t>)</w:t>
      </w:r>
      <w:r>
        <w:rPr>
          <w:spacing w:val="31"/>
          <w:sz w:val="22"/>
        </w:rPr>
        <w:t> </w:t>
      </w:r>
      <w:r>
        <w:rPr>
          <w:sz w:val="22"/>
        </w:rPr>
        <w:t>Starch.</w:t>
      </w:r>
      <w:r>
        <w:rPr>
          <w:spacing w:val="36"/>
          <w:sz w:val="22"/>
        </w:rPr>
        <w:t> </w:t>
      </w:r>
      <w:r>
        <w:rPr>
          <w:i/>
          <w:sz w:val="22"/>
        </w:rPr>
        <w:t>Int</w:t>
      </w:r>
      <w:r>
        <w:rPr>
          <w:i/>
          <w:spacing w:val="35"/>
          <w:sz w:val="22"/>
        </w:rPr>
        <w:t> </w:t>
      </w:r>
      <w:r>
        <w:rPr>
          <w:i/>
          <w:sz w:val="22"/>
        </w:rPr>
        <w:t>J of</w:t>
      </w:r>
      <w:r>
        <w:rPr>
          <w:i/>
          <w:spacing w:val="28"/>
          <w:sz w:val="22"/>
        </w:rPr>
        <w:t> </w:t>
      </w:r>
      <w:r>
        <w:rPr>
          <w:i/>
          <w:sz w:val="22"/>
        </w:rPr>
        <w:t>Appl</w:t>
      </w:r>
      <w:r>
        <w:rPr>
          <w:i/>
          <w:spacing w:val="28"/>
          <w:sz w:val="22"/>
        </w:rPr>
        <w:t> </w:t>
      </w:r>
      <w:r>
        <w:rPr>
          <w:i/>
          <w:sz w:val="22"/>
        </w:rPr>
        <w:t>Pharm</w:t>
      </w:r>
      <w:r>
        <w:rPr>
          <w:sz w:val="22"/>
        </w:rPr>
        <w:t>,</w:t>
      </w:r>
      <w:r>
        <w:rPr>
          <w:spacing w:val="29"/>
          <w:sz w:val="22"/>
        </w:rPr>
        <w:t> </w:t>
      </w:r>
      <w:r>
        <w:rPr>
          <w:sz w:val="22"/>
        </w:rPr>
        <w:t>Volume</w:t>
      </w:r>
      <w:r>
        <w:rPr>
          <w:spacing w:val="29"/>
          <w:sz w:val="22"/>
        </w:rPr>
        <w:t> </w:t>
      </w:r>
      <w:r>
        <w:rPr>
          <w:sz w:val="22"/>
        </w:rPr>
        <w:t>2,</w:t>
      </w:r>
      <w:r>
        <w:rPr>
          <w:spacing w:val="31"/>
          <w:sz w:val="22"/>
        </w:rPr>
        <w:t> </w:t>
      </w:r>
      <w:r>
        <w:rPr>
          <w:sz w:val="22"/>
        </w:rPr>
        <w:t>Issue 4.</w:t>
      </w:r>
    </w:p>
    <w:p>
      <w:pPr>
        <w:pStyle w:val="BodyText"/>
        <w:spacing w:before="8"/>
      </w:pPr>
    </w:p>
    <w:p>
      <w:pPr>
        <w:spacing w:line="244" w:lineRule="auto" w:before="0"/>
        <w:ind w:left="665" w:right="1096" w:firstLine="0"/>
        <w:jc w:val="both"/>
        <w:rPr>
          <w:sz w:val="22"/>
        </w:rPr>
      </w:pPr>
      <w:r>
        <w:rPr>
          <w:sz w:val="22"/>
        </w:rPr>
        <w:t>Musa, H., Gambo, A., Bhatia, P.G. (2011). Studies on some Physicochemical Properties</w:t>
      </w:r>
      <w:r>
        <w:rPr>
          <w:spacing w:val="40"/>
          <w:sz w:val="22"/>
        </w:rPr>
        <w:t> </w:t>
      </w:r>
      <w:r>
        <w:rPr>
          <w:sz w:val="22"/>
        </w:rPr>
        <w:t>of Native and</w:t>
      </w:r>
      <w:r>
        <w:rPr>
          <w:spacing w:val="40"/>
          <w:sz w:val="22"/>
        </w:rPr>
        <w:t> </w:t>
      </w:r>
      <w:r>
        <w:rPr>
          <w:sz w:val="22"/>
        </w:rPr>
        <w:t>Modified</w:t>
      </w:r>
      <w:r>
        <w:rPr>
          <w:spacing w:val="40"/>
          <w:sz w:val="22"/>
        </w:rPr>
        <w:t> </w:t>
      </w:r>
      <w:r>
        <w:rPr>
          <w:sz w:val="22"/>
        </w:rPr>
        <w:t>Starches</w:t>
      </w:r>
      <w:r>
        <w:rPr>
          <w:spacing w:val="40"/>
          <w:sz w:val="22"/>
        </w:rPr>
        <w:t> </w:t>
      </w:r>
      <w:r>
        <w:rPr>
          <w:sz w:val="22"/>
        </w:rPr>
        <w:t>from</w:t>
      </w:r>
      <w:r>
        <w:rPr>
          <w:spacing w:val="40"/>
          <w:sz w:val="22"/>
        </w:rPr>
        <w:t> </w:t>
      </w:r>
      <w:r>
        <w:rPr>
          <w:i/>
          <w:sz w:val="22"/>
        </w:rPr>
        <w:t>Digitaria iburua</w:t>
      </w:r>
      <w:r>
        <w:rPr>
          <w:i/>
          <w:spacing w:val="40"/>
          <w:sz w:val="22"/>
        </w:rPr>
        <w:t> </w:t>
      </w:r>
      <w:r>
        <w:rPr>
          <w:sz w:val="22"/>
        </w:rPr>
        <w:t>and</w:t>
      </w:r>
      <w:r>
        <w:rPr>
          <w:spacing w:val="40"/>
          <w:sz w:val="22"/>
        </w:rPr>
        <w:t> </w:t>
      </w:r>
      <w:r>
        <w:rPr>
          <w:i/>
          <w:sz w:val="22"/>
        </w:rPr>
        <w:t>Zea</w:t>
      </w:r>
      <w:r>
        <w:rPr>
          <w:i/>
          <w:spacing w:val="40"/>
          <w:sz w:val="22"/>
        </w:rPr>
        <w:t> </w:t>
      </w:r>
      <w:r>
        <w:rPr>
          <w:i/>
          <w:sz w:val="22"/>
        </w:rPr>
        <w:t>mays</w:t>
      </w:r>
      <w:r>
        <w:rPr>
          <w:sz w:val="22"/>
        </w:rPr>
        <w:t>. </w:t>
      </w:r>
      <w:r>
        <w:rPr>
          <w:i/>
          <w:sz w:val="22"/>
        </w:rPr>
        <w:t>Int J Pharm Pharm Sci</w:t>
      </w:r>
      <w:r>
        <w:rPr>
          <w:sz w:val="22"/>
        </w:rPr>
        <w:t>, </w:t>
      </w:r>
      <w:r>
        <w:rPr>
          <w:b/>
          <w:sz w:val="22"/>
        </w:rPr>
        <w:t>3</w:t>
      </w:r>
      <w:r>
        <w:rPr>
          <w:sz w:val="22"/>
        </w:rPr>
        <w:t>, Issue 1, 28-31.</w:t>
      </w:r>
    </w:p>
    <w:p>
      <w:pPr>
        <w:pStyle w:val="BodyText"/>
        <w:spacing w:before="10"/>
      </w:pPr>
    </w:p>
    <w:p>
      <w:pPr>
        <w:pStyle w:val="BodyText"/>
        <w:ind w:left="665"/>
      </w:pPr>
      <w:r>
        <w:rPr/>
        <w:t>Nasipuri</w:t>
      </w:r>
      <w:r>
        <w:rPr>
          <w:spacing w:val="26"/>
        </w:rPr>
        <w:t> </w:t>
      </w:r>
      <w:r>
        <w:rPr/>
        <w:t>R.N.</w:t>
      </w:r>
      <w:r>
        <w:rPr>
          <w:spacing w:val="33"/>
        </w:rPr>
        <w:t> </w:t>
      </w:r>
      <w:r>
        <w:rPr/>
        <w:t>(1979).</w:t>
      </w:r>
      <w:r>
        <w:rPr>
          <w:spacing w:val="28"/>
        </w:rPr>
        <w:t> </w:t>
      </w:r>
      <w:r>
        <w:rPr/>
        <w:t>Evaluation</w:t>
      </w:r>
      <w:r>
        <w:rPr>
          <w:spacing w:val="30"/>
        </w:rPr>
        <w:t> </w:t>
      </w:r>
      <w:r>
        <w:rPr/>
        <w:t>of</w:t>
      </w:r>
      <w:r>
        <w:rPr>
          <w:spacing w:val="28"/>
        </w:rPr>
        <w:t> </w:t>
      </w:r>
      <w:r>
        <w:rPr/>
        <w:t>Cocoyam</w:t>
      </w:r>
      <w:r>
        <w:rPr>
          <w:spacing w:val="36"/>
        </w:rPr>
        <w:t> </w:t>
      </w:r>
      <w:r>
        <w:rPr/>
        <w:t>starch</w:t>
      </w:r>
      <w:r>
        <w:rPr>
          <w:spacing w:val="24"/>
        </w:rPr>
        <w:t> </w:t>
      </w:r>
      <w:r>
        <w:rPr/>
        <w:t>as</w:t>
      </w:r>
      <w:r>
        <w:rPr>
          <w:spacing w:val="31"/>
        </w:rPr>
        <w:t> </w:t>
      </w:r>
      <w:r>
        <w:rPr/>
        <w:t>tablet</w:t>
      </w:r>
      <w:r>
        <w:rPr>
          <w:spacing w:val="35"/>
        </w:rPr>
        <w:t> </w:t>
      </w:r>
      <w:r>
        <w:rPr/>
        <w:t>binder</w:t>
      </w:r>
      <w:r>
        <w:rPr>
          <w:spacing w:val="35"/>
        </w:rPr>
        <w:t> </w:t>
      </w:r>
      <w:r>
        <w:rPr/>
        <w:t>and</w:t>
      </w:r>
      <w:r>
        <w:rPr>
          <w:spacing w:val="40"/>
        </w:rPr>
        <w:t> </w:t>
      </w:r>
      <w:r>
        <w:rPr>
          <w:spacing w:val="-2"/>
        </w:rPr>
        <w:t>disintegrant.</w:t>
      </w:r>
    </w:p>
    <w:p>
      <w:pPr>
        <w:spacing w:before="11"/>
        <w:ind w:left="665" w:right="0" w:firstLine="0"/>
        <w:jc w:val="left"/>
        <w:rPr>
          <w:sz w:val="22"/>
        </w:rPr>
      </w:pPr>
      <w:r>
        <w:rPr>
          <w:i/>
          <w:sz w:val="22"/>
        </w:rPr>
        <w:t>Pharm.</w:t>
      </w:r>
      <w:r>
        <w:rPr>
          <w:i/>
          <w:spacing w:val="15"/>
          <w:sz w:val="22"/>
        </w:rPr>
        <w:t> </w:t>
      </w:r>
      <w:r>
        <w:rPr>
          <w:i/>
          <w:spacing w:val="-2"/>
          <w:sz w:val="22"/>
        </w:rPr>
        <w:t>Acta.Helva</w:t>
      </w:r>
      <w:r>
        <w:rPr>
          <w:spacing w:val="-2"/>
          <w:sz w:val="22"/>
        </w:rPr>
        <w:t>.54:48.</w:t>
      </w:r>
    </w:p>
    <w:p>
      <w:pPr>
        <w:pStyle w:val="BodyText"/>
        <w:spacing w:before="12"/>
      </w:pPr>
    </w:p>
    <w:p>
      <w:pPr>
        <w:pStyle w:val="BodyText"/>
        <w:spacing w:before="1"/>
        <w:ind w:left="665" w:right="1108"/>
      </w:pPr>
      <w:r>
        <w:rPr/>
        <w:t>Nasipuri, R.N. (1975). Evaluation of Cassava Starch as tablet binder and disintegrant. </w:t>
      </w:r>
      <w:r>
        <w:rPr>
          <w:i/>
        </w:rPr>
        <w:t>J. Med. Pharm. </w:t>
      </w:r>
      <w:r>
        <w:rPr/>
        <w:t>4:17.</w:t>
      </w:r>
    </w:p>
    <w:p>
      <w:pPr>
        <w:pStyle w:val="BodyText"/>
        <w:spacing w:before="13"/>
      </w:pPr>
    </w:p>
    <w:p>
      <w:pPr>
        <w:pStyle w:val="BodyText"/>
        <w:spacing w:before="1"/>
        <w:ind w:left="665"/>
        <w:rPr>
          <w:i/>
        </w:rPr>
      </w:pPr>
      <w:r>
        <w:rPr/>
        <w:t>Nasipuri,</w:t>
      </w:r>
      <w:r>
        <w:rPr>
          <w:spacing w:val="22"/>
        </w:rPr>
        <w:t> </w:t>
      </w:r>
      <w:r>
        <w:rPr/>
        <w:t>R.N.</w:t>
      </w:r>
      <w:r>
        <w:rPr>
          <w:spacing w:val="28"/>
        </w:rPr>
        <w:t> </w:t>
      </w:r>
      <w:r>
        <w:rPr/>
        <w:t>(1979).</w:t>
      </w:r>
      <w:r>
        <w:rPr>
          <w:spacing w:val="22"/>
        </w:rPr>
        <w:t> </w:t>
      </w:r>
      <w:r>
        <w:rPr/>
        <w:t>Evaluation</w:t>
      </w:r>
      <w:r>
        <w:rPr>
          <w:spacing w:val="19"/>
        </w:rPr>
        <w:t> </w:t>
      </w:r>
      <w:r>
        <w:rPr/>
        <w:t>of</w:t>
      </w:r>
      <w:r>
        <w:rPr>
          <w:spacing w:val="23"/>
        </w:rPr>
        <w:t> </w:t>
      </w:r>
      <w:r>
        <w:rPr/>
        <w:t>Yam</w:t>
      </w:r>
      <w:r>
        <w:rPr>
          <w:spacing w:val="29"/>
        </w:rPr>
        <w:t> </w:t>
      </w:r>
      <w:r>
        <w:rPr/>
        <w:t>starch</w:t>
      </w:r>
      <w:r>
        <w:rPr>
          <w:spacing w:val="24"/>
        </w:rPr>
        <w:t> </w:t>
      </w:r>
      <w:r>
        <w:rPr/>
        <w:t>as</w:t>
      </w:r>
      <w:r>
        <w:rPr>
          <w:spacing w:val="19"/>
        </w:rPr>
        <w:t> </w:t>
      </w:r>
      <w:r>
        <w:rPr/>
        <w:t>tablet</w:t>
      </w:r>
      <w:r>
        <w:rPr>
          <w:spacing w:val="26"/>
        </w:rPr>
        <w:t> </w:t>
      </w:r>
      <w:r>
        <w:rPr/>
        <w:t>binder</w:t>
      </w:r>
      <w:r>
        <w:rPr>
          <w:spacing w:val="22"/>
        </w:rPr>
        <w:t> </w:t>
      </w:r>
      <w:r>
        <w:rPr/>
        <w:t>and</w:t>
      </w:r>
      <w:r>
        <w:rPr>
          <w:spacing w:val="29"/>
        </w:rPr>
        <w:t> </w:t>
      </w:r>
      <w:r>
        <w:rPr/>
        <w:t>disintegrant.</w:t>
      </w:r>
      <w:r>
        <w:rPr>
          <w:spacing w:val="23"/>
        </w:rPr>
        <w:t> </w:t>
      </w:r>
      <w:r>
        <w:rPr>
          <w:i/>
          <w:spacing w:val="-4"/>
        </w:rPr>
        <w:t>Nig.</w:t>
      </w:r>
    </w:p>
    <w:p>
      <w:pPr>
        <w:spacing w:before="11"/>
        <w:ind w:left="665" w:right="0" w:firstLine="0"/>
        <w:jc w:val="left"/>
        <w:rPr>
          <w:sz w:val="22"/>
        </w:rPr>
      </w:pPr>
      <w:r>
        <w:rPr>
          <w:i/>
          <w:sz w:val="22"/>
        </w:rPr>
        <w:t>J.</w:t>
      </w:r>
      <w:r>
        <w:rPr>
          <w:i/>
          <w:spacing w:val="10"/>
          <w:sz w:val="22"/>
        </w:rPr>
        <w:t> </w:t>
      </w:r>
      <w:r>
        <w:rPr>
          <w:i/>
          <w:sz w:val="22"/>
        </w:rPr>
        <w:t>Pharm.</w:t>
      </w:r>
      <w:r>
        <w:rPr>
          <w:i/>
          <w:spacing w:val="7"/>
          <w:sz w:val="22"/>
        </w:rPr>
        <w:t> </w:t>
      </w:r>
      <w:r>
        <w:rPr>
          <w:i/>
          <w:sz w:val="22"/>
        </w:rPr>
        <w:t>Sci</w:t>
      </w:r>
      <w:r>
        <w:rPr>
          <w:i/>
          <w:spacing w:val="5"/>
          <w:sz w:val="22"/>
        </w:rPr>
        <w:t> </w:t>
      </w:r>
      <w:r>
        <w:rPr>
          <w:spacing w:val="-2"/>
          <w:sz w:val="22"/>
        </w:rPr>
        <w:t>10:162.</w:t>
      </w:r>
    </w:p>
    <w:p>
      <w:pPr>
        <w:pStyle w:val="BodyText"/>
        <w:spacing w:before="12"/>
      </w:pPr>
    </w:p>
    <w:p>
      <w:pPr>
        <w:pStyle w:val="BodyText"/>
        <w:spacing w:line="244" w:lineRule="auto"/>
        <w:ind w:left="665" w:right="1101"/>
        <w:jc w:val="both"/>
      </w:pPr>
      <w:r>
        <w:rPr/>
        <w:t>National Research Council,</w:t>
      </w:r>
      <w:r>
        <w:rPr>
          <w:spacing w:val="40"/>
        </w:rPr>
        <w:t> </w:t>
      </w:r>
      <w:r>
        <w:rPr/>
        <w:t>N.R.C., (1996). Lost Crops of Africa, Vol. 1; Grains.</w:t>
      </w:r>
      <w:r>
        <w:rPr>
          <w:spacing w:val="40"/>
        </w:rPr>
        <w:t> </w:t>
      </w:r>
      <w:r>
        <w:rPr/>
        <w:t>National Academy Press Washington DC, USA Pp. 59-75.</w:t>
      </w:r>
    </w:p>
    <w:p>
      <w:pPr>
        <w:pStyle w:val="BodyText"/>
        <w:spacing w:before="8"/>
      </w:pPr>
    </w:p>
    <w:p>
      <w:pPr>
        <w:pStyle w:val="BodyText"/>
        <w:spacing w:before="1"/>
        <w:ind w:left="665"/>
      </w:pPr>
      <w:r>
        <w:rPr/>
        <w:t>Nedich,</w:t>
      </w:r>
      <w:r>
        <w:rPr>
          <w:spacing w:val="9"/>
        </w:rPr>
        <w:t> </w:t>
      </w:r>
      <w:r>
        <w:rPr/>
        <w:t>R.L.,</w:t>
      </w:r>
      <w:r>
        <w:rPr>
          <w:spacing w:val="9"/>
        </w:rPr>
        <w:t> </w:t>
      </w:r>
      <w:r>
        <w:rPr/>
        <w:t>Kildsig,</w:t>
      </w:r>
      <w:r>
        <w:rPr>
          <w:spacing w:val="15"/>
        </w:rPr>
        <w:t> </w:t>
      </w:r>
      <w:r>
        <w:rPr/>
        <w:t>D.O.</w:t>
      </w:r>
      <w:r>
        <w:rPr>
          <w:spacing w:val="9"/>
        </w:rPr>
        <w:t> </w:t>
      </w:r>
      <w:r>
        <w:rPr/>
        <w:t>(1972).</w:t>
      </w:r>
      <w:r>
        <w:rPr>
          <w:spacing w:val="13"/>
        </w:rPr>
        <w:t> </w:t>
      </w:r>
      <w:r>
        <w:rPr/>
        <w:t>Amylose</w:t>
      </w:r>
      <w:r>
        <w:rPr>
          <w:spacing w:val="9"/>
        </w:rPr>
        <w:t> </w:t>
      </w:r>
      <w:r>
        <w:rPr/>
        <w:t>Chemistry.</w:t>
      </w:r>
      <w:r>
        <w:rPr>
          <w:spacing w:val="75"/>
        </w:rPr>
        <w:t> </w:t>
      </w:r>
      <w:r>
        <w:rPr>
          <w:i/>
        </w:rPr>
        <w:t>J.</w:t>
      </w:r>
      <w:r>
        <w:rPr>
          <w:i/>
          <w:spacing w:val="15"/>
        </w:rPr>
        <w:t> </w:t>
      </w:r>
      <w:r>
        <w:rPr>
          <w:i/>
        </w:rPr>
        <w:t>Pharm.</w:t>
      </w:r>
      <w:r>
        <w:rPr>
          <w:i/>
          <w:spacing w:val="10"/>
        </w:rPr>
        <w:t> </w:t>
      </w:r>
      <w:r>
        <w:rPr>
          <w:i/>
        </w:rPr>
        <w:t>Sci</w:t>
      </w:r>
      <w:r>
        <w:rPr/>
        <w:t>.</w:t>
      </w:r>
      <w:r>
        <w:rPr>
          <w:spacing w:val="11"/>
        </w:rPr>
        <w:t> </w:t>
      </w:r>
      <w:r>
        <w:rPr>
          <w:spacing w:val="-2"/>
        </w:rPr>
        <w:t>61:214h.</w:t>
      </w:r>
    </w:p>
    <w:p>
      <w:pPr>
        <w:pStyle w:val="BodyText"/>
        <w:spacing w:before="12"/>
      </w:pPr>
    </w:p>
    <w:p>
      <w:pPr>
        <w:pStyle w:val="BodyText"/>
        <w:spacing w:line="244" w:lineRule="auto"/>
        <w:ind w:left="665" w:right="1097"/>
        <w:jc w:val="both"/>
      </w:pPr>
      <w:r>
        <w:rPr/>
        <w:t>Ngwuluka, N.</w:t>
      </w:r>
      <w:r>
        <w:rPr>
          <w:spacing w:val="40"/>
        </w:rPr>
        <w:t> </w:t>
      </w:r>
      <w:r>
        <w:rPr/>
        <w:t>C.,</w:t>
      </w:r>
      <w:r>
        <w:rPr>
          <w:spacing w:val="40"/>
        </w:rPr>
        <w:t> </w:t>
      </w:r>
      <w:r>
        <w:rPr/>
        <w:t>Idiakhoa,</w:t>
      </w:r>
      <w:r>
        <w:rPr>
          <w:spacing w:val="40"/>
        </w:rPr>
        <w:t> </w:t>
      </w:r>
      <w:r>
        <w:rPr/>
        <w:t>B. A.,</w:t>
      </w:r>
      <w:r>
        <w:rPr>
          <w:spacing w:val="40"/>
        </w:rPr>
        <w:t> </w:t>
      </w:r>
      <w:r>
        <w:rPr/>
        <w:t>Nep,</w:t>
      </w:r>
      <w:r>
        <w:rPr>
          <w:spacing w:val="40"/>
        </w:rPr>
        <w:t> </w:t>
      </w:r>
      <w:r>
        <w:rPr/>
        <w:t>E. I., Ogaji, I</w:t>
      </w:r>
      <w:r>
        <w:rPr>
          <w:spacing w:val="40"/>
        </w:rPr>
        <w:t> </w:t>
      </w:r>
      <w:r>
        <w:rPr/>
        <w:t>and</w:t>
      </w:r>
      <w:r>
        <w:rPr>
          <w:spacing w:val="40"/>
        </w:rPr>
        <w:t> </w:t>
      </w:r>
      <w:r>
        <w:rPr/>
        <w:t>Okafor I.</w:t>
      </w:r>
      <w:r>
        <w:rPr>
          <w:spacing w:val="40"/>
        </w:rPr>
        <w:t> </w:t>
      </w:r>
      <w:r>
        <w:rPr/>
        <w:t>S.</w:t>
      </w:r>
      <w:r>
        <w:rPr>
          <w:spacing w:val="40"/>
        </w:rPr>
        <w:t> </w:t>
      </w:r>
      <w:r>
        <w:rPr/>
        <w:t>(2010) Formulation and Evaluation of Paracetamol Tablets Manufactured using the Dried</w:t>
      </w:r>
      <w:r>
        <w:rPr>
          <w:spacing w:val="32"/>
        </w:rPr>
        <w:t> </w:t>
      </w:r>
      <w:r>
        <w:rPr/>
        <w:t>Fruit</w:t>
      </w:r>
      <w:r>
        <w:rPr>
          <w:spacing w:val="40"/>
        </w:rPr>
        <w:t> </w:t>
      </w:r>
      <w:r>
        <w:rPr/>
        <w:t>of Phoenix </w:t>
      </w:r>
      <w:r>
        <w:rPr>
          <w:i/>
        </w:rPr>
        <w:t>Dactylifera</w:t>
      </w:r>
      <w:r>
        <w:rPr>
          <w:i/>
          <w:spacing w:val="33"/>
        </w:rPr>
        <w:t> </w:t>
      </w:r>
      <w:r>
        <w:rPr>
          <w:i/>
        </w:rPr>
        <w:t>lina</w:t>
      </w:r>
      <w:r>
        <w:rPr>
          <w:i/>
          <w:spacing w:val="28"/>
        </w:rPr>
        <w:t> </w:t>
      </w:r>
      <w:r>
        <w:rPr/>
        <w:t>as an Excipient.</w:t>
      </w:r>
      <w:r>
        <w:rPr>
          <w:spacing w:val="33"/>
        </w:rPr>
        <w:t> </w:t>
      </w:r>
      <w:r>
        <w:rPr>
          <w:i/>
        </w:rPr>
        <w:t>Res in</w:t>
      </w:r>
      <w:r>
        <w:rPr>
          <w:i/>
          <w:spacing w:val="28"/>
        </w:rPr>
        <w:t> </w:t>
      </w:r>
      <w:r>
        <w:rPr>
          <w:i/>
        </w:rPr>
        <w:t>Pharm. Biotech. </w:t>
      </w:r>
      <w:r>
        <w:rPr>
          <w:b/>
        </w:rPr>
        <w:t>2</w:t>
      </w:r>
      <w:r>
        <w:rPr>
          <w:b/>
          <w:spacing w:val="28"/>
        </w:rPr>
        <w:t> </w:t>
      </w:r>
      <w:r>
        <w:rPr/>
        <w:t>(3): pp. 25-32.</w:t>
      </w:r>
    </w:p>
    <w:p>
      <w:pPr>
        <w:spacing w:after="0" w:line="244" w:lineRule="auto"/>
        <w:jc w:val="both"/>
        <w:sectPr>
          <w:pgSz w:w="12240" w:h="15840"/>
          <w:pgMar w:header="0" w:footer="999" w:top="1260" w:bottom="1180" w:left="1720" w:right="760"/>
        </w:sectPr>
      </w:pPr>
    </w:p>
    <w:p>
      <w:pPr>
        <w:pStyle w:val="BodyText"/>
        <w:spacing w:line="244" w:lineRule="auto" w:before="75"/>
        <w:ind w:left="665" w:right="1099"/>
        <w:jc w:val="both"/>
      </w:pPr>
      <w:r>
        <w:rPr/>
        <w:t>Nicklasson, F. and Alderborn, G. (2000). Analysis of the compression mechanics of Pharmaceutical</w:t>
      </w:r>
      <w:r>
        <w:rPr>
          <w:spacing w:val="40"/>
        </w:rPr>
        <w:t> </w:t>
      </w:r>
      <w:r>
        <w:rPr/>
        <w:t>agglomerates</w:t>
      </w:r>
      <w:r>
        <w:rPr>
          <w:spacing w:val="40"/>
        </w:rPr>
        <w:t> </w:t>
      </w:r>
      <w:r>
        <w:rPr/>
        <w:t>of</w:t>
      </w:r>
      <w:r>
        <w:rPr>
          <w:spacing w:val="40"/>
        </w:rPr>
        <w:t> </w:t>
      </w:r>
      <w:r>
        <w:rPr/>
        <w:t>different</w:t>
      </w:r>
      <w:r>
        <w:rPr>
          <w:spacing w:val="40"/>
        </w:rPr>
        <w:t> </w:t>
      </w:r>
      <w:r>
        <w:rPr/>
        <w:t>porosity</w:t>
      </w:r>
      <w:r>
        <w:rPr>
          <w:spacing w:val="40"/>
        </w:rPr>
        <w:t> </w:t>
      </w:r>
      <w:r>
        <w:rPr/>
        <w:t>and</w:t>
      </w:r>
      <w:r>
        <w:rPr>
          <w:spacing w:val="40"/>
        </w:rPr>
        <w:t> </w:t>
      </w:r>
      <w:r>
        <w:rPr/>
        <w:t>composition</w:t>
      </w:r>
      <w:r>
        <w:rPr>
          <w:spacing w:val="40"/>
        </w:rPr>
        <w:t> </w:t>
      </w:r>
      <w:r>
        <w:rPr/>
        <w:t>using</w:t>
      </w:r>
      <w:r>
        <w:rPr>
          <w:spacing w:val="40"/>
        </w:rPr>
        <w:t> </w:t>
      </w:r>
      <w:r>
        <w:rPr/>
        <w:t>the</w:t>
      </w:r>
      <w:r>
        <w:rPr>
          <w:spacing w:val="40"/>
        </w:rPr>
        <w:t> </w:t>
      </w:r>
      <w:r>
        <w:rPr/>
        <w:t>Adams and Kawakita equations. </w:t>
      </w:r>
      <w:r>
        <w:rPr>
          <w:i/>
        </w:rPr>
        <w:t>Pharm. Rest. </w:t>
      </w:r>
      <w:r>
        <w:rPr/>
        <w:t>17:949-954.</w:t>
      </w:r>
    </w:p>
    <w:p>
      <w:pPr>
        <w:pStyle w:val="BodyText"/>
        <w:spacing w:before="10"/>
      </w:pPr>
    </w:p>
    <w:p>
      <w:pPr>
        <w:pStyle w:val="BodyText"/>
        <w:spacing w:line="244" w:lineRule="auto"/>
        <w:ind w:left="665" w:right="1100"/>
        <w:jc w:val="both"/>
      </w:pPr>
      <w:r>
        <w:rPr/>
        <w:t>Noyes A., Whitney W. (1897). The Rate of Solution of Solid Substances in their own solution. </w:t>
      </w:r>
      <w:r>
        <w:rPr>
          <w:i/>
        </w:rPr>
        <w:t>J. Am Chem. Soc. </w:t>
      </w:r>
      <w:r>
        <w:rPr/>
        <w:t>19:930.</w:t>
      </w:r>
    </w:p>
    <w:p>
      <w:pPr>
        <w:pStyle w:val="BodyText"/>
        <w:spacing w:before="8"/>
      </w:pPr>
    </w:p>
    <w:p>
      <w:pPr>
        <w:pStyle w:val="BodyText"/>
        <w:spacing w:line="244" w:lineRule="auto"/>
        <w:ind w:left="665" w:right="1103"/>
        <w:jc w:val="both"/>
      </w:pPr>
      <w:r>
        <w:rPr/>
        <w:t>Neumann,</w:t>
      </w:r>
      <w:r>
        <w:rPr>
          <w:spacing w:val="40"/>
        </w:rPr>
        <w:t> </w:t>
      </w:r>
      <w:r>
        <w:rPr/>
        <w:t>B.S.</w:t>
      </w:r>
      <w:r>
        <w:rPr>
          <w:spacing w:val="40"/>
        </w:rPr>
        <w:t> </w:t>
      </w:r>
      <w:r>
        <w:rPr/>
        <w:t>(1967).</w:t>
      </w:r>
      <w:r>
        <w:rPr>
          <w:spacing w:val="40"/>
        </w:rPr>
        <w:t> </w:t>
      </w:r>
      <w:r>
        <w:rPr/>
        <w:t>The</w:t>
      </w:r>
      <w:r>
        <w:rPr>
          <w:spacing w:val="40"/>
        </w:rPr>
        <w:t> </w:t>
      </w:r>
      <w:r>
        <w:rPr/>
        <w:t>flow</w:t>
      </w:r>
      <w:r>
        <w:rPr>
          <w:spacing w:val="40"/>
        </w:rPr>
        <w:t> </w:t>
      </w:r>
      <w:r>
        <w:rPr/>
        <w:t>properties</w:t>
      </w:r>
      <w:r>
        <w:rPr>
          <w:spacing w:val="40"/>
        </w:rPr>
        <w:t> </w:t>
      </w:r>
      <w:r>
        <w:rPr/>
        <w:t>of</w:t>
      </w:r>
      <w:r>
        <w:rPr>
          <w:spacing w:val="40"/>
        </w:rPr>
        <w:t> </w:t>
      </w:r>
      <w:r>
        <w:rPr/>
        <w:t>powder.</w:t>
      </w:r>
      <w:r>
        <w:rPr>
          <w:spacing w:val="40"/>
        </w:rPr>
        <w:t> </w:t>
      </w:r>
      <w:r>
        <w:rPr/>
        <w:t>In</w:t>
      </w:r>
      <w:r>
        <w:rPr>
          <w:spacing w:val="40"/>
        </w:rPr>
        <w:t> </w:t>
      </w:r>
      <w:r>
        <w:rPr/>
        <w:t>Bean</w:t>
      </w:r>
      <w:r>
        <w:rPr>
          <w:spacing w:val="40"/>
        </w:rPr>
        <w:t> </w:t>
      </w:r>
      <w:r>
        <w:rPr/>
        <w:t>HS,</w:t>
      </w:r>
      <w:r>
        <w:rPr>
          <w:spacing w:val="40"/>
        </w:rPr>
        <w:t> </w:t>
      </w:r>
      <w:r>
        <w:rPr/>
        <w:t>Beckett</w:t>
      </w:r>
      <w:r>
        <w:rPr>
          <w:spacing w:val="40"/>
        </w:rPr>
        <w:t> </w:t>
      </w:r>
      <w:r>
        <w:rPr/>
        <w:t>AH, Carless JE (eds.). Advances in Pharmaceutical Sciences; Academic Press, London and New York, 1967; 2: 181-221.</w:t>
      </w:r>
    </w:p>
    <w:p>
      <w:pPr>
        <w:pStyle w:val="BodyText"/>
        <w:spacing w:before="15"/>
      </w:pPr>
    </w:p>
    <w:p>
      <w:pPr>
        <w:spacing w:before="0"/>
        <w:ind w:left="665" w:right="1101" w:firstLine="0"/>
        <w:jc w:val="both"/>
        <w:rPr>
          <w:sz w:val="22"/>
        </w:rPr>
      </w:pPr>
      <w:r>
        <w:rPr>
          <w:sz w:val="22"/>
        </w:rPr>
        <w:t>Odeku, O.A., (2005). Assessment of </w:t>
      </w:r>
      <w:r>
        <w:rPr>
          <w:i/>
          <w:sz w:val="22"/>
        </w:rPr>
        <w:t>Albizia zygia </w:t>
      </w:r>
      <w:r>
        <w:rPr>
          <w:sz w:val="22"/>
        </w:rPr>
        <w:t>gum as a binding agent in tablet formulations. </w:t>
      </w:r>
      <w:r>
        <w:rPr>
          <w:i/>
          <w:sz w:val="22"/>
        </w:rPr>
        <w:t>Acta Pharm</w:t>
      </w:r>
      <w:r>
        <w:rPr>
          <w:sz w:val="22"/>
        </w:rPr>
        <w:t>. Sep; </w:t>
      </w:r>
      <w:r>
        <w:rPr>
          <w:b/>
          <w:sz w:val="22"/>
        </w:rPr>
        <w:t>55 </w:t>
      </w:r>
      <w:r>
        <w:rPr>
          <w:sz w:val="22"/>
        </w:rPr>
        <w:t>(3) 263-276.</w:t>
      </w:r>
    </w:p>
    <w:p>
      <w:pPr>
        <w:pStyle w:val="BodyText"/>
        <w:spacing w:before="14"/>
      </w:pPr>
    </w:p>
    <w:p>
      <w:pPr>
        <w:pStyle w:val="BodyText"/>
        <w:spacing w:line="244" w:lineRule="auto"/>
        <w:ind w:left="665" w:right="1097"/>
        <w:jc w:val="both"/>
      </w:pPr>
      <w:r>
        <w:rPr/>
        <w:t>Odeku,</w:t>
      </w:r>
      <w:r>
        <w:rPr>
          <w:spacing w:val="40"/>
        </w:rPr>
        <w:t> </w:t>
      </w:r>
      <w:r>
        <w:rPr/>
        <w:t>O.A., Schimdt,</w:t>
      </w:r>
      <w:r>
        <w:rPr>
          <w:spacing w:val="40"/>
        </w:rPr>
        <w:t> </w:t>
      </w:r>
      <w:r>
        <w:rPr/>
        <w:t>W.,</w:t>
      </w:r>
      <w:r>
        <w:rPr>
          <w:spacing w:val="40"/>
        </w:rPr>
        <w:t> </w:t>
      </w:r>
      <w:r>
        <w:rPr/>
        <w:t>and Picker-Freyer, K.M. (2008). Material and</w:t>
      </w:r>
      <w:r>
        <w:rPr>
          <w:spacing w:val="40"/>
        </w:rPr>
        <w:t> </w:t>
      </w:r>
      <w:r>
        <w:rPr/>
        <w:t>tablet properties of pregelatinized (thermally modified) Dioscorea starches. </w:t>
      </w:r>
      <w:r>
        <w:rPr>
          <w:i/>
        </w:rPr>
        <w:t>Eur. J. Pharm. Biopharm</w:t>
      </w:r>
      <w:r>
        <w:rPr/>
        <w:t>., 70:357-371.</w:t>
      </w:r>
    </w:p>
    <w:p>
      <w:pPr>
        <w:pStyle w:val="BodyText"/>
        <w:spacing w:before="9"/>
      </w:pPr>
    </w:p>
    <w:p>
      <w:pPr>
        <w:spacing w:line="247" w:lineRule="auto" w:before="0"/>
        <w:ind w:left="665" w:right="1096" w:firstLine="0"/>
        <w:jc w:val="both"/>
        <w:rPr>
          <w:sz w:val="22"/>
        </w:rPr>
      </w:pPr>
      <w:r>
        <w:rPr>
          <w:sz w:val="22"/>
        </w:rPr>
        <w:t>Ofoefule, S.I.,</w:t>
      </w:r>
      <w:r>
        <w:rPr>
          <w:spacing w:val="40"/>
          <w:sz w:val="22"/>
        </w:rPr>
        <w:t> </w:t>
      </w:r>
      <w:r>
        <w:rPr>
          <w:sz w:val="22"/>
        </w:rPr>
        <w:t>Omeje, E.O. and</w:t>
      </w:r>
      <w:r>
        <w:rPr>
          <w:spacing w:val="40"/>
          <w:sz w:val="22"/>
        </w:rPr>
        <w:t> </w:t>
      </w:r>
      <w:r>
        <w:rPr>
          <w:sz w:val="22"/>
        </w:rPr>
        <w:t>Odoh, U.E., (2008). Performance of Starch Obtained from </w:t>
      </w:r>
      <w:r>
        <w:rPr>
          <w:i/>
          <w:sz w:val="22"/>
        </w:rPr>
        <w:t>Dioscorea dumetorium </w:t>
      </w:r>
      <w:r>
        <w:rPr>
          <w:sz w:val="22"/>
        </w:rPr>
        <w:t>as disintegrant in Sodium Salicylate tablets. </w:t>
      </w:r>
      <w:r>
        <w:rPr>
          <w:i/>
          <w:sz w:val="22"/>
        </w:rPr>
        <w:t>Afr J of Pharm and Pharmacol</w:t>
      </w:r>
      <w:r>
        <w:rPr>
          <w:sz w:val="22"/>
        </w:rPr>
        <w:t>. </w:t>
      </w:r>
      <w:r>
        <w:rPr>
          <w:b/>
          <w:sz w:val="22"/>
        </w:rPr>
        <w:t>2 </w:t>
      </w:r>
      <w:r>
        <w:rPr>
          <w:sz w:val="22"/>
        </w:rPr>
        <w:t>(3).Pp. 052-058.,</w:t>
      </w:r>
    </w:p>
    <w:p>
      <w:pPr>
        <w:pStyle w:val="BodyText"/>
        <w:spacing w:before="7"/>
      </w:pPr>
    </w:p>
    <w:p>
      <w:pPr>
        <w:spacing w:line="244" w:lineRule="auto" w:before="0"/>
        <w:ind w:left="665" w:right="1100" w:firstLine="0"/>
        <w:jc w:val="both"/>
        <w:rPr>
          <w:sz w:val="22"/>
        </w:rPr>
      </w:pPr>
      <w:r>
        <w:rPr>
          <w:sz w:val="22"/>
        </w:rPr>
        <w:t>Ofoefule, S.I., Osuji, A.C. and Okorie, O. (2004). Effects of Physical and Chemical Modifications</w:t>
      </w:r>
      <w:r>
        <w:rPr>
          <w:spacing w:val="40"/>
          <w:sz w:val="22"/>
        </w:rPr>
        <w:t> </w:t>
      </w:r>
      <w:r>
        <w:rPr>
          <w:sz w:val="22"/>
        </w:rPr>
        <w:t>on</w:t>
      </w:r>
      <w:r>
        <w:rPr>
          <w:spacing w:val="40"/>
          <w:sz w:val="22"/>
        </w:rPr>
        <w:t> </w:t>
      </w:r>
      <w:r>
        <w:rPr>
          <w:sz w:val="22"/>
        </w:rPr>
        <w:t>the</w:t>
      </w:r>
      <w:r>
        <w:rPr>
          <w:spacing w:val="40"/>
          <w:sz w:val="22"/>
        </w:rPr>
        <w:t> </w:t>
      </w:r>
      <w:r>
        <w:rPr>
          <w:sz w:val="22"/>
        </w:rPr>
        <w:t>disintegrants</w:t>
      </w:r>
      <w:r>
        <w:rPr>
          <w:spacing w:val="40"/>
          <w:sz w:val="22"/>
        </w:rPr>
        <w:t> </w:t>
      </w:r>
      <w:r>
        <w:rPr>
          <w:sz w:val="22"/>
        </w:rPr>
        <w:t>and</w:t>
      </w:r>
      <w:r>
        <w:rPr>
          <w:spacing w:val="40"/>
          <w:sz w:val="22"/>
        </w:rPr>
        <w:t> </w:t>
      </w:r>
      <w:r>
        <w:rPr>
          <w:sz w:val="22"/>
        </w:rPr>
        <w:t>dissolution</w:t>
      </w:r>
      <w:r>
        <w:rPr>
          <w:spacing w:val="40"/>
          <w:sz w:val="22"/>
        </w:rPr>
        <w:t> </w:t>
      </w:r>
      <w:r>
        <w:rPr>
          <w:sz w:val="22"/>
        </w:rPr>
        <w:t>properties</w:t>
      </w:r>
      <w:r>
        <w:rPr>
          <w:spacing w:val="40"/>
          <w:sz w:val="22"/>
        </w:rPr>
        <w:t> </w:t>
      </w:r>
      <w:r>
        <w:rPr>
          <w:sz w:val="22"/>
        </w:rPr>
        <w:t>of</w:t>
      </w:r>
      <w:r>
        <w:rPr>
          <w:spacing w:val="40"/>
          <w:sz w:val="22"/>
        </w:rPr>
        <w:t> </w:t>
      </w:r>
      <w:r>
        <w:rPr>
          <w:i/>
          <w:sz w:val="22"/>
        </w:rPr>
        <w:t>Tacca</w:t>
      </w:r>
      <w:r>
        <w:rPr>
          <w:i/>
          <w:spacing w:val="40"/>
          <w:sz w:val="22"/>
        </w:rPr>
        <w:t> </w:t>
      </w:r>
      <w:r>
        <w:rPr>
          <w:i/>
          <w:sz w:val="22"/>
        </w:rPr>
        <w:t>involucrata </w:t>
      </w:r>
      <w:r>
        <w:rPr>
          <w:sz w:val="22"/>
        </w:rPr>
        <w:t>starch. </w:t>
      </w:r>
      <w:r>
        <w:rPr>
          <w:i/>
          <w:sz w:val="22"/>
        </w:rPr>
        <w:t>J of Biol Res and Biotech. </w:t>
      </w:r>
      <w:r>
        <w:rPr>
          <w:b/>
          <w:sz w:val="22"/>
        </w:rPr>
        <w:t>2 </w:t>
      </w:r>
      <w:r>
        <w:rPr>
          <w:sz w:val="22"/>
        </w:rPr>
        <w:t>(1): 97-102.</w:t>
      </w:r>
    </w:p>
    <w:p>
      <w:pPr>
        <w:pStyle w:val="BodyText"/>
        <w:spacing w:before="10"/>
      </w:pPr>
    </w:p>
    <w:p>
      <w:pPr>
        <w:pStyle w:val="BodyText"/>
        <w:spacing w:line="244" w:lineRule="auto"/>
        <w:ind w:left="718" w:right="1092" w:hanging="53"/>
        <w:jc w:val="both"/>
      </w:pPr>
      <w:r>
        <w:rPr/>
        <w:t>Ogaji, I. and Okafor, I.S. (2009). “Binding effects of two brands of pregelatinised starch</w:t>
      </w:r>
      <w:r>
        <w:rPr>
          <w:spacing w:val="40"/>
        </w:rPr>
        <w:t> </w:t>
      </w:r>
      <w:r>
        <w:rPr/>
        <w:t>on</w:t>
      </w:r>
      <w:r>
        <w:rPr>
          <w:spacing w:val="12"/>
        </w:rPr>
        <w:t> </w:t>
      </w:r>
      <w:r>
        <w:rPr/>
        <w:t>acetaminophen</w:t>
      </w:r>
      <w:r>
        <w:rPr>
          <w:spacing w:val="18"/>
        </w:rPr>
        <w:t> </w:t>
      </w:r>
      <w:r>
        <w:rPr/>
        <w:t>tablets</w:t>
      </w:r>
      <w:r>
        <w:rPr>
          <w:spacing w:val="18"/>
        </w:rPr>
        <w:t> </w:t>
      </w:r>
      <w:r>
        <w:rPr/>
        <w:t>in</w:t>
      </w:r>
      <w:r>
        <w:rPr>
          <w:spacing w:val="18"/>
        </w:rPr>
        <w:t> </w:t>
      </w:r>
      <w:r>
        <w:rPr/>
        <w:t>a</w:t>
      </w:r>
      <w:r>
        <w:rPr>
          <w:spacing w:val="16"/>
        </w:rPr>
        <w:t> </w:t>
      </w:r>
      <w:r>
        <w:rPr/>
        <w:t>wet</w:t>
      </w:r>
      <w:r>
        <w:rPr>
          <w:spacing w:val="20"/>
        </w:rPr>
        <w:t> </w:t>
      </w:r>
      <w:r>
        <w:rPr/>
        <w:t>granulation</w:t>
      </w:r>
      <w:r>
        <w:rPr>
          <w:spacing w:val="13"/>
        </w:rPr>
        <w:t> </w:t>
      </w:r>
      <w:r>
        <w:rPr/>
        <w:t>process”.</w:t>
      </w:r>
      <w:r>
        <w:rPr>
          <w:spacing w:val="23"/>
        </w:rPr>
        <w:t> </w:t>
      </w:r>
      <w:r>
        <w:rPr>
          <w:i/>
        </w:rPr>
        <w:t>Nig</w:t>
      </w:r>
      <w:r>
        <w:rPr>
          <w:i/>
          <w:spacing w:val="22"/>
        </w:rPr>
        <w:t> </w:t>
      </w:r>
      <w:r>
        <w:rPr>
          <w:i/>
        </w:rPr>
        <w:t>J</w:t>
      </w:r>
      <w:r>
        <w:rPr>
          <w:i/>
          <w:spacing w:val="16"/>
        </w:rPr>
        <w:t> </w:t>
      </w:r>
      <w:r>
        <w:rPr>
          <w:i/>
        </w:rPr>
        <w:t>of</w:t>
      </w:r>
      <w:r>
        <w:rPr>
          <w:i/>
          <w:spacing w:val="15"/>
        </w:rPr>
        <w:t> </w:t>
      </w:r>
      <w:r>
        <w:rPr>
          <w:i/>
        </w:rPr>
        <w:t>Pharma</w:t>
      </w:r>
      <w:r>
        <w:rPr>
          <w:i/>
          <w:spacing w:val="22"/>
        </w:rPr>
        <w:t> </w:t>
      </w:r>
      <w:r>
        <w:rPr>
          <w:i/>
        </w:rPr>
        <w:t>Sci</w:t>
      </w:r>
      <w:r>
        <w:rPr/>
        <w:t>.</w:t>
      </w:r>
      <w:r>
        <w:rPr>
          <w:spacing w:val="16"/>
        </w:rPr>
        <w:t> </w:t>
      </w:r>
      <w:r>
        <w:rPr>
          <w:b/>
        </w:rPr>
        <w:t>8</w:t>
      </w:r>
      <w:r>
        <w:rPr/>
        <w:t>,</w:t>
      </w:r>
      <w:r>
        <w:rPr>
          <w:spacing w:val="16"/>
        </w:rPr>
        <w:t> </w:t>
      </w:r>
      <w:r>
        <w:rPr/>
        <w:t>No.</w:t>
      </w:r>
      <w:r>
        <w:rPr>
          <w:spacing w:val="10"/>
        </w:rPr>
        <w:t> </w:t>
      </w:r>
      <w:r>
        <w:rPr>
          <w:spacing w:val="-5"/>
        </w:rPr>
        <w:t>1,</w:t>
      </w:r>
    </w:p>
    <w:p>
      <w:pPr>
        <w:pStyle w:val="BodyText"/>
        <w:spacing w:before="2"/>
        <w:ind w:left="665"/>
      </w:pPr>
      <w:r>
        <w:rPr/>
        <w:t>p.</w:t>
      </w:r>
      <w:r>
        <w:rPr>
          <w:spacing w:val="11"/>
        </w:rPr>
        <w:t> </w:t>
      </w:r>
      <w:r>
        <w:rPr/>
        <w:t>54-</w:t>
      </w:r>
      <w:r>
        <w:rPr>
          <w:spacing w:val="-5"/>
        </w:rPr>
        <w:t>65.</w:t>
      </w:r>
    </w:p>
    <w:p>
      <w:pPr>
        <w:pStyle w:val="BodyText"/>
        <w:spacing w:before="13"/>
      </w:pPr>
    </w:p>
    <w:p>
      <w:pPr>
        <w:pStyle w:val="BodyText"/>
        <w:spacing w:line="244" w:lineRule="auto"/>
        <w:ind w:left="665" w:right="1098"/>
        <w:jc w:val="both"/>
      </w:pPr>
      <w:r>
        <w:rPr/>
        <w:t>Ohwoavworhua, F.O., Adelakun, T.A. (2005). Some Physical characteristics of Microcrystalline cellulose – obtained from Raw cotton of Cochlospermum panchonii.</w:t>
      </w:r>
      <w:r>
        <w:rPr>
          <w:spacing w:val="40"/>
        </w:rPr>
        <w:t> </w:t>
      </w:r>
      <w:r>
        <w:rPr>
          <w:i/>
        </w:rPr>
        <w:t>Trop J of Pharm Res</w:t>
      </w:r>
      <w:r>
        <w:rPr/>
        <w:t>; </w:t>
      </w:r>
      <w:r>
        <w:rPr>
          <w:b/>
        </w:rPr>
        <w:t>4 </w:t>
      </w:r>
      <w:r>
        <w:rPr/>
        <w:t>(2): 501-507</w:t>
      </w:r>
    </w:p>
    <w:p>
      <w:pPr>
        <w:pStyle w:val="BodyText"/>
        <w:spacing w:before="9"/>
      </w:pPr>
    </w:p>
    <w:p>
      <w:pPr>
        <w:pStyle w:val="BodyText"/>
        <w:spacing w:line="244" w:lineRule="auto" w:before="1"/>
        <w:ind w:left="665" w:right="1095"/>
        <w:jc w:val="both"/>
      </w:pPr>
      <w:r>
        <w:rPr/>
        <w:t>Ohwoavworhua, F.O., Adelakun, T.A, and</w:t>
      </w:r>
      <w:r>
        <w:rPr>
          <w:spacing w:val="40"/>
        </w:rPr>
        <w:t> </w:t>
      </w:r>
      <w:r>
        <w:rPr/>
        <w:t>Kunle, O.O.</w:t>
      </w:r>
      <w:r>
        <w:rPr>
          <w:spacing w:val="40"/>
        </w:rPr>
        <w:t> </w:t>
      </w:r>
      <w:r>
        <w:rPr/>
        <w:t>(2007). A comparative</w:t>
      </w:r>
      <w:r>
        <w:rPr>
          <w:spacing w:val="40"/>
        </w:rPr>
        <w:t> </w:t>
      </w:r>
      <w:r>
        <w:rPr/>
        <w:t>Evaluation of the Flow and Compaction Characteristics of &amp; Cellulose obtained from Waste paper. </w:t>
      </w:r>
      <w:r>
        <w:rPr>
          <w:i/>
        </w:rPr>
        <w:t>Trop. J. of Pharm. Res</w:t>
      </w:r>
      <w:r>
        <w:rPr/>
        <w:t>, </w:t>
      </w:r>
      <w:r>
        <w:rPr>
          <w:b/>
        </w:rPr>
        <w:t>6 </w:t>
      </w:r>
      <w:r>
        <w:rPr/>
        <w:t>(1): 645-651.</w:t>
      </w:r>
    </w:p>
    <w:p>
      <w:pPr>
        <w:pStyle w:val="BodyText"/>
        <w:spacing w:before="9"/>
      </w:pPr>
    </w:p>
    <w:p>
      <w:pPr>
        <w:pStyle w:val="BodyText"/>
        <w:spacing w:line="247" w:lineRule="auto"/>
        <w:ind w:left="665" w:right="1096"/>
        <w:jc w:val="both"/>
      </w:pPr>
      <w:r>
        <w:rPr/>
        <w:t>Okafor, I. S. (1990). A Comparative Study of Modified Starches in Direct Compression Tableting. M.Sc.Dissertation, Department of Pharmaceutical Technology and Industrial Pharmacy, University of Nigeria, Nsukka, Nigeria.</w:t>
      </w:r>
    </w:p>
    <w:p>
      <w:pPr>
        <w:pStyle w:val="BodyText"/>
        <w:spacing w:before="7"/>
      </w:pPr>
    </w:p>
    <w:p>
      <w:pPr>
        <w:pStyle w:val="BodyText"/>
        <w:spacing w:line="244" w:lineRule="auto"/>
        <w:ind w:left="665" w:right="1090"/>
        <w:jc w:val="both"/>
      </w:pPr>
      <w:r>
        <w:rPr/>
        <w:t>Okafor, I.S., Ofoefule, S.I. and Udeala, O.K. (2000).A comparative study of modified starches in direct compression of a water soluble drug – chloroquine phosphate. </w:t>
      </w:r>
      <w:r>
        <w:rPr>
          <w:i/>
        </w:rPr>
        <w:t>Boll</w:t>
      </w:r>
      <w:r>
        <w:rPr>
          <w:i/>
          <w:spacing w:val="40"/>
        </w:rPr>
        <w:t> </w:t>
      </w:r>
      <w:r>
        <w:rPr>
          <w:i/>
        </w:rPr>
        <w:t>Chim. Farm</w:t>
      </w:r>
      <w:r>
        <w:rPr/>
        <w:t>. </w:t>
      </w:r>
      <w:r>
        <w:rPr>
          <w:b/>
        </w:rPr>
        <w:t>139 </w:t>
      </w:r>
      <w:r>
        <w:rPr/>
        <w:t>(6):252-5.</w:t>
      </w:r>
    </w:p>
    <w:p>
      <w:pPr>
        <w:pStyle w:val="BodyText"/>
        <w:spacing w:before="10"/>
      </w:pPr>
    </w:p>
    <w:p>
      <w:pPr>
        <w:pStyle w:val="BodyText"/>
        <w:spacing w:line="244" w:lineRule="auto"/>
        <w:ind w:left="665" w:right="1103"/>
        <w:jc w:val="both"/>
      </w:pPr>
      <w:r>
        <w:rPr/>
        <w:t>Oladapo, A.A., Micheal, A.O., and Oludele, A.I. (2006). Compression, Mechanical and Release Properties of chloroquine phosphate tablets containing corn and trifoliate yam starches as binder. </w:t>
      </w:r>
      <w:r>
        <w:rPr>
          <w:i/>
        </w:rPr>
        <w:t>Trop J of Pharm Res. </w:t>
      </w:r>
      <w:r>
        <w:rPr>
          <w:b/>
        </w:rPr>
        <w:t>5 </w:t>
      </w:r>
      <w:r>
        <w:rPr/>
        <w:t>(2):589-696.</w:t>
      </w:r>
    </w:p>
    <w:p>
      <w:pPr>
        <w:spacing w:after="0" w:line="244" w:lineRule="auto"/>
        <w:jc w:val="both"/>
        <w:sectPr>
          <w:pgSz w:w="12240" w:h="15840"/>
          <w:pgMar w:header="0" w:footer="999" w:top="1260" w:bottom="1180" w:left="1720" w:right="760"/>
        </w:sectPr>
      </w:pPr>
    </w:p>
    <w:p>
      <w:pPr>
        <w:pStyle w:val="BodyText"/>
        <w:spacing w:line="244" w:lineRule="auto" w:before="75"/>
        <w:ind w:left="665" w:right="1099"/>
        <w:jc w:val="both"/>
      </w:pPr>
      <w:r>
        <w:rPr/>
        <w:t>Olayemi, O.J. (2008). Comparative Evaluation of Maize, Rice and Wheat starches as tabletting excipients. MSc Thesis Department of Pharmaceutics and Pharm. Micro., Faculty of Pharm. Sci., Ahmadu Bello University, Zaria.</w:t>
      </w:r>
    </w:p>
    <w:p>
      <w:pPr>
        <w:pStyle w:val="BodyText"/>
        <w:spacing w:before="10"/>
      </w:pPr>
    </w:p>
    <w:p>
      <w:pPr>
        <w:spacing w:line="244" w:lineRule="auto" w:before="0"/>
        <w:ind w:left="665" w:right="1101" w:firstLine="0"/>
        <w:jc w:val="both"/>
        <w:rPr>
          <w:sz w:val="22"/>
        </w:rPr>
      </w:pPr>
      <w:r>
        <w:rPr>
          <w:sz w:val="22"/>
        </w:rPr>
        <w:t>Paronen, P. and Jushin, M. (1983). Compression Characteristics of four starches. </w:t>
      </w:r>
      <w:r>
        <w:rPr>
          <w:i/>
          <w:sz w:val="22"/>
        </w:rPr>
        <w:t>J.</w:t>
      </w:r>
      <w:r>
        <w:rPr>
          <w:i/>
          <w:spacing w:val="40"/>
          <w:sz w:val="22"/>
        </w:rPr>
        <w:t> </w:t>
      </w:r>
      <w:r>
        <w:rPr>
          <w:i/>
          <w:sz w:val="22"/>
        </w:rPr>
        <w:t>Pharm. Pharmacol. </w:t>
      </w:r>
      <w:r>
        <w:rPr>
          <w:b/>
          <w:sz w:val="22"/>
        </w:rPr>
        <w:t>35 </w:t>
      </w:r>
      <w:r>
        <w:rPr>
          <w:sz w:val="22"/>
        </w:rPr>
        <w:t>(10): 627-635.</w:t>
      </w:r>
    </w:p>
    <w:p>
      <w:pPr>
        <w:pStyle w:val="BodyText"/>
        <w:spacing w:before="8"/>
      </w:pPr>
    </w:p>
    <w:p>
      <w:pPr>
        <w:pStyle w:val="BodyText"/>
        <w:spacing w:line="244" w:lineRule="auto"/>
        <w:ind w:left="665" w:right="1098"/>
        <w:jc w:val="both"/>
      </w:pPr>
      <w:r>
        <w:rPr/>
        <w:t>Peerapattana,</w:t>
      </w:r>
      <w:r>
        <w:rPr>
          <w:spacing w:val="29"/>
        </w:rPr>
        <w:t> </w:t>
      </w:r>
      <w:r>
        <w:rPr/>
        <w:t>J.,</w:t>
      </w:r>
      <w:r>
        <w:rPr>
          <w:spacing w:val="29"/>
        </w:rPr>
        <w:t> </w:t>
      </w:r>
      <w:r>
        <w:rPr/>
        <w:t>Tattawasart,</w:t>
      </w:r>
      <w:r>
        <w:rPr>
          <w:spacing w:val="29"/>
        </w:rPr>
        <w:t> </w:t>
      </w:r>
      <w:r>
        <w:rPr/>
        <w:t>A.</w:t>
      </w:r>
      <w:r>
        <w:rPr>
          <w:spacing w:val="29"/>
        </w:rPr>
        <w:t> </w:t>
      </w:r>
      <w:r>
        <w:rPr/>
        <w:t>and</w:t>
      </w:r>
      <w:r>
        <w:rPr>
          <w:spacing w:val="32"/>
        </w:rPr>
        <w:t> </w:t>
      </w:r>
      <w:r>
        <w:rPr/>
        <w:t>Sridesdaruk,</w:t>
      </w:r>
      <w:r>
        <w:rPr>
          <w:spacing w:val="25"/>
        </w:rPr>
        <w:t> </w:t>
      </w:r>
      <w:r>
        <w:rPr/>
        <w:t>V.</w:t>
      </w:r>
      <w:r>
        <w:rPr>
          <w:spacing w:val="29"/>
        </w:rPr>
        <w:t> </w:t>
      </w:r>
      <w:r>
        <w:rPr/>
        <w:t>(2004).</w:t>
      </w:r>
      <w:r>
        <w:rPr>
          <w:spacing w:val="28"/>
        </w:rPr>
        <w:t> </w:t>
      </w:r>
      <w:r>
        <w:rPr/>
        <w:t>Modified</w:t>
      </w:r>
      <w:r>
        <w:rPr>
          <w:spacing w:val="32"/>
        </w:rPr>
        <w:t> </w:t>
      </w:r>
      <w:r>
        <w:rPr/>
        <w:t>glutinous</w:t>
      </w:r>
      <w:r>
        <w:rPr>
          <w:spacing w:val="27"/>
        </w:rPr>
        <w:t> </w:t>
      </w:r>
      <w:r>
        <w:rPr/>
        <w:t>starch as a hydrophilic matrix substance.</w:t>
      </w:r>
      <w:r>
        <w:rPr>
          <w:spacing w:val="37"/>
        </w:rPr>
        <w:t> </w:t>
      </w:r>
      <w:r>
        <w:rPr>
          <w:i/>
        </w:rPr>
        <w:t>Thai. J. Pharm. Sci., </w:t>
      </w:r>
      <w:r>
        <w:rPr>
          <w:b/>
        </w:rPr>
        <w:t>28 </w:t>
      </w:r>
      <w:r>
        <w:rPr/>
        <w:t>(1-2): 57-72.</w:t>
      </w:r>
    </w:p>
    <w:p>
      <w:pPr>
        <w:pStyle w:val="BodyText"/>
        <w:spacing w:before="9"/>
      </w:pPr>
    </w:p>
    <w:p>
      <w:pPr>
        <w:pStyle w:val="BodyText"/>
        <w:spacing w:line="244" w:lineRule="auto"/>
        <w:ind w:left="665" w:right="1093"/>
        <w:jc w:val="both"/>
      </w:pPr>
      <w:r>
        <w:rPr/>
        <w:t>Pernarowski, M., Woo, W., Searle, R., (1968). Continuous flow apparatus for the determination of the dissolution characteristics of tablets and capsules.</w:t>
      </w:r>
      <w:r>
        <w:rPr>
          <w:spacing w:val="40"/>
        </w:rPr>
        <w:t> </w:t>
      </w:r>
      <w:r>
        <w:rPr>
          <w:i/>
        </w:rPr>
        <w:t>J. Pharm. Sci. </w:t>
      </w:r>
      <w:r>
        <w:rPr>
          <w:b/>
          <w:spacing w:val="-2"/>
        </w:rPr>
        <w:t>57</w:t>
      </w:r>
      <w:r>
        <w:rPr>
          <w:spacing w:val="-2"/>
        </w:rPr>
        <w:t>:1419.</w:t>
      </w:r>
    </w:p>
    <w:p>
      <w:pPr>
        <w:pStyle w:val="BodyText"/>
        <w:spacing w:before="9"/>
      </w:pPr>
    </w:p>
    <w:p>
      <w:pPr>
        <w:pStyle w:val="BodyText"/>
        <w:spacing w:line="244" w:lineRule="auto" w:before="1"/>
        <w:ind w:left="665" w:right="1096"/>
        <w:jc w:val="both"/>
      </w:pPr>
      <w:r>
        <w:rPr/>
        <w:t>Picker-Freyer, K.M. and Hauschild, K. (2004). Evaluation of a New Coprocessed Compound Based on Lactose and Maize Starch for Tablet Formulation. </w:t>
      </w:r>
      <w:r>
        <w:rPr>
          <w:i/>
        </w:rPr>
        <w:t>AAPS Pharm</w:t>
      </w:r>
      <w:r>
        <w:rPr>
          <w:i/>
          <w:spacing w:val="40"/>
        </w:rPr>
        <w:t> </w:t>
      </w:r>
      <w:r>
        <w:rPr>
          <w:i/>
        </w:rPr>
        <w:t>Sci.</w:t>
      </w:r>
      <w:r>
        <w:rPr>
          <w:b/>
        </w:rPr>
        <w:t>6 </w:t>
      </w:r>
      <w:r>
        <w:rPr/>
        <w:t>(2): article16.</w:t>
      </w:r>
    </w:p>
    <w:p>
      <w:pPr>
        <w:pStyle w:val="BodyText"/>
        <w:spacing w:before="9"/>
      </w:pPr>
    </w:p>
    <w:p>
      <w:pPr>
        <w:pStyle w:val="BodyText"/>
        <w:spacing w:line="249" w:lineRule="auto"/>
        <w:ind w:left="665" w:right="1098"/>
        <w:jc w:val="both"/>
      </w:pPr>
      <w:r>
        <w:rPr/>
        <w:t>Picker-Freyer,</w:t>
      </w:r>
      <w:r>
        <w:rPr>
          <w:spacing w:val="40"/>
        </w:rPr>
        <w:t> </w:t>
      </w:r>
      <w:r>
        <w:rPr/>
        <w:t>K.M.</w:t>
      </w:r>
      <w:r>
        <w:rPr>
          <w:spacing w:val="40"/>
        </w:rPr>
        <w:t> </w:t>
      </w:r>
      <w:r>
        <w:rPr/>
        <w:t>and</w:t>
      </w:r>
      <w:r>
        <w:rPr>
          <w:spacing w:val="40"/>
        </w:rPr>
        <w:t> </w:t>
      </w:r>
      <w:r>
        <w:rPr/>
        <w:t>Brink,</w:t>
      </w:r>
      <w:r>
        <w:rPr>
          <w:spacing w:val="40"/>
        </w:rPr>
        <w:t> </w:t>
      </w:r>
      <w:r>
        <w:rPr/>
        <w:t>D.</w:t>
      </w:r>
      <w:r>
        <w:rPr>
          <w:spacing w:val="40"/>
        </w:rPr>
        <w:t> </w:t>
      </w:r>
      <w:r>
        <w:rPr/>
        <w:t>(2006).</w:t>
      </w:r>
      <w:r>
        <w:rPr>
          <w:spacing w:val="40"/>
        </w:rPr>
        <w:t> </w:t>
      </w:r>
      <w:r>
        <w:rPr/>
        <w:t>Evaluation</w:t>
      </w:r>
      <w:r>
        <w:rPr>
          <w:spacing w:val="40"/>
        </w:rPr>
        <w:t> </w:t>
      </w:r>
      <w:r>
        <w:rPr/>
        <w:t>of</w:t>
      </w:r>
      <w:r>
        <w:rPr>
          <w:spacing w:val="40"/>
        </w:rPr>
        <w:t> </w:t>
      </w:r>
      <w:r>
        <w:rPr/>
        <w:t>Powder</w:t>
      </w:r>
      <w:r>
        <w:rPr>
          <w:spacing w:val="40"/>
        </w:rPr>
        <w:t> </w:t>
      </w:r>
      <w:r>
        <w:rPr/>
        <w:t>and</w:t>
      </w:r>
      <w:r>
        <w:rPr>
          <w:spacing w:val="40"/>
        </w:rPr>
        <w:t> </w:t>
      </w:r>
      <w:r>
        <w:rPr/>
        <w:t>Tableting properties of Chitosan. </w:t>
      </w:r>
      <w:r>
        <w:rPr>
          <w:i/>
        </w:rPr>
        <w:t>AAPS Pharm Sci Tech, </w:t>
      </w:r>
      <w:r>
        <w:rPr>
          <w:b/>
        </w:rPr>
        <w:t>7 </w:t>
      </w:r>
      <w:r>
        <w:rPr/>
        <w:t>(3): E1-E10.</w:t>
      </w:r>
    </w:p>
    <w:p>
      <w:pPr>
        <w:pStyle w:val="BodyText"/>
        <w:spacing w:before="3"/>
      </w:pPr>
    </w:p>
    <w:p>
      <w:pPr>
        <w:pStyle w:val="BodyText"/>
        <w:spacing w:line="244" w:lineRule="auto" w:before="1"/>
        <w:ind w:left="665" w:right="1099"/>
        <w:jc w:val="both"/>
      </w:pPr>
      <w:r>
        <w:rPr/>
        <w:t>Pilpel, N., Otuyemi, S.O. and Kurup, T.R.R. (1978). Factors affecting the disintegration and</w:t>
      </w:r>
      <w:r>
        <w:rPr>
          <w:spacing w:val="40"/>
        </w:rPr>
        <w:t> </w:t>
      </w:r>
      <w:r>
        <w:rPr/>
        <w:t>dissolution of Chloroquine Phosphate/starch tablets</w:t>
      </w:r>
      <w:r>
        <w:rPr>
          <w:spacing w:val="40"/>
        </w:rPr>
        <w:t> </w:t>
      </w:r>
      <w:r>
        <w:rPr>
          <w:i/>
        </w:rPr>
        <w:t>J.</w:t>
      </w:r>
      <w:r>
        <w:rPr>
          <w:i/>
          <w:spacing w:val="40"/>
        </w:rPr>
        <w:t> </w:t>
      </w:r>
      <w:r>
        <w:rPr>
          <w:i/>
        </w:rPr>
        <w:t>Pharm. Pharmacol</w:t>
      </w:r>
      <w:r>
        <w:rPr/>
        <w:t>. 30:214.</w:t>
      </w:r>
    </w:p>
    <w:p>
      <w:pPr>
        <w:pStyle w:val="BodyText"/>
        <w:spacing w:before="8"/>
      </w:pPr>
    </w:p>
    <w:p>
      <w:pPr>
        <w:pStyle w:val="BodyText"/>
        <w:spacing w:line="244" w:lineRule="auto"/>
        <w:ind w:left="665" w:right="1095"/>
        <w:jc w:val="both"/>
      </w:pPr>
      <w:r>
        <w:rPr/>
        <w:t>Podczeck,</w:t>
      </w:r>
      <w:r>
        <w:rPr>
          <w:spacing w:val="40"/>
        </w:rPr>
        <w:t> </w:t>
      </w:r>
      <w:r>
        <w:rPr/>
        <w:t>F.,</w:t>
      </w:r>
      <w:r>
        <w:rPr>
          <w:spacing w:val="40"/>
        </w:rPr>
        <w:t> </w:t>
      </w:r>
      <w:r>
        <w:rPr/>
        <w:t>Sharma,</w:t>
      </w:r>
      <w:r>
        <w:rPr>
          <w:spacing w:val="40"/>
        </w:rPr>
        <w:t> </w:t>
      </w:r>
      <w:r>
        <w:rPr/>
        <w:t>M.</w:t>
      </w:r>
      <w:r>
        <w:rPr>
          <w:spacing w:val="40"/>
        </w:rPr>
        <w:t> </w:t>
      </w:r>
      <w:r>
        <w:rPr/>
        <w:t>(1996).The</w:t>
      </w:r>
      <w:r>
        <w:rPr>
          <w:spacing w:val="40"/>
        </w:rPr>
        <w:t> </w:t>
      </w:r>
      <w:r>
        <w:rPr/>
        <w:t>influence</w:t>
      </w:r>
      <w:r>
        <w:rPr>
          <w:spacing w:val="40"/>
        </w:rPr>
        <w:t> </w:t>
      </w:r>
      <w:r>
        <w:rPr/>
        <w:t>of</w:t>
      </w:r>
      <w:r>
        <w:rPr>
          <w:spacing w:val="40"/>
        </w:rPr>
        <w:t> </w:t>
      </w:r>
      <w:r>
        <w:rPr/>
        <w:t>particle</w:t>
      </w:r>
      <w:r>
        <w:rPr>
          <w:spacing w:val="40"/>
        </w:rPr>
        <w:t> </w:t>
      </w:r>
      <w:r>
        <w:rPr/>
        <w:t>size</w:t>
      </w:r>
      <w:r>
        <w:rPr>
          <w:spacing w:val="40"/>
        </w:rPr>
        <w:t> </w:t>
      </w:r>
      <w:r>
        <w:rPr/>
        <w:t>and</w:t>
      </w:r>
      <w:r>
        <w:rPr>
          <w:spacing w:val="40"/>
        </w:rPr>
        <w:t> </w:t>
      </w:r>
      <w:r>
        <w:rPr/>
        <w:t>shape</w:t>
      </w:r>
      <w:r>
        <w:rPr>
          <w:spacing w:val="40"/>
        </w:rPr>
        <w:t> </w:t>
      </w:r>
      <w:r>
        <w:rPr/>
        <w:t>of components of binary powder mixtures on the maximum volume reduction due to</w:t>
      </w:r>
      <w:r>
        <w:rPr>
          <w:spacing w:val="40"/>
        </w:rPr>
        <w:t> </w:t>
      </w:r>
      <w:r>
        <w:rPr/>
        <w:t>packing. </w:t>
      </w:r>
      <w:r>
        <w:rPr>
          <w:i/>
        </w:rPr>
        <w:t>Int. J. Pharm</w:t>
      </w:r>
      <w:r>
        <w:rPr/>
        <w:t>. 137: 41-47.</w:t>
      </w:r>
    </w:p>
    <w:p>
      <w:pPr>
        <w:pStyle w:val="BodyText"/>
        <w:spacing w:before="10"/>
      </w:pPr>
    </w:p>
    <w:p>
      <w:pPr>
        <w:pStyle w:val="BodyText"/>
        <w:spacing w:line="244" w:lineRule="auto"/>
        <w:ind w:left="665" w:right="1098"/>
        <w:jc w:val="both"/>
      </w:pPr>
      <w:r>
        <w:rPr/>
        <w:t>Poole, J. (1969). Fully-automated system for dissolution to the paddle method. </w:t>
      </w:r>
      <w:r>
        <w:rPr>
          <w:i/>
        </w:rPr>
        <w:t>Drug Inform Bull</w:t>
      </w:r>
      <w:r>
        <w:rPr/>
        <w:t>, 3:8.</w:t>
      </w:r>
    </w:p>
    <w:p>
      <w:pPr>
        <w:pStyle w:val="BodyText"/>
        <w:spacing w:before="13"/>
      </w:pPr>
    </w:p>
    <w:p>
      <w:pPr>
        <w:pStyle w:val="BodyText"/>
        <w:ind w:left="665"/>
      </w:pPr>
      <w:r>
        <w:rPr/>
        <w:t>Prescott,</w:t>
      </w:r>
      <w:r>
        <w:rPr>
          <w:spacing w:val="11"/>
        </w:rPr>
        <w:t> </w:t>
      </w:r>
      <w:r>
        <w:rPr/>
        <w:t>J.K.</w:t>
      </w:r>
      <w:r>
        <w:rPr>
          <w:spacing w:val="8"/>
        </w:rPr>
        <w:t> </w:t>
      </w:r>
      <w:r>
        <w:rPr/>
        <w:t>and</w:t>
      </w:r>
      <w:r>
        <w:rPr>
          <w:spacing w:val="13"/>
        </w:rPr>
        <w:t> </w:t>
      </w:r>
      <w:r>
        <w:rPr/>
        <w:t>Barnum,</w:t>
      </w:r>
      <w:r>
        <w:rPr>
          <w:spacing w:val="12"/>
        </w:rPr>
        <w:t> </w:t>
      </w:r>
      <w:r>
        <w:rPr/>
        <w:t>R.A.</w:t>
      </w:r>
      <w:r>
        <w:rPr>
          <w:spacing w:val="13"/>
        </w:rPr>
        <w:t> </w:t>
      </w:r>
      <w:r>
        <w:rPr/>
        <w:t>(2008).Powder</w:t>
      </w:r>
      <w:r>
        <w:rPr>
          <w:spacing w:val="13"/>
        </w:rPr>
        <w:t> </w:t>
      </w:r>
      <w:r>
        <w:rPr/>
        <w:t>flowability.</w:t>
      </w:r>
      <w:r>
        <w:rPr>
          <w:spacing w:val="20"/>
        </w:rPr>
        <w:t> </w:t>
      </w:r>
      <w:r>
        <w:rPr>
          <w:i/>
        </w:rPr>
        <w:t>Pharm.</w:t>
      </w:r>
      <w:r>
        <w:rPr>
          <w:i/>
          <w:spacing w:val="18"/>
        </w:rPr>
        <w:t> </w:t>
      </w:r>
      <w:r>
        <w:rPr>
          <w:i/>
        </w:rPr>
        <w:t>Tech.</w:t>
      </w:r>
      <w:r>
        <w:rPr/>
        <w:t>,</w:t>
      </w:r>
      <w:r>
        <w:rPr>
          <w:spacing w:val="12"/>
        </w:rPr>
        <w:t> </w:t>
      </w:r>
      <w:r>
        <w:rPr/>
        <w:t>p</w:t>
      </w:r>
      <w:r>
        <w:rPr>
          <w:spacing w:val="2"/>
        </w:rPr>
        <w:t> </w:t>
      </w:r>
      <w:r>
        <w:rPr/>
        <w:t>60-</w:t>
      </w:r>
      <w:r>
        <w:rPr>
          <w:spacing w:val="-5"/>
        </w:rPr>
        <w:t>84.</w:t>
      </w:r>
    </w:p>
    <w:p>
      <w:pPr>
        <w:pStyle w:val="BodyText"/>
        <w:spacing w:before="12"/>
      </w:pPr>
    </w:p>
    <w:p>
      <w:pPr>
        <w:pStyle w:val="BodyText"/>
        <w:spacing w:line="244" w:lineRule="auto" w:before="1"/>
        <w:ind w:left="665" w:right="1095"/>
        <w:jc w:val="both"/>
      </w:pPr>
      <w:r>
        <w:rPr/>
        <w:t>Puehongkavarin, H., Bergthaller, W., Shosngob, S. and Varavinit, S. (2003). Characterization and utilization of Acid-modified rice starches for use in pharmaceutical tablet compression. </w:t>
      </w:r>
      <w:r>
        <w:rPr>
          <w:i/>
        </w:rPr>
        <w:t>Starch/Starke</w:t>
      </w:r>
      <w:r>
        <w:rPr/>
        <w:t>, 55:464-475.</w:t>
      </w:r>
    </w:p>
    <w:p>
      <w:pPr>
        <w:pStyle w:val="BodyText"/>
        <w:spacing w:before="9"/>
      </w:pPr>
    </w:p>
    <w:p>
      <w:pPr>
        <w:pStyle w:val="BodyText"/>
        <w:ind w:left="665" w:right="1108"/>
      </w:pPr>
      <w:r>
        <w:rPr/>
        <w:t>Ravindra,</w:t>
      </w:r>
      <w:r>
        <w:rPr>
          <w:spacing w:val="40"/>
        </w:rPr>
        <w:t> </w:t>
      </w:r>
      <w:r>
        <w:rPr/>
        <w:t>S.D.</w:t>
      </w:r>
      <w:r>
        <w:rPr>
          <w:spacing w:val="40"/>
        </w:rPr>
        <w:t> </w:t>
      </w:r>
      <w:r>
        <w:rPr/>
        <w:t>Shamkant,</w:t>
      </w:r>
      <w:r>
        <w:rPr>
          <w:spacing w:val="40"/>
        </w:rPr>
        <w:t> </w:t>
      </w:r>
      <w:r>
        <w:rPr/>
        <w:t>L.S.,</w:t>
      </w:r>
      <w:r>
        <w:rPr>
          <w:spacing w:val="40"/>
        </w:rPr>
        <w:t> </w:t>
      </w:r>
      <w:r>
        <w:rPr/>
        <w:t>Bhaskar,</w:t>
      </w:r>
      <w:r>
        <w:rPr>
          <w:spacing w:val="40"/>
        </w:rPr>
        <w:t> </w:t>
      </w:r>
      <w:r>
        <w:rPr/>
        <w:t>C,</w:t>
      </w:r>
      <w:r>
        <w:rPr>
          <w:spacing w:val="40"/>
        </w:rPr>
        <w:t> </w:t>
      </w:r>
      <w:r>
        <w:rPr/>
        <w:t>Kakasahib,</w:t>
      </w:r>
      <w:r>
        <w:rPr>
          <w:spacing w:val="40"/>
        </w:rPr>
        <w:t> </w:t>
      </w:r>
      <w:r>
        <w:rPr/>
        <w:t>R.M.</w:t>
      </w:r>
      <w:r>
        <w:rPr>
          <w:spacing w:val="40"/>
        </w:rPr>
        <w:t> </w:t>
      </w:r>
      <w:r>
        <w:rPr/>
        <w:t>and</w:t>
      </w:r>
      <w:r>
        <w:rPr>
          <w:spacing w:val="40"/>
        </w:rPr>
        <w:t> </w:t>
      </w:r>
      <w:r>
        <w:rPr/>
        <w:t>Anant,</w:t>
      </w:r>
      <w:r>
        <w:rPr>
          <w:spacing w:val="40"/>
        </w:rPr>
        <w:t> </w:t>
      </w:r>
      <w:r>
        <w:rPr/>
        <w:t>P.,</w:t>
      </w:r>
      <w:r>
        <w:rPr>
          <w:spacing w:val="40"/>
        </w:rPr>
        <w:t> </w:t>
      </w:r>
      <w:r>
        <w:rPr/>
        <w:t>(2006). Evaluation of a drug with wax-like properties as</w:t>
      </w:r>
      <w:r>
        <w:rPr>
          <w:spacing w:val="28"/>
        </w:rPr>
        <w:t> </w:t>
      </w:r>
      <w:r>
        <w:rPr/>
        <w:t>a melt binder.</w:t>
      </w:r>
      <w:r>
        <w:rPr>
          <w:spacing w:val="25"/>
        </w:rPr>
        <w:t> </w:t>
      </w:r>
      <w:r>
        <w:rPr>
          <w:i/>
        </w:rPr>
        <w:t>Acta</w:t>
      </w:r>
      <w:r>
        <w:rPr>
          <w:i/>
          <w:spacing w:val="25"/>
        </w:rPr>
        <w:t> </w:t>
      </w:r>
      <w:r>
        <w:rPr>
          <w:i/>
        </w:rPr>
        <w:t>Pharm. </w:t>
      </w:r>
      <w:r>
        <w:rPr/>
        <w:t>56:51-461.</w:t>
      </w:r>
    </w:p>
    <w:p>
      <w:pPr>
        <w:pStyle w:val="BodyText"/>
        <w:spacing w:before="19"/>
      </w:pPr>
    </w:p>
    <w:p>
      <w:pPr>
        <w:pStyle w:val="BodyText"/>
        <w:spacing w:line="244" w:lineRule="auto"/>
        <w:ind w:left="665" w:right="1098"/>
        <w:jc w:val="both"/>
      </w:pPr>
      <w:r>
        <w:rPr/>
        <w:t>Rawlins,</w:t>
      </w:r>
      <w:r>
        <w:rPr>
          <w:spacing w:val="39"/>
        </w:rPr>
        <w:t> </w:t>
      </w:r>
      <w:r>
        <w:rPr/>
        <w:t>E.A.</w:t>
      </w:r>
      <w:r>
        <w:rPr>
          <w:spacing w:val="28"/>
        </w:rPr>
        <w:t> </w:t>
      </w:r>
      <w:r>
        <w:rPr/>
        <w:t>(2004).</w:t>
      </w:r>
      <w:r>
        <w:rPr>
          <w:spacing w:val="33"/>
        </w:rPr>
        <w:t> </w:t>
      </w:r>
      <w:r>
        <w:rPr/>
        <w:t>Tablets</w:t>
      </w:r>
      <w:r>
        <w:rPr>
          <w:spacing w:val="31"/>
        </w:rPr>
        <w:t> </w:t>
      </w:r>
      <w:r>
        <w:rPr/>
        <w:t>and</w:t>
      </w:r>
      <w:r>
        <w:rPr>
          <w:spacing w:val="36"/>
        </w:rPr>
        <w:t> </w:t>
      </w:r>
      <w:r>
        <w:rPr/>
        <w:t>Capsules.</w:t>
      </w:r>
      <w:r>
        <w:rPr>
          <w:spacing w:val="39"/>
        </w:rPr>
        <w:t> </w:t>
      </w:r>
      <w:r>
        <w:rPr/>
        <w:t>In:</w:t>
      </w:r>
      <w:r>
        <w:rPr>
          <w:spacing w:val="32"/>
        </w:rPr>
        <w:t> </w:t>
      </w:r>
      <w:r>
        <w:rPr/>
        <w:t>Rawlins,</w:t>
      </w:r>
      <w:r>
        <w:rPr>
          <w:spacing w:val="39"/>
        </w:rPr>
        <w:t> </w:t>
      </w:r>
      <w:r>
        <w:rPr/>
        <w:t>E.A.</w:t>
      </w:r>
      <w:r>
        <w:rPr>
          <w:spacing w:val="28"/>
        </w:rPr>
        <w:t> </w:t>
      </w:r>
      <w:r>
        <w:rPr/>
        <w:t>(Ed),</w:t>
      </w:r>
      <w:r>
        <w:rPr>
          <w:spacing w:val="33"/>
        </w:rPr>
        <w:t> </w:t>
      </w:r>
      <w:r>
        <w:rPr/>
        <w:t>Bently</w:t>
      </w:r>
      <w:r>
        <w:rPr>
          <w:vertAlign w:val="superscript"/>
        </w:rPr>
        <w:t>,</w:t>
      </w:r>
      <w:r>
        <w:rPr>
          <w:vertAlign w:val="baseline"/>
        </w:rPr>
        <w:t>s</w:t>
      </w:r>
      <w:r>
        <w:rPr>
          <w:spacing w:val="25"/>
          <w:vertAlign w:val="baseline"/>
        </w:rPr>
        <w:t> </w:t>
      </w:r>
      <w:r>
        <w:rPr>
          <w:vertAlign w:val="baseline"/>
        </w:rPr>
        <w:t>textbook of pharmaceutics, 8</w:t>
      </w:r>
      <w:r>
        <w:rPr>
          <w:vertAlign w:val="superscript"/>
        </w:rPr>
        <w:t>th</w:t>
      </w:r>
      <w:r>
        <w:rPr>
          <w:vertAlign w:val="baseline"/>
        </w:rPr>
        <w:t> edition,</w:t>
      </w:r>
      <w:r>
        <w:rPr>
          <w:spacing w:val="40"/>
          <w:vertAlign w:val="baseline"/>
        </w:rPr>
        <w:t> </w:t>
      </w:r>
      <w:r>
        <w:rPr>
          <w:vertAlign w:val="baseline"/>
        </w:rPr>
        <w:t>AITBS Publishers, India, Chapter 19, pp 269-318.</w:t>
      </w:r>
    </w:p>
    <w:p>
      <w:pPr>
        <w:pStyle w:val="BodyText"/>
        <w:spacing w:before="8"/>
      </w:pPr>
    </w:p>
    <w:p>
      <w:pPr>
        <w:pStyle w:val="BodyText"/>
        <w:spacing w:line="244" w:lineRule="auto" w:before="1"/>
        <w:ind w:left="665" w:right="1095"/>
        <w:jc w:val="both"/>
      </w:pPr>
      <w:r>
        <w:rPr/>
        <w:t>Riley,</w:t>
      </w:r>
      <w:r>
        <w:rPr>
          <w:spacing w:val="40"/>
        </w:rPr>
        <w:t> </w:t>
      </w:r>
      <w:r>
        <w:rPr/>
        <w:t>C.K.,</w:t>
      </w:r>
      <w:r>
        <w:rPr>
          <w:spacing w:val="40"/>
        </w:rPr>
        <w:t> </w:t>
      </w:r>
      <w:r>
        <w:rPr/>
        <w:t>Adebayo,</w:t>
      </w:r>
      <w:r>
        <w:rPr>
          <w:spacing w:val="40"/>
        </w:rPr>
        <w:t> </w:t>
      </w:r>
      <w:r>
        <w:rPr/>
        <w:t>A.S,</w:t>
      </w:r>
      <w:r>
        <w:rPr>
          <w:spacing w:val="40"/>
        </w:rPr>
        <w:t> </w:t>
      </w:r>
      <w:r>
        <w:rPr/>
        <w:t>Wheatley,</w:t>
      </w:r>
      <w:r>
        <w:rPr>
          <w:spacing w:val="40"/>
        </w:rPr>
        <w:t> </w:t>
      </w:r>
      <w:r>
        <w:rPr/>
        <w:t>A.O.</w:t>
      </w:r>
      <w:r>
        <w:rPr>
          <w:spacing w:val="40"/>
        </w:rPr>
        <w:t> </w:t>
      </w:r>
      <w:r>
        <w:rPr/>
        <w:t>and</w:t>
      </w:r>
      <w:r>
        <w:rPr>
          <w:spacing w:val="40"/>
        </w:rPr>
        <w:t> </w:t>
      </w:r>
      <w:r>
        <w:rPr/>
        <w:t>Asemota,</w:t>
      </w:r>
      <w:r>
        <w:rPr>
          <w:spacing w:val="40"/>
        </w:rPr>
        <w:t> </w:t>
      </w:r>
      <w:r>
        <w:rPr/>
        <w:t>H.N.</w:t>
      </w:r>
      <w:r>
        <w:rPr>
          <w:spacing w:val="40"/>
        </w:rPr>
        <w:t> </w:t>
      </w:r>
      <w:r>
        <w:rPr/>
        <w:t>(2006).</w:t>
      </w:r>
      <w:r>
        <w:rPr>
          <w:spacing w:val="40"/>
        </w:rPr>
        <w:t> </w:t>
      </w:r>
      <w:r>
        <w:rPr/>
        <w:t>Fundamental and Derived Properties of Yam (</w:t>
      </w:r>
      <w:r>
        <w:rPr>
          <w:i/>
        </w:rPr>
        <w:t>Dioscorea spp</w:t>
      </w:r>
      <w:r>
        <w:rPr/>
        <w:t>.) Starch powders and implications in Tablets and</w:t>
      </w:r>
      <w:r>
        <w:rPr>
          <w:spacing w:val="36"/>
        </w:rPr>
        <w:t> </w:t>
      </w:r>
      <w:r>
        <w:rPr/>
        <w:t>Capsule Formulation. </w:t>
      </w:r>
      <w:r>
        <w:rPr>
          <w:i/>
        </w:rPr>
        <w:t>Afr J of Biotec. </w:t>
      </w:r>
      <w:r>
        <w:rPr>
          <w:b/>
        </w:rPr>
        <w:t>5 </w:t>
      </w:r>
      <w:r>
        <w:rPr/>
        <w:t>(17). Pp. 1528-1536.</w:t>
      </w:r>
    </w:p>
    <w:p>
      <w:pPr>
        <w:pStyle w:val="BodyText"/>
        <w:spacing w:before="9"/>
      </w:pPr>
    </w:p>
    <w:p>
      <w:pPr>
        <w:pStyle w:val="BodyText"/>
        <w:ind w:left="665"/>
      </w:pPr>
      <w:r>
        <w:rPr/>
        <w:t>Rudnic,</w:t>
      </w:r>
      <w:r>
        <w:rPr>
          <w:spacing w:val="25"/>
        </w:rPr>
        <w:t> </w:t>
      </w:r>
      <w:r>
        <w:rPr/>
        <w:t>E.M.</w:t>
      </w:r>
      <w:r>
        <w:rPr>
          <w:spacing w:val="26"/>
        </w:rPr>
        <w:t> </w:t>
      </w:r>
      <w:r>
        <w:rPr/>
        <w:t>and</w:t>
      </w:r>
      <w:r>
        <w:rPr>
          <w:spacing w:val="33"/>
        </w:rPr>
        <w:t> </w:t>
      </w:r>
      <w:r>
        <w:rPr/>
        <w:t>Kottke,</w:t>
      </w:r>
      <w:r>
        <w:rPr>
          <w:spacing w:val="31"/>
        </w:rPr>
        <w:t> </w:t>
      </w:r>
      <w:r>
        <w:rPr/>
        <w:t>M.K.</w:t>
      </w:r>
      <w:r>
        <w:rPr>
          <w:spacing w:val="26"/>
        </w:rPr>
        <w:t> </w:t>
      </w:r>
      <w:r>
        <w:rPr/>
        <w:t>(1999).</w:t>
      </w:r>
      <w:r>
        <w:rPr>
          <w:spacing w:val="31"/>
        </w:rPr>
        <w:t> </w:t>
      </w:r>
      <w:r>
        <w:rPr/>
        <w:t>Tablet</w:t>
      </w:r>
      <w:r>
        <w:rPr>
          <w:spacing w:val="24"/>
        </w:rPr>
        <w:t> </w:t>
      </w:r>
      <w:r>
        <w:rPr/>
        <w:t>dosage</w:t>
      </w:r>
      <w:r>
        <w:rPr>
          <w:spacing w:val="31"/>
        </w:rPr>
        <w:t> </w:t>
      </w:r>
      <w:r>
        <w:rPr/>
        <w:t>forms</w:t>
      </w:r>
      <w:r>
        <w:rPr>
          <w:spacing w:val="23"/>
        </w:rPr>
        <w:t> </w:t>
      </w:r>
      <w:r>
        <w:rPr/>
        <w:t>In:</w:t>
      </w:r>
      <w:r>
        <w:rPr>
          <w:spacing w:val="19"/>
        </w:rPr>
        <w:t> </w:t>
      </w:r>
      <w:r>
        <w:rPr/>
        <w:t>Banker,</w:t>
      </w:r>
      <w:r>
        <w:rPr>
          <w:spacing w:val="26"/>
        </w:rPr>
        <w:t> </w:t>
      </w:r>
      <w:r>
        <w:rPr/>
        <w:t>G.S.</w:t>
      </w:r>
      <w:r>
        <w:rPr>
          <w:spacing w:val="31"/>
        </w:rPr>
        <w:t> </w:t>
      </w:r>
      <w:r>
        <w:rPr>
          <w:spacing w:val="-2"/>
        </w:rPr>
        <w:t>Rhodes,</w:t>
      </w:r>
    </w:p>
    <w:p>
      <w:pPr>
        <w:pStyle w:val="BodyText"/>
        <w:spacing w:line="244" w:lineRule="auto" w:before="6"/>
        <w:ind w:left="665" w:right="1108"/>
      </w:pPr>
      <w:r>
        <w:rPr/>
        <w:t>C.T.</w:t>
      </w:r>
      <w:r>
        <w:rPr>
          <w:spacing w:val="35"/>
        </w:rPr>
        <w:t> </w:t>
      </w:r>
      <w:r>
        <w:rPr/>
        <w:t>(Eds.),</w:t>
      </w:r>
      <w:r>
        <w:rPr>
          <w:spacing w:val="35"/>
        </w:rPr>
        <w:t> </w:t>
      </w:r>
      <w:r>
        <w:rPr/>
        <w:t>Modern</w:t>
      </w:r>
      <w:r>
        <w:rPr>
          <w:spacing w:val="32"/>
        </w:rPr>
        <w:t> </w:t>
      </w:r>
      <w:r>
        <w:rPr/>
        <w:t>Pharmaceutics,</w:t>
      </w:r>
      <w:r>
        <w:rPr>
          <w:spacing w:val="40"/>
        </w:rPr>
        <w:t> </w:t>
      </w:r>
      <w:r>
        <w:rPr/>
        <w:t>3</w:t>
      </w:r>
      <w:r>
        <w:rPr>
          <w:vertAlign w:val="superscript"/>
        </w:rPr>
        <w:t>r</w:t>
      </w:r>
      <w:r>
        <w:rPr>
          <w:vertAlign w:val="superscript"/>
        </w:rPr>
        <w:t>d</w:t>
      </w:r>
      <w:r>
        <w:rPr>
          <w:spacing w:val="40"/>
          <w:vertAlign w:val="baseline"/>
        </w:rPr>
        <w:t> </w:t>
      </w:r>
      <w:r>
        <w:rPr>
          <w:vertAlign w:val="baseline"/>
        </w:rPr>
        <w:t>Edition</w:t>
      </w:r>
      <w:r>
        <w:rPr>
          <w:spacing w:val="38"/>
          <w:vertAlign w:val="baseline"/>
        </w:rPr>
        <w:t> </w:t>
      </w:r>
      <w:r>
        <w:rPr>
          <w:vertAlign w:val="baseline"/>
        </w:rPr>
        <w:t>revised</w:t>
      </w:r>
      <w:r>
        <w:rPr>
          <w:spacing w:val="40"/>
          <w:vertAlign w:val="baseline"/>
        </w:rPr>
        <w:t> </w:t>
      </w:r>
      <w:r>
        <w:rPr>
          <w:vertAlign w:val="baseline"/>
        </w:rPr>
        <w:t>and</w:t>
      </w:r>
      <w:r>
        <w:rPr>
          <w:spacing w:val="40"/>
          <w:vertAlign w:val="baseline"/>
        </w:rPr>
        <w:t> </w:t>
      </w:r>
      <w:r>
        <w:rPr>
          <w:vertAlign w:val="baseline"/>
        </w:rPr>
        <w:t>expanded.</w:t>
      </w:r>
      <w:r>
        <w:rPr>
          <w:spacing w:val="40"/>
          <w:vertAlign w:val="baseline"/>
        </w:rPr>
        <w:t> </w:t>
      </w:r>
      <w:r>
        <w:rPr>
          <w:vertAlign w:val="baseline"/>
        </w:rPr>
        <w:t>Marcel</w:t>
      </w:r>
      <w:r>
        <w:rPr>
          <w:spacing w:val="34"/>
          <w:vertAlign w:val="baseline"/>
        </w:rPr>
        <w:t> </w:t>
      </w:r>
      <w:r>
        <w:rPr>
          <w:vertAlign w:val="baseline"/>
        </w:rPr>
        <w:t>Dekker Inc, New York, USA pp. 333-394.</w:t>
      </w:r>
    </w:p>
    <w:p>
      <w:pPr>
        <w:spacing w:after="0" w:line="244" w:lineRule="auto"/>
        <w:sectPr>
          <w:pgSz w:w="12240" w:h="15840"/>
          <w:pgMar w:header="0" w:footer="999" w:top="1260" w:bottom="1180" w:left="1720" w:right="760"/>
        </w:sectPr>
      </w:pPr>
    </w:p>
    <w:p>
      <w:pPr>
        <w:pStyle w:val="BodyText"/>
        <w:spacing w:line="244" w:lineRule="auto" w:before="75"/>
        <w:ind w:left="665" w:right="1106"/>
        <w:jc w:val="both"/>
      </w:pPr>
      <w:r>
        <w:rPr/>
        <w:t>Schwartz, J.B., Martin, E.T. and Deliner, E.J. (1975). Intragranular Starch U.S.P. and modified corn starch. </w:t>
      </w:r>
      <w:r>
        <w:rPr>
          <w:i/>
        </w:rPr>
        <w:t>J. Pharm. Sci. </w:t>
      </w:r>
      <w:r>
        <w:rPr/>
        <w:t>64: 328-332.</w:t>
      </w:r>
    </w:p>
    <w:p>
      <w:pPr>
        <w:pStyle w:val="BodyText"/>
        <w:spacing w:before="8"/>
      </w:pPr>
    </w:p>
    <w:p>
      <w:pPr>
        <w:pStyle w:val="BodyText"/>
        <w:spacing w:line="244" w:lineRule="auto" w:before="1"/>
        <w:ind w:left="665" w:right="1101"/>
        <w:jc w:val="both"/>
      </w:pPr>
      <w:r>
        <w:rPr/>
        <w:t>Shotton, E and Obiorah, B.A. (1973). The effect of Particle shape and Crystal habit on properties of Sodium chloride. </w:t>
      </w:r>
      <w:r>
        <w:rPr>
          <w:i/>
        </w:rPr>
        <w:t>J. Pharm. Pharmacol</w:t>
      </w:r>
      <w:r>
        <w:rPr/>
        <w:t>.</w:t>
      </w:r>
      <w:r>
        <w:rPr>
          <w:b/>
        </w:rPr>
        <w:t>25</w:t>
      </w:r>
      <w:r>
        <w:rPr/>
        <w:t>: Suppl. 37p-43p.</w:t>
      </w:r>
    </w:p>
    <w:p>
      <w:pPr>
        <w:pStyle w:val="BodyText"/>
        <w:spacing w:before="8"/>
      </w:pPr>
    </w:p>
    <w:p>
      <w:pPr>
        <w:pStyle w:val="BodyText"/>
        <w:spacing w:line="244" w:lineRule="auto"/>
        <w:ind w:left="665" w:right="1095"/>
        <w:jc w:val="both"/>
      </w:pPr>
      <w:r>
        <w:rPr/>
        <w:t>Smith, A.M. (2001). “The biosynthesis of Starch granules”.</w:t>
      </w:r>
      <w:r>
        <w:rPr>
          <w:spacing w:val="40"/>
        </w:rPr>
        <w:t> </w:t>
      </w:r>
      <w:r>
        <w:rPr/>
        <w:t>Biomacromolecules </w:t>
      </w:r>
      <w:r>
        <w:rPr>
          <w:b/>
        </w:rPr>
        <w:t>2</w:t>
      </w:r>
      <w:r>
        <w:rPr/>
        <w:t>(2):</w:t>
      </w:r>
      <w:r>
        <w:rPr>
          <w:spacing w:val="40"/>
        </w:rPr>
        <w:t> </w:t>
      </w:r>
      <w:r>
        <w:rPr/>
        <w:t>335-41: PMID 11749190.</w:t>
      </w:r>
    </w:p>
    <w:p>
      <w:pPr>
        <w:pStyle w:val="BodyText"/>
        <w:spacing w:before="9"/>
      </w:pPr>
    </w:p>
    <w:p>
      <w:pPr>
        <w:pStyle w:val="BodyText"/>
        <w:ind w:left="665"/>
        <w:rPr>
          <w:i/>
        </w:rPr>
      </w:pPr>
      <w:r>
        <w:rPr/>
        <w:t>Sonnergaard,</w:t>
      </w:r>
      <w:r>
        <w:rPr>
          <w:spacing w:val="31"/>
        </w:rPr>
        <w:t> </w:t>
      </w:r>
      <w:r>
        <w:rPr/>
        <w:t>J.M.</w:t>
      </w:r>
      <w:r>
        <w:rPr>
          <w:spacing w:val="31"/>
        </w:rPr>
        <w:t> </w:t>
      </w:r>
      <w:r>
        <w:rPr/>
        <w:t>(1999).</w:t>
      </w:r>
      <w:r>
        <w:rPr>
          <w:spacing w:val="34"/>
        </w:rPr>
        <w:t> </w:t>
      </w:r>
      <w:r>
        <w:rPr/>
        <w:t>A</w:t>
      </w:r>
      <w:r>
        <w:rPr>
          <w:spacing w:val="32"/>
        </w:rPr>
        <w:t> </w:t>
      </w:r>
      <w:r>
        <w:rPr/>
        <w:t>critical</w:t>
      </w:r>
      <w:r>
        <w:rPr>
          <w:spacing w:val="36"/>
        </w:rPr>
        <w:t> </w:t>
      </w:r>
      <w:r>
        <w:rPr/>
        <w:t>evaluation</w:t>
      </w:r>
      <w:r>
        <w:rPr>
          <w:spacing w:val="22"/>
        </w:rPr>
        <w:t> </w:t>
      </w:r>
      <w:r>
        <w:rPr/>
        <w:t>of</w:t>
      </w:r>
      <w:r>
        <w:rPr>
          <w:spacing w:val="33"/>
        </w:rPr>
        <w:t> </w:t>
      </w:r>
      <w:r>
        <w:rPr/>
        <w:t>the</w:t>
      </w:r>
      <w:r>
        <w:rPr>
          <w:spacing w:val="37"/>
        </w:rPr>
        <w:t> </w:t>
      </w:r>
      <w:r>
        <w:rPr/>
        <w:t>Heckel</w:t>
      </w:r>
      <w:r>
        <w:rPr>
          <w:spacing w:val="30"/>
        </w:rPr>
        <w:t> </w:t>
      </w:r>
      <w:r>
        <w:rPr/>
        <w:t>equation.</w:t>
      </w:r>
      <w:r>
        <w:rPr>
          <w:spacing w:val="34"/>
        </w:rPr>
        <w:t> </w:t>
      </w:r>
      <w:r>
        <w:rPr>
          <w:i/>
        </w:rPr>
        <w:t>Int.</w:t>
      </w:r>
      <w:r>
        <w:rPr>
          <w:i/>
          <w:spacing w:val="32"/>
        </w:rPr>
        <w:t> </w:t>
      </w:r>
      <w:r>
        <w:rPr>
          <w:i/>
        </w:rPr>
        <w:t>J.</w:t>
      </w:r>
      <w:r>
        <w:rPr>
          <w:i/>
          <w:spacing w:val="31"/>
        </w:rPr>
        <w:t> </w:t>
      </w:r>
      <w:r>
        <w:rPr>
          <w:i/>
          <w:spacing w:val="-2"/>
        </w:rPr>
        <w:t>Pharm.</w:t>
      </w:r>
    </w:p>
    <w:p>
      <w:pPr>
        <w:pStyle w:val="BodyText"/>
        <w:spacing w:before="6"/>
        <w:ind w:left="665"/>
      </w:pPr>
      <w:r>
        <w:rPr/>
        <w:t>193:63-</w:t>
      </w:r>
      <w:r>
        <w:rPr>
          <w:spacing w:val="-5"/>
        </w:rPr>
        <w:t>71.</w:t>
      </w:r>
    </w:p>
    <w:p>
      <w:pPr>
        <w:pStyle w:val="BodyText"/>
        <w:spacing w:before="12"/>
      </w:pPr>
    </w:p>
    <w:p>
      <w:pPr>
        <w:pStyle w:val="BodyText"/>
        <w:spacing w:line="249" w:lineRule="auto"/>
        <w:ind w:left="665" w:right="1102"/>
        <w:jc w:val="both"/>
      </w:pPr>
      <w:r>
        <w:rPr/>
        <w:t>Staniforth, J.N. (1996). In: Aulton, M.E. (Ed). Pharmaceutics – The Science of Dosage Form Design. Churchill Livingstone. pp 600-615.</w:t>
      </w:r>
    </w:p>
    <w:p>
      <w:pPr>
        <w:pStyle w:val="BodyText"/>
        <w:spacing w:before="3"/>
      </w:pPr>
    </w:p>
    <w:p>
      <w:pPr>
        <w:pStyle w:val="BodyText"/>
        <w:spacing w:line="244" w:lineRule="auto" w:before="1"/>
        <w:ind w:left="665" w:right="1100"/>
        <w:jc w:val="both"/>
      </w:pPr>
      <w:r>
        <w:rPr/>
        <w:t>Staniforth, J.N. and Aulton, M.E. (2007). Powder flow In : Aulton, M.E. (Ed). Aulton Pharmaceutics: The design and manufacture of medicines, Churchill Living stone Elservier, London, 3</w:t>
      </w:r>
      <w:r>
        <w:rPr>
          <w:vertAlign w:val="superscript"/>
        </w:rPr>
        <w:t>rd</w:t>
      </w:r>
      <w:r>
        <w:rPr>
          <w:vertAlign w:val="baseline"/>
        </w:rPr>
        <w:t> edition, Chapter 13, pp 168-180.</w:t>
      </w:r>
    </w:p>
    <w:p>
      <w:pPr>
        <w:pStyle w:val="BodyText"/>
        <w:spacing w:before="9"/>
      </w:pPr>
    </w:p>
    <w:p>
      <w:pPr>
        <w:pStyle w:val="BodyText"/>
        <w:spacing w:line="244" w:lineRule="auto"/>
        <w:ind w:left="665" w:right="1098"/>
        <w:jc w:val="both"/>
      </w:pPr>
      <w:r>
        <w:rPr/>
        <w:t>Stryer, Lubert; Berg, Jeremy Mark; Tymoczok, John L. (2002).“Section 11.2.2”.Biochemistry (4</w:t>
      </w:r>
      <w:r>
        <w:rPr>
          <w:vertAlign w:val="superscript"/>
        </w:rPr>
        <w:t>th</w:t>
      </w:r>
      <w:r>
        <w:rPr>
          <w:vertAlign w:val="baseline"/>
        </w:rPr>
        <w:t> ed.).</w:t>
      </w:r>
      <w:r>
        <w:rPr>
          <w:spacing w:val="80"/>
          <w:vertAlign w:val="baseline"/>
        </w:rPr>
        <w:t> </w:t>
      </w:r>
      <w:r>
        <w:rPr>
          <w:vertAlign w:val="baseline"/>
        </w:rPr>
        <w:t>San Francisco: W.H.</w:t>
      </w:r>
      <w:r>
        <w:rPr>
          <w:spacing w:val="40"/>
          <w:vertAlign w:val="baseline"/>
        </w:rPr>
        <w:t> </w:t>
      </w:r>
      <w:r>
        <w:rPr>
          <w:vertAlign w:val="baseline"/>
        </w:rPr>
        <w:t>Freeman.</w:t>
      </w:r>
      <w:r>
        <w:rPr>
          <w:spacing w:val="40"/>
          <w:vertAlign w:val="baseline"/>
        </w:rPr>
        <w:t> </w:t>
      </w:r>
      <w:r>
        <w:rPr>
          <w:vertAlign w:val="baseline"/>
        </w:rPr>
        <w:t>ISBN 0-7167-3051-0.</w:t>
      </w:r>
    </w:p>
    <w:p>
      <w:pPr>
        <w:pStyle w:val="BodyText"/>
        <w:spacing w:before="9"/>
      </w:pPr>
    </w:p>
    <w:p>
      <w:pPr>
        <w:pStyle w:val="BodyText"/>
        <w:spacing w:line="244" w:lineRule="auto"/>
        <w:ind w:left="665" w:right="1092"/>
        <w:jc w:val="both"/>
      </w:pPr>
      <w:r>
        <w:rPr/>
        <w:t>Tester, R.F. and Debon, S.J.J. (2000). Annealing of Starch-a review. </w:t>
      </w:r>
      <w:r>
        <w:rPr>
          <w:i/>
        </w:rPr>
        <w:t>Int J of Biol Mol</w:t>
      </w:r>
      <w:r>
        <w:rPr/>
        <w:t>, </w:t>
      </w:r>
      <w:r>
        <w:rPr>
          <w:spacing w:val="-2"/>
        </w:rPr>
        <w:t>27:1-12.</w:t>
      </w:r>
    </w:p>
    <w:p>
      <w:pPr>
        <w:pStyle w:val="BodyText"/>
        <w:spacing w:before="8"/>
      </w:pPr>
    </w:p>
    <w:p>
      <w:pPr>
        <w:pStyle w:val="BodyText"/>
        <w:spacing w:line="244" w:lineRule="auto"/>
        <w:ind w:left="665" w:right="1103"/>
        <w:jc w:val="both"/>
      </w:pPr>
      <w:r>
        <w:rPr/>
        <w:t>Tester, R.F., Karkalas, J.J. and Qi, X. (2004). Starch Composition, Fine structure and Architecture (Review). </w:t>
      </w:r>
      <w:r>
        <w:rPr>
          <w:i/>
        </w:rPr>
        <w:t>J of Cereal Sci</w:t>
      </w:r>
      <w:r>
        <w:rPr/>
        <w:t>, 39:151-165.</w:t>
      </w:r>
    </w:p>
    <w:p>
      <w:pPr>
        <w:pStyle w:val="BodyText"/>
        <w:spacing w:before="9"/>
      </w:pPr>
    </w:p>
    <w:p>
      <w:pPr>
        <w:pStyle w:val="BodyText"/>
        <w:spacing w:line="244" w:lineRule="auto"/>
        <w:ind w:left="665" w:right="1100"/>
        <w:jc w:val="both"/>
      </w:pPr>
      <w:r>
        <w:rPr/>
        <w:t>Tester, R.F. Debon, S.J.J. and Karkalas, J.J. (1998). Annealing of wheat starch. </w:t>
      </w:r>
      <w:r>
        <w:rPr>
          <w:i/>
        </w:rPr>
        <w:t>J of</w:t>
      </w:r>
      <w:r>
        <w:rPr>
          <w:i/>
          <w:spacing w:val="40"/>
        </w:rPr>
        <w:t> </w:t>
      </w:r>
      <w:r>
        <w:rPr>
          <w:i/>
        </w:rPr>
        <w:t>Cereal Sci</w:t>
      </w:r>
      <w:r>
        <w:rPr/>
        <w:t>, 28:259-272.</w:t>
      </w:r>
    </w:p>
    <w:p>
      <w:pPr>
        <w:pStyle w:val="BodyText"/>
        <w:spacing w:before="13"/>
      </w:pPr>
    </w:p>
    <w:p>
      <w:pPr>
        <w:pStyle w:val="BodyText"/>
        <w:ind w:left="665"/>
      </w:pPr>
      <w:r>
        <w:rPr/>
        <w:t>Tharanathan,</w:t>
      </w:r>
      <w:r>
        <w:rPr>
          <w:spacing w:val="16"/>
        </w:rPr>
        <w:t> </w:t>
      </w:r>
      <w:r>
        <w:rPr/>
        <w:t>R.N.</w:t>
      </w:r>
      <w:r>
        <w:rPr>
          <w:spacing w:val="6"/>
        </w:rPr>
        <w:t> </w:t>
      </w:r>
      <w:r>
        <w:rPr/>
        <w:t>(2003).</w:t>
      </w:r>
      <w:r>
        <w:rPr>
          <w:spacing w:val="10"/>
        </w:rPr>
        <w:t> </w:t>
      </w:r>
      <w:r>
        <w:rPr/>
        <w:t>Trends</w:t>
      </w:r>
      <w:r>
        <w:rPr>
          <w:spacing w:val="9"/>
        </w:rPr>
        <w:t> </w:t>
      </w:r>
      <w:r>
        <w:rPr/>
        <w:t>in</w:t>
      </w:r>
      <w:r>
        <w:rPr>
          <w:spacing w:val="7"/>
        </w:rPr>
        <w:t> </w:t>
      </w:r>
      <w:r>
        <w:rPr/>
        <w:t>Food</w:t>
      </w:r>
      <w:r>
        <w:rPr>
          <w:spacing w:val="13"/>
        </w:rPr>
        <w:t> </w:t>
      </w:r>
      <w:r>
        <w:rPr/>
        <w:t>Science</w:t>
      </w:r>
      <w:r>
        <w:rPr>
          <w:spacing w:val="16"/>
        </w:rPr>
        <w:t> </w:t>
      </w:r>
      <w:r>
        <w:rPr/>
        <w:t>and</w:t>
      </w:r>
      <w:r>
        <w:rPr>
          <w:spacing w:val="17"/>
        </w:rPr>
        <w:t> </w:t>
      </w:r>
      <w:r>
        <w:rPr/>
        <w:t>Technology</w:t>
      </w:r>
      <w:r>
        <w:rPr>
          <w:spacing w:val="-2"/>
        </w:rPr>
        <w:t> </w:t>
      </w:r>
      <w:r>
        <w:rPr>
          <w:b/>
        </w:rPr>
        <w:t>14</w:t>
      </w:r>
      <w:r>
        <w:rPr>
          <w:b/>
          <w:spacing w:val="18"/>
        </w:rPr>
        <w:t> </w:t>
      </w:r>
      <w:r>
        <w:rPr/>
        <w:t>(3),</w:t>
      </w:r>
      <w:r>
        <w:rPr>
          <w:spacing w:val="6"/>
        </w:rPr>
        <w:t> </w:t>
      </w:r>
      <w:r>
        <w:rPr>
          <w:spacing w:val="-5"/>
        </w:rPr>
        <w:t>71.</w:t>
      </w:r>
    </w:p>
    <w:p>
      <w:pPr>
        <w:pStyle w:val="BodyText"/>
        <w:spacing w:before="13"/>
      </w:pPr>
    </w:p>
    <w:p>
      <w:pPr>
        <w:pStyle w:val="BodyText"/>
        <w:spacing w:line="244" w:lineRule="auto"/>
        <w:ind w:left="665" w:right="1095"/>
        <w:jc w:val="both"/>
      </w:pPr>
      <w:r>
        <w:rPr/>
        <w:t>Tousey, M.E. (2002). The Granulation Process 101.Basic Technologies for Tablet</w:t>
      </w:r>
      <w:r>
        <w:rPr>
          <w:spacing w:val="40"/>
        </w:rPr>
        <w:t> </w:t>
      </w:r>
      <w:r>
        <w:rPr/>
        <w:t>Making. Pharmaceutical Technology “Tabletting and Granulation”. Retrieved from Wikipedia the free encyclopedia.</w:t>
      </w:r>
    </w:p>
    <w:p>
      <w:pPr>
        <w:pStyle w:val="BodyText"/>
        <w:spacing w:before="9"/>
      </w:pPr>
    </w:p>
    <w:p>
      <w:pPr>
        <w:pStyle w:val="BodyText"/>
        <w:spacing w:line="244" w:lineRule="auto"/>
        <w:ind w:left="665" w:right="1091"/>
        <w:jc w:val="both"/>
      </w:pPr>
      <w:r>
        <w:rPr/>
        <w:t>Tukomane, T. (2008). Preparation and Characterization of a revealed-enzymatic hydrolyzed tapioca starch and the utilization in tabletting, Ph.D Thesis Mahidol</w:t>
      </w:r>
      <w:r>
        <w:rPr>
          <w:spacing w:val="40"/>
        </w:rPr>
        <w:t> </w:t>
      </w:r>
      <w:r>
        <w:rPr/>
        <w:t>University, Mahidol Thailand.</w:t>
      </w:r>
    </w:p>
    <w:p>
      <w:pPr>
        <w:pStyle w:val="BodyText"/>
        <w:spacing w:before="10"/>
      </w:pPr>
    </w:p>
    <w:p>
      <w:pPr>
        <w:pStyle w:val="BodyText"/>
        <w:spacing w:line="244" w:lineRule="auto"/>
        <w:ind w:left="665" w:right="1098"/>
        <w:jc w:val="both"/>
      </w:pPr>
      <w:r>
        <w:rPr/>
        <w:t>Uhumwangho, M.U., Okor, R.S. and Ayomaror, M. (2005). Influence of Mucilage Viscosity</w:t>
      </w:r>
      <w:r>
        <w:rPr>
          <w:spacing w:val="40"/>
        </w:rPr>
        <w:t> </w:t>
      </w:r>
      <w:r>
        <w:rPr/>
        <w:t>on</w:t>
      </w:r>
      <w:r>
        <w:rPr>
          <w:spacing w:val="40"/>
        </w:rPr>
        <w:t> </w:t>
      </w:r>
      <w:r>
        <w:rPr/>
        <w:t>the</w:t>
      </w:r>
      <w:r>
        <w:rPr>
          <w:spacing w:val="40"/>
        </w:rPr>
        <w:t> </w:t>
      </w:r>
      <w:r>
        <w:rPr/>
        <w:t>globule</w:t>
      </w:r>
      <w:r>
        <w:rPr>
          <w:spacing w:val="40"/>
        </w:rPr>
        <w:t> </w:t>
      </w:r>
      <w:r>
        <w:rPr/>
        <w:t>structure</w:t>
      </w:r>
      <w:r>
        <w:rPr>
          <w:spacing w:val="40"/>
        </w:rPr>
        <w:t> </w:t>
      </w:r>
      <w:r>
        <w:rPr/>
        <w:t>and</w:t>
      </w:r>
      <w:r>
        <w:rPr>
          <w:spacing w:val="40"/>
        </w:rPr>
        <w:t> </w:t>
      </w:r>
      <w:r>
        <w:rPr/>
        <w:t>stability</w:t>
      </w:r>
      <w:r>
        <w:rPr>
          <w:spacing w:val="40"/>
        </w:rPr>
        <w:t> </w:t>
      </w:r>
      <w:r>
        <w:rPr/>
        <w:t>of</w:t>
      </w:r>
      <w:r>
        <w:rPr>
          <w:spacing w:val="40"/>
        </w:rPr>
        <w:t> </w:t>
      </w:r>
      <w:r>
        <w:rPr/>
        <w:t>certain</w:t>
      </w:r>
      <w:r>
        <w:rPr>
          <w:spacing w:val="40"/>
        </w:rPr>
        <w:t> </w:t>
      </w:r>
      <w:r>
        <w:rPr/>
        <w:t>starch</w:t>
      </w:r>
      <w:r>
        <w:rPr>
          <w:spacing w:val="40"/>
        </w:rPr>
        <w:t> </w:t>
      </w:r>
      <w:r>
        <w:rPr/>
        <w:t>emulsions.</w:t>
      </w:r>
      <w:r>
        <w:rPr>
          <w:spacing w:val="40"/>
        </w:rPr>
        <w:t> </w:t>
      </w:r>
      <w:r>
        <w:rPr>
          <w:i/>
        </w:rPr>
        <w:t>Health Allied Sci. </w:t>
      </w:r>
      <w:r>
        <w:rPr/>
        <w:t>1:5.</w:t>
      </w:r>
    </w:p>
    <w:p>
      <w:pPr>
        <w:pStyle w:val="BodyText"/>
        <w:spacing w:before="10"/>
      </w:pPr>
    </w:p>
    <w:p>
      <w:pPr>
        <w:pStyle w:val="BodyText"/>
        <w:spacing w:line="244" w:lineRule="auto"/>
        <w:ind w:left="665" w:right="1095"/>
        <w:jc w:val="both"/>
      </w:pPr>
      <w:r>
        <w:rPr/>
        <w:t>Uhumwangho,</w:t>
      </w:r>
      <w:r>
        <w:rPr>
          <w:spacing w:val="40"/>
        </w:rPr>
        <w:t> </w:t>
      </w:r>
      <w:r>
        <w:rPr/>
        <w:t>M.U.,</w:t>
      </w:r>
      <w:r>
        <w:rPr>
          <w:spacing w:val="40"/>
        </w:rPr>
        <w:t> </w:t>
      </w:r>
      <w:r>
        <w:rPr/>
        <w:t>Okor,</w:t>
      </w:r>
      <w:r>
        <w:rPr>
          <w:spacing w:val="40"/>
        </w:rPr>
        <w:t> </w:t>
      </w:r>
      <w:r>
        <w:rPr/>
        <w:t>R.S., Eichie,</w:t>
      </w:r>
      <w:r>
        <w:rPr>
          <w:spacing w:val="40"/>
        </w:rPr>
        <w:t> </w:t>
      </w:r>
      <w:r>
        <w:rPr/>
        <w:t>F.E.</w:t>
      </w:r>
      <w:r>
        <w:rPr>
          <w:spacing w:val="40"/>
        </w:rPr>
        <w:t> </w:t>
      </w:r>
      <w:r>
        <w:rPr/>
        <w:t>and</w:t>
      </w:r>
      <w:r>
        <w:rPr>
          <w:spacing w:val="40"/>
        </w:rPr>
        <w:t> </w:t>
      </w:r>
      <w:r>
        <w:rPr/>
        <w:t>Abbah,</w:t>
      </w:r>
      <w:r>
        <w:rPr>
          <w:spacing w:val="40"/>
        </w:rPr>
        <w:t> </w:t>
      </w:r>
      <w:r>
        <w:rPr/>
        <w:t>C.M.</w:t>
      </w:r>
      <w:r>
        <w:rPr>
          <w:spacing w:val="40"/>
        </w:rPr>
        <w:t> </w:t>
      </w:r>
      <w:r>
        <w:rPr/>
        <w:t>(2006).</w:t>
      </w:r>
      <w:r>
        <w:rPr>
          <w:spacing w:val="40"/>
        </w:rPr>
        <w:t> </w:t>
      </w:r>
      <w:r>
        <w:rPr/>
        <w:t>Influence</w:t>
      </w:r>
      <w:r>
        <w:rPr>
          <w:spacing w:val="40"/>
        </w:rPr>
        <w:t> </w:t>
      </w:r>
      <w:r>
        <w:rPr/>
        <w:t>of some</w:t>
      </w:r>
      <w:r>
        <w:rPr>
          <w:spacing w:val="40"/>
        </w:rPr>
        <w:t> </w:t>
      </w:r>
      <w:r>
        <w:rPr/>
        <w:t>starch binders on the brittle</w:t>
      </w:r>
      <w:r>
        <w:rPr>
          <w:spacing w:val="40"/>
        </w:rPr>
        <w:t> </w:t>
      </w:r>
      <w:r>
        <w:rPr/>
        <w:t>fracture</w:t>
      </w:r>
      <w:r>
        <w:rPr>
          <w:spacing w:val="40"/>
        </w:rPr>
        <w:t> </w:t>
      </w:r>
      <w:r>
        <w:rPr/>
        <w:t>tendency of Paracetamol tablets.</w:t>
      </w:r>
      <w:r>
        <w:rPr>
          <w:spacing w:val="40"/>
        </w:rPr>
        <w:t> </w:t>
      </w:r>
      <w:r>
        <w:rPr>
          <w:i/>
        </w:rPr>
        <w:t>Afr J</w:t>
      </w:r>
      <w:r>
        <w:rPr>
          <w:i/>
          <w:spacing w:val="40"/>
        </w:rPr>
        <w:t> </w:t>
      </w:r>
      <w:r>
        <w:rPr>
          <w:i/>
        </w:rPr>
        <w:t>of Biotec. </w:t>
      </w:r>
      <w:r>
        <w:rPr>
          <w:b/>
        </w:rPr>
        <w:t>5 </w:t>
      </w:r>
      <w:r>
        <w:rPr/>
        <w:t>(20), Pp. 1950-1953.</w:t>
      </w:r>
    </w:p>
    <w:p>
      <w:pPr>
        <w:spacing w:after="0" w:line="244" w:lineRule="auto"/>
        <w:jc w:val="both"/>
        <w:sectPr>
          <w:pgSz w:w="12240" w:h="15840"/>
          <w:pgMar w:header="0" w:footer="999" w:top="1260" w:bottom="1180" w:left="1720" w:right="760"/>
        </w:sectPr>
      </w:pPr>
    </w:p>
    <w:p>
      <w:pPr>
        <w:pStyle w:val="BodyText"/>
        <w:spacing w:line="244" w:lineRule="auto" w:before="75"/>
        <w:ind w:left="665" w:right="1098"/>
        <w:jc w:val="both"/>
      </w:pPr>
      <w:r>
        <w:rPr/>
        <w:t>Velasco, M. V. and Mun Rui Jimenz – Castellanus M. R. (1995). Studies on Vmaltodextrins as Direct Vehicles. </w:t>
      </w:r>
      <w:r>
        <w:rPr>
          <w:i/>
        </w:rPr>
        <w:t>Drug Dev</w:t>
      </w:r>
      <w:r>
        <w:rPr/>
        <w:t>., 1: 2-5.</w:t>
      </w:r>
    </w:p>
    <w:p>
      <w:pPr>
        <w:pStyle w:val="BodyText"/>
        <w:spacing w:before="8"/>
      </w:pPr>
    </w:p>
    <w:p>
      <w:pPr>
        <w:pStyle w:val="BodyText"/>
        <w:spacing w:line="244" w:lineRule="auto" w:before="1"/>
        <w:ind w:left="665" w:right="1095"/>
        <w:jc w:val="both"/>
      </w:pPr>
      <w:r>
        <w:rPr/>
        <w:t>Weirik,</w:t>
      </w:r>
      <w:r>
        <w:rPr>
          <w:spacing w:val="40"/>
        </w:rPr>
        <w:t> </w:t>
      </w:r>
      <w:r>
        <w:rPr/>
        <w:t>G.H.P.,</w:t>
      </w:r>
      <w:r>
        <w:rPr>
          <w:spacing w:val="40"/>
        </w:rPr>
        <w:t> </w:t>
      </w:r>
      <w:r>
        <w:rPr/>
        <w:t>Bergsma</w:t>
      </w:r>
      <w:r>
        <w:rPr>
          <w:spacing w:val="40"/>
        </w:rPr>
        <w:t> </w:t>
      </w:r>
      <w:r>
        <w:rPr/>
        <w:t>J.,</w:t>
      </w:r>
      <w:r>
        <w:rPr>
          <w:spacing w:val="40"/>
        </w:rPr>
        <w:t> </w:t>
      </w:r>
      <w:r>
        <w:rPr/>
        <w:t>Arends</w:t>
      </w:r>
      <w:r>
        <w:rPr>
          <w:spacing w:val="40"/>
        </w:rPr>
        <w:t> </w:t>
      </w:r>
      <w:r>
        <w:rPr/>
        <w:t>–</w:t>
      </w:r>
      <w:r>
        <w:rPr>
          <w:spacing w:val="40"/>
        </w:rPr>
        <w:t> </w:t>
      </w:r>
      <w:r>
        <w:rPr/>
        <w:t>Scholte</w:t>
      </w:r>
      <w:r>
        <w:rPr>
          <w:spacing w:val="40"/>
        </w:rPr>
        <w:t> </w:t>
      </w:r>
      <w:r>
        <w:rPr/>
        <w:t>A.W.,</w:t>
      </w:r>
      <w:r>
        <w:rPr>
          <w:spacing w:val="40"/>
        </w:rPr>
        <w:t> </w:t>
      </w:r>
      <w:r>
        <w:rPr/>
        <w:t>Boersma</w:t>
      </w:r>
      <w:r>
        <w:rPr>
          <w:spacing w:val="40"/>
        </w:rPr>
        <w:t> </w:t>
      </w:r>
      <w:r>
        <w:rPr/>
        <w:t>J.,</w:t>
      </w:r>
      <w:r>
        <w:rPr>
          <w:spacing w:val="40"/>
        </w:rPr>
        <w:t> </w:t>
      </w:r>
      <w:r>
        <w:rPr/>
        <w:t>Eissens</w:t>
      </w:r>
      <w:r>
        <w:rPr>
          <w:spacing w:val="40"/>
        </w:rPr>
        <w:t> </w:t>
      </w:r>
      <w:r>
        <w:rPr/>
        <w:t>A.C.</w:t>
      </w:r>
      <w:r>
        <w:rPr>
          <w:spacing w:val="40"/>
        </w:rPr>
        <w:t> </w:t>
      </w:r>
      <w:r>
        <w:rPr/>
        <w:t>and Lerk, C.F. (1996). A new generation of Starch Products as excipients in Pharmaceutical tablets. </w:t>
      </w:r>
      <w:r>
        <w:rPr>
          <w:i/>
        </w:rPr>
        <w:t>Int. J. Pharm; </w:t>
      </w:r>
      <w:r>
        <w:rPr/>
        <w:t>134:27-36.</w:t>
      </w:r>
    </w:p>
    <w:p>
      <w:pPr>
        <w:pStyle w:val="BodyText"/>
        <w:spacing w:before="9"/>
      </w:pPr>
    </w:p>
    <w:p>
      <w:pPr>
        <w:pStyle w:val="BodyText"/>
        <w:spacing w:line="244" w:lineRule="auto"/>
        <w:ind w:left="665" w:right="1104"/>
        <w:jc w:val="both"/>
      </w:pPr>
      <w:r>
        <w:rPr/>
        <w:t>Whistler, R. L., Bemiller, J. N. ad Paschall, E. F. (eds.) (1984) Starch: Chemistry and Technology, 2</w:t>
      </w:r>
      <w:r>
        <w:rPr>
          <w:vertAlign w:val="superscript"/>
        </w:rPr>
        <w:t>nd</w:t>
      </w:r>
      <w:r>
        <w:rPr>
          <w:vertAlign w:val="baseline"/>
        </w:rPr>
        <w:t> edn., Academic Press, New York.</w:t>
      </w:r>
    </w:p>
    <w:p>
      <w:pPr>
        <w:pStyle w:val="BodyText"/>
        <w:spacing w:before="9"/>
      </w:pPr>
    </w:p>
    <w:p>
      <w:pPr>
        <w:pStyle w:val="BodyText"/>
        <w:spacing w:line="249" w:lineRule="auto"/>
        <w:ind w:left="665" w:right="1093"/>
        <w:jc w:val="both"/>
      </w:pPr>
      <w:r>
        <w:rPr/>
        <w:t>York, P. (1992). Crystal Engineering and Particle design for the powder compaction process. </w:t>
      </w:r>
      <w:r>
        <w:rPr>
          <w:i/>
        </w:rPr>
        <w:t>Drug Dev. Ind. Pharm. </w:t>
      </w:r>
      <w:r>
        <w:rPr>
          <w:b/>
        </w:rPr>
        <w:t>18 </w:t>
      </w:r>
      <w:r>
        <w:rPr/>
        <w:t>(6, 7); 677-721.</w:t>
      </w:r>
    </w:p>
    <w:p>
      <w:pPr>
        <w:spacing w:after="0" w:line="249" w:lineRule="auto"/>
        <w:jc w:val="both"/>
        <w:sectPr>
          <w:pgSz w:w="12240" w:h="15840"/>
          <w:pgMar w:header="0" w:footer="999" w:top="1260" w:bottom="1180" w:left="1720" w:right="760"/>
        </w:sectPr>
      </w:pPr>
    </w:p>
    <w:p>
      <w:pPr>
        <w:pStyle w:val="Heading1"/>
        <w:spacing w:before="66"/>
        <w:ind w:left="460" w:right="894"/>
      </w:pPr>
      <w:bookmarkStart w:name="_TOC_250016" w:id="145"/>
      <w:bookmarkEnd w:id="145"/>
      <w:r>
        <w:rPr>
          <w:spacing w:val="-2"/>
        </w:rPr>
        <w:t>APPENDICES</w:t>
      </w:r>
    </w:p>
    <w:p>
      <w:pPr>
        <w:pStyle w:val="Heading2"/>
        <w:numPr>
          <w:ilvl w:val="1"/>
          <w:numId w:val="38"/>
        </w:numPr>
        <w:tabs>
          <w:tab w:pos="1342" w:val="left" w:leader="none"/>
        </w:tabs>
        <w:spacing w:line="240" w:lineRule="auto" w:before="251" w:after="0"/>
        <w:ind w:left="1342" w:right="0" w:hanging="677"/>
        <w:jc w:val="left"/>
      </w:pPr>
      <w:bookmarkStart w:name="_TOC_250015" w:id="146"/>
      <w:r>
        <w:rPr/>
        <w:t>Particle</w:t>
      </w:r>
      <w:r>
        <w:rPr>
          <w:spacing w:val="13"/>
        </w:rPr>
        <w:t> </w:t>
      </w:r>
      <w:r>
        <w:rPr/>
        <w:t>Size</w:t>
      </w:r>
      <w:r>
        <w:rPr>
          <w:spacing w:val="13"/>
        </w:rPr>
        <w:t> </w:t>
      </w:r>
      <w:bookmarkEnd w:id="146"/>
      <w:r>
        <w:rPr>
          <w:spacing w:val="-2"/>
        </w:rPr>
        <w:t>Distribution</w:t>
      </w:r>
    </w:p>
    <w:p>
      <w:pPr>
        <w:pStyle w:val="BodyText"/>
        <w:spacing w:before="34"/>
        <w:rPr>
          <w:b/>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2"/>
        <w:gridCol w:w="1704"/>
        <w:gridCol w:w="1309"/>
        <w:gridCol w:w="2036"/>
        <w:gridCol w:w="1786"/>
      </w:tblGrid>
      <w:tr>
        <w:trPr>
          <w:trHeight w:val="527" w:hRule="atLeast"/>
        </w:trPr>
        <w:tc>
          <w:tcPr>
            <w:tcW w:w="1372" w:type="dxa"/>
            <w:tcBorders>
              <w:top w:val="single" w:sz="4" w:space="0" w:color="000000"/>
              <w:bottom w:val="single" w:sz="4" w:space="0" w:color="000000"/>
            </w:tcBorders>
          </w:tcPr>
          <w:p>
            <w:pPr>
              <w:pStyle w:val="TableParagraph"/>
              <w:spacing w:line="254" w:lineRule="exact"/>
              <w:ind w:left="108" w:right="188"/>
              <w:rPr>
                <w:b/>
                <w:sz w:val="22"/>
              </w:rPr>
            </w:pPr>
            <w:r>
              <w:rPr>
                <w:b/>
                <w:spacing w:val="-2"/>
                <w:sz w:val="22"/>
              </w:rPr>
              <w:t>Particle </w:t>
            </w:r>
            <w:r>
              <w:rPr>
                <w:b/>
                <w:sz w:val="22"/>
              </w:rPr>
              <w:t>Size</w:t>
            </w:r>
            <w:r>
              <w:rPr>
                <w:b/>
                <w:spacing w:val="-14"/>
                <w:sz w:val="22"/>
              </w:rPr>
              <w:t> </w:t>
            </w:r>
            <w:r>
              <w:rPr>
                <w:b/>
                <w:sz w:val="22"/>
              </w:rPr>
              <w:t>(</w:t>
            </w:r>
            <w:r>
              <w:rPr>
                <w:rFonts w:ascii="Calibri" w:hAnsi="Calibri"/>
                <w:b/>
                <w:sz w:val="22"/>
              </w:rPr>
              <w:t>µ</w:t>
            </w:r>
            <w:r>
              <w:rPr>
                <w:b/>
                <w:sz w:val="22"/>
              </w:rPr>
              <w:t>m)</w:t>
            </w:r>
          </w:p>
        </w:tc>
        <w:tc>
          <w:tcPr>
            <w:tcW w:w="1704" w:type="dxa"/>
            <w:tcBorders>
              <w:top w:val="single" w:sz="4" w:space="0" w:color="000000"/>
              <w:bottom w:val="single" w:sz="4" w:space="0" w:color="000000"/>
            </w:tcBorders>
          </w:tcPr>
          <w:p>
            <w:pPr>
              <w:pStyle w:val="TableParagraph"/>
              <w:spacing w:before="5"/>
              <w:ind w:left="363"/>
              <w:rPr>
                <w:b/>
                <w:sz w:val="22"/>
              </w:rPr>
            </w:pPr>
            <w:r>
              <w:rPr>
                <w:b/>
                <w:spacing w:val="-2"/>
                <w:sz w:val="22"/>
              </w:rPr>
              <w:t>Frequency</w:t>
            </w:r>
          </w:p>
        </w:tc>
        <w:tc>
          <w:tcPr>
            <w:tcW w:w="1309" w:type="dxa"/>
            <w:tcBorders>
              <w:top w:val="single" w:sz="4" w:space="0" w:color="000000"/>
              <w:bottom w:val="single" w:sz="4" w:space="0" w:color="000000"/>
            </w:tcBorders>
          </w:tcPr>
          <w:p>
            <w:pPr>
              <w:pStyle w:val="TableParagraph"/>
              <w:spacing w:before="5"/>
              <w:ind w:left="315"/>
              <w:rPr>
                <w:b/>
                <w:sz w:val="22"/>
              </w:rPr>
            </w:pPr>
            <w:r>
              <w:rPr>
                <w:b/>
                <w:spacing w:val="-5"/>
                <w:sz w:val="22"/>
              </w:rPr>
              <w:t>FX</w:t>
            </w:r>
          </w:p>
        </w:tc>
        <w:tc>
          <w:tcPr>
            <w:tcW w:w="2036" w:type="dxa"/>
            <w:tcBorders>
              <w:top w:val="single" w:sz="4" w:space="0" w:color="000000"/>
              <w:bottom w:val="single" w:sz="4" w:space="0" w:color="000000"/>
            </w:tcBorders>
          </w:tcPr>
          <w:p>
            <w:pPr>
              <w:pStyle w:val="TableParagraph"/>
              <w:spacing w:before="5"/>
              <w:ind w:left="542"/>
              <w:rPr>
                <w:b/>
                <w:sz w:val="22"/>
              </w:rPr>
            </w:pPr>
            <w:r>
              <w:rPr>
                <w:b/>
                <w:sz w:val="22"/>
              </w:rPr>
              <w:t>%</w:t>
            </w:r>
            <w:r>
              <w:rPr>
                <w:b/>
                <w:spacing w:val="6"/>
                <w:sz w:val="22"/>
              </w:rPr>
              <w:t> </w:t>
            </w:r>
            <w:r>
              <w:rPr>
                <w:b/>
                <w:spacing w:val="-2"/>
                <w:sz w:val="22"/>
              </w:rPr>
              <w:t>Frequency</w:t>
            </w:r>
          </w:p>
        </w:tc>
        <w:tc>
          <w:tcPr>
            <w:tcW w:w="1786" w:type="dxa"/>
            <w:tcBorders>
              <w:top w:val="single" w:sz="4" w:space="0" w:color="000000"/>
              <w:bottom w:val="single" w:sz="4" w:space="0" w:color="000000"/>
            </w:tcBorders>
          </w:tcPr>
          <w:p>
            <w:pPr>
              <w:pStyle w:val="TableParagraph"/>
              <w:spacing w:line="250" w:lineRule="atLeast" w:before="1"/>
              <w:ind w:left="181"/>
              <w:rPr>
                <w:b/>
                <w:sz w:val="22"/>
              </w:rPr>
            </w:pPr>
            <w:r>
              <w:rPr>
                <w:b/>
                <w:spacing w:val="-2"/>
                <w:sz w:val="22"/>
              </w:rPr>
              <w:t>Cumulative </w:t>
            </w:r>
            <w:r>
              <w:rPr>
                <w:b/>
                <w:sz w:val="22"/>
              </w:rPr>
              <w:t>Frequency</w:t>
            </w:r>
            <w:r>
              <w:rPr>
                <w:b/>
                <w:spacing w:val="-4"/>
                <w:sz w:val="22"/>
              </w:rPr>
              <w:t> </w:t>
            </w:r>
            <w:r>
              <w:rPr>
                <w:b/>
                <w:sz w:val="22"/>
              </w:rPr>
              <w:t>(%)</w:t>
            </w:r>
          </w:p>
        </w:tc>
      </w:tr>
      <w:tr>
        <w:trPr>
          <w:trHeight w:val="523" w:hRule="atLeast"/>
        </w:trPr>
        <w:tc>
          <w:tcPr>
            <w:tcW w:w="1372" w:type="dxa"/>
            <w:tcBorders>
              <w:top w:val="single" w:sz="4" w:space="0" w:color="000000"/>
            </w:tcBorders>
          </w:tcPr>
          <w:p>
            <w:pPr>
              <w:pStyle w:val="TableParagraph"/>
              <w:spacing w:before="10"/>
              <w:ind w:left="108"/>
              <w:rPr>
                <w:b/>
                <w:sz w:val="22"/>
              </w:rPr>
            </w:pPr>
            <w:r>
              <w:rPr>
                <w:b/>
                <w:spacing w:val="-5"/>
                <w:sz w:val="22"/>
                <w:u w:val="single"/>
              </w:rPr>
              <w:t>DS</w:t>
            </w:r>
          </w:p>
          <w:p>
            <w:pPr>
              <w:pStyle w:val="TableParagraph"/>
              <w:spacing w:line="239" w:lineRule="exact" w:before="2"/>
              <w:ind w:left="108"/>
              <w:rPr>
                <w:sz w:val="22"/>
              </w:rPr>
            </w:pPr>
            <w:r>
              <w:rPr>
                <w:spacing w:val="-5"/>
                <w:sz w:val="22"/>
              </w:rPr>
              <w:t>2.0</w:t>
            </w:r>
          </w:p>
        </w:tc>
        <w:tc>
          <w:tcPr>
            <w:tcW w:w="1704" w:type="dxa"/>
            <w:tcBorders>
              <w:top w:val="single" w:sz="4" w:space="0" w:color="000000"/>
            </w:tcBorders>
          </w:tcPr>
          <w:p>
            <w:pPr>
              <w:pStyle w:val="TableParagraph"/>
              <w:spacing w:before="11"/>
              <w:rPr>
                <w:b/>
                <w:sz w:val="22"/>
              </w:rPr>
            </w:pPr>
          </w:p>
          <w:p>
            <w:pPr>
              <w:pStyle w:val="TableParagraph"/>
              <w:spacing w:line="239" w:lineRule="exact" w:before="1"/>
              <w:ind w:left="363"/>
              <w:rPr>
                <w:sz w:val="22"/>
              </w:rPr>
            </w:pPr>
            <w:r>
              <w:rPr>
                <w:spacing w:val="-5"/>
                <w:sz w:val="22"/>
              </w:rPr>
              <w:t>38</w:t>
            </w:r>
          </w:p>
        </w:tc>
        <w:tc>
          <w:tcPr>
            <w:tcW w:w="1309" w:type="dxa"/>
            <w:tcBorders>
              <w:top w:val="single" w:sz="4" w:space="0" w:color="000000"/>
            </w:tcBorders>
          </w:tcPr>
          <w:p>
            <w:pPr>
              <w:pStyle w:val="TableParagraph"/>
              <w:spacing w:before="11"/>
              <w:rPr>
                <w:b/>
                <w:sz w:val="22"/>
              </w:rPr>
            </w:pPr>
          </w:p>
          <w:p>
            <w:pPr>
              <w:pStyle w:val="TableParagraph"/>
              <w:spacing w:line="239" w:lineRule="exact" w:before="1"/>
              <w:ind w:left="315"/>
              <w:rPr>
                <w:sz w:val="22"/>
              </w:rPr>
            </w:pPr>
            <w:r>
              <w:rPr>
                <w:spacing w:val="-5"/>
                <w:sz w:val="22"/>
              </w:rPr>
              <w:t>76</w:t>
            </w:r>
          </w:p>
        </w:tc>
        <w:tc>
          <w:tcPr>
            <w:tcW w:w="2036" w:type="dxa"/>
            <w:tcBorders>
              <w:top w:val="single" w:sz="4" w:space="0" w:color="000000"/>
            </w:tcBorders>
          </w:tcPr>
          <w:p>
            <w:pPr>
              <w:pStyle w:val="TableParagraph"/>
              <w:spacing w:before="11"/>
              <w:rPr>
                <w:b/>
                <w:sz w:val="22"/>
              </w:rPr>
            </w:pPr>
          </w:p>
          <w:p>
            <w:pPr>
              <w:pStyle w:val="TableParagraph"/>
              <w:spacing w:line="239" w:lineRule="exact" w:before="1"/>
              <w:ind w:left="542"/>
              <w:rPr>
                <w:sz w:val="22"/>
              </w:rPr>
            </w:pPr>
            <w:r>
              <w:rPr>
                <w:spacing w:val="-5"/>
                <w:sz w:val="22"/>
              </w:rPr>
              <w:t>7.6</w:t>
            </w:r>
          </w:p>
        </w:tc>
        <w:tc>
          <w:tcPr>
            <w:tcW w:w="1786" w:type="dxa"/>
            <w:tcBorders>
              <w:top w:val="single" w:sz="4" w:space="0" w:color="000000"/>
            </w:tcBorders>
          </w:tcPr>
          <w:p>
            <w:pPr>
              <w:pStyle w:val="TableParagraph"/>
              <w:spacing w:before="11"/>
              <w:rPr>
                <w:b/>
                <w:sz w:val="22"/>
              </w:rPr>
            </w:pPr>
          </w:p>
          <w:p>
            <w:pPr>
              <w:pStyle w:val="TableParagraph"/>
              <w:spacing w:line="239" w:lineRule="exact" w:before="1"/>
              <w:ind w:left="181"/>
              <w:rPr>
                <w:sz w:val="22"/>
              </w:rPr>
            </w:pPr>
            <w:r>
              <w:rPr>
                <w:spacing w:val="-5"/>
                <w:sz w:val="22"/>
              </w:rPr>
              <w:t>7.6</w:t>
            </w:r>
          </w:p>
        </w:tc>
      </w:tr>
      <w:tr>
        <w:trPr>
          <w:trHeight w:val="259" w:hRule="atLeast"/>
        </w:trPr>
        <w:tc>
          <w:tcPr>
            <w:tcW w:w="1372" w:type="dxa"/>
          </w:tcPr>
          <w:p>
            <w:pPr>
              <w:pStyle w:val="TableParagraph"/>
              <w:spacing w:line="239" w:lineRule="exact"/>
              <w:ind w:left="108"/>
              <w:rPr>
                <w:sz w:val="22"/>
              </w:rPr>
            </w:pPr>
            <w:r>
              <w:rPr>
                <w:spacing w:val="-5"/>
                <w:sz w:val="22"/>
              </w:rPr>
              <w:t>3.0</w:t>
            </w:r>
          </w:p>
        </w:tc>
        <w:tc>
          <w:tcPr>
            <w:tcW w:w="1704" w:type="dxa"/>
          </w:tcPr>
          <w:p>
            <w:pPr>
              <w:pStyle w:val="TableParagraph"/>
              <w:spacing w:line="239" w:lineRule="exact"/>
              <w:ind w:left="363"/>
              <w:rPr>
                <w:sz w:val="22"/>
              </w:rPr>
            </w:pPr>
            <w:r>
              <w:rPr>
                <w:spacing w:val="-5"/>
                <w:sz w:val="22"/>
              </w:rPr>
              <w:t>63</w:t>
            </w:r>
          </w:p>
        </w:tc>
        <w:tc>
          <w:tcPr>
            <w:tcW w:w="1309" w:type="dxa"/>
          </w:tcPr>
          <w:p>
            <w:pPr>
              <w:pStyle w:val="TableParagraph"/>
              <w:spacing w:line="239" w:lineRule="exact"/>
              <w:ind w:left="315"/>
              <w:rPr>
                <w:sz w:val="22"/>
              </w:rPr>
            </w:pPr>
            <w:r>
              <w:rPr>
                <w:spacing w:val="-5"/>
                <w:sz w:val="22"/>
              </w:rPr>
              <w:t>189</w:t>
            </w:r>
          </w:p>
        </w:tc>
        <w:tc>
          <w:tcPr>
            <w:tcW w:w="2036" w:type="dxa"/>
          </w:tcPr>
          <w:p>
            <w:pPr>
              <w:pStyle w:val="TableParagraph"/>
              <w:spacing w:line="239" w:lineRule="exact"/>
              <w:ind w:left="542"/>
              <w:rPr>
                <w:sz w:val="22"/>
              </w:rPr>
            </w:pPr>
            <w:r>
              <w:rPr>
                <w:spacing w:val="-4"/>
                <w:sz w:val="22"/>
              </w:rPr>
              <w:t>12.6</w:t>
            </w:r>
          </w:p>
        </w:tc>
        <w:tc>
          <w:tcPr>
            <w:tcW w:w="1786" w:type="dxa"/>
          </w:tcPr>
          <w:p>
            <w:pPr>
              <w:pStyle w:val="TableParagraph"/>
              <w:spacing w:line="239" w:lineRule="exact"/>
              <w:ind w:left="181"/>
              <w:rPr>
                <w:sz w:val="22"/>
              </w:rPr>
            </w:pPr>
            <w:r>
              <w:rPr>
                <w:spacing w:val="-4"/>
                <w:sz w:val="22"/>
              </w:rPr>
              <w:t>20.2</w:t>
            </w:r>
          </w:p>
        </w:tc>
      </w:tr>
      <w:tr>
        <w:trPr>
          <w:trHeight w:val="259" w:hRule="atLeast"/>
        </w:trPr>
        <w:tc>
          <w:tcPr>
            <w:tcW w:w="1372" w:type="dxa"/>
          </w:tcPr>
          <w:p>
            <w:pPr>
              <w:pStyle w:val="TableParagraph"/>
              <w:spacing w:line="239" w:lineRule="exact"/>
              <w:ind w:left="108"/>
              <w:rPr>
                <w:sz w:val="22"/>
              </w:rPr>
            </w:pPr>
            <w:r>
              <w:rPr>
                <w:spacing w:val="-5"/>
                <w:sz w:val="22"/>
              </w:rPr>
              <w:t>4.0</w:t>
            </w:r>
          </w:p>
        </w:tc>
        <w:tc>
          <w:tcPr>
            <w:tcW w:w="1704" w:type="dxa"/>
          </w:tcPr>
          <w:p>
            <w:pPr>
              <w:pStyle w:val="TableParagraph"/>
              <w:spacing w:line="239" w:lineRule="exact"/>
              <w:ind w:left="363"/>
              <w:rPr>
                <w:sz w:val="22"/>
              </w:rPr>
            </w:pPr>
            <w:r>
              <w:rPr>
                <w:spacing w:val="-5"/>
                <w:sz w:val="22"/>
              </w:rPr>
              <w:t>64</w:t>
            </w:r>
          </w:p>
        </w:tc>
        <w:tc>
          <w:tcPr>
            <w:tcW w:w="1309" w:type="dxa"/>
          </w:tcPr>
          <w:p>
            <w:pPr>
              <w:pStyle w:val="TableParagraph"/>
              <w:spacing w:line="239" w:lineRule="exact"/>
              <w:ind w:left="315"/>
              <w:rPr>
                <w:sz w:val="22"/>
              </w:rPr>
            </w:pPr>
            <w:r>
              <w:rPr>
                <w:spacing w:val="-5"/>
                <w:sz w:val="22"/>
              </w:rPr>
              <w:t>256</w:t>
            </w:r>
          </w:p>
        </w:tc>
        <w:tc>
          <w:tcPr>
            <w:tcW w:w="2036" w:type="dxa"/>
          </w:tcPr>
          <w:p>
            <w:pPr>
              <w:pStyle w:val="TableParagraph"/>
              <w:spacing w:line="239" w:lineRule="exact"/>
              <w:ind w:left="542"/>
              <w:rPr>
                <w:sz w:val="22"/>
              </w:rPr>
            </w:pPr>
            <w:r>
              <w:rPr>
                <w:spacing w:val="-4"/>
                <w:sz w:val="22"/>
              </w:rPr>
              <w:t>12.8</w:t>
            </w:r>
          </w:p>
        </w:tc>
        <w:tc>
          <w:tcPr>
            <w:tcW w:w="1786" w:type="dxa"/>
          </w:tcPr>
          <w:p>
            <w:pPr>
              <w:pStyle w:val="TableParagraph"/>
              <w:spacing w:line="239" w:lineRule="exact"/>
              <w:ind w:left="181"/>
              <w:rPr>
                <w:sz w:val="22"/>
              </w:rPr>
            </w:pPr>
            <w:r>
              <w:rPr>
                <w:spacing w:val="-4"/>
                <w:sz w:val="22"/>
              </w:rPr>
              <w:t>33.0</w:t>
            </w:r>
          </w:p>
        </w:tc>
      </w:tr>
      <w:tr>
        <w:trPr>
          <w:trHeight w:val="259" w:hRule="atLeast"/>
        </w:trPr>
        <w:tc>
          <w:tcPr>
            <w:tcW w:w="1372" w:type="dxa"/>
          </w:tcPr>
          <w:p>
            <w:pPr>
              <w:pStyle w:val="TableParagraph"/>
              <w:spacing w:line="239" w:lineRule="exact"/>
              <w:ind w:left="108"/>
              <w:rPr>
                <w:sz w:val="22"/>
              </w:rPr>
            </w:pPr>
            <w:r>
              <w:rPr>
                <w:spacing w:val="-5"/>
                <w:sz w:val="22"/>
              </w:rPr>
              <w:t>5.0</w:t>
            </w:r>
          </w:p>
        </w:tc>
        <w:tc>
          <w:tcPr>
            <w:tcW w:w="1704" w:type="dxa"/>
          </w:tcPr>
          <w:p>
            <w:pPr>
              <w:pStyle w:val="TableParagraph"/>
              <w:spacing w:line="239" w:lineRule="exact"/>
              <w:ind w:left="363"/>
              <w:rPr>
                <w:sz w:val="22"/>
              </w:rPr>
            </w:pPr>
            <w:r>
              <w:rPr>
                <w:spacing w:val="-5"/>
                <w:sz w:val="22"/>
              </w:rPr>
              <w:t>75</w:t>
            </w:r>
          </w:p>
        </w:tc>
        <w:tc>
          <w:tcPr>
            <w:tcW w:w="1309" w:type="dxa"/>
          </w:tcPr>
          <w:p>
            <w:pPr>
              <w:pStyle w:val="TableParagraph"/>
              <w:spacing w:line="239" w:lineRule="exact"/>
              <w:ind w:left="315"/>
              <w:rPr>
                <w:sz w:val="22"/>
              </w:rPr>
            </w:pPr>
            <w:r>
              <w:rPr>
                <w:spacing w:val="-5"/>
                <w:sz w:val="22"/>
              </w:rPr>
              <w:t>375</w:t>
            </w:r>
          </w:p>
        </w:tc>
        <w:tc>
          <w:tcPr>
            <w:tcW w:w="2036" w:type="dxa"/>
          </w:tcPr>
          <w:p>
            <w:pPr>
              <w:pStyle w:val="TableParagraph"/>
              <w:spacing w:line="239" w:lineRule="exact"/>
              <w:ind w:left="542"/>
              <w:rPr>
                <w:sz w:val="22"/>
              </w:rPr>
            </w:pPr>
            <w:r>
              <w:rPr>
                <w:spacing w:val="-4"/>
                <w:sz w:val="22"/>
              </w:rPr>
              <w:t>15.0</w:t>
            </w:r>
          </w:p>
        </w:tc>
        <w:tc>
          <w:tcPr>
            <w:tcW w:w="1786" w:type="dxa"/>
          </w:tcPr>
          <w:p>
            <w:pPr>
              <w:pStyle w:val="TableParagraph"/>
              <w:spacing w:line="239" w:lineRule="exact"/>
              <w:ind w:left="181"/>
              <w:rPr>
                <w:sz w:val="22"/>
              </w:rPr>
            </w:pPr>
            <w:r>
              <w:rPr>
                <w:spacing w:val="-4"/>
                <w:sz w:val="22"/>
              </w:rPr>
              <w:t>48.0</w:t>
            </w:r>
          </w:p>
        </w:tc>
      </w:tr>
      <w:tr>
        <w:trPr>
          <w:trHeight w:val="259" w:hRule="atLeast"/>
        </w:trPr>
        <w:tc>
          <w:tcPr>
            <w:tcW w:w="1372" w:type="dxa"/>
          </w:tcPr>
          <w:p>
            <w:pPr>
              <w:pStyle w:val="TableParagraph"/>
              <w:spacing w:line="239" w:lineRule="exact"/>
              <w:ind w:left="108"/>
              <w:rPr>
                <w:sz w:val="22"/>
              </w:rPr>
            </w:pPr>
            <w:r>
              <w:rPr>
                <w:spacing w:val="-5"/>
                <w:sz w:val="22"/>
              </w:rPr>
              <w:t>6.0</w:t>
            </w:r>
          </w:p>
        </w:tc>
        <w:tc>
          <w:tcPr>
            <w:tcW w:w="1704" w:type="dxa"/>
          </w:tcPr>
          <w:p>
            <w:pPr>
              <w:pStyle w:val="TableParagraph"/>
              <w:spacing w:line="239" w:lineRule="exact"/>
              <w:ind w:left="363"/>
              <w:rPr>
                <w:sz w:val="22"/>
              </w:rPr>
            </w:pPr>
            <w:r>
              <w:rPr>
                <w:spacing w:val="-5"/>
                <w:sz w:val="22"/>
              </w:rPr>
              <w:t>79</w:t>
            </w:r>
          </w:p>
        </w:tc>
        <w:tc>
          <w:tcPr>
            <w:tcW w:w="1309" w:type="dxa"/>
          </w:tcPr>
          <w:p>
            <w:pPr>
              <w:pStyle w:val="TableParagraph"/>
              <w:spacing w:line="239" w:lineRule="exact"/>
              <w:ind w:left="315"/>
              <w:rPr>
                <w:sz w:val="22"/>
              </w:rPr>
            </w:pPr>
            <w:r>
              <w:rPr>
                <w:spacing w:val="-5"/>
                <w:sz w:val="22"/>
              </w:rPr>
              <w:t>474</w:t>
            </w:r>
          </w:p>
        </w:tc>
        <w:tc>
          <w:tcPr>
            <w:tcW w:w="2036" w:type="dxa"/>
          </w:tcPr>
          <w:p>
            <w:pPr>
              <w:pStyle w:val="TableParagraph"/>
              <w:spacing w:line="239" w:lineRule="exact"/>
              <w:ind w:left="542"/>
              <w:rPr>
                <w:sz w:val="22"/>
              </w:rPr>
            </w:pPr>
            <w:r>
              <w:rPr>
                <w:spacing w:val="-4"/>
                <w:sz w:val="22"/>
              </w:rPr>
              <w:t>15.8</w:t>
            </w:r>
          </w:p>
        </w:tc>
        <w:tc>
          <w:tcPr>
            <w:tcW w:w="1786" w:type="dxa"/>
          </w:tcPr>
          <w:p>
            <w:pPr>
              <w:pStyle w:val="TableParagraph"/>
              <w:spacing w:line="239" w:lineRule="exact"/>
              <w:ind w:left="181"/>
              <w:rPr>
                <w:sz w:val="22"/>
              </w:rPr>
            </w:pPr>
            <w:r>
              <w:rPr>
                <w:spacing w:val="-4"/>
                <w:sz w:val="22"/>
              </w:rPr>
              <w:t>63.8</w:t>
            </w:r>
          </w:p>
        </w:tc>
      </w:tr>
      <w:tr>
        <w:trPr>
          <w:trHeight w:val="259" w:hRule="atLeast"/>
        </w:trPr>
        <w:tc>
          <w:tcPr>
            <w:tcW w:w="1372" w:type="dxa"/>
          </w:tcPr>
          <w:p>
            <w:pPr>
              <w:pStyle w:val="TableParagraph"/>
              <w:spacing w:line="239" w:lineRule="exact"/>
              <w:ind w:left="108"/>
              <w:rPr>
                <w:sz w:val="22"/>
              </w:rPr>
            </w:pPr>
            <w:r>
              <w:rPr>
                <w:spacing w:val="-5"/>
                <w:sz w:val="22"/>
              </w:rPr>
              <w:t>7.0</w:t>
            </w:r>
          </w:p>
        </w:tc>
        <w:tc>
          <w:tcPr>
            <w:tcW w:w="1704" w:type="dxa"/>
          </w:tcPr>
          <w:p>
            <w:pPr>
              <w:pStyle w:val="TableParagraph"/>
              <w:spacing w:line="239" w:lineRule="exact"/>
              <w:ind w:left="363"/>
              <w:rPr>
                <w:sz w:val="22"/>
              </w:rPr>
            </w:pPr>
            <w:r>
              <w:rPr>
                <w:spacing w:val="-5"/>
                <w:sz w:val="22"/>
              </w:rPr>
              <w:t>80</w:t>
            </w:r>
          </w:p>
        </w:tc>
        <w:tc>
          <w:tcPr>
            <w:tcW w:w="1309" w:type="dxa"/>
          </w:tcPr>
          <w:p>
            <w:pPr>
              <w:pStyle w:val="TableParagraph"/>
              <w:spacing w:line="239" w:lineRule="exact"/>
              <w:ind w:left="315"/>
              <w:rPr>
                <w:sz w:val="22"/>
              </w:rPr>
            </w:pPr>
            <w:r>
              <w:rPr>
                <w:spacing w:val="-5"/>
                <w:sz w:val="22"/>
              </w:rPr>
              <w:t>560</w:t>
            </w:r>
          </w:p>
        </w:tc>
        <w:tc>
          <w:tcPr>
            <w:tcW w:w="2036" w:type="dxa"/>
          </w:tcPr>
          <w:p>
            <w:pPr>
              <w:pStyle w:val="TableParagraph"/>
              <w:spacing w:line="239" w:lineRule="exact"/>
              <w:ind w:left="542"/>
              <w:rPr>
                <w:sz w:val="22"/>
              </w:rPr>
            </w:pPr>
            <w:r>
              <w:rPr>
                <w:spacing w:val="-4"/>
                <w:sz w:val="22"/>
              </w:rPr>
              <w:t>16.0</w:t>
            </w:r>
          </w:p>
        </w:tc>
        <w:tc>
          <w:tcPr>
            <w:tcW w:w="1786" w:type="dxa"/>
          </w:tcPr>
          <w:p>
            <w:pPr>
              <w:pStyle w:val="TableParagraph"/>
              <w:spacing w:line="239" w:lineRule="exact"/>
              <w:ind w:left="181"/>
              <w:rPr>
                <w:sz w:val="22"/>
              </w:rPr>
            </w:pPr>
            <w:r>
              <w:rPr>
                <w:spacing w:val="-4"/>
                <w:sz w:val="22"/>
              </w:rPr>
              <w:t>79.8</w:t>
            </w:r>
          </w:p>
        </w:tc>
      </w:tr>
      <w:tr>
        <w:trPr>
          <w:trHeight w:val="259" w:hRule="atLeast"/>
        </w:trPr>
        <w:tc>
          <w:tcPr>
            <w:tcW w:w="1372" w:type="dxa"/>
          </w:tcPr>
          <w:p>
            <w:pPr>
              <w:pStyle w:val="TableParagraph"/>
              <w:spacing w:line="239" w:lineRule="exact"/>
              <w:ind w:left="108"/>
              <w:rPr>
                <w:sz w:val="22"/>
              </w:rPr>
            </w:pPr>
            <w:r>
              <w:rPr>
                <w:spacing w:val="-5"/>
                <w:sz w:val="22"/>
              </w:rPr>
              <w:t>8.0</w:t>
            </w:r>
          </w:p>
        </w:tc>
        <w:tc>
          <w:tcPr>
            <w:tcW w:w="1704" w:type="dxa"/>
          </w:tcPr>
          <w:p>
            <w:pPr>
              <w:pStyle w:val="TableParagraph"/>
              <w:spacing w:line="239" w:lineRule="exact"/>
              <w:ind w:left="363"/>
              <w:rPr>
                <w:sz w:val="22"/>
              </w:rPr>
            </w:pPr>
            <w:r>
              <w:rPr>
                <w:spacing w:val="-10"/>
                <w:sz w:val="22"/>
              </w:rPr>
              <w:t>2</w:t>
            </w:r>
          </w:p>
        </w:tc>
        <w:tc>
          <w:tcPr>
            <w:tcW w:w="1309" w:type="dxa"/>
          </w:tcPr>
          <w:p>
            <w:pPr>
              <w:pStyle w:val="TableParagraph"/>
              <w:spacing w:line="239" w:lineRule="exact"/>
              <w:ind w:left="315"/>
              <w:rPr>
                <w:sz w:val="22"/>
              </w:rPr>
            </w:pPr>
            <w:r>
              <w:rPr>
                <w:spacing w:val="-5"/>
                <w:sz w:val="22"/>
              </w:rPr>
              <w:t>16</w:t>
            </w:r>
          </w:p>
        </w:tc>
        <w:tc>
          <w:tcPr>
            <w:tcW w:w="2036" w:type="dxa"/>
          </w:tcPr>
          <w:p>
            <w:pPr>
              <w:pStyle w:val="TableParagraph"/>
              <w:spacing w:line="239" w:lineRule="exact"/>
              <w:ind w:left="542"/>
              <w:rPr>
                <w:sz w:val="22"/>
              </w:rPr>
            </w:pPr>
            <w:r>
              <w:rPr>
                <w:spacing w:val="-5"/>
                <w:sz w:val="22"/>
              </w:rPr>
              <w:t>0.4</w:t>
            </w:r>
          </w:p>
        </w:tc>
        <w:tc>
          <w:tcPr>
            <w:tcW w:w="1786" w:type="dxa"/>
          </w:tcPr>
          <w:p>
            <w:pPr>
              <w:pStyle w:val="TableParagraph"/>
              <w:spacing w:line="239" w:lineRule="exact"/>
              <w:ind w:left="181"/>
              <w:rPr>
                <w:sz w:val="22"/>
              </w:rPr>
            </w:pPr>
            <w:r>
              <w:rPr>
                <w:spacing w:val="-4"/>
                <w:sz w:val="22"/>
              </w:rPr>
              <w:t>80.2</w:t>
            </w:r>
          </w:p>
        </w:tc>
      </w:tr>
      <w:tr>
        <w:trPr>
          <w:trHeight w:val="261" w:hRule="atLeast"/>
        </w:trPr>
        <w:tc>
          <w:tcPr>
            <w:tcW w:w="1372" w:type="dxa"/>
          </w:tcPr>
          <w:p>
            <w:pPr>
              <w:pStyle w:val="TableParagraph"/>
              <w:spacing w:line="241" w:lineRule="exact"/>
              <w:ind w:left="108"/>
              <w:rPr>
                <w:sz w:val="22"/>
              </w:rPr>
            </w:pPr>
            <w:r>
              <w:rPr>
                <w:spacing w:val="-5"/>
                <w:sz w:val="22"/>
              </w:rPr>
              <w:t>9.0</w:t>
            </w:r>
          </w:p>
        </w:tc>
        <w:tc>
          <w:tcPr>
            <w:tcW w:w="1704" w:type="dxa"/>
          </w:tcPr>
          <w:p>
            <w:pPr>
              <w:pStyle w:val="TableParagraph"/>
              <w:spacing w:line="241" w:lineRule="exact"/>
              <w:ind w:left="363"/>
              <w:rPr>
                <w:sz w:val="22"/>
              </w:rPr>
            </w:pPr>
            <w:r>
              <w:rPr>
                <w:spacing w:val="-10"/>
                <w:sz w:val="22"/>
              </w:rPr>
              <w:t>1</w:t>
            </w:r>
          </w:p>
        </w:tc>
        <w:tc>
          <w:tcPr>
            <w:tcW w:w="1309" w:type="dxa"/>
          </w:tcPr>
          <w:p>
            <w:pPr>
              <w:pStyle w:val="TableParagraph"/>
              <w:spacing w:line="241" w:lineRule="exact"/>
              <w:ind w:left="315"/>
              <w:rPr>
                <w:sz w:val="22"/>
              </w:rPr>
            </w:pPr>
            <w:r>
              <w:rPr>
                <w:spacing w:val="-10"/>
                <w:sz w:val="22"/>
              </w:rPr>
              <w:t>9</w:t>
            </w:r>
          </w:p>
        </w:tc>
        <w:tc>
          <w:tcPr>
            <w:tcW w:w="2036" w:type="dxa"/>
          </w:tcPr>
          <w:p>
            <w:pPr>
              <w:pStyle w:val="TableParagraph"/>
              <w:spacing w:line="241" w:lineRule="exact"/>
              <w:ind w:left="542"/>
              <w:rPr>
                <w:sz w:val="22"/>
              </w:rPr>
            </w:pPr>
            <w:r>
              <w:rPr>
                <w:spacing w:val="-5"/>
                <w:sz w:val="22"/>
              </w:rPr>
              <w:t>0.2</w:t>
            </w:r>
          </w:p>
        </w:tc>
        <w:tc>
          <w:tcPr>
            <w:tcW w:w="1786" w:type="dxa"/>
          </w:tcPr>
          <w:p>
            <w:pPr>
              <w:pStyle w:val="TableParagraph"/>
              <w:spacing w:line="241" w:lineRule="exact"/>
              <w:ind w:left="181"/>
              <w:rPr>
                <w:sz w:val="22"/>
              </w:rPr>
            </w:pPr>
            <w:r>
              <w:rPr>
                <w:spacing w:val="-4"/>
                <w:sz w:val="22"/>
              </w:rPr>
              <w:t>80.4</w:t>
            </w:r>
          </w:p>
        </w:tc>
      </w:tr>
      <w:tr>
        <w:trPr>
          <w:trHeight w:val="259" w:hRule="atLeast"/>
        </w:trPr>
        <w:tc>
          <w:tcPr>
            <w:tcW w:w="1372" w:type="dxa"/>
          </w:tcPr>
          <w:p>
            <w:pPr>
              <w:pStyle w:val="TableParagraph"/>
              <w:spacing w:line="236" w:lineRule="exact" w:before="2"/>
              <w:ind w:left="108"/>
              <w:rPr>
                <w:sz w:val="22"/>
              </w:rPr>
            </w:pPr>
            <w:r>
              <w:rPr>
                <w:spacing w:val="-4"/>
                <w:sz w:val="22"/>
              </w:rPr>
              <w:t>12.0</w:t>
            </w:r>
          </w:p>
        </w:tc>
        <w:tc>
          <w:tcPr>
            <w:tcW w:w="1704" w:type="dxa"/>
          </w:tcPr>
          <w:p>
            <w:pPr>
              <w:pStyle w:val="TableParagraph"/>
              <w:spacing w:line="236" w:lineRule="exact" w:before="2"/>
              <w:ind w:left="363"/>
              <w:rPr>
                <w:sz w:val="22"/>
              </w:rPr>
            </w:pPr>
            <w:r>
              <w:rPr>
                <w:spacing w:val="-10"/>
                <w:sz w:val="22"/>
              </w:rPr>
              <w:t>5</w:t>
            </w:r>
          </w:p>
        </w:tc>
        <w:tc>
          <w:tcPr>
            <w:tcW w:w="1309" w:type="dxa"/>
          </w:tcPr>
          <w:p>
            <w:pPr>
              <w:pStyle w:val="TableParagraph"/>
              <w:spacing w:line="236" w:lineRule="exact" w:before="2"/>
              <w:ind w:left="315"/>
              <w:rPr>
                <w:sz w:val="22"/>
              </w:rPr>
            </w:pPr>
            <w:r>
              <w:rPr>
                <w:spacing w:val="-5"/>
                <w:sz w:val="22"/>
              </w:rPr>
              <w:t>60</w:t>
            </w:r>
          </w:p>
        </w:tc>
        <w:tc>
          <w:tcPr>
            <w:tcW w:w="2036" w:type="dxa"/>
          </w:tcPr>
          <w:p>
            <w:pPr>
              <w:pStyle w:val="TableParagraph"/>
              <w:spacing w:line="236" w:lineRule="exact" w:before="2"/>
              <w:ind w:left="542"/>
              <w:rPr>
                <w:sz w:val="22"/>
              </w:rPr>
            </w:pPr>
            <w:r>
              <w:rPr>
                <w:spacing w:val="-5"/>
                <w:sz w:val="22"/>
              </w:rPr>
              <w:t>1.0</w:t>
            </w:r>
          </w:p>
        </w:tc>
        <w:tc>
          <w:tcPr>
            <w:tcW w:w="1786" w:type="dxa"/>
          </w:tcPr>
          <w:p>
            <w:pPr>
              <w:pStyle w:val="TableParagraph"/>
              <w:spacing w:line="236" w:lineRule="exact" w:before="2"/>
              <w:ind w:left="181"/>
              <w:rPr>
                <w:sz w:val="22"/>
              </w:rPr>
            </w:pPr>
            <w:r>
              <w:rPr>
                <w:spacing w:val="-4"/>
                <w:sz w:val="22"/>
              </w:rPr>
              <w:t>81.4</w:t>
            </w:r>
          </w:p>
        </w:tc>
      </w:tr>
      <w:tr>
        <w:trPr>
          <w:trHeight w:val="259" w:hRule="atLeast"/>
        </w:trPr>
        <w:tc>
          <w:tcPr>
            <w:tcW w:w="1372" w:type="dxa"/>
          </w:tcPr>
          <w:p>
            <w:pPr>
              <w:pStyle w:val="TableParagraph"/>
              <w:spacing w:line="239" w:lineRule="exact"/>
              <w:ind w:left="108"/>
              <w:rPr>
                <w:sz w:val="22"/>
              </w:rPr>
            </w:pPr>
            <w:r>
              <w:rPr>
                <w:spacing w:val="-4"/>
                <w:sz w:val="22"/>
              </w:rPr>
              <w:t>14.0</w:t>
            </w:r>
          </w:p>
        </w:tc>
        <w:tc>
          <w:tcPr>
            <w:tcW w:w="1704" w:type="dxa"/>
          </w:tcPr>
          <w:p>
            <w:pPr>
              <w:pStyle w:val="TableParagraph"/>
              <w:spacing w:line="239" w:lineRule="exact"/>
              <w:ind w:left="363"/>
              <w:rPr>
                <w:sz w:val="22"/>
              </w:rPr>
            </w:pPr>
            <w:r>
              <w:rPr>
                <w:spacing w:val="-10"/>
                <w:sz w:val="22"/>
              </w:rPr>
              <w:t>8</w:t>
            </w:r>
          </w:p>
        </w:tc>
        <w:tc>
          <w:tcPr>
            <w:tcW w:w="1309" w:type="dxa"/>
          </w:tcPr>
          <w:p>
            <w:pPr>
              <w:pStyle w:val="TableParagraph"/>
              <w:spacing w:line="239" w:lineRule="exact"/>
              <w:ind w:left="315"/>
              <w:rPr>
                <w:sz w:val="22"/>
              </w:rPr>
            </w:pPr>
            <w:r>
              <w:rPr>
                <w:spacing w:val="-5"/>
                <w:sz w:val="22"/>
              </w:rPr>
              <w:t>112</w:t>
            </w:r>
          </w:p>
        </w:tc>
        <w:tc>
          <w:tcPr>
            <w:tcW w:w="2036" w:type="dxa"/>
          </w:tcPr>
          <w:p>
            <w:pPr>
              <w:pStyle w:val="TableParagraph"/>
              <w:spacing w:line="239" w:lineRule="exact"/>
              <w:ind w:left="542"/>
              <w:rPr>
                <w:sz w:val="22"/>
              </w:rPr>
            </w:pPr>
            <w:r>
              <w:rPr>
                <w:spacing w:val="-5"/>
                <w:sz w:val="22"/>
              </w:rPr>
              <w:t>1.6</w:t>
            </w:r>
          </w:p>
        </w:tc>
        <w:tc>
          <w:tcPr>
            <w:tcW w:w="1786" w:type="dxa"/>
          </w:tcPr>
          <w:p>
            <w:pPr>
              <w:pStyle w:val="TableParagraph"/>
              <w:spacing w:line="239" w:lineRule="exact"/>
              <w:ind w:left="181"/>
              <w:rPr>
                <w:sz w:val="22"/>
              </w:rPr>
            </w:pPr>
            <w:r>
              <w:rPr>
                <w:spacing w:val="-4"/>
                <w:sz w:val="22"/>
              </w:rPr>
              <w:t>83.0</w:t>
            </w:r>
          </w:p>
        </w:tc>
      </w:tr>
      <w:tr>
        <w:trPr>
          <w:trHeight w:val="259" w:hRule="atLeast"/>
        </w:trPr>
        <w:tc>
          <w:tcPr>
            <w:tcW w:w="1372" w:type="dxa"/>
          </w:tcPr>
          <w:p>
            <w:pPr>
              <w:pStyle w:val="TableParagraph"/>
              <w:spacing w:line="236" w:lineRule="exact" w:before="2"/>
              <w:ind w:left="108"/>
              <w:rPr>
                <w:sz w:val="22"/>
              </w:rPr>
            </w:pPr>
            <w:r>
              <w:rPr>
                <w:spacing w:val="-4"/>
                <w:sz w:val="22"/>
              </w:rPr>
              <w:t>15.0</w:t>
            </w:r>
          </w:p>
        </w:tc>
        <w:tc>
          <w:tcPr>
            <w:tcW w:w="1704" w:type="dxa"/>
          </w:tcPr>
          <w:p>
            <w:pPr>
              <w:pStyle w:val="TableParagraph"/>
              <w:spacing w:line="236" w:lineRule="exact" w:before="2"/>
              <w:ind w:left="363"/>
              <w:rPr>
                <w:sz w:val="22"/>
              </w:rPr>
            </w:pPr>
            <w:r>
              <w:rPr>
                <w:spacing w:val="-5"/>
                <w:sz w:val="22"/>
              </w:rPr>
              <w:t>10</w:t>
            </w:r>
          </w:p>
        </w:tc>
        <w:tc>
          <w:tcPr>
            <w:tcW w:w="1309" w:type="dxa"/>
          </w:tcPr>
          <w:p>
            <w:pPr>
              <w:pStyle w:val="TableParagraph"/>
              <w:spacing w:line="236" w:lineRule="exact" w:before="2"/>
              <w:ind w:left="315"/>
              <w:rPr>
                <w:sz w:val="22"/>
              </w:rPr>
            </w:pPr>
            <w:r>
              <w:rPr>
                <w:spacing w:val="-5"/>
                <w:sz w:val="22"/>
              </w:rPr>
              <w:t>150</w:t>
            </w:r>
          </w:p>
        </w:tc>
        <w:tc>
          <w:tcPr>
            <w:tcW w:w="2036" w:type="dxa"/>
          </w:tcPr>
          <w:p>
            <w:pPr>
              <w:pStyle w:val="TableParagraph"/>
              <w:spacing w:line="236" w:lineRule="exact" w:before="2"/>
              <w:ind w:left="542"/>
              <w:rPr>
                <w:sz w:val="22"/>
              </w:rPr>
            </w:pPr>
            <w:r>
              <w:rPr>
                <w:spacing w:val="-5"/>
                <w:sz w:val="22"/>
              </w:rPr>
              <w:t>2.0</w:t>
            </w:r>
          </w:p>
        </w:tc>
        <w:tc>
          <w:tcPr>
            <w:tcW w:w="1786" w:type="dxa"/>
          </w:tcPr>
          <w:p>
            <w:pPr>
              <w:pStyle w:val="TableParagraph"/>
              <w:spacing w:line="236" w:lineRule="exact" w:before="2"/>
              <w:ind w:left="181"/>
              <w:rPr>
                <w:sz w:val="22"/>
              </w:rPr>
            </w:pPr>
            <w:r>
              <w:rPr>
                <w:spacing w:val="-4"/>
                <w:sz w:val="22"/>
              </w:rPr>
              <w:t>85.0</w:t>
            </w:r>
          </w:p>
        </w:tc>
      </w:tr>
      <w:tr>
        <w:trPr>
          <w:trHeight w:val="259" w:hRule="atLeast"/>
        </w:trPr>
        <w:tc>
          <w:tcPr>
            <w:tcW w:w="1372" w:type="dxa"/>
          </w:tcPr>
          <w:p>
            <w:pPr>
              <w:pStyle w:val="TableParagraph"/>
              <w:spacing w:line="239" w:lineRule="exact"/>
              <w:ind w:left="108"/>
              <w:rPr>
                <w:sz w:val="22"/>
              </w:rPr>
            </w:pPr>
            <w:r>
              <w:rPr>
                <w:spacing w:val="-4"/>
                <w:sz w:val="22"/>
              </w:rPr>
              <w:t>18.0</w:t>
            </w:r>
          </w:p>
        </w:tc>
        <w:tc>
          <w:tcPr>
            <w:tcW w:w="1704" w:type="dxa"/>
          </w:tcPr>
          <w:p>
            <w:pPr>
              <w:pStyle w:val="TableParagraph"/>
              <w:spacing w:line="239" w:lineRule="exact"/>
              <w:ind w:left="363"/>
              <w:rPr>
                <w:sz w:val="22"/>
              </w:rPr>
            </w:pPr>
            <w:r>
              <w:rPr>
                <w:spacing w:val="-10"/>
                <w:sz w:val="22"/>
              </w:rPr>
              <w:t>5</w:t>
            </w:r>
          </w:p>
        </w:tc>
        <w:tc>
          <w:tcPr>
            <w:tcW w:w="1309" w:type="dxa"/>
          </w:tcPr>
          <w:p>
            <w:pPr>
              <w:pStyle w:val="TableParagraph"/>
              <w:spacing w:line="239" w:lineRule="exact"/>
              <w:ind w:left="315"/>
              <w:rPr>
                <w:sz w:val="22"/>
              </w:rPr>
            </w:pPr>
            <w:r>
              <w:rPr>
                <w:spacing w:val="-5"/>
                <w:sz w:val="22"/>
              </w:rPr>
              <w:t>90</w:t>
            </w:r>
          </w:p>
        </w:tc>
        <w:tc>
          <w:tcPr>
            <w:tcW w:w="2036" w:type="dxa"/>
          </w:tcPr>
          <w:p>
            <w:pPr>
              <w:pStyle w:val="TableParagraph"/>
              <w:spacing w:line="239" w:lineRule="exact"/>
              <w:ind w:left="542"/>
              <w:rPr>
                <w:sz w:val="22"/>
              </w:rPr>
            </w:pPr>
            <w:r>
              <w:rPr>
                <w:spacing w:val="-5"/>
                <w:sz w:val="22"/>
              </w:rPr>
              <w:t>1.0</w:t>
            </w:r>
          </w:p>
        </w:tc>
        <w:tc>
          <w:tcPr>
            <w:tcW w:w="1786" w:type="dxa"/>
          </w:tcPr>
          <w:p>
            <w:pPr>
              <w:pStyle w:val="TableParagraph"/>
              <w:spacing w:line="239" w:lineRule="exact"/>
              <w:ind w:left="181"/>
              <w:rPr>
                <w:sz w:val="22"/>
              </w:rPr>
            </w:pPr>
            <w:r>
              <w:rPr>
                <w:spacing w:val="-4"/>
                <w:sz w:val="22"/>
              </w:rPr>
              <w:t>86.0</w:t>
            </w:r>
          </w:p>
        </w:tc>
      </w:tr>
      <w:tr>
        <w:trPr>
          <w:trHeight w:val="393" w:hRule="atLeast"/>
        </w:trPr>
        <w:tc>
          <w:tcPr>
            <w:tcW w:w="1372" w:type="dxa"/>
          </w:tcPr>
          <w:p>
            <w:pPr>
              <w:pStyle w:val="TableParagraph"/>
              <w:spacing w:before="2"/>
              <w:ind w:left="108"/>
              <w:rPr>
                <w:sz w:val="22"/>
              </w:rPr>
            </w:pPr>
            <w:r>
              <w:rPr>
                <w:spacing w:val="-4"/>
                <w:sz w:val="22"/>
              </w:rPr>
              <w:t>22.0</w:t>
            </w:r>
          </w:p>
        </w:tc>
        <w:tc>
          <w:tcPr>
            <w:tcW w:w="1704" w:type="dxa"/>
          </w:tcPr>
          <w:p>
            <w:pPr>
              <w:pStyle w:val="TableParagraph"/>
              <w:spacing w:before="2"/>
              <w:ind w:left="363"/>
              <w:rPr>
                <w:sz w:val="22"/>
              </w:rPr>
            </w:pPr>
            <w:r>
              <w:rPr>
                <w:spacing w:val="-5"/>
                <w:sz w:val="22"/>
              </w:rPr>
              <w:t>70</w:t>
            </w:r>
          </w:p>
        </w:tc>
        <w:tc>
          <w:tcPr>
            <w:tcW w:w="1309" w:type="dxa"/>
          </w:tcPr>
          <w:p>
            <w:pPr>
              <w:pStyle w:val="TableParagraph"/>
              <w:spacing w:before="2"/>
              <w:ind w:left="315"/>
              <w:rPr>
                <w:sz w:val="22"/>
              </w:rPr>
            </w:pPr>
            <w:r>
              <w:rPr>
                <w:spacing w:val="-4"/>
                <w:sz w:val="22"/>
              </w:rPr>
              <w:t>1540</w:t>
            </w:r>
          </w:p>
        </w:tc>
        <w:tc>
          <w:tcPr>
            <w:tcW w:w="2036" w:type="dxa"/>
          </w:tcPr>
          <w:p>
            <w:pPr>
              <w:pStyle w:val="TableParagraph"/>
              <w:spacing w:before="2"/>
              <w:ind w:left="542"/>
              <w:rPr>
                <w:sz w:val="22"/>
              </w:rPr>
            </w:pPr>
            <w:r>
              <w:rPr>
                <w:spacing w:val="-5"/>
                <w:sz w:val="22"/>
              </w:rPr>
              <w:t>14</w:t>
            </w:r>
          </w:p>
        </w:tc>
        <w:tc>
          <w:tcPr>
            <w:tcW w:w="1786" w:type="dxa"/>
          </w:tcPr>
          <w:p>
            <w:pPr>
              <w:pStyle w:val="TableParagraph"/>
              <w:spacing w:before="2"/>
              <w:ind w:left="181"/>
              <w:rPr>
                <w:sz w:val="22"/>
              </w:rPr>
            </w:pPr>
            <w:r>
              <w:rPr>
                <w:spacing w:val="-2"/>
                <w:sz w:val="22"/>
              </w:rPr>
              <w:t>100.0</w:t>
            </w:r>
          </w:p>
        </w:tc>
      </w:tr>
      <w:tr>
        <w:trPr>
          <w:trHeight w:val="643" w:hRule="atLeast"/>
        </w:trPr>
        <w:tc>
          <w:tcPr>
            <w:tcW w:w="1372" w:type="dxa"/>
          </w:tcPr>
          <w:p>
            <w:pPr>
              <w:pStyle w:val="TableParagraph"/>
              <w:spacing w:line="251" w:lineRule="exact" w:before="132"/>
              <w:ind w:left="108"/>
              <w:rPr>
                <w:b/>
                <w:sz w:val="22"/>
              </w:rPr>
            </w:pPr>
            <w:r>
              <w:rPr>
                <w:b/>
                <w:spacing w:val="-5"/>
                <w:sz w:val="22"/>
                <w:u w:val="single"/>
              </w:rPr>
              <w:t>MCS</w:t>
            </w:r>
          </w:p>
          <w:p>
            <w:pPr>
              <w:pStyle w:val="TableParagraph"/>
              <w:spacing w:line="240" w:lineRule="exact"/>
              <w:ind w:left="108"/>
              <w:rPr>
                <w:sz w:val="22"/>
              </w:rPr>
            </w:pPr>
            <w:r>
              <w:rPr>
                <w:spacing w:val="-5"/>
                <w:sz w:val="22"/>
              </w:rPr>
              <w:t>2.0</w:t>
            </w:r>
          </w:p>
        </w:tc>
        <w:tc>
          <w:tcPr>
            <w:tcW w:w="1704" w:type="dxa"/>
          </w:tcPr>
          <w:p>
            <w:pPr>
              <w:pStyle w:val="TableParagraph"/>
              <w:spacing w:before="128"/>
              <w:rPr>
                <w:b/>
                <w:sz w:val="22"/>
              </w:rPr>
            </w:pPr>
          </w:p>
          <w:p>
            <w:pPr>
              <w:pStyle w:val="TableParagraph"/>
              <w:spacing w:line="241" w:lineRule="exact" w:before="1"/>
              <w:ind w:left="353"/>
              <w:rPr>
                <w:sz w:val="22"/>
              </w:rPr>
            </w:pPr>
            <w:r>
              <w:rPr>
                <w:spacing w:val="-5"/>
                <w:sz w:val="22"/>
              </w:rPr>
              <w:t>26</w:t>
            </w:r>
          </w:p>
        </w:tc>
        <w:tc>
          <w:tcPr>
            <w:tcW w:w="1309" w:type="dxa"/>
          </w:tcPr>
          <w:p>
            <w:pPr>
              <w:pStyle w:val="TableParagraph"/>
              <w:spacing w:before="128"/>
              <w:rPr>
                <w:b/>
                <w:sz w:val="22"/>
              </w:rPr>
            </w:pPr>
          </w:p>
          <w:p>
            <w:pPr>
              <w:pStyle w:val="TableParagraph"/>
              <w:spacing w:line="241" w:lineRule="exact" w:before="1"/>
              <w:ind w:left="320"/>
              <w:rPr>
                <w:sz w:val="22"/>
              </w:rPr>
            </w:pPr>
            <w:r>
              <w:rPr>
                <w:spacing w:val="-5"/>
                <w:sz w:val="22"/>
              </w:rPr>
              <w:t>52</w:t>
            </w:r>
          </w:p>
        </w:tc>
        <w:tc>
          <w:tcPr>
            <w:tcW w:w="2036" w:type="dxa"/>
          </w:tcPr>
          <w:p>
            <w:pPr>
              <w:pStyle w:val="TableParagraph"/>
              <w:spacing w:before="128"/>
              <w:rPr>
                <w:b/>
                <w:sz w:val="22"/>
              </w:rPr>
            </w:pPr>
          </w:p>
          <w:p>
            <w:pPr>
              <w:pStyle w:val="TableParagraph"/>
              <w:spacing w:line="241" w:lineRule="exact" w:before="1"/>
              <w:ind w:left="542"/>
              <w:rPr>
                <w:sz w:val="22"/>
              </w:rPr>
            </w:pPr>
            <w:r>
              <w:rPr>
                <w:spacing w:val="-5"/>
                <w:sz w:val="22"/>
              </w:rPr>
              <w:t>5.2</w:t>
            </w:r>
          </w:p>
        </w:tc>
        <w:tc>
          <w:tcPr>
            <w:tcW w:w="1786" w:type="dxa"/>
          </w:tcPr>
          <w:p>
            <w:pPr>
              <w:pStyle w:val="TableParagraph"/>
              <w:spacing w:before="128"/>
              <w:rPr>
                <w:b/>
                <w:sz w:val="22"/>
              </w:rPr>
            </w:pPr>
          </w:p>
          <w:p>
            <w:pPr>
              <w:pStyle w:val="TableParagraph"/>
              <w:spacing w:line="241" w:lineRule="exact" w:before="1"/>
              <w:ind w:left="186"/>
              <w:rPr>
                <w:sz w:val="22"/>
              </w:rPr>
            </w:pPr>
            <w:r>
              <w:rPr>
                <w:spacing w:val="-5"/>
                <w:sz w:val="22"/>
              </w:rPr>
              <w:t>5.2</w:t>
            </w:r>
          </w:p>
        </w:tc>
      </w:tr>
      <w:tr>
        <w:trPr>
          <w:trHeight w:val="261" w:hRule="atLeast"/>
        </w:trPr>
        <w:tc>
          <w:tcPr>
            <w:tcW w:w="1372" w:type="dxa"/>
          </w:tcPr>
          <w:p>
            <w:pPr>
              <w:pStyle w:val="TableParagraph"/>
              <w:spacing w:line="239" w:lineRule="exact" w:before="2"/>
              <w:ind w:left="108"/>
              <w:rPr>
                <w:sz w:val="22"/>
              </w:rPr>
            </w:pPr>
            <w:r>
              <w:rPr>
                <w:spacing w:val="-5"/>
                <w:sz w:val="22"/>
              </w:rPr>
              <w:t>3.0</w:t>
            </w:r>
          </w:p>
        </w:tc>
        <w:tc>
          <w:tcPr>
            <w:tcW w:w="1704" w:type="dxa"/>
          </w:tcPr>
          <w:p>
            <w:pPr>
              <w:pStyle w:val="TableParagraph"/>
              <w:spacing w:line="239" w:lineRule="exact" w:before="2"/>
              <w:ind w:left="353"/>
              <w:rPr>
                <w:sz w:val="22"/>
              </w:rPr>
            </w:pPr>
            <w:r>
              <w:rPr>
                <w:spacing w:val="-5"/>
                <w:sz w:val="22"/>
              </w:rPr>
              <w:t>30</w:t>
            </w:r>
          </w:p>
        </w:tc>
        <w:tc>
          <w:tcPr>
            <w:tcW w:w="1309" w:type="dxa"/>
          </w:tcPr>
          <w:p>
            <w:pPr>
              <w:pStyle w:val="TableParagraph"/>
              <w:spacing w:line="239" w:lineRule="exact" w:before="2"/>
              <w:ind w:left="320"/>
              <w:rPr>
                <w:sz w:val="22"/>
              </w:rPr>
            </w:pPr>
            <w:r>
              <w:rPr>
                <w:spacing w:val="-5"/>
                <w:sz w:val="22"/>
              </w:rPr>
              <w:t>90</w:t>
            </w:r>
          </w:p>
        </w:tc>
        <w:tc>
          <w:tcPr>
            <w:tcW w:w="2036" w:type="dxa"/>
          </w:tcPr>
          <w:p>
            <w:pPr>
              <w:pStyle w:val="TableParagraph"/>
              <w:spacing w:line="239" w:lineRule="exact" w:before="2"/>
              <w:ind w:left="542"/>
              <w:rPr>
                <w:sz w:val="22"/>
              </w:rPr>
            </w:pPr>
            <w:r>
              <w:rPr>
                <w:spacing w:val="-5"/>
                <w:sz w:val="22"/>
              </w:rPr>
              <w:t>6.0</w:t>
            </w:r>
          </w:p>
        </w:tc>
        <w:tc>
          <w:tcPr>
            <w:tcW w:w="1786" w:type="dxa"/>
          </w:tcPr>
          <w:p>
            <w:pPr>
              <w:pStyle w:val="TableParagraph"/>
              <w:spacing w:line="239" w:lineRule="exact" w:before="2"/>
              <w:ind w:left="186"/>
              <w:rPr>
                <w:sz w:val="22"/>
              </w:rPr>
            </w:pPr>
            <w:r>
              <w:rPr>
                <w:spacing w:val="-4"/>
                <w:sz w:val="22"/>
              </w:rPr>
              <w:t>11.2</w:t>
            </w:r>
          </w:p>
        </w:tc>
      </w:tr>
      <w:tr>
        <w:trPr>
          <w:trHeight w:val="259" w:hRule="atLeast"/>
        </w:trPr>
        <w:tc>
          <w:tcPr>
            <w:tcW w:w="1372" w:type="dxa"/>
          </w:tcPr>
          <w:p>
            <w:pPr>
              <w:pStyle w:val="TableParagraph"/>
              <w:spacing w:line="239" w:lineRule="exact"/>
              <w:ind w:left="108"/>
              <w:rPr>
                <w:sz w:val="22"/>
              </w:rPr>
            </w:pPr>
            <w:r>
              <w:rPr>
                <w:spacing w:val="-5"/>
                <w:sz w:val="22"/>
              </w:rPr>
              <w:t>4.0</w:t>
            </w:r>
          </w:p>
        </w:tc>
        <w:tc>
          <w:tcPr>
            <w:tcW w:w="1704" w:type="dxa"/>
          </w:tcPr>
          <w:p>
            <w:pPr>
              <w:pStyle w:val="TableParagraph"/>
              <w:spacing w:line="239" w:lineRule="exact"/>
              <w:ind w:left="353"/>
              <w:rPr>
                <w:sz w:val="22"/>
              </w:rPr>
            </w:pPr>
            <w:r>
              <w:rPr>
                <w:spacing w:val="-5"/>
                <w:sz w:val="22"/>
              </w:rPr>
              <w:t>100</w:t>
            </w:r>
          </w:p>
        </w:tc>
        <w:tc>
          <w:tcPr>
            <w:tcW w:w="1309" w:type="dxa"/>
          </w:tcPr>
          <w:p>
            <w:pPr>
              <w:pStyle w:val="TableParagraph"/>
              <w:spacing w:line="239" w:lineRule="exact"/>
              <w:ind w:left="320"/>
              <w:rPr>
                <w:sz w:val="22"/>
              </w:rPr>
            </w:pPr>
            <w:r>
              <w:rPr>
                <w:spacing w:val="-5"/>
                <w:sz w:val="22"/>
              </w:rPr>
              <w:t>400</w:t>
            </w:r>
          </w:p>
        </w:tc>
        <w:tc>
          <w:tcPr>
            <w:tcW w:w="2036" w:type="dxa"/>
          </w:tcPr>
          <w:p>
            <w:pPr>
              <w:pStyle w:val="TableParagraph"/>
              <w:spacing w:line="239" w:lineRule="exact"/>
              <w:ind w:left="542"/>
              <w:rPr>
                <w:sz w:val="22"/>
              </w:rPr>
            </w:pPr>
            <w:r>
              <w:rPr>
                <w:spacing w:val="-4"/>
                <w:sz w:val="22"/>
              </w:rPr>
              <w:t>20.0</w:t>
            </w:r>
          </w:p>
        </w:tc>
        <w:tc>
          <w:tcPr>
            <w:tcW w:w="1786" w:type="dxa"/>
          </w:tcPr>
          <w:p>
            <w:pPr>
              <w:pStyle w:val="TableParagraph"/>
              <w:spacing w:line="239" w:lineRule="exact"/>
              <w:ind w:left="186"/>
              <w:rPr>
                <w:sz w:val="22"/>
              </w:rPr>
            </w:pPr>
            <w:r>
              <w:rPr>
                <w:spacing w:val="-4"/>
                <w:sz w:val="22"/>
              </w:rPr>
              <w:t>31.2</w:t>
            </w:r>
          </w:p>
        </w:tc>
      </w:tr>
      <w:tr>
        <w:trPr>
          <w:trHeight w:val="259" w:hRule="atLeast"/>
        </w:trPr>
        <w:tc>
          <w:tcPr>
            <w:tcW w:w="1372" w:type="dxa"/>
          </w:tcPr>
          <w:p>
            <w:pPr>
              <w:pStyle w:val="TableParagraph"/>
              <w:spacing w:line="239" w:lineRule="exact"/>
              <w:ind w:left="108"/>
              <w:rPr>
                <w:sz w:val="22"/>
              </w:rPr>
            </w:pPr>
            <w:r>
              <w:rPr>
                <w:spacing w:val="-5"/>
                <w:sz w:val="22"/>
              </w:rPr>
              <w:t>5.0</w:t>
            </w:r>
          </w:p>
        </w:tc>
        <w:tc>
          <w:tcPr>
            <w:tcW w:w="1704" w:type="dxa"/>
          </w:tcPr>
          <w:p>
            <w:pPr>
              <w:pStyle w:val="TableParagraph"/>
              <w:spacing w:line="239" w:lineRule="exact"/>
              <w:ind w:left="353"/>
              <w:rPr>
                <w:sz w:val="22"/>
              </w:rPr>
            </w:pPr>
            <w:r>
              <w:rPr>
                <w:spacing w:val="-5"/>
                <w:sz w:val="22"/>
              </w:rPr>
              <w:t>106</w:t>
            </w:r>
          </w:p>
        </w:tc>
        <w:tc>
          <w:tcPr>
            <w:tcW w:w="1309" w:type="dxa"/>
          </w:tcPr>
          <w:p>
            <w:pPr>
              <w:pStyle w:val="TableParagraph"/>
              <w:spacing w:line="239" w:lineRule="exact"/>
              <w:ind w:left="320"/>
              <w:rPr>
                <w:sz w:val="22"/>
              </w:rPr>
            </w:pPr>
            <w:r>
              <w:rPr>
                <w:spacing w:val="-5"/>
                <w:sz w:val="22"/>
              </w:rPr>
              <w:t>530</w:t>
            </w:r>
          </w:p>
        </w:tc>
        <w:tc>
          <w:tcPr>
            <w:tcW w:w="2036" w:type="dxa"/>
          </w:tcPr>
          <w:p>
            <w:pPr>
              <w:pStyle w:val="TableParagraph"/>
              <w:spacing w:line="239" w:lineRule="exact"/>
              <w:ind w:left="542"/>
              <w:rPr>
                <w:sz w:val="22"/>
              </w:rPr>
            </w:pPr>
            <w:r>
              <w:rPr>
                <w:spacing w:val="-4"/>
                <w:sz w:val="22"/>
              </w:rPr>
              <w:t>21.2</w:t>
            </w:r>
          </w:p>
        </w:tc>
        <w:tc>
          <w:tcPr>
            <w:tcW w:w="1786" w:type="dxa"/>
          </w:tcPr>
          <w:p>
            <w:pPr>
              <w:pStyle w:val="TableParagraph"/>
              <w:spacing w:line="239" w:lineRule="exact"/>
              <w:ind w:left="186"/>
              <w:rPr>
                <w:sz w:val="22"/>
              </w:rPr>
            </w:pPr>
            <w:r>
              <w:rPr>
                <w:spacing w:val="-4"/>
                <w:sz w:val="22"/>
              </w:rPr>
              <w:t>52.4</w:t>
            </w:r>
          </w:p>
        </w:tc>
      </w:tr>
      <w:tr>
        <w:trPr>
          <w:trHeight w:val="259" w:hRule="atLeast"/>
        </w:trPr>
        <w:tc>
          <w:tcPr>
            <w:tcW w:w="1372" w:type="dxa"/>
          </w:tcPr>
          <w:p>
            <w:pPr>
              <w:pStyle w:val="TableParagraph"/>
              <w:spacing w:line="239" w:lineRule="exact"/>
              <w:ind w:left="108"/>
              <w:rPr>
                <w:sz w:val="22"/>
              </w:rPr>
            </w:pPr>
            <w:r>
              <w:rPr>
                <w:spacing w:val="-5"/>
                <w:sz w:val="22"/>
              </w:rPr>
              <w:t>6.0</w:t>
            </w:r>
          </w:p>
        </w:tc>
        <w:tc>
          <w:tcPr>
            <w:tcW w:w="1704" w:type="dxa"/>
          </w:tcPr>
          <w:p>
            <w:pPr>
              <w:pStyle w:val="TableParagraph"/>
              <w:spacing w:line="239" w:lineRule="exact"/>
              <w:ind w:left="353"/>
              <w:rPr>
                <w:sz w:val="22"/>
              </w:rPr>
            </w:pPr>
            <w:r>
              <w:rPr>
                <w:spacing w:val="-5"/>
                <w:sz w:val="22"/>
              </w:rPr>
              <w:t>120</w:t>
            </w:r>
          </w:p>
        </w:tc>
        <w:tc>
          <w:tcPr>
            <w:tcW w:w="1309" w:type="dxa"/>
          </w:tcPr>
          <w:p>
            <w:pPr>
              <w:pStyle w:val="TableParagraph"/>
              <w:spacing w:line="239" w:lineRule="exact"/>
              <w:ind w:left="320"/>
              <w:rPr>
                <w:sz w:val="22"/>
              </w:rPr>
            </w:pPr>
            <w:r>
              <w:rPr>
                <w:spacing w:val="-5"/>
                <w:sz w:val="22"/>
              </w:rPr>
              <w:t>720</w:t>
            </w:r>
          </w:p>
        </w:tc>
        <w:tc>
          <w:tcPr>
            <w:tcW w:w="2036" w:type="dxa"/>
          </w:tcPr>
          <w:p>
            <w:pPr>
              <w:pStyle w:val="TableParagraph"/>
              <w:spacing w:line="239" w:lineRule="exact"/>
              <w:ind w:left="542"/>
              <w:rPr>
                <w:sz w:val="22"/>
              </w:rPr>
            </w:pPr>
            <w:r>
              <w:rPr>
                <w:spacing w:val="-4"/>
                <w:sz w:val="22"/>
              </w:rPr>
              <w:t>24.0</w:t>
            </w:r>
          </w:p>
        </w:tc>
        <w:tc>
          <w:tcPr>
            <w:tcW w:w="1786" w:type="dxa"/>
          </w:tcPr>
          <w:p>
            <w:pPr>
              <w:pStyle w:val="TableParagraph"/>
              <w:spacing w:line="239" w:lineRule="exact"/>
              <w:ind w:left="186"/>
              <w:rPr>
                <w:sz w:val="22"/>
              </w:rPr>
            </w:pPr>
            <w:r>
              <w:rPr>
                <w:spacing w:val="-4"/>
                <w:sz w:val="22"/>
              </w:rPr>
              <w:t>76.4</w:t>
            </w:r>
          </w:p>
        </w:tc>
      </w:tr>
      <w:tr>
        <w:trPr>
          <w:trHeight w:val="259" w:hRule="atLeast"/>
        </w:trPr>
        <w:tc>
          <w:tcPr>
            <w:tcW w:w="1372" w:type="dxa"/>
          </w:tcPr>
          <w:p>
            <w:pPr>
              <w:pStyle w:val="TableParagraph"/>
              <w:spacing w:line="239" w:lineRule="exact"/>
              <w:ind w:left="108"/>
              <w:rPr>
                <w:sz w:val="22"/>
              </w:rPr>
            </w:pPr>
            <w:r>
              <w:rPr>
                <w:spacing w:val="-5"/>
                <w:sz w:val="22"/>
              </w:rPr>
              <w:t>7.0</w:t>
            </w:r>
          </w:p>
        </w:tc>
        <w:tc>
          <w:tcPr>
            <w:tcW w:w="1704" w:type="dxa"/>
          </w:tcPr>
          <w:p>
            <w:pPr>
              <w:pStyle w:val="TableParagraph"/>
              <w:spacing w:line="239" w:lineRule="exact"/>
              <w:ind w:left="353"/>
              <w:rPr>
                <w:sz w:val="22"/>
              </w:rPr>
            </w:pPr>
            <w:r>
              <w:rPr>
                <w:spacing w:val="-5"/>
                <w:sz w:val="22"/>
              </w:rPr>
              <w:t>32</w:t>
            </w:r>
          </w:p>
        </w:tc>
        <w:tc>
          <w:tcPr>
            <w:tcW w:w="1309" w:type="dxa"/>
          </w:tcPr>
          <w:p>
            <w:pPr>
              <w:pStyle w:val="TableParagraph"/>
              <w:spacing w:line="239" w:lineRule="exact"/>
              <w:ind w:left="320"/>
              <w:rPr>
                <w:sz w:val="22"/>
              </w:rPr>
            </w:pPr>
            <w:r>
              <w:rPr>
                <w:spacing w:val="-5"/>
                <w:sz w:val="22"/>
              </w:rPr>
              <w:t>224</w:t>
            </w:r>
          </w:p>
        </w:tc>
        <w:tc>
          <w:tcPr>
            <w:tcW w:w="2036" w:type="dxa"/>
          </w:tcPr>
          <w:p>
            <w:pPr>
              <w:pStyle w:val="TableParagraph"/>
              <w:spacing w:line="239" w:lineRule="exact"/>
              <w:ind w:left="542"/>
              <w:rPr>
                <w:sz w:val="22"/>
              </w:rPr>
            </w:pPr>
            <w:r>
              <w:rPr>
                <w:spacing w:val="-5"/>
                <w:sz w:val="22"/>
              </w:rPr>
              <w:t>6.4</w:t>
            </w:r>
          </w:p>
        </w:tc>
        <w:tc>
          <w:tcPr>
            <w:tcW w:w="1786" w:type="dxa"/>
          </w:tcPr>
          <w:p>
            <w:pPr>
              <w:pStyle w:val="TableParagraph"/>
              <w:spacing w:line="239" w:lineRule="exact"/>
              <w:ind w:left="186"/>
              <w:rPr>
                <w:sz w:val="22"/>
              </w:rPr>
            </w:pPr>
            <w:r>
              <w:rPr>
                <w:spacing w:val="-4"/>
                <w:sz w:val="22"/>
              </w:rPr>
              <w:t>82.8</w:t>
            </w:r>
          </w:p>
        </w:tc>
      </w:tr>
      <w:tr>
        <w:trPr>
          <w:trHeight w:val="259" w:hRule="atLeast"/>
        </w:trPr>
        <w:tc>
          <w:tcPr>
            <w:tcW w:w="1372" w:type="dxa"/>
          </w:tcPr>
          <w:p>
            <w:pPr>
              <w:pStyle w:val="TableParagraph"/>
              <w:spacing w:line="239" w:lineRule="exact"/>
              <w:ind w:left="108"/>
              <w:rPr>
                <w:sz w:val="22"/>
              </w:rPr>
            </w:pPr>
            <w:r>
              <w:rPr>
                <w:spacing w:val="-5"/>
                <w:sz w:val="22"/>
              </w:rPr>
              <w:t>8.0</w:t>
            </w:r>
          </w:p>
        </w:tc>
        <w:tc>
          <w:tcPr>
            <w:tcW w:w="1704" w:type="dxa"/>
          </w:tcPr>
          <w:p>
            <w:pPr>
              <w:pStyle w:val="TableParagraph"/>
              <w:spacing w:line="239" w:lineRule="exact"/>
              <w:ind w:left="353"/>
              <w:rPr>
                <w:sz w:val="22"/>
              </w:rPr>
            </w:pPr>
            <w:r>
              <w:rPr>
                <w:spacing w:val="-5"/>
                <w:sz w:val="22"/>
              </w:rPr>
              <w:t>20</w:t>
            </w:r>
          </w:p>
        </w:tc>
        <w:tc>
          <w:tcPr>
            <w:tcW w:w="1309" w:type="dxa"/>
          </w:tcPr>
          <w:p>
            <w:pPr>
              <w:pStyle w:val="TableParagraph"/>
              <w:spacing w:line="239" w:lineRule="exact"/>
              <w:ind w:left="320"/>
              <w:rPr>
                <w:sz w:val="22"/>
              </w:rPr>
            </w:pPr>
            <w:r>
              <w:rPr>
                <w:spacing w:val="-5"/>
                <w:sz w:val="22"/>
              </w:rPr>
              <w:t>160</w:t>
            </w:r>
          </w:p>
        </w:tc>
        <w:tc>
          <w:tcPr>
            <w:tcW w:w="2036" w:type="dxa"/>
          </w:tcPr>
          <w:p>
            <w:pPr>
              <w:pStyle w:val="TableParagraph"/>
              <w:spacing w:line="239" w:lineRule="exact"/>
              <w:ind w:left="542"/>
              <w:rPr>
                <w:sz w:val="22"/>
              </w:rPr>
            </w:pPr>
            <w:r>
              <w:rPr>
                <w:spacing w:val="-5"/>
                <w:sz w:val="22"/>
              </w:rPr>
              <w:t>4.0</w:t>
            </w:r>
          </w:p>
        </w:tc>
        <w:tc>
          <w:tcPr>
            <w:tcW w:w="1786" w:type="dxa"/>
          </w:tcPr>
          <w:p>
            <w:pPr>
              <w:pStyle w:val="TableParagraph"/>
              <w:spacing w:line="239" w:lineRule="exact"/>
              <w:ind w:left="186"/>
              <w:rPr>
                <w:sz w:val="22"/>
              </w:rPr>
            </w:pPr>
            <w:r>
              <w:rPr>
                <w:spacing w:val="-4"/>
                <w:sz w:val="22"/>
              </w:rPr>
              <w:t>86.8</w:t>
            </w:r>
          </w:p>
        </w:tc>
      </w:tr>
      <w:tr>
        <w:trPr>
          <w:trHeight w:val="259" w:hRule="atLeast"/>
        </w:trPr>
        <w:tc>
          <w:tcPr>
            <w:tcW w:w="1372" w:type="dxa"/>
          </w:tcPr>
          <w:p>
            <w:pPr>
              <w:pStyle w:val="TableParagraph"/>
              <w:spacing w:line="239" w:lineRule="exact"/>
              <w:ind w:left="108"/>
              <w:rPr>
                <w:sz w:val="22"/>
              </w:rPr>
            </w:pPr>
            <w:r>
              <w:rPr>
                <w:spacing w:val="-5"/>
                <w:sz w:val="22"/>
              </w:rPr>
              <w:t>9.0</w:t>
            </w:r>
          </w:p>
        </w:tc>
        <w:tc>
          <w:tcPr>
            <w:tcW w:w="1704" w:type="dxa"/>
          </w:tcPr>
          <w:p>
            <w:pPr>
              <w:pStyle w:val="TableParagraph"/>
              <w:spacing w:line="239" w:lineRule="exact"/>
              <w:ind w:left="353"/>
              <w:rPr>
                <w:sz w:val="22"/>
              </w:rPr>
            </w:pPr>
            <w:r>
              <w:rPr>
                <w:spacing w:val="-5"/>
                <w:sz w:val="22"/>
              </w:rPr>
              <w:t>30</w:t>
            </w:r>
          </w:p>
        </w:tc>
        <w:tc>
          <w:tcPr>
            <w:tcW w:w="1309" w:type="dxa"/>
          </w:tcPr>
          <w:p>
            <w:pPr>
              <w:pStyle w:val="TableParagraph"/>
              <w:spacing w:line="239" w:lineRule="exact"/>
              <w:ind w:left="320"/>
              <w:rPr>
                <w:sz w:val="22"/>
              </w:rPr>
            </w:pPr>
            <w:r>
              <w:rPr>
                <w:spacing w:val="-5"/>
                <w:sz w:val="22"/>
              </w:rPr>
              <w:t>270</w:t>
            </w:r>
          </w:p>
        </w:tc>
        <w:tc>
          <w:tcPr>
            <w:tcW w:w="2036" w:type="dxa"/>
          </w:tcPr>
          <w:p>
            <w:pPr>
              <w:pStyle w:val="TableParagraph"/>
              <w:spacing w:line="239" w:lineRule="exact"/>
              <w:ind w:left="542"/>
              <w:rPr>
                <w:sz w:val="22"/>
              </w:rPr>
            </w:pPr>
            <w:r>
              <w:rPr>
                <w:spacing w:val="-5"/>
                <w:sz w:val="22"/>
              </w:rPr>
              <w:t>6.0</w:t>
            </w:r>
          </w:p>
        </w:tc>
        <w:tc>
          <w:tcPr>
            <w:tcW w:w="1786" w:type="dxa"/>
          </w:tcPr>
          <w:p>
            <w:pPr>
              <w:pStyle w:val="TableParagraph"/>
              <w:spacing w:line="239" w:lineRule="exact"/>
              <w:ind w:left="186"/>
              <w:rPr>
                <w:sz w:val="22"/>
              </w:rPr>
            </w:pPr>
            <w:r>
              <w:rPr>
                <w:spacing w:val="-4"/>
                <w:sz w:val="22"/>
              </w:rPr>
              <w:t>92.8</w:t>
            </w:r>
          </w:p>
        </w:tc>
      </w:tr>
      <w:tr>
        <w:trPr>
          <w:trHeight w:val="259" w:hRule="atLeast"/>
        </w:trPr>
        <w:tc>
          <w:tcPr>
            <w:tcW w:w="1372" w:type="dxa"/>
          </w:tcPr>
          <w:p>
            <w:pPr>
              <w:pStyle w:val="TableParagraph"/>
              <w:spacing w:line="239" w:lineRule="exact"/>
              <w:ind w:left="108"/>
              <w:rPr>
                <w:sz w:val="22"/>
              </w:rPr>
            </w:pPr>
            <w:r>
              <w:rPr>
                <w:spacing w:val="-4"/>
                <w:sz w:val="22"/>
              </w:rPr>
              <w:t>10.0</w:t>
            </w:r>
          </w:p>
        </w:tc>
        <w:tc>
          <w:tcPr>
            <w:tcW w:w="1704" w:type="dxa"/>
          </w:tcPr>
          <w:p>
            <w:pPr>
              <w:pStyle w:val="TableParagraph"/>
              <w:spacing w:line="239" w:lineRule="exact"/>
              <w:ind w:left="353"/>
              <w:rPr>
                <w:sz w:val="22"/>
              </w:rPr>
            </w:pPr>
            <w:r>
              <w:rPr>
                <w:spacing w:val="-5"/>
                <w:sz w:val="22"/>
              </w:rPr>
              <w:t>15</w:t>
            </w:r>
          </w:p>
        </w:tc>
        <w:tc>
          <w:tcPr>
            <w:tcW w:w="1309" w:type="dxa"/>
          </w:tcPr>
          <w:p>
            <w:pPr>
              <w:pStyle w:val="TableParagraph"/>
              <w:spacing w:line="239" w:lineRule="exact"/>
              <w:ind w:left="320"/>
              <w:rPr>
                <w:sz w:val="22"/>
              </w:rPr>
            </w:pPr>
            <w:r>
              <w:rPr>
                <w:spacing w:val="-5"/>
                <w:sz w:val="22"/>
              </w:rPr>
              <w:t>150</w:t>
            </w:r>
          </w:p>
        </w:tc>
        <w:tc>
          <w:tcPr>
            <w:tcW w:w="2036" w:type="dxa"/>
          </w:tcPr>
          <w:p>
            <w:pPr>
              <w:pStyle w:val="TableParagraph"/>
              <w:spacing w:line="239" w:lineRule="exact"/>
              <w:ind w:left="542"/>
              <w:rPr>
                <w:sz w:val="22"/>
              </w:rPr>
            </w:pPr>
            <w:r>
              <w:rPr>
                <w:spacing w:val="-5"/>
                <w:sz w:val="22"/>
              </w:rPr>
              <w:t>3.0</w:t>
            </w:r>
          </w:p>
        </w:tc>
        <w:tc>
          <w:tcPr>
            <w:tcW w:w="1786" w:type="dxa"/>
          </w:tcPr>
          <w:p>
            <w:pPr>
              <w:pStyle w:val="TableParagraph"/>
              <w:spacing w:line="239" w:lineRule="exact"/>
              <w:ind w:left="186"/>
              <w:rPr>
                <w:sz w:val="22"/>
              </w:rPr>
            </w:pPr>
            <w:r>
              <w:rPr>
                <w:spacing w:val="-4"/>
                <w:sz w:val="22"/>
              </w:rPr>
              <w:t>95.8</w:t>
            </w:r>
          </w:p>
        </w:tc>
      </w:tr>
      <w:tr>
        <w:trPr>
          <w:trHeight w:val="259" w:hRule="atLeast"/>
        </w:trPr>
        <w:tc>
          <w:tcPr>
            <w:tcW w:w="1372" w:type="dxa"/>
          </w:tcPr>
          <w:p>
            <w:pPr>
              <w:pStyle w:val="TableParagraph"/>
              <w:spacing w:line="239" w:lineRule="exact"/>
              <w:ind w:left="108"/>
              <w:rPr>
                <w:sz w:val="22"/>
              </w:rPr>
            </w:pPr>
            <w:r>
              <w:rPr>
                <w:spacing w:val="-4"/>
                <w:sz w:val="22"/>
              </w:rPr>
              <w:t>11.0</w:t>
            </w:r>
          </w:p>
        </w:tc>
        <w:tc>
          <w:tcPr>
            <w:tcW w:w="1704" w:type="dxa"/>
          </w:tcPr>
          <w:p>
            <w:pPr>
              <w:pStyle w:val="TableParagraph"/>
              <w:spacing w:line="239" w:lineRule="exact"/>
              <w:ind w:left="353"/>
              <w:rPr>
                <w:sz w:val="22"/>
              </w:rPr>
            </w:pPr>
            <w:r>
              <w:rPr>
                <w:spacing w:val="-10"/>
                <w:sz w:val="22"/>
              </w:rPr>
              <w:t>6</w:t>
            </w:r>
          </w:p>
        </w:tc>
        <w:tc>
          <w:tcPr>
            <w:tcW w:w="1309" w:type="dxa"/>
          </w:tcPr>
          <w:p>
            <w:pPr>
              <w:pStyle w:val="TableParagraph"/>
              <w:spacing w:line="239" w:lineRule="exact"/>
              <w:ind w:left="320"/>
              <w:rPr>
                <w:sz w:val="22"/>
              </w:rPr>
            </w:pPr>
            <w:r>
              <w:rPr>
                <w:spacing w:val="-5"/>
                <w:sz w:val="22"/>
              </w:rPr>
              <w:t>66</w:t>
            </w:r>
          </w:p>
        </w:tc>
        <w:tc>
          <w:tcPr>
            <w:tcW w:w="2036" w:type="dxa"/>
          </w:tcPr>
          <w:p>
            <w:pPr>
              <w:pStyle w:val="TableParagraph"/>
              <w:spacing w:line="239" w:lineRule="exact"/>
              <w:ind w:left="542"/>
              <w:rPr>
                <w:sz w:val="22"/>
              </w:rPr>
            </w:pPr>
            <w:r>
              <w:rPr>
                <w:spacing w:val="-5"/>
                <w:sz w:val="22"/>
              </w:rPr>
              <w:t>1.2</w:t>
            </w:r>
          </w:p>
        </w:tc>
        <w:tc>
          <w:tcPr>
            <w:tcW w:w="1786" w:type="dxa"/>
          </w:tcPr>
          <w:p>
            <w:pPr>
              <w:pStyle w:val="TableParagraph"/>
              <w:spacing w:line="239" w:lineRule="exact"/>
              <w:ind w:left="186"/>
              <w:rPr>
                <w:sz w:val="22"/>
              </w:rPr>
            </w:pPr>
            <w:r>
              <w:rPr>
                <w:spacing w:val="-4"/>
                <w:sz w:val="22"/>
              </w:rPr>
              <w:t>97.0</w:t>
            </w:r>
          </w:p>
        </w:tc>
      </w:tr>
      <w:tr>
        <w:trPr>
          <w:trHeight w:val="259" w:hRule="atLeast"/>
        </w:trPr>
        <w:tc>
          <w:tcPr>
            <w:tcW w:w="1372" w:type="dxa"/>
          </w:tcPr>
          <w:p>
            <w:pPr>
              <w:pStyle w:val="TableParagraph"/>
              <w:spacing w:line="239" w:lineRule="exact"/>
              <w:ind w:left="108"/>
              <w:rPr>
                <w:sz w:val="22"/>
              </w:rPr>
            </w:pPr>
            <w:r>
              <w:rPr>
                <w:spacing w:val="-4"/>
                <w:sz w:val="22"/>
              </w:rPr>
              <w:t>12.0</w:t>
            </w:r>
          </w:p>
        </w:tc>
        <w:tc>
          <w:tcPr>
            <w:tcW w:w="1704" w:type="dxa"/>
          </w:tcPr>
          <w:p>
            <w:pPr>
              <w:pStyle w:val="TableParagraph"/>
              <w:spacing w:line="239" w:lineRule="exact"/>
              <w:ind w:left="353"/>
              <w:rPr>
                <w:sz w:val="22"/>
              </w:rPr>
            </w:pPr>
            <w:r>
              <w:rPr>
                <w:spacing w:val="-5"/>
                <w:sz w:val="22"/>
              </w:rPr>
              <w:t>10</w:t>
            </w:r>
          </w:p>
        </w:tc>
        <w:tc>
          <w:tcPr>
            <w:tcW w:w="1309" w:type="dxa"/>
          </w:tcPr>
          <w:p>
            <w:pPr>
              <w:pStyle w:val="TableParagraph"/>
              <w:spacing w:line="239" w:lineRule="exact"/>
              <w:ind w:left="320"/>
              <w:rPr>
                <w:sz w:val="22"/>
              </w:rPr>
            </w:pPr>
            <w:r>
              <w:rPr>
                <w:spacing w:val="-5"/>
                <w:sz w:val="22"/>
              </w:rPr>
              <w:t>120</w:t>
            </w:r>
          </w:p>
        </w:tc>
        <w:tc>
          <w:tcPr>
            <w:tcW w:w="2036" w:type="dxa"/>
          </w:tcPr>
          <w:p>
            <w:pPr>
              <w:pStyle w:val="TableParagraph"/>
              <w:spacing w:line="239" w:lineRule="exact"/>
              <w:ind w:left="542"/>
              <w:rPr>
                <w:sz w:val="22"/>
              </w:rPr>
            </w:pPr>
            <w:r>
              <w:rPr>
                <w:spacing w:val="-5"/>
                <w:sz w:val="22"/>
              </w:rPr>
              <w:t>2.0</w:t>
            </w:r>
          </w:p>
        </w:tc>
        <w:tc>
          <w:tcPr>
            <w:tcW w:w="1786" w:type="dxa"/>
          </w:tcPr>
          <w:p>
            <w:pPr>
              <w:pStyle w:val="TableParagraph"/>
              <w:spacing w:line="239" w:lineRule="exact"/>
              <w:ind w:left="186"/>
              <w:rPr>
                <w:sz w:val="22"/>
              </w:rPr>
            </w:pPr>
            <w:r>
              <w:rPr>
                <w:spacing w:val="-4"/>
                <w:sz w:val="22"/>
              </w:rPr>
              <w:t>99.0</w:t>
            </w:r>
          </w:p>
        </w:tc>
      </w:tr>
      <w:tr>
        <w:trPr>
          <w:trHeight w:val="258" w:hRule="atLeast"/>
        </w:trPr>
        <w:tc>
          <w:tcPr>
            <w:tcW w:w="1372" w:type="dxa"/>
            <w:tcBorders>
              <w:bottom w:val="single" w:sz="4" w:space="0" w:color="000000"/>
            </w:tcBorders>
          </w:tcPr>
          <w:p>
            <w:pPr>
              <w:pStyle w:val="TableParagraph"/>
              <w:spacing w:line="238" w:lineRule="exact"/>
              <w:ind w:left="108"/>
              <w:rPr>
                <w:sz w:val="22"/>
              </w:rPr>
            </w:pPr>
            <w:r>
              <w:rPr>
                <w:spacing w:val="-4"/>
                <w:sz w:val="22"/>
              </w:rPr>
              <w:t>16.0</w:t>
            </w:r>
          </w:p>
        </w:tc>
        <w:tc>
          <w:tcPr>
            <w:tcW w:w="1704" w:type="dxa"/>
            <w:tcBorders>
              <w:bottom w:val="single" w:sz="4" w:space="0" w:color="000000"/>
            </w:tcBorders>
          </w:tcPr>
          <w:p>
            <w:pPr>
              <w:pStyle w:val="TableParagraph"/>
              <w:spacing w:line="238" w:lineRule="exact"/>
              <w:ind w:left="353"/>
              <w:rPr>
                <w:sz w:val="22"/>
              </w:rPr>
            </w:pPr>
            <w:r>
              <w:rPr>
                <w:spacing w:val="-10"/>
                <w:sz w:val="22"/>
              </w:rPr>
              <w:t>5</w:t>
            </w:r>
          </w:p>
        </w:tc>
        <w:tc>
          <w:tcPr>
            <w:tcW w:w="1309" w:type="dxa"/>
            <w:tcBorders>
              <w:bottom w:val="single" w:sz="4" w:space="0" w:color="000000"/>
            </w:tcBorders>
          </w:tcPr>
          <w:p>
            <w:pPr>
              <w:pStyle w:val="TableParagraph"/>
              <w:spacing w:line="238" w:lineRule="exact"/>
              <w:ind w:left="320"/>
              <w:rPr>
                <w:sz w:val="22"/>
              </w:rPr>
            </w:pPr>
            <w:r>
              <w:rPr>
                <w:spacing w:val="-5"/>
                <w:sz w:val="22"/>
              </w:rPr>
              <w:t>80</w:t>
            </w:r>
          </w:p>
        </w:tc>
        <w:tc>
          <w:tcPr>
            <w:tcW w:w="2036" w:type="dxa"/>
            <w:tcBorders>
              <w:bottom w:val="single" w:sz="4" w:space="0" w:color="000000"/>
            </w:tcBorders>
          </w:tcPr>
          <w:p>
            <w:pPr>
              <w:pStyle w:val="TableParagraph"/>
              <w:spacing w:line="238" w:lineRule="exact"/>
              <w:ind w:left="542"/>
              <w:rPr>
                <w:sz w:val="22"/>
              </w:rPr>
            </w:pPr>
            <w:r>
              <w:rPr>
                <w:spacing w:val="-5"/>
                <w:sz w:val="22"/>
              </w:rPr>
              <w:t>1.0</w:t>
            </w:r>
          </w:p>
        </w:tc>
        <w:tc>
          <w:tcPr>
            <w:tcW w:w="1786" w:type="dxa"/>
            <w:tcBorders>
              <w:bottom w:val="single" w:sz="4" w:space="0" w:color="000000"/>
            </w:tcBorders>
          </w:tcPr>
          <w:p>
            <w:pPr>
              <w:pStyle w:val="TableParagraph"/>
              <w:spacing w:line="238" w:lineRule="exact"/>
              <w:ind w:left="186"/>
              <w:rPr>
                <w:sz w:val="22"/>
              </w:rPr>
            </w:pPr>
            <w:r>
              <w:rPr>
                <w:spacing w:val="-2"/>
                <w:sz w:val="22"/>
              </w:rPr>
              <w:t>100.0</w:t>
            </w:r>
          </w:p>
        </w:tc>
      </w:tr>
    </w:tbl>
    <w:p>
      <w:pPr>
        <w:spacing w:after="0" w:line="238" w:lineRule="exact"/>
        <w:rPr>
          <w:sz w:val="22"/>
        </w:rPr>
        <w:sectPr>
          <w:pgSz w:w="12240" w:h="15840"/>
          <w:pgMar w:header="0" w:footer="999" w:top="1500" w:bottom="1180" w:left="1720" w:right="760"/>
        </w:sectPr>
      </w:pPr>
    </w:p>
    <w:p>
      <w:pPr>
        <w:pStyle w:val="Heading2"/>
        <w:numPr>
          <w:ilvl w:val="1"/>
          <w:numId w:val="38"/>
        </w:numPr>
        <w:tabs>
          <w:tab w:pos="1342" w:val="left" w:leader="none"/>
        </w:tabs>
        <w:spacing w:line="240" w:lineRule="auto" w:before="80" w:after="0"/>
        <w:ind w:left="1342" w:right="0" w:hanging="677"/>
        <w:jc w:val="left"/>
      </w:pPr>
      <w:bookmarkStart w:name="_TOC_250014" w:id="147"/>
      <w:r>
        <w:rPr/>
        <w:t>Size</w:t>
      </w:r>
      <w:r>
        <w:rPr>
          <w:spacing w:val="16"/>
        </w:rPr>
        <w:t> </w:t>
      </w:r>
      <w:r>
        <w:rPr/>
        <w:t>Distribution</w:t>
      </w:r>
      <w:r>
        <w:rPr>
          <w:spacing w:val="9"/>
        </w:rPr>
        <w:t> </w:t>
      </w:r>
      <w:r>
        <w:rPr/>
        <w:t>of</w:t>
      </w:r>
      <w:r>
        <w:rPr>
          <w:spacing w:val="18"/>
        </w:rPr>
        <w:t> </w:t>
      </w:r>
      <w:r>
        <w:rPr/>
        <w:t>Metronidazole</w:t>
      </w:r>
      <w:r>
        <w:rPr>
          <w:spacing w:val="17"/>
        </w:rPr>
        <w:t> </w:t>
      </w:r>
      <w:r>
        <w:rPr/>
        <w:t>Granules</w:t>
      </w:r>
      <w:r>
        <w:rPr>
          <w:spacing w:val="7"/>
        </w:rPr>
        <w:t> </w:t>
      </w:r>
      <w:r>
        <w:rPr/>
        <w:t>as</w:t>
      </w:r>
      <w:r>
        <w:rPr>
          <w:spacing w:val="8"/>
        </w:rPr>
        <w:t> </w:t>
      </w:r>
      <w:bookmarkEnd w:id="147"/>
      <w:r>
        <w:rPr>
          <w:spacing w:val="-2"/>
        </w:rPr>
        <w:t>Binder</w:t>
      </w:r>
    </w:p>
    <w:p>
      <w:pPr>
        <w:pStyle w:val="BodyText"/>
        <w:spacing w:before="25"/>
        <w:rPr>
          <w:b/>
          <w:sz w:val="20"/>
        </w:rPr>
      </w:pPr>
    </w:p>
    <w:p>
      <w:pPr>
        <w:pStyle w:val="BodyText"/>
        <w:spacing w:line="20" w:lineRule="exact"/>
        <w:ind w:left="243"/>
        <w:rPr>
          <w:sz w:val="2"/>
        </w:rPr>
      </w:pPr>
      <w:r>
        <w:rPr>
          <w:sz w:val="2"/>
        </w:rPr>
        <mc:AlternateContent>
          <mc:Choice Requires="wps">
            <w:drawing>
              <wp:inline distT="0" distB="0" distL="0" distR="0">
                <wp:extent cx="5974080" cy="6350"/>
                <wp:effectExtent l="0" t="0" r="0" b="0"/>
                <wp:docPr id="101" name="Group 101"/>
                <wp:cNvGraphicFramePr>
                  <a:graphicFrameLocks/>
                </wp:cNvGraphicFramePr>
                <a:graphic>
                  <a:graphicData uri="http://schemas.microsoft.com/office/word/2010/wordprocessingGroup">
                    <wpg:wgp>
                      <wpg:cNvPr id="101" name="Group 101"/>
                      <wpg:cNvGrpSpPr/>
                      <wpg:grpSpPr>
                        <a:xfrm>
                          <a:off x="0" y="0"/>
                          <a:ext cx="5974080" cy="6350"/>
                          <a:chExt cx="5974080" cy="6350"/>
                        </a:xfrm>
                      </wpg:grpSpPr>
                      <wps:wsp>
                        <wps:cNvPr id="102" name="Graphic 102"/>
                        <wps:cNvSpPr/>
                        <wps:spPr>
                          <a:xfrm>
                            <a:off x="0" y="0"/>
                            <a:ext cx="5974080" cy="6350"/>
                          </a:xfrm>
                          <a:custGeom>
                            <a:avLst/>
                            <a:gdLst/>
                            <a:ahLst/>
                            <a:cxnLst/>
                            <a:rect l="l" t="t" r="r" b="b"/>
                            <a:pathLst>
                              <a:path w="5974080" h="6350">
                                <a:moveTo>
                                  <a:pt x="984491" y="0"/>
                                </a:moveTo>
                                <a:lnTo>
                                  <a:pt x="978408" y="0"/>
                                </a:lnTo>
                                <a:lnTo>
                                  <a:pt x="0" y="0"/>
                                </a:lnTo>
                                <a:lnTo>
                                  <a:pt x="0" y="6096"/>
                                </a:lnTo>
                                <a:lnTo>
                                  <a:pt x="978408" y="6096"/>
                                </a:lnTo>
                                <a:lnTo>
                                  <a:pt x="984491" y="6096"/>
                                </a:lnTo>
                                <a:lnTo>
                                  <a:pt x="984491" y="0"/>
                                </a:lnTo>
                                <a:close/>
                              </a:path>
                              <a:path w="5974080" h="6350">
                                <a:moveTo>
                                  <a:pt x="5974080" y="0"/>
                                </a:moveTo>
                                <a:lnTo>
                                  <a:pt x="3270504" y="0"/>
                                </a:lnTo>
                                <a:lnTo>
                                  <a:pt x="3264408" y="0"/>
                                </a:lnTo>
                                <a:lnTo>
                                  <a:pt x="984504" y="0"/>
                                </a:lnTo>
                                <a:lnTo>
                                  <a:pt x="984504" y="6096"/>
                                </a:lnTo>
                                <a:lnTo>
                                  <a:pt x="3264408" y="6096"/>
                                </a:lnTo>
                                <a:lnTo>
                                  <a:pt x="3270504" y="6096"/>
                                </a:lnTo>
                                <a:lnTo>
                                  <a:pt x="5974080" y="6096"/>
                                </a:lnTo>
                                <a:lnTo>
                                  <a:pt x="5974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0.4pt;height:.5pt;mso-position-horizontal-relative:char;mso-position-vertical-relative:line" id="docshapegroup89" coordorigin="0,0" coordsize="9408,10">
                <v:shape style="position:absolute;left:0;top:0;width:9408;height:10" id="docshape90" coordorigin="0,0" coordsize="9408,10" path="m1550,0l1541,0,0,0,0,10,1541,10,1550,10,1550,0xm9408,0l5150,0,5141,0,1550,0,1550,10,5141,10,5150,10,9408,10,940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260" w:bottom="1180" w:left="1720" w:right="760"/>
        </w:sectPr>
      </w:pPr>
    </w:p>
    <w:p>
      <w:pPr>
        <w:spacing w:line="247" w:lineRule="auto" w:before="0"/>
        <w:ind w:left="344" w:right="38" w:firstLine="0"/>
        <w:jc w:val="left"/>
        <w:rPr>
          <w:b/>
          <w:sz w:val="22"/>
        </w:rPr>
      </w:pPr>
      <w:r>
        <w:rPr>
          <w:b/>
          <w:spacing w:val="-2"/>
          <w:sz w:val="22"/>
        </w:rPr>
        <w:t>Sieve</w:t>
      </w:r>
      <w:r>
        <w:rPr>
          <w:b/>
          <w:spacing w:val="40"/>
          <w:sz w:val="22"/>
        </w:rPr>
        <w:t> </w:t>
      </w:r>
      <w:r>
        <w:rPr>
          <w:b/>
          <w:sz w:val="22"/>
        </w:rPr>
        <w:t>Size</w:t>
      </w:r>
      <w:r>
        <w:rPr>
          <w:b/>
          <w:spacing w:val="-14"/>
          <w:sz w:val="22"/>
        </w:rPr>
        <w:t> </w:t>
      </w:r>
      <w:r>
        <w:rPr>
          <w:b/>
          <w:sz w:val="22"/>
        </w:rPr>
        <w:t>(</w:t>
      </w:r>
      <w:r>
        <w:rPr>
          <w:rFonts w:ascii="Calibri" w:hAnsi="Calibri"/>
          <w:b/>
          <w:sz w:val="22"/>
        </w:rPr>
        <w:t>µ</w:t>
      </w:r>
      <w:r>
        <w:rPr>
          <w:b/>
          <w:sz w:val="22"/>
        </w:rPr>
        <w:t>m)</w:t>
      </w:r>
    </w:p>
    <w:p>
      <w:pPr>
        <w:tabs>
          <w:tab w:pos="1371" w:val="left" w:leader="none"/>
          <w:tab w:pos="2657" w:val="left" w:leader="none"/>
          <w:tab w:pos="3943" w:val="left" w:leader="none"/>
          <w:tab w:pos="4174" w:val="left" w:leader="none"/>
          <w:tab w:pos="5230" w:val="left" w:leader="none"/>
          <w:tab w:pos="6670" w:val="left" w:leader="none"/>
        </w:tabs>
        <w:spacing w:line="249" w:lineRule="auto" w:before="0"/>
        <w:ind w:left="343" w:right="1070" w:firstLine="729"/>
        <w:jc w:val="left"/>
        <w:rPr>
          <w:b/>
          <w:sz w:val="22"/>
        </w:rPr>
      </w:pPr>
      <w:r>
        <w:rPr/>
        <w:br w:type="column"/>
      </w:r>
      <w:r>
        <w:rPr>
          <w:b/>
          <w:sz w:val="22"/>
        </w:rPr>
        <w:t>% Frequency</w:t>
        <w:tab/>
        <w:tab/>
        <w:tab/>
        <w:t>Cumulative</w:t>
      </w:r>
      <w:r>
        <w:rPr>
          <w:b/>
          <w:spacing w:val="40"/>
          <w:sz w:val="22"/>
        </w:rPr>
        <w:t> </w:t>
      </w:r>
      <w:r>
        <w:rPr>
          <w:b/>
          <w:sz w:val="22"/>
        </w:rPr>
        <w:t>Frequency</w:t>
      </w:r>
      <w:r>
        <w:rPr>
          <w:b/>
          <w:spacing w:val="35"/>
          <w:sz w:val="22"/>
        </w:rPr>
        <w:t> </w:t>
      </w:r>
      <w:r>
        <w:rPr>
          <w:b/>
          <w:sz w:val="22"/>
        </w:rPr>
        <w:t>(%)</w:t>
      </w:r>
      <w:r>
        <w:rPr>
          <w:b/>
          <w:spacing w:val="40"/>
          <w:sz w:val="22"/>
        </w:rPr>
        <w:t> </w:t>
      </w:r>
      <w:r>
        <w:rPr>
          <w:b/>
          <w:spacing w:val="-6"/>
          <w:sz w:val="22"/>
        </w:rPr>
        <w:t>DS</w:t>
      </w:r>
      <w:r>
        <w:rPr>
          <w:b/>
          <w:sz w:val="22"/>
        </w:rPr>
        <w:tab/>
      </w:r>
      <w:r>
        <w:rPr>
          <w:b/>
          <w:spacing w:val="-4"/>
          <w:sz w:val="22"/>
        </w:rPr>
        <w:t>MCS</w:t>
      </w:r>
      <w:r>
        <w:rPr>
          <w:b/>
          <w:sz w:val="22"/>
        </w:rPr>
        <w:tab/>
      </w:r>
      <w:r>
        <w:rPr>
          <w:b/>
          <w:spacing w:val="-4"/>
          <w:sz w:val="22"/>
        </w:rPr>
        <w:t>GEL</w:t>
      </w:r>
      <w:r>
        <w:rPr>
          <w:b/>
          <w:sz w:val="22"/>
        </w:rPr>
        <w:tab/>
      </w:r>
      <w:r>
        <w:rPr>
          <w:b/>
          <w:spacing w:val="-6"/>
          <w:sz w:val="22"/>
        </w:rPr>
        <w:t>NS</w:t>
      </w:r>
      <w:r>
        <w:rPr>
          <w:b/>
          <w:sz w:val="22"/>
        </w:rPr>
        <w:tab/>
      </w:r>
      <w:r>
        <w:rPr>
          <w:b/>
          <w:spacing w:val="-4"/>
          <w:sz w:val="22"/>
        </w:rPr>
        <w:t>MCS</w:t>
      </w:r>
      <w:r>
        <w:rPr>
          <w:b/>
          <w:sz w:val="22"/>
        </w:rPr>
        <w:tab/>
      </w:r>
      <w:r>
        <w:rPr>
          <w:b/>
          <w:spacing w:val="-4"/>
          <w:sz w:val="22"/>
        </w:rPr>
        <w:t>GEL</w:t>
      </w:r>
    </w:p>
    <w:p>
      <w:pPr>
        <w:spacing w:after="0" w:line="249" w:lineRule="auto"/>
        <w:jc w:val="left"/>
        <w:rPr>
          <w:sz w:val="22"/>
        </w:rPr>
        <w:sectPr>
          <w:type w:val="continuous"/>
          <w:pgSz w:w="12240" w:h="15840"/>
          <w:pgMar w:header="0" w:footer="999" w:top="1780" w:bottom="1180" w:left="1720" w:right="760"/>
          <w:cols w:num="2" w:equalWidth="0">
            <w:col w:w="1290" w:space="251"/>
            <w:col w:w="8219"/>
          </w:cols>
        </w:sectPr>
      </w:pPr>
    </w:p>
    <w:p>
      <w:pPr>
        <w:pStyle w:val="BodyText"/>
        <w:spacing w:line="20" w:lineRule="exact"/>
        <w:ind w:left="243"/>
        <w:rPr>
          <w:sz w:val="2"/>
        </w:rPr>
      </w:pPr>
      <w:r>
        <w:rPr>
          <w:sz w:val="2"/>
        </w:rPr>
        <mc:AlternateContent>
          <mc:Choice Requires="wps">
            <w:drawing>
              <wp:inline distT="0" distB="0" distL="0" distR="0">
                <wp:extent cx="5974080" cy="6350"/>
                <wp:effectExtent l="0" t="0" r="0" b="0"/>
                <wp:docPr id="103" name="Group 103"/>
                <wp:cNvGraphicFramePr>
                  <a:graphicFrameLocks/>
                </wp:cNvGraphicFramePr>
                <a:graphic>
                  <a:graphicData uri="http://schemas.microsoft.com/office/word/2010/wordprocessingGroup">
                    <wpg:wgp>
                      <wpg:cNvPr id="103" name="Group 103"/>
                      <wpg:cNvGrpSpPr/>
                      <wpg:grpSpPr>
                        <a:xfrm>
                          <a:off x="0" y="0"/>
                          <a:ext cx="5974080" cy="6350"/>
                          <a:chExt cx="5974080" cy="6350"/>
                        </a:xfrm>
                      </wpg:grpSpPr>
                      <wps:wsp>
                        <wps:cNvPr id="104" name="Graphic 104"/>
                        <wps:cNvSpPr/>
                        <wps:spPr>
                          <a:xfrm>
                            <a:off x="0" y="0"/>
                            <a:ext cx="5974080" cy="6350"/>
                          </a:xfrm>
                          <a:custGeom>
                            <a:avLst/>
                            <a:gdLst/>
                            <a:ahLst/>
                            <a:cxnLst/>
                            <a:rect l="l" t="t" r="r" b="b"/>
                            <a:pathLst>
                              <a:path w="5974080" h="6350">
                                <a:moveTo>
                                  <a:pt x="984491" y="0"/>
                                </a:moveTo>
                                <a:lnTo>
                                  <a:pt x="978408" y="0"/>
                                </a:lnTo>
                                <a:lnTo>
                                  <a:pt x="0" y="0"/>
                                </a:lnTo>
                                <a:lnTo>
                                  <a:pt x="0" y="6096"/>
                                </a:lnTo>
                                <a:lnTo>
                                  <a:pt x="978408" y="6096"/>
                                </a:lnTo>
                                <a:lnTo>
                                  <a:pt x="984491" y="6096"/>
                                </a:lnTo>
                                <a:lnTo>
                                  <a:pt x="984491" y="0"/>
                                </a:lnTo>
                                <a:close/>
                              </a:path>
                              <a:path w="5974080" h="6350">
                                <a:moveTo>
                                  <a:pt x="5974080" y="0"/>
                                </a:moveTo>
                                <a:lnTo>
                                  <a:pt x="5974080" y="0"/>
                                </a:lnTo>
                                <a:lnTo>
                                  <a:pt x="984504" y="0"/>
                                </a:lnTo>
                                <a:lnTo>
                                  <a:pt x="984504" y="6096"/>
                                </a:lnTo>
                                <a:lnTo>
                                  <a:pt x="5974080" y="6096"/>
                                </a:lnTo>
                                <a:lnTo>
                                  <a:pt x="5974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0.4pt;height:.5pt;mso-position-horizontal-relative:char;mso-position-vertical-relative:line" id="docshapegroup91" coordorigin="0,0" coordsize="9408,10">
                <v:shape style="position:absolute;left:0;top:0;width:9408;height:10" id="docshape92" coordorigin="0,0" coordsize="9408,10" path="m1550,0l1541,0,0,0,0,10,1541,10,1550,10,1550,0xm9408,0l7877,0,7867,0,6437,0,6427,0,5150,0,5141,0,3864,0,3854,0,2578,0,2573,0,1550,0,1550,10,2573,10,2578,10,3854,10,3864,10,5141,10,5150,10,6427,10,6437,10,7867,10,7877,10,9408,10,9408,0xe" filled="true" fillcolor="#000000" stroked="false">
                  <v:path arrowok="t"/>
                  <v:fill type="solid"/>
                </v:shape>
              </v:group>
            </w:pict>
          </mc:Fallback>
        </mc:AlternateContent>
      </w:r>
      <w:r>
        <w:rPr>
          <w:sz w:val="2"/>
        </w:rPr>
      </w:r>
    </w:p>
    <w:p>
      <w:pPr>
        <w:pStyle w:val="BodyText"/>
        <w:spacing w:before="23" w:after="1"/>
        <w:rPr>
          <w:b/>
          <w:sz w:val="20"/>
        </w:rPr>
      </w:pPr>
    </w:p>
    <w:tbl>
      <w:tblPr>
        <w:tblW w:w="0" w:type="auto"/>
        <w:jc w:val="left"/>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5"/>
        <w:gridCol w:w="1368"/>
        <w:gridCol w:w="1157"/>
        <w:gridCol w:w="1287"/>
        <w:gridCol w:w="1287"/>
        <w:gridCol w:w="1287"/>
        <w:gridCol w:w="1984"/>
      </w:tblGrid>
      <w:tr>
        <w:trPr>
          <w:trHeight w:val="249" w:hRule="atLeast"/>
        </w:trPr>
        <w:tc>
          <w:tcPr>
            <w:tcW w:w="9425" w:type="dxa"/>
            <w:gridSpan w:val="7"/>
          </w:tcPr>
          <w:p>
            <w:pPr>
              <w:pStyle w:val="TableParagraph"/>
              <w:spacing w:line="230" w:lineRule="exact"/>
              <w:ind w:left="451"/>
              <w:rPr>
                <w:b/>
                <w:sz w:val="22"/>
              </w:rPr>
            </w:pPr>
            <w:r>
              <w:rPr>
                <w:b/>
                <w:sz w:val="22"/>
                <w:u w:val="single"/>
              </w:rPr>
              <w:t>2.5</w:t>
            </w:r>
            <w:r>
              <w:rPr>
                <w:b/>
                <w:spacing w:val="8"/>
                <w:sz w:val="22"/>
                <w:u w:val="single"/>
              </w:rPr>
              <w:t> </w:t>
            </w:r>
            <w:r>
              <w:rPr>
                <w:b/>
                <w:sz w:val="22"/>
                <w:u w:val="single"/>
              </w:rPr>
              <w:t>%</w:t>
            </w:r>
            <w:r>
              <w:rPr>
                <w:b/>
                <w:spacing w:val="5"/>
                <w:sz w:val="22"/>
                <w:u w:val="single"/>
              </w:rPr>
              <w:t> </w:t>
            </w:r>
            <w:r>
              <w:rPr>
                <w:b/>
                <w:spacing w:val="-5"/>
                <w:sz w:val="22"/>
                <w:u w:val="single"/>
              </w:rPr>
              <w:t>w/v</w:t>
            </w:r>
          </w:p>
        </w:tc>
      </w:tr>
      <w:tr>
        <w:trPr>
          <w:trHeight w:val="256" w:hRule="atLeast"/>
        </w:trPr>
        <w:tc>
          <w:tcPr>
            <w:tcW w:w="1055" w:type="dxa"/>
          </w:tcPr>
          <w:p>
            <w:pPr>
              <w:pStyle w:val="TableParagraph"/>
              <w:spacing w:line="237" w:lineRule="exact"/>
              <w:ind w:left="115"/>
              <w:rPr>
                <w:sz w:val="22"/>
              </w:rPr>
            </w:pPr>
            <w:r>
              <w:rPr>
                <w:spacing w:val="-5"/>
                <w:sz w:val="22"/>
              </w:rPr>
              <w:t>500</w:t>
            </w:r>
          </w:p>
        </w:tc>
        <w:tc>
          <w:tcPr>
            <w:tcW w:w="1368" w:type="dxa"/>
          </w:tcPr>
          <w:p>
            <w:pPr>
              <w:pStyle w:val="TableParagraph"/>
              <w:spacing w:line="237" w:lineRule="exact"/>
              <w:ind w:left="601"/>
              <w:rPr>
                <w:sz w:val="22"/>
              </w:rPr>
            </w:pPr>
            <w:r>
              <w:rPr>
                <w:spacing w:val="-2"/>
                <w:sz w:val="22"/>
              </w:rPr>
              <w:t>74.50</w:t>
            </w:r>
          </w:p>
        </w:tc>
        <w:tc>
          <w:tcPr>
            <w:tcW w:w="1157" w:type="dxa"/>
          </w:tcPr>
          <w:p>
            <w:pPr>
              <w:pStyle w:val="TableParagraph"/>
              <w:spacing w:line="237" w:lineRule="exact"/>
              <w:ind w:left="260"/>
              <w:rPr>
                <w:sz w:val="22"/>
              </w:rPr>
            </w:pPr>
            <w:r>
              <w:rPr>
                <w:spacing w:val="-2"/>
                <w:sz w:val="22"/>
              </w:rPr>
              <w:t>41.75</w:t>
            </w:r>
          </w:p>
        </w:tc>
        <w:tc>
          <w:tcPr>
            <w:tcW w:w="1287" w:type="dxa"/>
          </w:tcPr>
          <w:p>
            <w:pPr>
              <w:pStyle w:val="TableParagraph"/>
              <w:spacing w:line="237" w:lineRule="exact"/>
              <w:ind w:left="389"/>
              <w:rPr>
                <w:sz w:val="22"/>
              </w:rPr>
            </w:pPr>
            <w:r>
              <w:rPr>
                <w:spacing w:val="-2"/>
                <w:sz w:val="22"/>
              </w:rPr>
              <w:t>54.25</w:t>
            </w:r>
          </w:p>
        </w:tc>
        <w:tc>
          <w:tcPr>
            <w:tcW w:w="1287" w:type="dxa"/>
          </w:tcPr>
          <w:p>
            <w:pPr>
              <w:pStyle w:val="TableParagraph"/>
              <w:spacing w:line="237" w:lineRule="exact"/>
              <w:ind w:left="2" w:right="2"/>
              <w:jc w:val="center"/>
              <w:rPr>
                <w:sz w:val="22"/>
              </w:rPr>
            </w:pPr>
            <w:r>
              <w:rPr>
                <w:spacing w:val="-2"/>
                <w:sz w:val="22"/>
              </w:rPr>
              <w:t>74.50</w:t>
            </w:r>
          </w:p>
        </w:tc>
        <w:tc>
          <w:tcPr>
            <w:tcW w:w="1287" w:type="dxa"/>
          </w:tcPr>
          <w:p>
            <w:pPr>
              <w:pStyle w:val="TableParagraph"/>
              <w:spacing w:line="237" w:lineRule="exact"/>
              <w:ind w:right="2"/>
              <w:jc w:val="center"/>
              <w:rPr>
                <w:sz w:val="22"/>
              </w:rPr>
            </w:pPr>
            <w:r>
              <w:rPr>
                <w:spacing w:val="-2"/>
                <w:sz w:val="22"/>
              </w:rPr>
              <w:t>41.75</w:t>
            </w:r>
          </w:p>
        </w:tc>
        <w:tc>
          <w:tcPr>
            <w:tcW w:w="1984" w:type="dxa"/>
          </w:tcPr>
          <w:p>
            <w:pPr>
              <w:pStyle w:val="TableParagraph"/>
              <w:spacing w:line="237" w:lineRule="exact"/>
              <w:ind w:right="934"/>
              <w:jc w:val="right"/>
              <w:rPr>
                <w:sz w:val="22"/>
              </w:rPr>
            </w:pPr>
            <w:r>
              <w:rPr>
                <w:spacing w:val="-2"/>
                <w:sz w:val="22"/>
              </w:rPr>
              <w:t>54.25</w:t>
            </w:r>
          </w:p>
        </w:tc>
      </w:tr>
      <w:tr>
        <w:trPr>
          <w:trHeight w:val="259" w:hRule="atLeast"/>
        </w:trPr>
        <w:tc>
          <w:tcPr>
            <w:tcW w:w="1055" w:type="dxa"/>
          </w:tcPr>
          <w:p>
            <w:pPr>
              <w:pStyle w:val="TableParagraph"/>
              <w:spacing w:line="236" w:lineRule="exact" w:before="2"/>
              <w:ind w:left="115"/>
              <w:rPr>
                <w:sz w:val="22"/>
              </w:rPr>
            </w:pPr>
            <w:r>
              <w:rPr>
                <w:spacing w:val="-5"/>
                <w:sz w:val="22"/>
              </w:rPr>
              <w:t>250</w:t>
            </w:r>
          </w:p>
        </w:tc>
        <w:tc>
          <w:tcPr>
            <w:tcW w:w="1368" w:type="dxa"/>
          </w:tcPr>
          <w:p>
            <w:pPr>
              <w:pStyle w:val="TableParagraph"/>
              <w:spacing w:line="236" w:lineRule="exact" w:before="2"/>
              <w:ind w:left="601"/>
              <w:rPr>
                <w:sz w:val="22"/>
              </w:rPr>
            </w:pPr>
            <w:r>
              <w:rPr>
                <w:spacing w:val="-2"/>
                <w:sz w:val="22"/>
              </w:rPr>
              <w:t>18.00</w:t>
            </w:r>
          </w:p>
        </w:tc>
        <w:tc>
          <w:tcPr>
            <w:tcW w:w="1157" w:type="dxa"/>
          </w:tcPr>
          <w:p>
            <w:pPr>
              <w:pStyle w:val="TableParagraph"/>
              <w:spacing w:line="236" w:lineRule="exact" w:before="2"/>
              <w:ind w:left="260"/>
              <w:rPr>
                <w:sz w:val="22"/>
              </w:rPr>
            </w:pPr>
            <w:r>
              <w:rPr>
                <w:spacing w:val="-2"/>
                <w:sz w:val="22"/>
              </w:rPr>
              <w:t>39.20</w:t>
            </w:r>
          </w:p>
        </w:tc>
        <w:tc>
          <w:tcPr>
            <w:tcW w:w="1287" w:type="dxa"/>
          </w:tcPr>
          <w:p>
            <w:pPr>
              <w:pStyle w:val="TableParagraph"/>
              <w:spacing w:line="236" w:lineRule="exact" w:before="2"/>
              <w:ind w:left="389"/>
              <w:rPr>
                <w:sz w:val="22"/>
              </w:rPr>
            </w:pPr>
            <w:r>
              <w:rPr>
                <w:spacing w:val="-2"/>
                <w:sz w:val="22"/>
              </w:rPr>
              <w:t>32.50</w:t>
            </w:r>
          </w:p>
        </w:tc>
        <w:tc>
          <w:tcPr>
            <w:tcW w:w="1287" w:type="dxa"/>
          </w:tcPr>
          <w:p>
            <w:pPr>
              <w:pStyle w:val="TableParagraph"/>
              <w:spacing w:line="236" w:lineRule="exact" w:before="2"/>
              <w:ind w:left="2" w:right="2"/>
              <w:jc w:val="center"/>
              <w:rPr>
                <w:sz w:val="22"/>
              </w:rPr>
            </w:pPr>
            <w:r>
              <w:rPr>
                <w:spacing w:val="-2"/>
                <w:sz w:val="22"/>
              </w:rPr>
              <w:t>92.50</w:t>
            </w:r>
          </w:p>
        </w:tc>
        <w:tc>
          <w:tcPr>
            <w:tcW w:w="1287" w:type="dxa"/>
          </w:tcPr>
          <w:p>
            <w:pPr>
              <w:pStyle w:val="TableParagraph"/>
              <w:spacing w:line="236" w:lineRule="exact" w:before="2"/>
              <w:ind w:right="2"/>
              <w:jc w:val="center"/>
              <w:rPr>
                <w:sz w:val="22"/>
              </w:rPr>
            </w:pPr>
            <w:r>
              <w:rPr>
                <w:spacing w:val="-2"/>
                <w:sz w:val="22"/>
              </w:rPr>
              <w:t>80.95</w:t>
            </w:r>
          </w:p>
        </w:tc>
        <w:tc>
          <w:tcPr>
            <w:tcW w:w="1984" w:type="dxa"/>
          </w:tcPr>
          <w:p>
            <w:pPr>
              <w:pStyle w:val="TableParagraph"/>
              <w:spacing w:line="236" w:lineRule="exact" w:before="2"/>
              <w:ind w:right="934"/>
              <w:jc w:val="right"/>
              <w:rPr>
                <w:sz w:val="22"/>
              </w:rPr>
            </w:pPr>
            <w:r>
              <w:rPr>
                <w:spacing w:val="-2"/>
                <w:sz w:val="22"/>
              </w:rPr>
              <w:t>86.75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3.60</w:t>
            </w:r>
          </w:p>
        </w:tc>
        <w:tc>
          <w:tcPr>
            <w:tcW w:w="1157" w:type="dxa"/>
          </w:tcPr>
          <w:p>
            <w:pPr>
              <w:pStyle w:val="TableParagraph"/>
              <w:spacing w:line="239" w:lineRule="exact"/>
              <w:ind w:left="260"/>
              <w:rPr>
                <w:sz w:val="22"/>
              </w:rPr>
            </w:pPr>
            <w:r>
              <w:rPr>
                <w:spacing w:val="-4"/>
                <w:sz w:val="22"/>
              </w:rPr>
              <w:t>8.85</w:t>
            </w:r>
          </w:p>
        </w:tc>
        <w:tc>
          <w:tcPr>
            <w:tcW w:w="1287" w:type="dxa"/>
          </w:tcPr>
          <w:p>
            <w:pPr>
              <w:pStyle w:val="TableParagraph"/>
              <w:spacing w:line="239" w:lineRule="exact"/>
              <w:ind w:left="389"/>
              <w:rPr>
                <w:sz w:val="22"/>
              </w:rPr>
            </w:pPr>
            <w:r>
              <w:rPr>
                <w:spacing w:val="-4"/>
                <w:sz w:val="22"/>
              </w:rPr>
              <w:t>2.10</w:t>
            </w:r>
          </w:p>
        </w:tc>
        <w:tc>
          <w:tcPr>
            <w:tcW w:w="1287" w:type="dxa"/>
          </w:tcPr>
          <w:p>
            <w:pPr>
              <w:pStyle w:val="TableParagraph"/>
              <w:spacing w:line="239" w:lineRule="exact"/>
              <w:ind w:left="2" w:right="2"/>
              <w:jc w:val="center"/>
              <w:rPr>
                <w:sz w:val="22"/>
              </w:rPr>
            </w:pPr>
            <w:r>
              <w:rPr>
                <w:spacing w:val="-2"/>
                <w:sz w:val="22"/>
              </w:rPr>
              <w:t>96.10</w:t>
            </w:r>
          </w:p>
        </w:tc>
        <w:tc>
          <w:tcPr>
            <w:tcW w:w="1287" w:type="dxa"/>
          </w:tcPr>
          <w:p>
            <w:pPr>
              <w:pStyle w:val="TableParagraph"/>
              <w:spacing w:line="239" w:lineRule="exact"/>
              <w:ind w:right="2"/>
              <w:jc w:val="center"/>
              <w:rPr>
                <w:sz w:val="22"/>
              </w:rPr>
            </w:pPr>
            <w:r>
              <w:rPr>
                <w:spacing w:val="-2"/>
                <w:sz w:val="22"/>
              </w:rPr>
              <w:t>89.80</w:t>
            </w:r>
          </w:p>
        </w:tc>
        <w:tc>
          <w:tcPr>
            <w:tcW w:w="1984" w:type="dxa"/>
          </w:tcPr>
          <w:p>
            <w:pPr>
              <w:pStyle w:val="TableParagraph"/>
              <w:spacing w:line="239" w:lineRule="exact"/>
              <w:ind w:right="934"/>
              <w:jc w:val="right"/>
              <w:rPr>
                <w:sz w:val="22"/>
              </w:rPr>
            </w:pPr>
            <w:r>
              <w:rPr>
                <w:spacing w:val="-2"/>
                <w:sz w:val="22"/>
              </w:rPr>
              <w:t>88.85</w:t>
            </w:r>
          </w:p>
        </w:tc>
      </w:tr>
      <w:tr>
        <w:trPr>
          <w:trHeight w:val="261" w:hRule="atLeast"/>
        </w:trPr>
        <w:tc>
          <w:tcPr>
            <w:tcW w:w="1055" w:type="dxa"/>
          </w:tcPr>
          <w:p>
            <w:pPr>
              <w:pStyle w:val="TableParagraph"/>
              <w:spacing w:line="239" w:lineRule="exact" w:before="2"/>
              <w:ind w:left="115"/>
              <w:rPr>
                <w:sz w:val="22"/>
              </w:rPr>
            </w:pPr>
            <w:r>
              <w:rPr>
                <w:spacing w:val="-5"/>
                <w:sz w:val="22"/>
              </w:rPr>
              <w:t>90</w:t>
            </w:r>
          </w:p>
        </w:tc>
        <w:tc>
          <w:tcPr>
            <w:tcW w:w="1368" w:type="dxa"/>
          </w:tcPr>
          <w:p>
            <w:pPr>
              <w:pStyle w:val="TableParagraph"/>
              <w:spacing w:line="239" w:lineRule="exact" w:before="2"/>
              <w:ind w:left="601"/>
              <w:rPr>
                <w:sz w:val="22"/>
              </w:rPr>
            </w:pPr>
            <w:r>
              <w:rPr>
                <w:spacing w:val="-4"/>
                <w:sz w:val="22"/>
              </w:rPr>
              <w:t>0.50</w:t>
            </w:r>
          </w:p>
        </w:tc>
        <w:tc>
          <w:tcPr>
            <w:tcW w:w="1157" w:type="dxa"/>
          </w:tcPr>
          <w:p>
            <w:pPr>
              <w:pStyle w:val="TableParagraph"/>
              <w:spacing w:line="239" w:lineRule="exact" w:before="2"/>
              <w:ind w:left="260"/>
              <w:rPr>
                <w:sz w:val="22"/>
              </w:rPr>
            </w:pPr>
            <w:r>
              <w:rPr>
                <w:spacing w:val="-4"/>
                <w:sz w:val="22"/>
              </w:rPr>
              <w:t>4.85</w:t>
            </w:r>
          </w:p>
        </w:tc>
        <w:tc>
          <w:tcPr>
            <w:tcW w:w="1287" w:type="dxa"/>
          </w:tcPr>
          <w:p>
            <w:pPr>
              <w:pStyle w:val="TableParagraph"/>
              <w:spacing w:line="239" w:lineRule="exact" w:before="2"/>
              <w:ind w:left="389"/>
              <w:rPr>
                <w:sz w:val="22"/>
              </w:rPr>
            </w:pPr>
            <w:r>
              <w:rPr>
                <w:spacing w:val="-4"/>
                <w:sz w:val="22"/>
              </w:rPr>
              <w:t>1.70</w:t>
            </w:r>
          </w:p>
        </w:tc>
        <w:tc>
          <w:tcPr>
            <w:tcW w:w="1287" w:type="dxa"/>
          </w:tcPr>
          <w:p>
            <w:pPr>
              <w:pStyle w:val="TableParagraph"/>
              <w:spacing w:line="239" w:lineRule="exact" w:before="2"/>
              <w:ind w:left="2" w:right="2"/>
              <w:jc w:val="center"/>
              <w:rPr>
                <w:sz w:val="22"/>
              </w:rPr>
            </w:pPr>
            <w:r>
              <w:rPr>
                <w:spacing w:val="-2"/>
                <w:sz w:val="22"/>
              </w:rPr>
              <w:t>96.60</w:t>
            </w:r>
          </w:p>
        </w:tc>
        <w:tc>
          <w:tcPr>
            <w:tcW w:w="1287" w:type="dxa"/>
          </w:tcPr>
          <w:p>
            <w:pPr>
              <w:pStyle w:val="TableParagraph"/>
              <w:spacing w:line="239" w:lineRule="exact" w:before="2"/>
              <w:ind w:left="1" w:right="2"/>
              <w:jc w:val="center"/>
              <w:rPr>
                <w:sz w:val="22"/>
              </w:rPr>
            </w:pPr>
            <w:r>
              <w:rPr>
                <w:spacing w:val="-2"/>
                <w:sz w:val="22"/>
              </w:rPr>
              <w:t>94.65</w:t>
            </w:r>
          </w:p>
        </w:tc>
        <w:tc>
          <w:tcPr>
            <w:tcW w:w="1984" w:type="dxa"/>
          </w:tcPr>
          <w:p>
            <w:pPr>
              <w:pStyle w:val="TableParagraph"/>
              <w:spacing w:line="239" w:lineRule="exact" w:before="2"/>
              <w:ind w:right="934"/>
              <w:jc w:val="right"/>
              <w:rPr>
                <w:sz w:val="22"/>
              </w:rPr>
            </w:pPr>
            <w:r>
              <w:rPr>
                <w:spacing w:val="-2"/>
                <w:sz w:val="22"/>
              </w:rPr>
              <w:t>90.55</w:t>
            </w:r>
          </w:p>
        </w:tc>
      </w:tr>
      <w:tr>
        <w:trPr>
          <w:trHeight w:val="259" w:hRule="atLeast"/>
        </w:trPr>
        <w:tc>
          <w:tcPr>
            <w:tcW w:w="1055" w:type="dxa"/>
          </w:tcPr>
          <w:p>
            <w:pPr>
              <w:pStyle w:val="TableParagraph"/>
              <w:spacing w:line="239" w:lineRule="exact"/>
              <w:ind w:left="115"/>
              <w:rPr>
                <w:sz w:val="22"/>
              </w:rPr>
            </w:pPr>
            <w:r>
              <w:rPr>
                <w:spacing w:val="-5"/>
                <w:sz w:val="22"/>
              </w:rPr>
              <w:t>75</w:t>
            </w:r>
          </w:p>
        </w:tc>
        <w:tc>
          <w:tcPr>
            <w:tcW w:w="1368" w:type="dxa"/>
          </w:tcPr>
          <w:p>
            <w:pPr>
              <w:pStyle w:val="TableParagraph"/>
              <w:spacing w:line="239" w:lineRule="exact"/>
              <w:ind w:left="601"/>
              <w:rPr>
                <w:sz w:val="22"/>
              </w:rPr>
            </w:pPr>
            <w:r>
              <w:rPr>
                <w:spacing w:val="-4"/>
                <w:sz w:val="22"/>
              </w:rPr>
              <w:t>2.30</w:t>
            </w:r>
          </w:p>
        </w:tc>
        <w:tc>
          <w:tcPr>
            <w:tcW w:w="1157" w:type="dxa"/>
          </w:tcPr>
          <w:p>
            <w:pPr>
              <w:pStyle w:val="TableParagraph"/>
              <w:spacing w:line="239" w:lineRule="exact"/>
              <w:ind w:left="260"/>
              <w:rPr>
                <w:sz w:val="22"/>
              </w:rPr>
            </w:pPr>
            <w:r>
              <w:rPr>
                <w:spacing w:val="-4"/>
                <w:sz w:val="22"/>
              </w:rPr>
              <w:t>1.10</w:t>
            </w:r>
          </w:p>
        </w:tc>
        <w:tc>
          <w:tcPr>
            <w:tcW w:w="1287" w:type="dxa"/>
          </w:tcPr>
          <w:p>
            <w:pPr>
              <w:pStyle w:val="TableParagraph"/>
              <w:spacing w:line="239" w:lineRule="exact"/>
              <w:ind w:left="389"/>
              <w:rPr>
                <w:sz w:val="22"/>
              </w:rPr>
            </w:pPr>
            <w:r>
              <w:rPr>
                <w:spacing w:val="-4"/>
                <w:sz w:val="22"/>
              </w:rPr>
              <w:t>8.05</w:t>
            </w:r>
          </w:p>
        </w:tc>
        <w:tc>
          <w:tcPr>
            <w:tcW w:w="1287" w:type="dxa"/>
          </w:tcPr>
          <w:p>
            <w:pPr>
              <w:pStyle w:val="TableParagraph"/>
              <w:spacing w:line="239" w:lineRule="exact"/>
              <w:ind w:left="2" w:right="2"/>
              <w:jc w:val="center"/>
              <w:rPr>
                <w:sz w:val="22"/>
              </w:rPr>
            </w:pPr>
            <w:r>
              <w:rPr>
                <w:spacing w:val="-2"/>
                <w:sz w:val="22"/>
              </w:rPr>
              <w:t>98.90</w:t>
            </w:r>
          </w:p>
        </w:tc>
        <w:tc>
          <w:tcPr>
            <w:tcW w:w="1287" w:type="dxa"/>
          </w:tcPr>
          <w:p>
            <w:pPr>
              <w:pStyle w:val="TableParagraph"/>
              <w:spacing w:line="239" w:lineRule="exact"/>
              <w:ind w:right="2"/>
              <w:jc w:val="center"/>
              <w:rPr>
                <w:sz w:val="22"/>
              </w:rPr>
            </w:pPr>
            <w:r>
              <w:rPr>
                <w:spacing w:val="-2"/>
                <w:sz w:val="22"/>
              </w:rPr>
              <w:t>95.75</w:t>
            </w:r>
          </w:p>
        </w:tc>
        <w:tc>
          <w:tcPr>
            <w:tcW w:w="1984" w:type="dxa"/>
          </w:tcPr>
          <w:p>
            <w:pPr>
              <w:pStyle w:val="TableParagraph"/>
              <w:spacing w:line="239" w:lineRule="exact"/>
              <w:ind w:right="934"/>
              <w:jc w:val="right"/>
              <w:rPr>
                <w:sz w:val="22"/>
              </w:rPr>
            </w:pPr>
            <w:r>
              <w:rPr>
                <w:spacing w:val="-2"/>
                <w:sz w:val="22"/>
              </w:rPr>
              <w:t>98.60</w:t>
            </w:r>
          </w:p>
        </w:tc>
      </w:tr>
      <w:tr>
        <w:trPr>
          <w:trHeight w:val="254" w:hRule="atLeast"/>
        </w:trPr>
        <w:tc>
          <w:tcPr>
            <w:tcW w:w="1055" w:type="dxa"/>
          </w:tcPr>
          <w:p>
            <w:pPr>
              <w:pStyle w:val="TableParagraph"/>
              <w:spacing w:line="234" w:lineRule="exact"/>
              <w:ind w:left="115"/>
              <w:rPr>
                <w:sz w:val="22"/>
              </w:rPr>
            </w:pPr>
            <w:r>
              <w:rPr>
                <w:spacing w:val="-5"/>
                <w:sz w:val="22"/>
              </w:rPr>
              <w:t>Pan</w:t>
            </w:r>
          </w:p>
        </w:tc>
        <w:tc>
          <w:tcPr>
            <w:tcW w:w="1368" w:type="dxa"/>
          </w:tcPr>
          <w:p>
            <w:pPr>
              <w:pStyle w:val="TableParagraph"/>
              <w:spacing w:line="234" w:lineRule="exact"/>
              <w:ind w:left="601"/>
              <w:rPr>
                <w:sz w:val="22"/>
              </w:rPr>
            </w:pPr>
            <w:r>
              <w:rPr>
                <w:spacing w:val="-4"/>
                <w:sz w:val="22"/>
              </w:rPr>
              <w:t>0.20</w:t>
            </w:r>
          </w:p>
        </w:tc>
        <w:tc>
          <w:tcPr>
            <w:tcW w:w="1157" w:type="dxa"/>
          </w:tcPr>
          <w:p>
            <w:pPr>
              <w:pStyle w:val="TableParagraph"/>
              <w:spacing w:line="234" w:lineRule="exact"/>
              <w:ind w:left="260"/>
              <w:rPr>
                <w:sz w:val="22"/>
              </w:rPr>
            </w:pPr>
            <w:r>
              <w:rPr>
                <w:spacing w:val="-4"/>
                <w:sz w:val="22"/>
              </w:rPr>
              <w:t>1.05</w:t>
            </w:r>
          </w:p>
        </w:tc>
        <w:tc>
          <w:tcPr>
            <w:tcW w:w="1287" w:type="dxa"/>
          </w:tcPr>
          <w:p>
            <w:pPr>
              <w:pStyle w:val="TableParagraph"/>
              <w:spacing w:line="234" w:lineRule="exact"/>
              <w:ind w:left="389"/>
              <w:rPr>
                <w:sz w:val="22"/>
              </w:rPr>
            </w:pPr>
            <w:r>
              <w:rPr>
                <w:spacing w:val="-4"/>
                <w:sz w:val="22"/>
              </w:rPr>
              <w:t>0.15</w:t>
            </w:r>
          </w:p>
        </w:tc>
        <w:tc>
          <w:tcPr>
            <w:tcW w:w="1287" w:type="dxa"/>
          </w:tcPr>
          <w:p>
            <w:pPr>
              <w:pStyle w:val="TableParagraph"/>
              <w:spacing w:line="234" w:lineRule="exact"/>
              <w:ind w:left="2" w:right="2"/>
              <w:jc w:val="center"/>
              <w:rPr>
                <w:sz w:val="22"/>
              </w:rPr>
            </w:pPr>
            <w:r>
              <w:rPr>
                <w:spacing w:val="-2"/>
                <w:sz w:val="22"/>
              </w:rPr>
              <w:t>99.10</w:t>
            </w:r>
          </w:p>
        </w:tc>
        <w:tc>
          <w:tcPr>
            <w:tcW w:w="1287" w:type="dxa"/>
          </w:tcPr>
          <w:p>
            <w:pPr>
              <w:pStyle w:val="TableParagraph"/>
              <w:spacing w:line="234" w:lineRule="exact"/>
              <w:ind w:right="2"/>
              <w:jc w:val="center"/>
              <w:rPr>
                <w:sz w:val="22"/>
              </w:rPr>
            </w:pPr>
            <w:r>
              <w:rPr>
                <w:spacing w:val="-2"/>
                <w:sz w:val="22"/>
              </w:rPr>
              <w:t>96.80</w:t>
            </w:r>
          </w:p>
        </w:tc>
        <w:tc>
          <w:tcPr>
            <w:tcW w:w="1984" w:type="dxa"/>
          </w:tcPr>
          <w:p>
            <w:pPr>
              <w:pStyle w:val="TableParagraph"/>
              <w:spacing w:line="234" w:lineRule="exact"/>
              <w:ind w:right="934"/>
              <w:jc w:val="right"/>
              <w:rPr>
                <w:sz w:val="22"/>
              </w:rPr>
            </w:pPr>
            <w:r>
              <w:rPr>
                <w:spacing w:val="-2"/>
                <w:sz w:val="22"/>
              </w:rPr>
              <w:t>98.75</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51"/>
              <w:rPr>
                <w:b/>
                <w:sz w:val="22"/>
              </w:rPr>
            </w:pPr>
            <w:r>
              <w:rPr>
                <w:b/>
                <w:sz w:val="22"/>
                <w:u w:val="single"/>
              </w:rPr>
              <w:t>5.0</w:t>
            </w:r>
            <w:r>
              <w:rPr>
                <w:b/>
                <w:spacing w:val="8"/>
                <w:sz w:val="22"/>
                <w:u w:val="single"/>
              </w:rPr>
              <w:t> </w:t>
            </w:r>
            <w:r>
              <w:rPr>
                <w:b/>
                <w:sz w:val="22"/>
                <w:u w:val="single"/>
              </w:rPr>
              <w:t>%</w:t>
            </w:r>
            <w:r>
              <w:rPr>
                <w:b/>
                <w:spacing w:val="5"/>
                <w:sz w:val="22"/>
                <w:u w:val="single"/>
              </w:rPr>
              <w:t> </w:t>
            </w:r>
            <w:r>
              <w:rPr>
                <w:b/>
                <w:spacing w:val="-5"/>
                <w:sz w:val="22"/>
                <w:u w:val="single"/>
              </w:rPr>
              <w:t>w/v</w:t>
            </w:r>
          </w:p>
        </w:tc>
      </w:tr>
      <w:tr>
        <w:trPr>
          <w:trHeight w:val="259" w:hRule="atLeast"/>
        </w:trPr>
        <w:tc>
          <w:tcPr>
            <w:tcW w:w="1055" w:type="dxa"/>
          </w:tcPr>
          <w:p>
            <w:pPr>
              <w:pStyle w:val="TableParagraph"/>
              <w:spacing w:line="235" w:lineRule="exact"/>
              <w:ind w:left="115"/>
              <w:rPr>
                <w:sz w:val="22"/>
              </w:rPr>
            </w:pPr>
            <w:r>
              <w:rPr>
                <w:spacing w:val="-5"/>
                <w:sz w:val="22"/>
              </w:rPr>
              <w:t>500</w:t>
            </w:r>
          </w:p>
        </w:tc>
        <w:tc>
          <w:tcPr>
            <w:tcW w:w="1368" w:type="dxa"/>
          </w:tcPr>
          <w:p>
            <w:pPr>
              <w:pStyle w:val="TableParagraph"/>
              <w:spacing w:line="235" w:lineRule="exact"/>
              <w:ind w:left="601"/>
              <w:rPr>
                <w:sz w:val="22"/>
              </w:rPr>
            </w:pPr>
            <w:r>
              <w:rPr>
                <w:spacing w:val="-2"/>
                <w:sz w:val="22"/>
              </w:rPr>
              <w:t>84.10</w:t>
            </w:r>
          </w:p>
        </w:tc>
        <w:tc>
          <w:tcPr>
            <w:tcW w:w="1157" w:type="dxa"/>
          </w:tcPr>
          <w:p>
            <w:pPr>
              <w:pStyle w:val="TableParagraph"/>
              <w:spacing w:line="235" w:lineRule="exact"/>
              <w:ind w:left="260"/>
              <w:rPr>
                <w:sz w:val="22"/>
              </w:rPr>
            </w:pPr>
            <w:r>
              <w:rPr>
                <w:spacing w:val="-2"/>
                <w:sz w:val="22"/>
              </w:rPr>
              <w:t>88.80</w:t>
            </w:r>
          </w:p>
        </w:tc>
        <w:tc>
          <w:tcPr>
            <w:tcW w:w="1287" w:type="dxa"/>
          </w:tcPr>
          <w:p>
            <w:pPr>
              <w:pStyle w:val="TableParagraph"/>
              <w:spacing w:line="235" w:lineRule="exact"/>
              <w:ind w:left="389"/>
              <w:rPr>
                <w:sz w:val="22"/>
              </w:rPr>
            </w:pPr>
            <w:r>
              <w:rPr>
                <w:spacing w:val="-2"/>
                <w:sz w:val="22"/>
              </w:rPr>
              <w:t>85.60</w:t>
            </w:r>
          </w:p>
        </w:tc>
        <w:tc>
          <w:tcPr>
            <w:tcW w:w="1287" w:type="dxa"/>
          </w:tcPr>
          <w:p>
            <w:pPr>
              <w:pStyle w:val="TableParagraph"/>
              <w:spacing w:line="235" w:lineRule="exact"/>
              <w:ind w:left="2" w:right="2"/>
              <w:jc w:val="center"/>
              <w:rPr>
                <w:sz w:val="22"/>
              </w:rPr>
            </w:pPr>
            <w:r>
              <w:rPr>
                <w:spacing w:val="-2"/>
                <w:sz w:val="22"/>
              </w:rPr>
              <w:t>84.10</w:t>
            </w:r>
          </w:p>
        </w:tc>
        <w:tc>
          <w:tcPr>
            <w:tcW w:w="1287" w:type="dxa"/>
          </w:tcPr>
          <w:p>
            <w:pPr>
              <w:pStyle w:val="TableParagraph"/>
              <w:spacing w:line="235" w:lineRule="exact"/>
              <w:ind w:right="2"/>
              <w:jc w:val="center"/>
              <w:rPr>
                <w:sz w:val="22"/>
              </w:rPr>
            </w:pPr>
            <w:r>
              <w:rPr>
                <w:spacing w:val="-2"/>
                <w:sz w:val="22"/>
              </w:rPr>
              <w:t>88.80</w:t>
            </w:r>
          </w:p>
        </w:tc>
        <w:tc>
          <w:tcPr>
            <w:tcW w:w="1984" w:type="dxa"/>
          </w:tcPr>
          <w:p>
            <w:pPr>
              <w:pStyle w:val="TableParagraph"/>
              <w:spacing w:line="235" w:lineRule="exact"/>
              <w:ind w:left="387"/>
              <w:rPr>
                <w:sz w:val="22"/>
              </w:rPr>
            </w:pPr>
            <w:r>
              <w:rPr>
                <w:spacing w:val="-2"/>
                <w:sz w:val="22"/>
              </w:rPr>
              <w:t>85.60</w:t>
            </w:r>
          </w:p>
        </w:tc>
      </w:tr>
      <w:tr>
        <w:trPr>
          <w:trHeight w:val="259" w:hRule="atLeast"/>
        </w:trPr>
        <w:tc>
          <w:tcPr>
            <w:tcW w:w="1055" w:type="dxa"/>
          </w:tcPr>
          <w:p>
            <w:pPr>
              <w:pStyle w:val="TableParagraph"/>
              <w:spacing w:line="239" w:lineRule="exact"/>
              <w:ind w:left="115"/>
              <w:rPr>
                <w:sz w:val="22"/>
              </w:rPr>
            </w:pPr>
            <w:r>
              <w:rPr>
                <w:spacing w:val="-5"/>
                <w:sz w:val="22"/>
              </w:rPr>
              <w:t>250</w:t>
            </w:r>
          </w:p>
        </w:tc>
        <w:tc>
          <w:tcPr>
            <w:tcW w:w="1368" w:type="dxa"/>
          </w:tcPr>
          <w:p>
            <w:pPr>
              <w:pStyle w:val="TableParagraph"/>
              <w:spacing w:line="239" w:lineRule="exact"/>
              <w:ind w:left="601"/>
              <w:rPr>
                <w:sz w:val="22"/>
              </w:rPr>
            </w:pPr>
            <w:r>
              <w:rPr>
                <w:spacing w:val="-4"/>
                <w:sz w:val="22"/>
              </w:rPr>
              <w:t>9.30</w:t>
            </w:r>
          </w:p>
        </w:tc>
        <w:tc>
          <w:tcPr>
            <w:tcW w:w="1157" w:type="dxa"/>
          </w:tcPr>
          <w:p>
            <w:pPr>
              <w:pStyle w:val="TableParagraph"/>
              <w:spacing w:line="239" w:lineRule="exact"/>
              <w:ind w:left="260"/>
              <w:rPr>
                <w:sz w:val="22"/>
              </w:rPr>
            </w:pPr>
            <w:r>
              <w:rPr>
                <w:spacing w:val="-4"/>
                <w:sz w:val="22"/>
              </w:rPr>
              <w:t>8.10</w:t>
            </w:r>
          </w:p>
        </w:tc>
        <w:tc>
          <w:tcPr>
            <w:tcW w:w="1287" w:type="dxa"/>
          </w:tcPr>
          <w:p>
            <w:pPr>
              <w:pStyle w:val="TableParagraph"/>
              <w:spacing w:line="239" w:lineRule="exact"/>
              <w:ind w:left="389"/>
              <w:rPr>
                <w:sz w:val="22"/>
              </w:rPr>
            </w:pPr>
            <w:r>
              <w:rPr>
                <w:spacing w:val="-2"/>
                <w:sz w:val="22"/>
              </w:rPr>
              <w:t>11.20</w:t>
            </w:r>
          </w:p>
        </w:tc>
        <w:tc>
          <w:tcPr>
            <w:tcW w:w="1287" w:type="dxa"/>
          </w:tcPr>
          <w:p>
            <w:pPr>
              <w:pStyle w:val="TableParagraph"/>
              <w:spacing w:line="239" w:lineRule="exact"/>
              <w:ind w:left="2" w:right="2"/>
              <w:jc w:val="center"/>
              <w:rPr>
                <w:sz w:val="22"/>
              </w:rPr>
            </w:pPr>
            <w:r>
              <w:rPr>
                <w:spacing w:val="-2"/>
                <w:sz w:val="22"/>
              </w:rPr>
              <w:t>93.40</w:t>
            </w:r>
          </w:p>
        </w:tc>
        <w:tc>
          <w:tcPr>
            <w:tcW w:w="1287" w:type="dxa"/>
          </w:tcPr>
          <w:p>
            <w:pPr>
              <w:pStyle w:val="TableParagraph"/>
              <w:spacing w:line="239" w:lineRule="exact"/>
              <w:ind w:right="2"/>
              <w:jc w:val="center"/>
              <w:rPr>
                <w:sz w:val="22"/>
              </w:rPr>
            </w:pPr>
            <w:r>
              <w:rPr>
                <w:spacing w:val="-2"/>
                <w:sz w:val="22"/>
              </w:rPr>
              <w:t>96.90</w:t>
            </w:r>
          </w:p>
        </w:tc>
        <w:tc>
          <w:tcPr>
            <w:tcW w:w="1984" w:type="dxa"/>
          </w:tcPr>
          <w:p>
            <w:pPr>
              <w:pStyle w:val="TableParagraph"/>
              <w:spacing w:line="239" w:lineRule="exact"/>
              <w:ind w:left="387"/>
              <w:rPr>
                <w:sz w:val="22"/>
              </w:rPr>
            </w:pPr>
            <w:r>
              <w:rPr>
                <w:spacing w:val="-2"/>
                <w:sz w:val="22"/>
              </w:rPr>
              <w:t>96.80</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1.25</w:t>
            </w:r>
          </w:p>
        </w:tc>
        <w:tc>
          <w:tcPr>
            <w:tcW w:w="1157" w:type="dxa"/>
          </w:tcPr>
          <w:p>
            <w:pPr>
              <w:pStyle w:val="TableParagraph"/>
              <w:spacing w:line="239" w:lineRule="exact"/>
              <w:ind w:left="260"/>
              <w:rPr>
                <w:sz w:val="22"/>
              </w:rPr>
            </w:pPr>
            <w:r>
              <w:rPr>
                <w:spacing w:val="-4"/>
                <w:sz w:val="22"/>
              </w:rPr>
              <w:t>1.00</w:t>
            </w:r>
          </w:p>
        </w:tc>
        <w:tc>
          <w:tcPr>
            <w:tcW w:w="1287" w:type="dxa"/>
          </w:tcPr>
          <w:p>
            <w:pPr>
              <w:pStyle w:val="TableParagraph"/>
              <w:spacing w:line="239" w:lineRule="exact"/>
              <w:ind w:left="389"/>
              <w:rPr>
                <w:sz w:val="22"/>
              </w:rPr>
            </w:pPr>
            <w:r>
              <w:rPr>
                <w:spacing w:val="-4"/>
                <w:sz w:val="22"/>
              </w:rPr>
              <w:t>1.65</w:t>
            </w:r>
          </w:p>
        </w:tc>
        <w:tc>
          <w:tcPr>
            <w:tcW w:w="1287" w:type="dxa"/>
          </w:tcPr>
          <w:p>
            <w:pPr>
              <w:pStyle w:val="TableParagraph"/>
              <w:spacing w:line="239" w:lineRule="exact"/>
              <w:ind w:left="2" w:right="2"/>
              <w:jc w:val="center"/>
              <w:rPr>
                <w:sz w:val="22"/>
              </w:rPr>
            </w:pPr>
            <w:r>
              <w:rPr>
                <w:spacing w:val="-2"/>
                <w:sz w:val="22"/>
              </w:rPr>
              <w:t>94.65</w:t>
            </w:r>
          </w:p>
        </w:tc>
        <w:tc>
          <w:tcPr>
            <w:tcW w:w="1287" w:type="dxa"/>
          </w:tcPr>
          <w:p>
            <w:pPr>
              <w:pStyle w:val="TableParagraph"/>
              <w:spacing w:line="239" w:lineRule="exact"/>
              <w:ind w:right="2"/>
              <w:jc w:val="center"/>
              <w:rPr>
                <w:sz w:val="22"/>
              </w:rPr>
            </w:pPr>
            <w:r>
              <w:rPr>
                <w:spacing w:val="-2"/>
                <w:sz w:val="22"/>
              </w:rPr>
              <w:t>97.90</w:t>
            </w:r>
          </w:p>
        </w:tc>
        <w:tc>
          <w:tcPr>
            <w:tcW w:w="1984" w:type="dxa"/>
          </w:tcPr>
          <w:p>
            <w:pPr>
              <w:pStyle w:val="TableParagraph"/>
              <w:spacing w:line="239" w:lineRule="exact"/>
              <w:ind w:left="387"/>
              <w:rPr>
                <w:sz w:val="22"/>
              </w:rPr>
            </w:pPr>
            <w:r>
              <w:rPr>
                <w:spacing w:val="-2"/>
                <w:sz w:val="22"/>
              </w:rPr>
              <w:t>98.45</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1.60</w:t>
            </w:r>
          </w:p>
        </w:tc>
        <w:tc>
          <w:tcPr>
            <w:tcW w:w="1157" w:type="dxa"/>
          </w:tcPr>
          <w:p>
            <w:pPr>
              <w:pStyle w:val="TableParagraph"/>
              <w:spacing w:line="239" w:lineRule="exact"/>
              <w:ind w:left="260"/>
              <w:rPr>
                <w:sz w:val="22"/>
              </w:rPr>
            </w:pPr>
            <w:r>
              <w:rPr>
                <w:spacing w:val="-4"/>
                <w:sz w:val="22"/>
              </w:rPr>
              <w:t>0.20</w:t>
            </w:r>
          </w:p>
        </w:tc>
        <w:tc>
          <w:tcPr>
            <w:tcW w:w="1287" w:type="dxa"/>
          </w:tcPr>
          <w:p>
            <w:pPr>
              <w:pStyle w:val="TableParagraph"/>
              <w:spacing w:line="239" w:lineRule="exact"/>
              <w:ind w:left="389"/>
              <w:rPr>
                <w:sz w:val="22"/>
              </w:rPr>
            </w:pPr>
            <w:r>
              <w:rPr>
                <w:spacing w:val="-4"/>
                <w:sz w:val="22"/>
              </w:rPr>
              <w:t>0.25</w:t>
            </w:r>
          </w:p>
        </w:tc>
        <w:tc>
          <w:tcPr>
            <w:tcW w:w="1287" w:type="dxa"/>
          </w:tcPr>
          <w:p>
            <w:pPr>
              <w:pStyle w:val="TableParagraph"/>
              <w:spacing w:line="239" w:lineRule="exact"/>
              <w:ind w:left="2" w:right="2"/>
              <w:jc w:val="center"/>
              <w:rPr>
                <w:sz w:val="22"/>
              </w:rPr>
            </w:pPr>
            <w:r>
              <w:rPr>
                <w:spacing w:val="-2"/>
                <w:sz w:val="22"/>
              </w:rPr>
              <w:t>96.25</w:t>
            </w:r>
          </w:p>
        </w:tc>
        <w:tc>
          <w:tcPr>
            <w:tcW w:w="1287" w:type="dxa"/>
          </w:tcPr>
          <w:p>
            <w:pPr>
              <w:pStyle w:val="TableParagraph"/>
              <w:spacing w:line="239" w:lineRule="exact"/>
              <w:ind w:right="2"/>
              <w:jc w:val="center"/>
              <w:rPr>
                <w:sz w:val="22"/>
              </w:rPr>
            </w:pPr>
            <w:r>
              <w:rPr>
                <w:spacing w:val="-2"/>
                <w:sz w:val="22"/>
              </w:rPr>
              <w:t>98.10</w:t>
            </w:r>
          </w:p>
        </w:tc>
        <w:tc>
          <w:tcPr>
            <w:tcW w:w="1984" w:type="dxa"/>
          </w:tcPr>
          <w:p>
            <w:pPr>
              <w:pStyle w:val="TableParagraph"/>
              <w:spacing w:line="239" w:lineRule="exact"/>
              <w:ind w:left="387"/>
              <w:rPr>
                <w:sz w:val="22"/>
              </w:rPr>
            </w:pPr>
            <w:r>
              <w:rPr>
                <w:spacing w:val="-2"/>
                <w:sz w:val="22"/>
              </w:rPr>
              <w:t>98.70</w:t>
            </w:r>
          </w:p>
        </w:tc>
      </w:tr>
      <w:tr>
        <w:trPr>
          <w:trHeight w:val="261" w:hRule="atLeast"/>
        </w:trPr>
        <w:tc>
          <w:tcPr>
            <w:tcW w:w="1055" w:type="dxa"/>
          </w:tcPr>
          <w:p>
            <w:pPr>
              <w:pStyle w:val="TableParagraph"/>
              <w:spacing w:line="241" w:lineRule="exact"/>
              <w:ind w:left="115"/>
              <w:rPr>
                <w:sz w:val="22"/>
              </w:rPr>
            </w:pPr>
            <w:r>
              <w:rPr>
                <w:spacing w:val="-5"/>
                <w:sz w:val="22"/>
              </w:rPr>
              <w:t>75</w:t>
            </w:r>
          </w:p>
        </w:tc>
        <w:tc>
          <w:tcPr>
            <w:tcW w:w="1368" w:type="dxa"/>
          </w:tcPr>
          <w:p>
            <w:pPr>
              <w:pStyle w:val="TableParagraph"/>
              <w:spacing w:line="241" w:lineRule="exact"/>
              <w:ind w:left="601"/>
              <w:rPr>
                <w:sz w:val="22"/>
              </w:rPr>
            </w:pPr>
            <w:r>
              <w:rPr>
                <w:spacing w:val="-4"/>
                <w:sz w:val="22"/>
              </w:rPr>
              <w:t>1.20</w:t>
            </w:r>
          </w:p>
        </w:tc>
        <w:tc>
          <w:tcPr>
            <w:tcW w:w="1157" w:type="dxa"/>
          </w:tcPr>
          <w:p>
            <w:pPr>
              <w:pStyle w:val="TableParagraph"/>
              <w:spacing w:line="241" w:lineRule="exact"/>
              <w:ind w:left="260"/>
              <w:rPr>
                <w:sz w:val="22"/>
              </w:rPr>
            </w:pPr>
            <w:r>
              <w:rPr>
                <w:spacing w:val="-4"/>
                <w:sz w:val="22"/>
              </w:rPr>
              <w:t>0.50</w:t>
            </w:r>
          </w:p>
        </w:tc>
        <w:tc>
          <w:tcPr>
            <w:tcW w:w="1287" w:type="dxa"/>
          </w:tcPr>
          <w:p>
            <w:pPr>
              <w:pStyle w:val="TableParagraph"/>
              <w:spacing w:line="241" w:lineRule="exact"/>
              <w:ind w:left="389"/>
              <w:rPr>
                <w:sz w:val="22"/>
              </w:rPr>
            </w:pPr>
            <w:r>
              <w:rPr>
                <w:spacing w:val="-4"/>
                <w:sz w:val="22"/>
              </w:rPr>
              <w:t>0.90</w:t>
            </w:r>
          </w:p>
        </w:tc>
        <w:tc>
          <w:tcPr>
            <w:tcW w:w="1287" w:type="dxa"/>
          </w:tcPr>
          <w:p>
            <w:pPr>
              <w:pStyle w:val="TableParagraph"/>
              <w:spacing w:line="241" w:lineRule="exact"/>
              <w:ind w:left="2" w:right="2"/>
              <w:jc w:val="center"/>
              <w:rPr>
                <w:sz w:val="22"/>
              </w:rPr>
            </w:pPr>
            <w:r>
              <w:rPr>
                <w:spacing w:val="-2"/>
                <w:sz w:val="22"/>
              </w:rPr>
              <w:t>97.45</w:t>
            </w:r>
          </w:p>
        </w:tc>
        <w:tc>
          <w:tcPr>
            <w:tcW w:w="1287" w:type="dxa"/>
          </w:tcPr>
          <w:p>
            <w:pPr>
              <w:pStyle w:val="TableParagraph"/>
              <w:spacing w:line="241" w:lineRule="exact"/>
              <w:ind w:right="2"/>
              <w:jc w:val="center"/>
              <w:rPr>
                <w:sz w:val="22"/>
              </w:rPr>
            </w:pPr>
            <w:r>
              <w:rPr>
                <w:spacing w:val="-2"/>
                <w:sz w:val="22"/>
              </w:rPr>
              <w:t>98.60</w:t>
            </w:r>
          </w:p>
        </w:tc>
        <w:tc>
          <w:tcPr>
            <w:tcW w:w="1984" w:type="dxa"/>
          </w:tcPr>
          <w:p>
            <w:pPr>
              <w:pStyle w:val="TableParagraph"/>
              <w:spacing w:line="241" w:lineRule="exact"/>
              <w:ind w:left="387"/>
              <w:rPr>
                <w:sz w:val="22"/>
              </w:rPr>
            </w:pPr>
            <w:r>
              <w:rPr>
                <w:spacing w:val="-2"/>
                <w:sz w:val="22"/>
              </w:rPr>
              <w:t>99.60</w:t>
            </w:r>
          </w:p>
        </w:tc>
      </w:tr>
      <w:tr>
        <w:trPr>
          <w:trHeight w:val="256" w:hRule="atLeast"/>
        </w:trPr>
        <w:tc>
          <w:tcPr>
            <w:tcW w:w="1055" w:type="dxa"/>
          </w:tcPr>
          <w:p>
            <w:pPr>
              <w:pStyle w:val="TableParagraph"/>
              <w:spacing w:line="234" w:lineRule="exact" w:before="2"/>
              <w:ind w:left="115"/>
              <w:rPr>
                <w:sz w:val="22"/>
              </w:rPr>
            </w:pPr>
            <w:r>
              <w:rPr>
                <w:spacing w:val="-5"/>
                <w:sz w:val="22"/>
              </w:rPr>
              <w:t>Pan</w:t>
            </w:r>
          </w:p>
        </w:tc>
        <w:tc>
          <w:tcPr>
            <w:tcW w:w="1368" w:type="dxa"/>
          </w:tcPr>
          <w:p>
            <w:pPr>
              <w:pStyle w:val="TableParagraph"/>
              <w:spacing w:line="234" w:lineRule="exact" w:before="2"/>
              <w:ind w:left="601"/>
              <w:rPr>
                <w:sz w:val="22"/>
              </w:rPr>
            </w:pPr>
            <w:r>
              <w:rPr>
                <w:spacing w:val="-4"/>
                <w:sz w:val="22"/>
              </w:rPr>
              <w:t>0.25</w:t>
            </w:r>
          </w:p>
        </w:tc>
        <w:tc>
          <w:tcPr>
            <w:tcW w:w="1157" w:type="dxa"/>
          </w:tcPr>
          <w:p>
            <w:pPr>
              <w:pStyle w:val="TableParagraph"/>
              <w:spacing w:line="234" w:lineRule="exact" w:before="2"/>
              <w:ind w:left="260"/>
              <w:rPr>
                <w:sz w:val="22"/>
              </w:rPr>
            </w:pPr>
            <w:r>
              <w:rPr>
                <w:spacing w:val="-4"/>
                <w:sz w:val="22"/>
              </w:rPr>
              <w:t>0.20</w:t>
            </w:r>
          </w:p>
        </w:tc>
        <w:tc>
          <w:tcPr>
            <w:tcW w:w="1287" w:type="dxa"/>
          </w:tcPr>
          <w:p>
            <w:pPr>
              <w:pStyle w:val="TableParagraph"/>
              <w:spacing w:line="234" w:lineRule="exact" w:before="2"/>
              <w:ind w:left="389"/>
              <w:rPr>
                <w:sz w:val="22"/>
              </w:rPr>
            </w:pPr>
            <w:r>
              <w:rPr>
                <w:spacing w:val="-4"/>
                <w:sz w:val="22"/>
              </w:rPr>
              <w:t>0.15</w:t>
            </w:r>
          </w:p>
        </w:tc>
        <w:tc>
          <w:tcPr>
            <w:tcW w:w="1287" w:type="dxa"/>
          </w:tcPr>
          <w:p>
            <w:pPr>
              <w:pStyle w:val="TableParagraph"/>
              <w:spacing w:line="234" w:lineRule="exact" w:before="2"/>
              <w:ind w:left="2" w:right="2"/>
              <w:jc w:val="center"/>
              <w:rPr>
                <w:sz w:val="22"/>
              </w:rPr>
            </w:pPr>
            <w:r>
              <w:rPr>
                <w:spacing w:val="-2"/>
                <w:sz w:val="22"/>
              </w:rPr>
              <w:t>97.70</w:t>
            </w:r>
          </w:p>
        </w:tc>
        <w:tc>
          <w:tcPr>
            <w:tcW w:w="1287" w:type="dxa"/>
          </w:tcPr>
          <w:p>
            <w:pPr>
              <w:pStyle w:val="TableParagraph"/>
              <w:spacing w:line="234" w:lineRule="exact" w:before="2"/>
              <w:ind w:right="2"/>
              <w:jc w:val="center"/>
              <w:rPr>
                <w:sz w:val="22"/>
              </w:rPr>
            </w:pPr>
            <w:r>
              <w:rPr>
                <w:spacing w:val="-2"/>
                <w:sz w:val="22"/>
              </w:rPr>
              <w:t>98.80</w:t>
            </w:r>
          </w:p>
        </w:tc>
        <w:tc>
          <w:tcPr>
            <w:tcW w:w="1984" w:type="dxa"/>
          </w:tcPr>
          <w:p>
            <w:pPr>
              <w:pStyle w:val="TableParagraph"/>
              <w:spacing w:line="234" w:lineRule="exact" w:before="2"/>
              <w:ind w:left="387"/>
              <w:rPr>
                <w:sz w:val="22"/>
              </w:rPr>
            </w:pPr>
            <w:r>
              <w:rPr>
                <w:spacing w:val="-2"/>
                <w:sz w:val="22"/>
              </w:rPr>
              <w:t>99.75</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51"/>
              <w:rPr>
                <w:b/>
                <w:sz w:val="22"/>
              </w:rPr>
            </w:pPr>
            <w:r>
              <w:rPr>
                <w:b/>
                <w:sz w:val="22"/>
                <w:u w:val="single"/>
              </w:rPr>
              <w:t>7.5</w:t>
            </w:r>
            <w:r>
              <w:rPr>
                <w:b/>
                <w:spacing w:val="8"/>
                <w:sz w:val="22"/>
                <w:u w:val="single"/>
              </w:rPr>
              <w:t> </w:t>
            </w:r>
            <w:r>
              <w:rPr>
                <w:b/>
                <w:sz w:val="22"/>
                <w:u w:val="single"/>
              </w:rPr>
              <w:t>%</w:t>
            </w:r>
            <w:r>
              <w:rPr>
                <w:b/>
                <w:spacing w:val="5"/>
                <w:sz w:val="22"/>
                <w:u w:val="single"/>
              </w:rPr>
              <w:t> </w:t>
            </w:r>
            <w:r>
              <w:rPr>
                <w:b/>
                <w:spacing w:val="-5"/>
                <w:sz w:val="22"/>
                <w:u w:val="single"/>
              </w:rPr>
              <w:t>w/v</w:t>
            </w:r>
          </w:p>
        </w:tc>
      </w:tr>
      <w:tr>
        <w:trPr>
          <w:trHeight w:val="256" w:hRule="atLeast"/>
        </w:trPr>
        <w:tc>
          <w:tcPr>
            <w:tcW w:w="1055" w:type="dxa"/>
          </w:tcPr>
          <w:p>
            <w:pPr>
              <w:pStyle w:val="TableParagraph"/>
              <w:spacing w:line="237" w:lineRule="exact"/>
              <w:ind w:left="115"/>
              <w:rPr>
                <w:sz w:val="22"/>
              </w:rPr>
            </w:pPr>
            <w:r>
              <w:rPr>
                <w:spacing w:val="-5"/>
                <w:sz w:val="22"/>
              </w:rPr>
              <w:t>500</w:t>
            </w:r>
          </w:p>
        </w:tc>
        <w:tc>
          <w:tcPr>
            <w:tcW w:w="1368" w:type="dxa"/>
          </w:tcPr>
          <w:p>
            <w:pPr>
              <w:pStyle w:val="TableParagraph"/>
              <w:spacing w:line="237" w:lineRule="exact"/>
              <w:ind w:left="601"/>
              <w:rPr>
                <w:sz w:val="22"/>
              </w:rPr>
            </w:pPr>
            <w:r>
              <w:rPr>
                <w:spacing w:val="-2"/>
                <w:sz w:val="22"/>
              </w:rPr>
              <w:t>84.75</w:t>
            </w:r>
          </w:p>
        </w:tc>
        <w:tc>
          <w:tcPr>
            <w:tcW w:w="1157" w:type="dxa"/>
          </w:tcPr>
          <w:p>
            <w:pPr>
              <w:pStyle w:val="TableParagraph"/>
              <w:spacing w:line="237" w:lineRule="exact"/>
              <w:ind w:left="260"/>
              <w:rPr>
                <w:sz w:val="22"/>
              </w:rPr>
            </w:pPr>
            <w:r>
              <w:rPr>
                <w:spacing w:val="-2"/>
                <w:sz w:val="22"/>
              </w:rPr>
              <w:t>81.65</w:t>
            </w:r>
          </w:p>
        </w:tc>
        <w:tc>
          <w:tcPr>
            <w:tcW w:w="1287" w:type="dxa"/>
          </w:tcPr>
          <w:p>
            <w:pPr>
              <w:pStyle w:val="TableParagraph"/>
              <w:spacing w:line="237" w:lineRule="exact"/>
              <w:ind w:left="389"/>
              <w:rPr>
                <w:sz w:val="22"/>
              </w:rPr>
            </w:pPr>
            <w:r>
              <w:rPr>
                <w:spacing w:val="-2"/>
                <w:sz w:val="22"/>
              </w:rPr>
              <w:t>85.90</w:t>
            </w:r>
          </w:p>
        </w:tc>
        <w:tc>
          <w:tcPr>
            <w:tcW w:w="1287" w:type="dxa"/>
          </w:tcPr>
          <w:p>
            <w:pPr>
              <w:pStyle w:val="TableParagraph"/>
              <w:spacing w:line="237" w:lineRule="exact"/>
              <w:ind w:left="2" w:right="2"/>
              <w:jc w:val="center"/>
              <w:rPr>
                <w:sz w:val="22"/>
              </w:rPr>
            </w:pPr>
            <w:r>
              <w:rPr>
                <w:spacing w:val="-2"/>
                <w:sz w:val="22"/>
              </w:rPr>
              <w:t>84.75</w:t>
            </w:r>
          </w:p>
        </w:tc>
        <w:tc>
          <w:tcPr>
            <w:tcW w:w="1287" w:type="dxa"/>
          </w:tcPr>
          <w:p>
            <w:pPr>
              <w:pStyle w:val="TableParagraph"/>
              <w:spacing w:line="237" w:lineRule="exact"/>
              <w:ind w:right="2"/>
              <w:jc w:val="center"/>
              <w:rPr>
                <w:sz w:val="22"/>
              </w:rPr>
            </w:pPr>
            <w:r>
              <w:rPr>
                <w:spacing w:val="-2"/>
                <w:sz w:val="22"/>
              </w:rPr>
              <w:t>81.65</w:t>
            </w:r>
          </w:p>
        </w:tc>
        <w:tc>
          <w:tcPr>
            <w:tcW w:w="1984" w:type="dxa"/>
          </w:tcPr>
          <w:p>
            <w:pPr>
              <w:pStyle w:val="TableParagraph"/>
              <w:spacing w:line="237" w:lineRule="exact"/>
              <w:ind w:left="387"/>
              <w:rPr>
                <w:sz w:val="22"/>
              </w:rPr>
            </w:pPr>
            <w:r>
              <w:rPr>
                <w:spacing w:val="-2"/>
                <w:sz w:val="22"/>
              </w:rPr>
              <w:t>85.90</w:t>
            </w:r>
          </w:p>
        </w:tc>
      </w:tr>
      <w:tr>
        <w:trPr>
          <w:trHeight w:val="259" w:hRule="atLeast"/>
        </w:trPr>
        <w:tc>
          <w:tcPr>
            <w:tcW w:w="1055" w:type="dxa"/>
          </w:tcPr>
          <w:p>
            <w:pPr>
              <w:pStyle w:val="TableParagraph"/>
              <w:spacing w:line="236" w:lineRule="exact" w:before="2"/>
              <w:ind w:left="115"/>
              <w:rPr>
                <w:sz w:val="22"/>
              </w:rPr>
            </w:pPr>
            <w:r>
              <w:rPr>
                <w:spacing w:val="-5"/>
                <w:sz w:val="22"/>
              </w:rPr>
              <w:t>250</w:t>
            </w:r>
          </w:p>
        </w:tc>
        <w:tc>
          <w:tcPr>
            <w:tcW w:w="1368" w:type="dxa"/>
          </w:tcPr>
          <w:p>
            <w:pPr>
              <w:pStyle w:val="TableParagraph"/>
              <w:spacing w:line="236" w:lineRule="exact" w:before="2"/>
              <w:ind w:left="601"/>
              <w:rPr>
                <w:sz w:val="22"/>
              </w:rPr>
            </w:pPr>
            <w:r>
              <w:rPr>
                <w:spacing w:val="-2"/>
                <w:sz w:val="22"/>
              </w:rPr>
              <w:t>10.35</w:t>
            </w:r>
          </w:p>
        </w:tc>
        <w:tc>
          <w:tcPr>
            <w:tcW w:w="1157" w:type="dxa"/>
          </w:tcPr>
          <w:p>
            <w:pPr>
              <w:pStyle w:val="TableParagraph"/>
              <w:spacing w:line="236" w:lineRule="exact" w:before="2"/>
              <w:ind w:left="260"/>
              <w:rPr>
                <w:sz w:val="22"/>
              </w:rPr>
            </w:pPr>
            <w:r>
              <w:rPr>
                <w:spacing w:val="-2"/>
                <w:sz w:val="22"/>
              </w:rPr>
              <w:t>15.25</w:t>
            </w:r>
          </w:p>
        </w:tc>
        <w:tc>
          <w:tcPr>
            <w:tcW w:w="1287" w:type="dxa"/>
          </w:tcPr>
          <w:p>
            <w:pPr>
              <w:pStyle w:val="TableParagraph"/>
              <w:spacing w:line="236" w:lineRule="exact" w:before="2"/>
              <w:ind w:left="389"/>
              <w:rPr>
                <w:sz w:val="22"/>
              </w:rPr>
            </w:pPr>
            <w:r>
              <w:rPr>
                <w:spacing w:val="-4"/>
                <w:sz w:val="22"/>
              </w:rPr>
              <w:t>7.25</w:t>
            </w:r>
          </w:p>
        </w:tc>
        <w:tc>
          <w:tcPr>
            <w:tcW w:w="1287" w:type="dxa"/>
          </w:tcPr>
          <w:p>
            <w:pPr>
              <w:pStyle w:val="TableParagraph"/>
              <w:spacing w:line="236" w:lineRule="exact" w:before="2"/>
              <w:ind w:left="2" w:right="2"/>
              <w:jc w:val="center"/>
              <w:rPr>
                <w:sz w:val="22"/>
              </w:rPr>
            </w:pPr>
            <w:r>
              <w:rPr>
                <w:spacing w:val="-2"/>
                <w:sz w:val="22"/>
              </w:rPr>
              <w:t>95.10</w:t>
            </w:r>
          </w:p>
        </w:tc>
        <w:tc>
          <w:tcPr>
            <w:tcW w:w="1287" w:type="dxa"/>
          </w:tcPr>
          <w:p>
            <w:pPr>
              <w:pStyle w:val="TableParagraph"/>
              <w:spacing w:line="236" w:lineRule="exact" w:before="2"/>
              <w:ind w:right="2"/>
              <w:jc w:val="center"/>
              <w:rPr>
                <w:sz w:val="22"/>
              </w:rPr>
            </w:pPr>
            <w:r>
              <w:rPr>
                <w:spacing w:val="-2"/>
                <w:sz w:val="22"/>
              </w:rPr>
              <w:t>96.90</w:t>
            </w:r>
          </w:p>
        </w:tc>
        <w:tc>
          <w:tcPr>
            <w:tcW w:w="1984" w:type="dxa"/>
          </w:tcPr>
          <w:p>
            <w:pPr>
              <w:pStyle w:val="TableParagraph"/>
              <w:spacing w:line="236" w:lineRule="exact" w:before="2"/>
              <w:ind w:left="387"/>
              <w:rPr>
                <w:sz w:val="22"/>
              </w:rPr>
            </w:pPr>
            <w:r>
              <w:rPr>
                <w:spacing w:val="-2"/>
                <w:sz w:val="22"/>
              </w:rPr>
              <w:t>93.15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1.50</w:t>
            </w:r>
          </w:p>
        </w:tc>
        <w:tc>
          <w:tcPr>
            <w:tcW w:w="1157" w:type="dxa"/>
          </w:tcPr>
          <w:p>
            <w:pPr>
              <w:pStyle w:val="TableParagraph"/>
              <w:spacing w:line="239" w:lineRule="exact"/>
              <w:ind w:left="260"/>
              <w:rPr>
                <w:sz w:val="22"/>
              </w:rPr>
            </w:pPr>
            <w:r>
              <w:rPr>
                <w:spacing w:val="-4"/>
                <w:sz w:val="22"/>
              </w:rPr>
              <w:t>0.15</w:t>
            </w:r>
          </w:p>
        </w:tc>
        <w:tc>
          <w:tcPr>
            <w:tcW w:w="1287" w:type="dxa"/>
          </w:tcPr>
          <w:p>
            <w:pPr>
              <w:pStyle w:val="TableParagraph"/>
              <w:spacing w:line="239" w:lineRule="exact"/>
              <w:ind w:left="389"/>
              <w:rPr>
                <w:sz w:val="22"/>
              </w:rPr>
            </w:pPr>
            <w:r>
              <w:rPr>
                <w:spacing w:val="-4"/>
                <w:sz w:val="22"/>
              </w:rPr>
              <w:t>2.75</w:t>
            </w:r>
          </w:p>
        </w:tc>
        <w:tc>
          <w:tcPr>
            <w:tcW w:w="1287" w:type="dxa"/>
          </w:tcPr>
          <w:p>
            <w:pPr>
              <w:pStyle w:val="TableParagraph"/>
              <w:spacing w:line="239" w:lineRule="exact"/>
              <w:ind w:left="2" w:right="2"/>
              <w:jc w:val="center"/>
              <w:rPr>
                <w:sz w:val="22"/>
              </w:rPr>
            </w:pPr>
            <w:r>
              <w:rPr>
                <w:spacing w:val="-2"/>
                <w:sz w:val="22"/>
              </w:rPr>
              <w:t>96.60</w:t>
            </w:r>
          </w:p>
        </w:tc>
        <w:tc>
          <w:tcPr>
            <w:tcW w:w="1287" w:type="dxa"/>
          </w:tcPr>
          <w:p>
            <w:pPr>
              <w:pStyle w:val="TableParagraph"/>
              <w:spacing w:line="239" w:lineRule="exact"/>
              <w:ind w:right="2"/>
              <w:jc w:val="center"/>
              <w:rPr>
                <w:sz w:val="22"/>
              </w:rPr>
            </w:pPr>
            <w:r>
              <w:rPr>
                <w:spacing w:val="-2"/>
                <w:sz w:val="22"/>
              </w:rPr>
              <w:t>97.05</w:t>
            </w:r>
          </w:p>
        </w:tc>
        <w:tc>
          <w:tcPr>
            <w:tcW w:w="1984" w:type="dxa"/>
          </w:tcPr>
          <w:p>
            <w:pPr>
              <w:pStyle w:val="TableParagraph"/>
              <w:spacing w:line="239" w:lineRule="exact"/>
              <w:ind w:left="387"/>
              <w:rPr>
                <w:sz w:val="22"/>
              </w:rPr>
            </w:pPr>
            <w:r>
              <w:rPr>
                <w:spacing w:val="-2"/>
                <w:sz w:val="22"/>
              </w:rPr>
              <w:t>95.90</w:t>
            </w:r>
          </w:p>
        </w:tc>
      </w:tr>
      <w:tr>
        <w:trPr>
          <w:trHeight w:val="259" w:hRule="atLeast"/>
        </w:trPr>
        <w:tc>
          <w:tcPr>
            <w:tcW w:w="1055" w:type="dxa"/>
          </w:tcPr>
          <w:p>
            <w:pPr>
              <w:pStyle w:val="TableParagraph"/>
              <w:spacing w:line="236" w:lineRule="exact" w:before="2"/>
              <w:ind w:left="115"/>
              <w:rPr>
                <w:sz w:val="22"/>
              </w:rPr>
            </w:pPr>
            <w:r>
              <w:rPr>
                <w:spacing w:val="-5"/>
                <w:sz w:val="22"/>
              </w:rPr>
              <w:t>90</w:t>
            </w:r>
          </w:p>
        </w:tc>
        <w:tc>
          <w:tcPr>
            <w:tcW w:w="1368" w:type="dxa"/>
          </w:tcPr>
          <w:p>
            <w:pPr>
              <w:pStyle w:val="TableParagraph"/>
              <w:spacing w:line="236" w:lineRule="exact" w:before="2"/>
              <w:ind w:left="601"/>
              <w:rPr>
                <w:sz w:val="22"/>
              </w:rPr>
            </w:pPr>
            <w:r>
              <w:rPr>
                <w:spacing w:val="-4"/>
                <w:sz w:val="22"/>
              </w:rPr>
              <w:t>0.55</w:t>
            </w:r>
          </w:p>
        </w:tc>
        <w:tc>
          <w:tcPr>
            <w:tcW w:w="1157" w:type="dxa"/>
          </w:tcPr>
          <w:p>
            <w:pPr>
              <w:pStyle w:val="TableParagraph"/>
              <w:spacing w:line="236" w:lineRule="exact" w:before="2"/>
              <w:ind w:left="260"/>
              <w:rPr>
                <w:sz w:val="22"/>
              </w:rPr>
            </w:pPr>
            <w:r>
              <w:rPr>
                <w:spacing w:val="-4"/>
                <w:sz w:val="22"/>
              </w:rPr>
              <w:t>1.10</w:t>
            </w:r>
          </w:p>
        </w:tc>
        <w:tc>
          <w:tcPr>
            <w:tcW w:w="1287" w:type="dxa"/>
          </w:tcPr>
          <w:p>
            <w:pPr>
              <w:pStyle w:val="TableParagraph"/>
              <w:spacing w:line="236" w:lineRule="exact" w:before="2"/>
              <w:ind w:left="389"/>
              <w:rPr>
                <w:sz w:val="22"/>
              </w:rPr>
            </w:pPr>
            <w:r>
              <w:rPr>
                <w:spacing w:val="-4"/>
                <w:sz w:val="22"/>
              </w:rPr>
              <w:t>0.55</w:t>
            </w:r>
          </w:p>
        </w:tc>
        <w:tc>
          <w:tcPr>
            <w:tcW w:w="1287" w:type="dxa"/>
          </w:tcPr>
          <w:p>
            <w:pPr>
              <w:pStyle w:val="TableParagraph"/>
              <w:spacing w:line="236" w:lineRule="exact" w:before="2"/>
              <w:ind w:left="2" w:right="2"/>
              <w:jc w:val="center"/>
              <w:rPr>
                <w:sz w:val="22"/>
              </w:rPr>
            </w:pPr>
            <w:r>
              <w:rPr>
                <w:spacing w:val="-2"/>
                <w:sz w:val="22"/>
              </w:rPr>
              <w:t>97.15</w:t>
            </w:r>
          </w:p>
        </w:tc>
        <w:tc>
          <w:tcPr>
            <w:tcW w:w="1287" w:type="dxa"/>
          </w:tcPr>
          <w:p>
            <w:pPr>
              <w:pStyle w:val="TableParagraph"/>
              <w:spacing w:line="236" w:lineRule="exact" w:before="2"/>
              <w:ind w:right="2"/>
              <w:jc w:val="center"/>
              <w:rPr>
                <w:sz w:val="22"/>
              </w:rPr>
            </w:pPr>
            <w:r>
              <w:rPr>
                <w:spacing w:val="-2"/>
                <w:sz w:val="22"/>
              </w:rPr>
              <w:t>98.15</w:t>
            </w:r>
          </w:p>
        </w:tc>
        <w:tc>
          <w:tcPr>
            <w:tcW w:w="1984" w:type="dxa"/>
          </w:tcPr>
          <w:p>
            <w:pPr>
              <w:pStyle w:val="TableParagraph"/>
              <w:spacing w:line="236" w:lineRule="exact" w:before="2"/>
              <w:ind w:left="387"/>
              <w:rPr>
                <w:sz w:val="22"/>
              </w:rPr>
            </w:pPr>
            <w:r>
              <w:rPr>
                <w:spacing w:val="-2"/>
                <w:sz w:val="22"/>
              </w:rPr>
              <w:t>96.45</w:t>
            </w:r>
          </w:p>
        </w:tc>
      </w:tr>
      <w:tr>
        <w:trPr>
          <w:trHeight w:val="256" w:hRule="atLeast"/>
        </w:trPr>
        <w:tc>
          <w:tcPr>
            <w:tcW w:w="1055" w:type="dxa"/>
          </w:tcPr>
          <w:p>
            <w:pPr>
              <w:pStyle w:val="TableParagraph"/>
              <w:spacing w:line="237" w:lineRule="exact"/>
              <w:ind w:left="115"/>
              <w:rPr>
                <w:sz w:val="22"/>
              </w:rPr>
            </w:pPr>
            <w:r>
              <w:rPr>
                <w:spacing w:val="-5"/>
                <w:sz w:val="22"/>
              </w:rPr>
              <w:t>75</w:t>
            </w:r>
          </w:p>
        </w:tc>
        <w:tc>
          <w:tcPr>
            <w:tcW w:w="1368" w:type="dxa"/>
          </w:tcPr>
          <w:p>
            <w:pPr>
              <w:pStyle w:val="TableParagraph"/>
              <w:spacing w:line="237" w:lineRule="exact"/>
              <w:ind w:left="601"/>
              <w:rPr>
                <w:sz w:val="22"/>
              </w:rPr>
            </w:pPr>
            <w:r>
              <w:rPr>
                <w:spacing w:val="-4"/>
                <w:sz w:val="22"/>
              </w:rPr>
              <w:t>1.95</w:t>
            </w:r>
          </w:p>
        </w:tc>
        <w:tc>
          <w:tcPr>
            <w:tcW w:w="1157" w:type="dxa"/>
          </w:tcPr>
          <w:p>
            <w:pPr>
              <w:pStyle w:val="TableParagraph"/>
              <w:spacing w:line="237" w:lineRule="exact"/>
              <w:ind w:left="260"/>
              <w:rPr>
                <w:sz w:val="22"/>
              </w:rPr>
            </w:pPr>
            <w:r>
              <w:rPr>
                <w:spacing w:val="-4"/>
                <w:sz w:val="22"/>
              </w:rPr>
              <w:t>0.75</w:t>
            </w:r>
          </w:p>
        </w:tc>
        <w:tc>
          <w:tcPr>
            <w:tcW w:w="1287" w:type="dxa"/>
          </w:tcPr>
          <w:p>
            <w:pPr>
              <w:pStyle w:val="TableParagraph"/>
              <w:spacing w:line="237" w:lineRule="exact"/>
              <w:ind w:left="389"/>
              <w:rPr>
                <w:sz w:val="22"/>
              </w:rPr>
            </w:pPr>
            <w:r>
              <w:rPr>
                <w:spacing w:val="-4"/>
                <w:sz w:val="22"/>
              </w:rPr>
              <w:t>2.75</w:t>
            </w:r>
          </w:p>
        </w:tc>
        <w:tc>
          <w:tcPr>
            <w:tcW w:w="1287" w:type="dxa"/>
          </w:tcPr>
          <w:p>
            <w:pPr>
              <w:pStyle w:val="TableParagraph"/>
              <w:spacing w:line="237" w:lineRule="exact"/>
              <w:ind w:left="2" w:right="2"/>
              <w:jc w:val="center"/>
              <w:rPr>
                <w:sz w:val="22"/>
              </w:rPr>
            </w:pPr>
            <w:r>
              <w:rPr>
                <w:spacing w:val="-2"/>
                <w:sz w:val="22"/>
              </w:rPr>
              <w:t>99.10</w:t>
            </w:r>
          </w:p>
        </w:tc>
        <w:tc>
          <w:tcPr>
            <w:tcW w:w="1287" w:type="dxa"/>
          </w:tcPr>
          <w:p>
            <w:pPr>
              <w:pStyle w:val="TableParagraph"/>
              <w:spacing w:line="237" w:lineRule="exact"/>
              <w:ind w:right="2"/>
              <w:jc w:val="center"/>
              <w:rPr>
                <w:sz w:val="22"/>
              </w:rPr>
            </w:pPr>
            <w:r>
              <w:rPr>
                <w:spacing w:val="-2"/>
                <w:sz w:val="22"/>
              </w:rPr>
              <w:t>98.90</w:t>
            </w:r>
          </w:p>
        </w:tc>
        <w:tc>
          <w:tcPr>
            <w:tcW w:w="1984" w:type="dxa"/>
          </w:tcPr>
          <w:p>
            <w:pPr>
              <w:pStyle w:val="TableParagraph"/>
              <w:spacing w:line="237" w:lineRule="exact"/>
              <w:ind w:left="387"/>
              <w:rPr>
                <w:sz w:val="22"/>
              </w:rPr>
            </w:pPr>
            <w:r>
              <w:rPr>
                <w:spacing w:val="-2"/>
                <w:sz w:val="22"/>
              </w:rPr>
              <w:t>99.20</w:t>
            </w:r>
          </w:p>
        </w:tc>
      </w:tr>
      <w:tr>
        <w:trPr>
          <w:trHeight w:val="254" w:hRule="atLeast"/>
        </w:trPr>
        <w:tc>
          <w:tcPr>
            <w:tcW w:w="1055" w:type="dxa"/>
          </w:tcPr>
          <w:p>
            <w:pPr>
              <w:pStyle w:val="TableParagraph"/>
              <w:spacing w:line="234" w:lineRule="exact"/>
              <w:ind w:left="115"/>
              <w:rPr>
                <w:sz w:val="22"/>
              </w:rPr>
            </w:pPr>
            <w:r>
              <w:rPr>
                <w:spacing w:val="-5"/>
                <w:sz w:val="22"/>
              </w:rPr>
              <w:t>Pan</w:t>
            </w:r>
          </w:p>
        </w:tc>
        <w:tc>
          <w:tcPr>
            <w:tcW w:w="1368" w:type="dxa"/>
          </w:tcPr>
          <w:p>
            <w:pPr>
              <w:pStyle w:val="TableParagraph"/>
              <w:spacing w:line="234" w:lineRule="exact"/>
              <w:ind w:left="601"/>
              <w:rPr>
                <w:sz w:val="22"/>
              </w:rPr>
            </w:pPr>
            <w:r>
              <w:rPr>
                <w:spacing w:val="-4"/>
                <w:sz w:val="22"/>
              </w:rPr>
              <w:t>0.25</w:t>
            </w:r>
          </w:p>
        </w:tc>
        <w:tc>
          <w:tcPr>
            <w:tcW w:w="1157" w:type="dxa"/>
          </w:tcPr>
          <w:p>
            <w:pPr>
              <w:pStyle w:val="TableParagraph"/>
              <w:spacing w:line="234" w:lineRule="exact"/>
              <w:ind w:left="260"/>
              <w:rPr>
                <w:sz w:val="22"/>
              </w:rPr>
            </w:pPr>
            <w:r>
              <w:rPr>
                <w:spacing w:val="-4"/>
                <w:sz w:val="22"/>
              </w:rPr>
              <w:t>0.05</w:t>
            </w:r>
          </w:p>
        </w:tc>
        <w:tc>
          <w:tcPr>
            <w:tcW w:w="1287" w:type="dxa"/>
          </w:tcPr>
          <w:p>
            <w:pPr>
              <w:pStyle w:val="TableParagraph"/>
              <w:spacing w:line="234" w:lineRule="exact"/>
              <w:ind w:left="389"/>
              <w:rPr>
                <w:sz w:val="22"/>
              </w:rPr>
            </w:pPr>
            <w:r>
              <w:rPr>
                <w:spacing w:val="-4"/>
                <w:sz w:val="22"/>
              </w:rPr>
              <w:t>0.30</w:t>
            </w:r>
          </w:p>
        </w:tc>
        <w:tc>
          <w:tcPr>
            <w:tcW w:w="1287" w:type="dxa"/>
          </w:tcPr>
          <w:p>
            <w:pPr>
              <w:pStyle w:val="TableParagraph"/>
              <w:spacing w:line="234" w:lineRule="exact"/>
              <w:ind w:left="2" w:right="2"/>
              <w:jc w:val="center"/>
              <w:rPr>
                <w:sz w:val="22"/>
              </w:rPr>
            </w:pPr>
            <w:r>
              <w:rPr>
                <w:spacing w:val="-2"/>
                <w:sz w:val="22"/>
              </w:rPr>
              <w:t>99.35</w:t>
            </w:r>
          </w:p>
        </w:tc>
        <w:tc>
          <w:tcPr>
            <w:tcW w:w="1287" w:type="dxa"/>
          </w:tcPr>
          <w:p>
            <w:pPr>
              <w:pStyle w:val="TableParagraph"/>
              <w:spacing w:line="234" w:lineRule="exact"/>
              <w:ind w:right="2"/>
              <w:jc w:val="center"/>
              <w:rPr>
                <w:sz w:val="22"/>
              </w:rPr>
            </w:pPr>
            <w:r>
              <w:rPr>
                <w:spacing w:val="-2"/>
                <w:sz w:val="22"/>
              </w:rPr>
              <w:t>98.95</w:t>
            </w:r>
          </w:p>
        </w:tc>
        <w:tc>
          <w:tcPr>
            <w:tcW w:w="1984" w:type="dxa"/>
          </w:tcPr>
          <w:p>
            <w:pPr>
              <w:pStyle w:val="TableParagraph"/>
              <w:spacing w:line="234" w:lineRule="exact"/>
              <w:ind w:left="387"/>
              <w:rPr>
                <w:sz w:val="22"/>
              </w:rPr>
            </w:pPr>
            <w:r>
              <w:rPr>
                <w:spacing w:val="-2"/>
                <w:sz w:val="22"/>
              </w:rPr>
              <w:t>99.50</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36"/>
              <w:rPr>
                <w:b/>
                <w:sz w:val="22"/>
              </w:rPr>
            </w:pPr>
            <w:r>
              <w:rPr>
                <w:b/>
                <w:sz w:val="22"/>
                <w:u w:val="single"/>
              </w:rPr>
              <w:t>10.0</w:t>
            </w:r>
            <w:r>
              <w:rPr>
                <w:b/>
                <w:spacing w:val="8"/>
                <w:sz w:val="22"/>
                <w:u w:val="single"/>
              </w:rPr>
              <w:t> </w:t>
            </w:r>
            <w:r>
              <w:rPr>
                <w:b/>
                <w:sz w:val="22"/>
                <w:u w:val="single"/>
              </w:rPr>
              <w:t>%</w:t>
            </w:r>
            <w:r>
              <w:rPr>
                <w:b/>
                <w:spacing w:val="6"/>
                <w:sz w:val="22"/>
                <w:u w:val="single"/>
              </w:rPr>
              <w:t> </w:t>
            </w:r>
            <w:r>
              <w:rPr>
                <w:b/>
                <w:spacing w:val="-5"/>
                <w:sz w:val="22"/>
                <w:u w:val="single"/>
              </w:rPr>
              <w:t>w/v</w:t>
            </w:r>
          </w:p>
        </w:tc>
      </w:tr>
      <w:tr>
        <w:trPr>
          <w:trHeight w:val="261" w:hRule="atLeast"/>
        </w:trPr>
        <w:tc>
          <w:tcPr>
            <w:tcW w:w="1055" w:type="dxa"/>
          </w:tcPr>
          <w:p>
            <w:pPr>
              <w:pStyle w:val="TableParagraph"/>
              <w:spacing w:line="232" w:lineRule="exact"/>
              <w:ind w:left="115"/>
              <w:rPr>
                <w:sz w:val="22"/>
              </w:rPr>
            </w:pPr>
            <w:r>
              <w:rPr>
                <w:spacing w:val="-5"/>
                <w:sz w:val="22"/>
              </w:rPr>
              <w:t>500</w:t>
            </w:r>
          </w:p>
        </w:tc>
        <w:tc>
          <w:tcPr>
            <w:tcW w:w="1368" w:type="dxa"/>
          </w:tcPr>
          <w:p>
            <w:pPr>
              <w:pStyle w:val="TableParagraph"/>
              <w:spacing w:line="232" w:lineRule="exact"/>
              <w:ind w:left="601"/>
              <w:rPr>
                <w:sz w:val="22"/>
              </w:rPr>
            </w:pPr>
            <w:r>
              <w:rPr>
                <w:spacing w:val="-2"/>
                <w:sz w:val="22"/>
              </w:rPr>
              <w:t>87.70</w:t>
            </w:r>
          </w:p>
        </w:tc>
        <w:tc>
          <w:tcPr>
            <w:tcW w:w="1157" w:type="dxa"/>
          </w:tcPr>
          <w:p>
            <w:pPr>
              <w:pStyle w:val="TableParagraph"/>
              <w:spacing w:line="232" w:lineRule="exact"/>
              <w:ind w:left="260"/>
              <w:rPr>
                <w:sz w:val="22"/>
              </w:rPr>
            </w:pPr>
            <w:r>
              <w:rPr>
                <w:spacing w:val="-2"/>
                <w:sz w:val="22"/>
              </w:rPr>
              <w:t>64.30</w:t>
            </w:r>
          </w:p>
        </w:tc>
        <w:tc>
          <w:tcPr>
            <w:tcW w:w="1287" w:type="dxa"/>
          </w:tcPr>
          <w:p>
            <w:pPr>
              <w:pStyle w:val="TableParagraph"/>
              <w:spacing w:line="232" w:lineRule="exact"/>
              <w:ind w:left="389"/>
              <w:rPr>
                <w:sz w:val="22"/>
              </w:rPr>
            </w:pPr>
            <w:r>
              <w:rPr>
                <w:spacing w:val="-2"/>
                <w:sz w:val="22"/>
              </w:rPr>
              <w:t>68.45</w:t>
            </w:r>
          </w:p>
        </w:tc>
        <w:tc>
          <w:tcPr>
            <w:tcW w:w="1287" w:type="dxa"/>
          </w:tcPr>
          <w:p>
            <w:pPr>
              <w:pStyle w:val="TableParagraph"/>
              <w:spacing w:line="232" w:lineRule="exact"/>
              <w:ind w:left="2" w:right="2"/>
              <w:jc w:val="center"/>
              <w:rPr>
                <w:sz w:val="22"/>
              </w:rPr>
            </w:pPr>
            <w:r>
              <w:rPr>
                <w:spacing w:val="-2"/>
                <w:sz w:val="22"/>
              </w:rPr>
              <w:t>87.70</w:t>
            </w:r>
          </w:p>
        </w:tc>
        <w:tc>
          <w:tcPr>
            <w:tcW w:w="1287" w:type="dxa"/>
          </w:tcPr>
          <w:p>
            <w:pPr>
              <w:pStyle w:val="TableParagraph"/>
              <w:spacing w:line="232" w:lineRule="exact"/>
              <w:ind w:right="2"/>
              <w:jc w:val="center"/>
              <w:rPr>
                <w:sz w:val="22"/>
              </w:rPr>
            </w:pPr>
            <w:r>
              <w:rPr>
                <w:spacing w:val="-2"/>
                <w:sz w:val="22"/>
              </w:rPr>
              <w:t>64.30</w:t>
            </w:r>
          </w:p>
        </w:tc>
        <w:tc>
          <w:tcPr>
            <w:tcW w:w="1984" w:type="dxa"/>
          </w:tcPr>
          <w:p>
            <w:pPr>
              <w:pStyle w:val="TableParagraph"/>
              <w:spacing w:line="232" w:lineRule="exact"/>
              <w:ind w:left="387"/>
              <w:rPr>
                <w:sz w:val="22"/>
              </w:rPr>
            </w:pPr>
            <w:r>
              <w:rPr>
                <w:spacing w:val="-2"/>
                <w:sz w:val="22"/>
              </w:rPr>
              <w:t>68.45</w:t>
            </w:r>
          </w:p>
        </w:tc>
      </w:tr>
      <w:tr>
        <w:trPr>
          <w:trHeight w:val="259" w:hRule="atLeast"/>
        </w:trPr>
        <w:tc>
          <w:tcPr>
            <w:tcW w:w="1055" w:type="dxa"/>
          </w:tcPr>
          <w:p>
            <w:pPr>
              <w:pStyle w:val="TableParagraph"/>
              <w:spacing w:line="239" w:lineRule="exact"/>
              <w:ind w:left="115"/>
              <w:rPr>
                <w:sz w:val="22"/>
              </w:rPr>
            </w:pPr>
            <w:r>
              <w:rPr>
                <w:spacing w:val="-5"/>
                <w:sz w:val="22"/>
              </w:rPr>
              <w:t>250</w:t>
            </w:r>
          </w:p>
        </w:tc>
        <w:tc>
          <w:tcPr>
            <w:tcW w:w="1368" w:type="dxa"/>
          </w:tcPr>
          <w:p>
            <w:pPr>
              <w:pStyle w:val="TableParagraph"/>
              <w:spacing w:line="239" w:lineRule="exact"/>
              <w:ind w:left="601"/>
              <w:rPr>
                <w:sz w:val="22"/>
              </w:rPr>
            </w:pPr>
            <w:r>
              <w:rPr>
                <w:spacing w:val="-4"/>
                <w:sz w:val="22"/>
              </w:rPr>
              <w:t>8.75</w:t>
            </w:r>
          </w:p>
        </w:tc>
        <w:tc>
          <w:tcPr>
            <w:tcW w:w="1157" w:type="dxa"/>
          </w:tcPr>
          <w:p>
            <w:pPr>
              <w:pStyle w:val="TableParagraph"/>
              <w:spacing w:line="239" w:lineRule="exact"/>
              <w:ind w:left="260"/>
              <w:rPr>
                <w:sz w:val="22"/>
              </w:rPr>
            </w:pPr>
            <w:r>
              <w:rPr>
                <w:spacing w:val="-2"/>
                <w:sz w:val="22"/>
              </w:rPr>
              <w:t>27.60</w:t>
            </w:r>
          </w:p>
        </w:tc>
        <w:tc>
          <w:tcPr>
            <w:tcW w:w="1287" w:type="dxa"/>
          </w:tcPr>
          <w:p>
            <w:pPr>
              <w:pStyle w:val="TableParagraph"/>
              <w:spacing w:line="239" w:lineRule="exact"/>
              <w:ind w:left="389"/>
              <w:rPr>
                <w:sz w:val="22"/>
              </w:rPr>
            </w:pPr>
            <w:r>
              <w:rPr>
                <w:spacing w:val="-4"/>
                <w:sz w:val="22"/>
              </w:rPr>
              <w:t>9.05</w:t>
            </w:r>
          </w:p>
        </w:tc>
        <w:tc>
          <w:tcPr>
            <w:tcW w:w="1287" w:type="dxa"/>
          </w:tcPr>
          <w:p>
            <w:pPr>
              <w:pStyle w:val="TableParagraph"/>
              <w:spacing w:line="239" w:lineRule="exact"/>
              <w:ind w:left="2" w:right="2"/>
              <w:jc w:val="center"/>
              <w:rPr>
                <w:sz w:val="22"/>
              </w:rPr>
            </w:pPr>
            <w:r>
              <w:rPr>
                <w:spacing w:val="-2"/>
                <w:sz w:val="22"/>
              </w:rPr>
              <w:t>96.45</w:t>
            </w:r>
          </w:p>
        </w:tc>
        <w:tc>
          <w:tcPr>
            <w:tcW w:w="1287" w:type="dxa"/>
          </w:tcPr>
          <w:p>
            <w:pPr>
              <w:pStyle w:val="TableParagraph"/>
              <w:spacing w:line="239" w:lineRule="exact"/>
              <w:ind w:right="2"/>
              <w:jc w:val="center"/>
              <w:rPr>
                <w:sz w:val="22"/>
              </w:rPr>
            </w:pPr>
            <w:r>
              <w:rPr>
                <w:spacing w:val="-2"/>
                <w:sz w:val="22"/>
              </w:rPr>
              <w:t>91.90</w:t>
            </w:r>
          </w:p>
        </w:tc>
        <w:tc>
          <w:tcPr>
            <w:tcW w:w="1984" w:type="dxa"/>
          </w:tcPr>
          <w:p>
            <w:pPr>
              <w:pStyle w:val="TableParagraph"/>
              <w:spacing w:line="239" w:lineRule="exact"/>
              <w:ind w:left="387"/>
              <w:rPr>
                <w:sz w:val="22"/>
              </w:rPr>
            </w:pPr>
            <w:r>
              <w:rPr>
                <w:spacing w:val="-2"/>
                <w:sz w:val="22"/>
              </w:rPr>
              <w:t>77.50</w:t>
            </w:r>
          </w:p>
        </w:tc>
      </w:tr>
      <w:tr>
        <w:trPr>
          <w:trHeight w:val="259" w:hRule="atLeast"/>
        </w:trPr>
        <w:tc>
          <w:tcPr>
            <w:tcW w:w="1055" w:type="dxa"/>
          </w:tcPr>
          <w:p>
            <w:pPr>
              <w:pStyle w:val="TableParagraph"/>
              <w:spacing w:line="236" w:lineRule="exact" w:before="2"/>
              <w:ind w:left="115"/>
              <w:rPr>
                <w:sz w:val="22"/>
              </w:rPr>
            </w:pPr>
            <w:r>
              <w:rPr>
                <w:spacing w:val="-5"/>
                <w:sz w:val="22"/>
              </w:rPr>
              <w:t>150</w:t>
            </w:r>
          </w:p>
        </w:tc>
        <w:tc>
          <w:tcPr>
            <w:tcW w:w="1368" w:type="dxa"/>
          </w:tcPr>
          <w:p>
            <w:pPr>
              <w:pStyle w:val="TableParagraph"/>
              <w:spacing w:line="236" w:lineRule="exact" w:before="2"/>
              <w:ind w:left="601"/>
              <w:rPr>
                <w:sz w:val="22"/>
              </w:rPr>
            </w:pPr>
            <w:r>
              <w:rPr>
                <w:spacing w:val="-4"/>
                <w:sz w:val="22"/>
              </w:rPr>
              <w:t>1.10</w:t>
            </w:r>
          </w:p>
        </w:tc>
        <w:tc>
          <w:tcPr>
            <w:tcW w:w="1157" w:type="dxa"/>
          </w:tcPr>
          <w:p>
            <w:pPr>
              <w:pStyle w:val="TableParagraph"/>
              <w:spacing w:line="236" w:lineRule="exact" w:before="2"/>
              <w:ind w:left="260"/>
              <w:rPr>
                <w:sz w:val="22"/>
              </w:rPr>
            </w:pPr>
            <w:r>
              <w:rPr>
                <w:spacing w:val="-4"/>
                <w:sz w:val="22"/>
              </w:rPr>
              <w:t>1.45</w:t>
            </w:r>
          </w:p>
        </w:tc>
        <w:tc>
          <w:tcPr>
            <w:tcW w:w="1287" w:type="dxa"/>
          </w:tcPr>
          <w:p>
            <w:pPr>
              <w:pStyle w:val="TableParagraph"/>
              <w:spacing w:line="236" w:lineRule="exact" w:before="2"/>
              <w:ind w:left="389"/>
              <w:rPr>
                <w:sz w:val="22"/>
              </w:rPr>
            </w:pPr>
            <w:r>
              <w:rPr>
                <w:spacing w:val="-4"/>
                <w:sz w:val="22"/>
              </w:rPr>
              <w:t>0.75</w:t>
            </w:r>
          </w:p>
        </w:tc>
        <w:tc>
          <w:tcPr>
            <w:tcW w:w="1287" w:type="dxa"/>
          </w:tcPr>
          <w:p>
            <w:pPr>
              <w:pStyle w:val="TableParagraph"/>
              <w:spacing w:line="236" w:lineRule="exact" w:before="2"/>
              <w:ind w:left="2" w:right="2"/>
              <w:jc w:val="center"/>
              <w:rPr>
                <w:sz w:val="22"/>
              </w:rPr>
            </w:pPr>
            <w:r>
              <w:rPr>
                <w:spacing w:val="-2"/>
                <w:sz w:val="22"/>
              </w:rPr>
              <w:t>97.55</w:t>
            </w:r>
          </w:p>
        </w:tc>
        <w:tc>
          <w:tcPr>
            <w:tcW w:w="1287" w:type="dxa"/>
          </w:tcPr>
          <w:p>
            <w:pPr>
              <w:pStyle w:val="TableParagraph"/>
              <w:spacing w:line="236" w:lineRule="exact" w:before="2"/>
              <w:ind w:right="2"/>
              <w:jc w:val="center"/>
              <w:rPr>
                <w:sz w:val="22"/>
              </w:rPr>
            </w:pPr>
            <w:r>
              <w:rPr>
                <w:spacing w:val="-2"/>
                <w:sz w:val="22"/>
              </w:rPr>
              <w:t>93.35</w:t>
            </w:r>
          </w:p>
        </w:tc>
        <w:tc>
          <w:tcPr>
            <w:tcW w:w="1984" w:type="dxa"/>
          </w:tcPr>
          <w:p>
            <w:pPr>
              <w:pStyle w:val="TableParagraph"/>
              <w:spacing w:line="236" w:lineRule="exact" w:before="2"/>
              <w:ind w:left="387"/>
              <w:rPr>
                <w:sz w:val="22"/>
              </w:rPr>
            </w:pPr>
            <w:r>
              <w:rPr>
                <w:spacing w:val="-2"/>
                <w:sz w:val="22"/>
              </w:rPr>
              <w:t>78.25</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0.25</w:t>
            </w:r>
          </w:p>
        </w:tc>
        <w:tc>
          <w:tcPr>
            <w:tcW w:w="1157" w:type="dxa"/>
          </w:tcPr>
          <w:p>
            <w:pPr>
              <w:pStyle w:val="TableParagraph"/>
              <w:spacing w:line="239" w:lineRule="exact"/>
              <w:ind w:left="260"/>
              <w:rPr>
                <w:sz w:val="22"/>
              </w:rPr>
            </w:pPr>
            <w:r>
              <w:rPr>
                <w:spacing w:val="-4"/>
                <w:sz w:val="22"/>
              </w:rPr>
              <w:t>2.15</w:t>
            </w:r>
          </w:p>
        </w:tc>
        <w:tc>
          <w:tcPr>
            <w:tcW w:w="1287" w:type="dxa"/>
          </w:tcPr>
          <w:p>
            <w:pPr>
              <w:pStyle w:val="TableParagraph"/>
              <w:spacing w:line="239" w:lineRule="exact"/>
              <w:ind w:left="389"/>
              <w:rPr>
                <w:sz w:val="22"/>
              </w:rPr>
            </w:pPr>
            <w:r>
              <w:rPr>
                <w:spacing w:val="-2"/>
                <w:sz w:val="22"/>
              </w:rPr>
              <w:t>11.50</w:t>
            </w:r>
          </w:p>
        </w:tc>
        <w:tc>
          <w:tcPr>
            <w:tcW w:w="1287" w:type="dxa"/>
          </w:tcPr>
          <w:p>
            <w:pPr>
              <w:pStyle w:val="TableParagraph"/>
              <w:spacing w:line="239" w:lineRule="exact"/>
              <w:ind w:left="2" w:right="2"/>
              <w:jc w:val="center"/>
              <w:rPr>
                <w:sz w:val="22"/>
              </w:rPr>
            </w:pPr>
            <w:r>
              <w:rPr>
                <w:spacing w:val="-2"/>
                <w:sz w:val="22"/>
              </w:rPr>
              <w:t>97.80</w:t>
            </w:r>
          </w:p>
        </w:tc>
        <w:tc>
          <w:tcPr>
            <w:tcW w:w="1287" w:type="dxa"/>
          </w:tcPr>
          <w:p>
            <w:pPr>
              <w:pStyle w:val="TableParagraph"/>
              <w:spacing w:line="239" w:lineRule="exact"/>
              <w:ind w:right="2"/>
              <w:jc w:val="center"/>
              <w:rPr>
                <w:sz w:val="22"/>
              </w:rPr>
            </w:pPr>
            <w:r>
              <w:rPr>
                <w:spacing w:val="-2"/>
                <w:sz w:val="22"/>
              </w:rPr>
              <w:t>95.50</w:t>
            </w:r>
          </w:p>
        </w:tc>
        <w:tc>
          <w:tcPr>
            <w:tcW w:w="1984" w:type="dxa"/>
          </w:tcPr>
          <w:p>
            <w:pPr>
              <w:pStyle w:val="TableParagraph"/>
              <w:spacing w:line="239" w:lineRule="exact"/>
              <w:ind w:left="387"/>
              <w:rPr>
                <w:sz w:val="22"/>
              </w:rPr>
            </w:pPr>
            <w:r>
              <w:rPr>
                <w:spacing w:val="-2"/>
                <w:sz w:val="22"/>
              </w:rPr>
              <w:t>89.75</w:t>
            </w:r>
          </w:p>
        </w:tc>
      </w:tr>
      <w:tr>
        <w:trPr>
          <w:trHeight w:val="259" w:hRule="atLeast"/>
        </w:trPr>
        <w:tc>
          <w:tcPr>
            <w:tcW w:w="1055" w:type="dxa"/>
          </w:tcPr>
          <w:p>
            <w:pPr>
              <w:pStyle w:val="TableParagraph"/>
              <w:spacing w:line="236" w:lineRule="exact" w:before="2"/>
              <w:ind w:left="115"/>
              <w:rPr>
                <w:sz w:val="22"/>
              </w:rPr>
            </w:pPr>
            <w:r>
              <w:rPr>
                <w:spacing w:val="-5"/>
                <w:sz w:val="22"/>
              </w:rPr>
              <w:t>75</w:t>
            </w:r>
          </w:p>
        </w:tc>
        <w:tc>
          <w:tcPr>
            <w:tcW w:w="1368" w:type="dxa"/>
          </w:tcPr>
          <w:p>
            <w:pPr>
              <w:pStyle w:val="TableParagraph"/>
              <w:spacing w:line="236" w:lineRule="exact" w:before="2"/>
              <w:ind w:left="601"/>
              <w:rPr>
                <w:sz w:val="22"/>
              </w:rPr>
            </w:pPr>
            <w:r>
              <w:rPr>
                <w:spacing w:val="-4"/>
                <w:sz w:val="22"/>
              </w:rPr>
              <w:t>0.85</w:t>
            </w:r>
          </w:p>
        </w:tc>
        <w:tc>
          <w:tcPr>
            <w:tcW w:w="1157" w:type="dxa"/>
          </w:tcPr>
          <w:p>
            <w:pPr>
              <w:pStyle w:val="TableParagraph"/>
              <w:spacing w:line="236" w:lineRule="exact" w:before="2"/>
              <w:ind w:left="260"/>
              <w:rPr>
                <w:sz w:val="22"/>
              </w:rPr>
            </w:pPr>
            <w:r>
              <w:rPr>
                <w:spacing w:val="-4"/>
                <w:sz w:val="22"/>
              </w:rPr>
              <w:t>0.25</w:t>
            </w:r>
          </w:p>
        </w:tc>
        <w:tc>
          <w:tcPr>
            <w:tcW w:w="1287" w:type="dxa"/>
          </w:tcPr>
          <w:p>
            <w:pPr>
              <w:pStyle w:val="TableParagraph"/>
              <w:spacing w:line="236" w:lineRule="exact" w:before="2"/>
              <w:ind w:left="389"/>
              <w:rPr>
                <w:sz w:val="22"/>
              </w:rPr>
            </w:pPr>
            <w:r>
              <w:rPr>
                <w:spacing w:val="-4"/>
                <w:sz w:val="22"/>
              </w:rPr>
              <w:t>4.10</w:t>
            </w:r>
          </w:p>
        </w:tc>
        <w:tc>
          <w:tcPr>
            <w:tcW w:w="1287" w:type="dxa"/>
          </w:tcPr>
          <w:p>
            <w:pPr>
              <w:pStyle w:val="TableParagraph"/>
              <w:spacing w:line="236" w:lineRule="exact" w:before="2"/>
              <w:ind w:left="2" w:right="2"/>
              <w:jc w:val="center"/>
              <w:rPr>
                <w:sz w:val="22"/>
              </w:rPr>
            </w:pPr>
            <w:r>
              <w:rPr>
                <w:spacing w:val="-2"/>
                <w:sz w:val="22"/>
              </w:rPr>
              <w:t>98.65</w:t>
            </w:r>
          </w:p>
        </w:tc>
        <w:tc>
          <w:tcPr>
            <w:tcW w:w="1287" w:type="dxa"/>
          </w:tcPr>
          <w:p>
            <w:pPr>
              <w:pStyle w:val="TableParagraph"/>
              <w:spacing w:line="236" w:lineRule="exact" w:before="2"/>
              <w:ind w:right="2"/>
              <w:jc w:val="center"/>
              <w:rPr>
                <w:sz w:val="22"/>
              </w:rPr>
            </w:pPr>
            <w:r>
              <w:rPr>
                <w:spacing w:val="-2"/>
                <w:sz w:val="22"/>
              </w:rPr>
              <w:t>95.75</w:t>
            </w:r>
          </w:p>
        </w:tc>
        <w:tc>
          <w:tcPr>
            <w:tcW w:w="1984" w:type="dxa"/>
          </w:tcPr>
          <w:p>
            <w:pPr>
              <w:pStyle w:val="TableParagraph"/>
              <w:spacing w:line="236" w:lineRule="exact" w:before="2"/>
              <w:ind w:left="387"/>
              <w:rPr>
                <w:sz w:val="22"/>
              </w:rPr>
            </w:pPr>
            <w:r>
              <w:rPr>
                <w:spacing w:val="-2"/>
                <w:sz w:val="22"/>
              </w:rPr>
              <w:t>93.85</w:t>
            </w:r>
          </w:p>
        </w:tc>
      </w:tr>
      <w:tr>
        <w:trPr>
          <w:trHeight w:val="252" w:hRule="atLeast"/>
        </w:trPr>
        <w:tc>
          <w:tcPr>
            <w:tcW w:w="1055" w:type="dxa"/>
          </w:tcPr>
          <w:p>
            <w:pPr>
              <w:pStyle w:val="TableParagraph"/>
              <w:spacing w:line="232" w:lineRule="exact"/>
              <w:ind w:left="115"/>
              <w:rPr>
                <w:sz w:val="22"/>
              </w:rPr>
            </w:pPr>
            <w:r>
              <w:rPr>
                <w:spacing w:val="-5"/>
                <w:sz w:val="22"/>
              </w:rPr>
              <w:t>Pan</w:t>
            </w:r>
          </w:p>
        </w:tc>
        <w:tc>
          <w:tcPr>
            <w:tcW w:w="1368" w:type="dxa"/>
          </w:tcPr>
          <w:p>
            <w:pPr>
              <w:pStyle w:val="TableParagraph"/>
              <w:spacing w:line="232" w:lineRule="exact"/>
              <w:ind w:left="601"/>
              <w:rPr>
                <w:sz w:val="22"/>
              </w:rPr>
            </w:pPr>
            <w:r>
              <w:rPr>
                <w:spacing w:val="-4"/>
                <w:sz w:val="22"/>
              </w:rPr>
              <w:t>0.30</w:t>
            </w:r>
          </w:p>
        </w:tc>
        <w:tc>
          <w:tcPr>
            <w:tcW w:w="1157" w:type="dxa"/>
          </w:tcPr>
          <w:p>
            <w:pPr>
              <w:pStyle w:val="TableParagraph"/>
              <w:spacing w:line="232" w:lineRule="exact"/>
              <w:ind w:left="260"/>
              <w:rPr>
                <w:sz w:val="22"/>
              </w:rPr>
            </w:pPr>
            <w:r>
              <w:rPr>
                <w:spacing w:val="-4"/>
                <w:sz w:val="22"/>
              </w:rPr>
              <w:t>0.20</w:t>
            </w:r>
          </w:p>
        </w:tc>
        <w:tc>
          <w:tcPr>
            <w:tcW w:w="1287" w:type="dxa"/>
          </w:tcPr>
          <w:p>
            <w:pPr>
              <w:pStyle w:val="TableParagraph"/>
              <w:spacing w:line="232" w:lineRule="exact"/>
              <w:ind w:left="389"/>
              <w:rPr>
                <w:sz w:val="22"/>
              </w:rPr>
            </w:pPr>
            <w:r>
              <w:rPr>
                <w:spacing w:val="-4"/>
                <w:sz w:val="22"/>
              </w:rPr>
              <w:t>1.20</w:t>
            </w:r>
          </w:p>
        </w:tc>
        <w:tc>
          <w:tcPr>
            <w:tcW w:w="1287" w:type="dxa"/>
          </w:tcPr>
          <w:p>
            <w:pPr>
              <w:pStyle w:val="TableParagraph"/>
              <w:spacing w:line="232" w:lineRule="exact"/>
              <w:ind w:left="2" w:right="2"/>
              <w:jc w:val="center"/>
              <w:rPr>
                <w:sz w:val="22"/>
              </w:rPr>
            </w:pPr>
            <w:r>
              <w:rPr>
                <w:spacing w:val="-2"/>
                <w:sz w:val="22"/>
              </w:rPr>
              <w:t>98.95</w:t>
            </w:r>
          </w:p>
        </w:tc>
        <w:tc>
          <w:tcPr>
            <w:tcW w:w="1287" w:type="dxa"/>
          </w:tcPr>
          <w:p>
            <w:pPr>
              <w:pStyle w:val="TableParagraph"/>
              <w:spacing w:line="232" w:lineRule="exact"/>
              <w:ind w:right="2"/>
              <w:jc w:val="center"/>
              <w:rPr>
                <w:sz w:val="22"/>
              </w:rPr>
            </w:pPr>
            <w:r>
              <w:rPr>
                <w:spacing w:val="-2"/>
                <w:sz w:val="22"/>
              </w:rPr>
              <w:t>95.95</w:t>
            </w:r>
          </w:p>
        </w:tc>
        <w:tc>
          <w:tcPr>
            <w:tcW w:w="1984" w:type="dxa"/>
          </w:tcPr>
          <w:p>
            <w:pPr>
              <w:pStyle w:val="TableParagraph"/>
              <w:spacing w:line="232" w:lineRule="exact"/>
              <w:ind w:left="387"/>
              <w:rPr>
                <w:sz w:val="22"/>
              </w:rPr>
            </w:pPr>
            <w:r>
              <w:rPr>
                <w:spacing w:val="-2"/>
                <w:sz w:val="22"/>
              </w:rPr>
              <w:t>95.05</w:t>
            </w:r>
          </w:p>
        </w:tc>
      </w:tr>
      <w:tr>
        <w:trPr>
          <w:trHeight w:val="268" w:hRule="atLeast"/>
        </w:trPr>
        <w:tc>
          <w:tcPr>
            <w:tcW w:w="9425" w:type="dxa"/>
            <w:gridSpan w:val="7"/>
          </w:tcPr>
          <w:p>
            <w:pPr>
              <w:pStyle w:val="TableParagraph"/>
              <w:spacing w:line="234" w:lineRule="exact" w:before="14"/>
              <w:ind w:left="436"/>
              <w:rPr>
                <w:b/>
                <w:sz w:val="22"/>
              </w:rPr>
            </w:pPr>
            <w:r>
              <w:rPr>
                <w:b/>
                <w:sz w:val="22"/>
                <w:u w:val="single"/>
              </w:rPr>
              <w:t>12.5</w:t>
            </w:r>
            <w:r>
              <w:rPr>
                <w:b/>
                <w:spacing w:val="8"/>
                <w:sz w:val="22"/>
                <w:u w:val="single"/>
              </w:rPr>
              <w:t> </w:t>
            </w:r>
            <w:r>
              <w:rPr>
                <w:b/>
                <w:sz w:val="22"/>
                <w:u w:val="single"/>
              </w:rPr>
              <w:t>%</w:t>
            </w:r>
            <w:r>
              <w:rPr>
                <w:b/>
                <w:spacing w:val="6"/>
                <w:sz w:val="22"/>
                <w:u w:val="single"/>
              </w:rPr>
              <w:t> </w:t>
            </w:r>
            <w:r>
              <w:rPr>
                <w:b/>
                <w:spacing w:val="-5"/>
                <w:sz w:val="22"/>
                <w:u w:val="single"/>
              </w:rPr>
              <w:t>w/v</w:t>
            </w:r>
          </w:p>
        </w:tc>
      </w:tr>
      <w:tr>
        <w:trPr>
          <w:trHeight w:val="256" w:hRule="atLeast"/>
        </w:trPr>
        <w:tc>
          <w:tcPr>
            <w:tcW w:w="1055" w:type="dxa"/>
          </w:tcPr>
          <w:p>
            <w:pPr>
              <w:pStyle w:val="TableParagraph"/>
              <w:spacing w:line="237" w:lineRule="exact"/>
              <w:ind w:left="115"/>
              <w:rPr>
                <w:sz w:val="22"/>
              </w:rPr>
            </w:pPr>
            <w:r>
              <w:rPr>
                <w:spacing w:val="-5"/>
                <w:sz w:val="22"/>
              </w:rPr>
              <w:t>500</w:t>
            </w:r>
          </w:p>
        </w:tc>
        <w:tc>
          <w:tcPr>
            <w:tcW w:w="1368" w:type="dxa"/>
          </w:tcPr>
          <w:p>
            <w:pPr>
              <w:pStyle w:val="TableParagraph"/>
              <w:spacing w:line="237" w:lineRule="exact"/>
              <w:ind w:left="601"/>
              <w:rPr>
                <w:sz w:val="22"/>
              </w:rPr>
            </w:pPr>
            <w:r>
              <w:rPr>
                <w:spacing w:val="-2"/>
                <w:sz w:val="22"/>
              </w:rPr>
              <w:t>81.65</w:t>
            </w:r>
          </w:p>
        </w:tc>
        <w:tc>
          <w:tcPr>
            <w:tcW w:w="1157" w:type="dxa"/>
          </w:tcPr>
          <w:p>
            <w:pPr>
              <w:pStyle w:val="TableParagraph"/>
              <w:spacing w:line="237" w:lineRule="exact"/>
              <w:ind w:left="260"/>
              <w:rPr>
                <w:sz w:val="22"/>
              </w:rPr>
            </w:pPr>
            <w:r>
              <w:rPr>
                <w:spacing w:val="-2"/>
                <w:sz w:val="22"/>
              </w:rPr>
              <w:t>84.60</w:t>
            </w:r>
          </w:p>
        </w:tc>
        <w:tc>
          <w:tcPr>
            <w:tcW w:w="1287" w:type="dxa"/>
          </w:tcPr>
          <w:p>
            <w:pPr>
              <w:pStyle w:val="TableParagraph"/>
              <w:spacing w:line="237" w:lineRule="exact"/>
              <w:ind w:left="389"/>
              <w:rPr>
                <w:sz w:val="22"/>
              </w:rPr>
            </w:pPr>
            <w:r>
              <w:rPr>
                <w:spacing w:val="-2"/>
                <w:sz w:val="22"/>
              </w:rPr>
              <w:t>69.80</w:t>
            </w:r>
          </w:p>
        </w:tc>
        <w:tc>
          <w:tcPr>
            <w:tcW w:w="1287" w:type="dxa"/>
          </w:tcPr>
          <w:p>
            <w:pPr>
              <w:pStyle w:val="TableParagraph"/>
              <w:spacing w:line="237" w:lineRule="exact"/>
              <w:ind w:left="2" w:right="2"/>
              <w:jc w:val="center"/>
              <w:rPr>
                <w:sz w:val="22"/>
              </w:rPr>
            </w:pPr>
            <w:r>
              <w:rPr>
                <w:spacing w:val="-2"/>
                <w:sz w:val="22"/>
              </w:rPr>
              <w:t>81.65</w:t>
            </w:r>
          </w:p>
        </w:tc>
        <w:tc>
          <w:tcPr>
            <w:tcW w:w="1287" w:type="dxa"/>
          </w:tcPr>
          <w:p>
            <w:pPr>
              <w:pStyle w:val="TableParagraph"/>
              <w:spacing w:line="237" w:lineRule="exact"/>
              <w:ind w:right="2"/>
              <w:jc w:val="center"/>
              <w:rPr>
                <w:sz w:val="22"/>
              </w:rPr>
            </w:pPr>
            <w:r>
              <w:rPr>
                <w:spacing w:val="-2"/>
                <w:sz w:val="22"/>
              </w:rPr>
              <w:t>84.60</w:t>
            </w:r>
          </w:p>
        </w:tc>
        <w:tc>
          <w:tcPr>
            <w:tcW w:w="1984" w:type="dxa"/>
          </w:tcPr>
          <w:p>
            <w:pPr>
              <w:pStyle w:val="TableParagraph"/>
              <w:spacing w:line="237" w:lineRule="exact"/>
              <w:ind w:left="387"/>
              <w:rPr>
                <w:sz w:val="22"/>
              </w:rPr>
            </w:pPr>
            <w:r>
              <w:rPr>
                <w:spacing w:val="-2"/>
                <w:sz w:val="22"/>
              </w:rPr>
              <w:t>69.80</w:t>
            </w:r>
          </w:p>
        </w:tc>
      </w:tr>
      <w:tr>
        <w:trPr>
          <w:trHeight w:val="261" w:hRule="atLeast"/>
        </w:trPr>
        <w:tc>
          <w:tcPr>
            <w:tcW w:w="1055" w:type="dxa"/>
          </w:tcPr>
          <w:p>
            <w:pPr>
              <w:pStyle w:val="TableParagraph"/>
              <w:spacing w:line="239" w:lineRule="exact" w:before="2"/>
              <w:ind w:left="115"/>
              <w:rPr>
                <w:sz w:val="22"/>
              </w:rPr>
            </w:pPr>
            <w:r>
              <w:rPr>
                <w:spacing w:val="-5"/>
                <w:sz w:val="22"/>
              </w:rPr>
              <w:t>250</w:t>
            </w:r>
          </w:p>
        </w:tc>
        <w:tc>
          <w:tcPr>
            <w:tcW w:w="1368" w:type="dxa"/>
          </w:tcPr>
          <w:p>
            <w:pPr>
              <w:pStyle w:val="TableParagraph"/>
              <w:spacing w:line="239" w:lineRule="exact" w:before="2"/>
              <w:ind w:left="601"/>
              <w:rPr>
                <w:sz w:val="22"/>
              </w:rPr>
            </w:pPr>
            <w:r>
              <w:rPr>
                <w:spacing w:val="-2"/>
                <w:sz w:val="22"/>
              </w:rPr>
              <w:t>10.45</w:t>
            </w:r>
          </w:p>
        </w:tc>
        <w:tc>
          <w:tcPr>
            <w:tcW w:w="1157" w:type="dxa"/>
          </w:tcPr>
          <w:p>
            <w:pPr>
              <w:pStyle w:val="TableParagraph"/>
              <w:spacing w:line="239" w:lineRule="exact" w:before="2"/>
              <w:ind w:left="260"/>
              <w:rPr>
                <w:sz w:val="22"/>
              </w:rPr>
            </w:pPr>
            <w:r>
              <w:rPr>
                <w:spacing w:val="-2"/>
                <w:sz w:val="22"/>
              </w:rPr>
              <w:t>12.25</w:t>
            </w:r>
          </w:p>
        </w:tc>
        <w:tc>
          <w:tcPr>
            <w:tcW w:w="1287" w:type="dxa"/>
          </w:tcPr>
          <w:p>
            <w:pPr>
              <w:pStyle w:val="TableParagraph"/>
              <w:spacing w:line="239" w:lineRule="exact" w:before="2"/>
              <w:ind w:left="389"/>
              <w:rPr>
                <w:sz w:val="22"/>
              </w:rPr>
            </w:pPr>
            <w:r>
              <w:rPr>
                <w:spacing w:val="-2"/>
                <w:sz w:val="22"/>
              </w:rPr>
              <w:t>21.85</w:t>
            </w:r>
          </w:p>
        </w:tc>
        <w:tc>
          <w:tcPr>
            <w:tcW w:w="1287" w:type="dxa"/>
          </w:tcPr>
          <w:p>
            <w:pPr>
              <w:pStyle w:val="TableParagraph"/>
              <w:spacing w:line="239" w:lineRule="exact" w:before="2"/>
              <w:ind w:left="2" w:right="2"/>
              <w:jc w:val="center"/>
              <w:rPr>
                <w:sz w:val="22"/>
              </w:rPr>
            </w:pPr>
            <w:r>
              <w:rPr>
                <w:spacing w:val="-2"/>
                <w:sz w:val="22"/>
              </w:rPr>
              <w:t>92.10</w:t>
            </w:r>
          </w:p>
        </w:tc>
        <w:tc>
          <w:tcPr>
            <w:tcW w:w="1287" w:type="dxa"/>
          </w:tcPr>
          <w:p>
            <w:pPr>
              <w:pStyle w:val="TableParagraph"/>
              <w:spacing w:line="239" w:lineRule="exact" w:before="2"/>
              <w:ind w:right="2"/>
              <w:jc w:val="center"/>
              <w:rPr>
                <w:sz w:val="22"/>
              </w:rPr>
            </w:pPr>
            <w:r>
              <w:rPr>
                <w:spacing w:val="-2"/>
                <w:sz w:val="22"/>
              </w:rPr>
              <w:t>96.85</w:t>
            </w:r>
          </w:p>
        </w:tc>
        <w:tc>
          <w:tcPr>
            <w:tcW w:w="1984" w:type="dxa"/>
          </w:tcPr>
          <w:p>
            <w:pPr>
              <w:pStyle w:val="TableParagraph"/>
              <w:spacing w:line="239" w:lineRule="exact" w:before="2"/>
              <w:ind w:left="387"/>
              <w:rPr>
                <w:sz w:val="22"/>
              </w:rPr>
            </w:pPr>
            <w:r>
              <w:rPr>
                <w:spacing w:val="-2"/>
                <w:sz w:val="22"/>
              </w:rPr>
              <w:t>91.65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0.75</w:t>
            </w:r>
          </w:p>
        </w:tc>
        <w:tc>
          <w:tcPr>
            <w:tcW w:w="1157" w:type="dxa"/>
          </w:tcPr>
          <w:p>
            <w:pPr>
              <w:pStyle w:val="TableParagraph"/>
              <w:spacing w:line="239" w:lineRule="exact"/>
              <w:ind w:left="260"/>
              <w:rPr>
                <w:sz w:val="22"/>
              </w:rPr>
            </w:pPr>
            <w:r>
              <w:rPr>
                <w:spacing w:val="-4"/>
                <w:sz w:val="22"/>
              </w:rPr>
              <w:t>0.85</w:t>
            </w:r>
          </w:p>
        </w:tc>
        <w:tc>
          <w:tcPr>
            <w:tcW w:w="1287" w:type="dxa"/>
          </w:tcPr>
          <w:p>
            <w:pPr>
              <w:pStyle w:val="TableParagraph"/>
              <w:spacing w:line="239" w:lineRule="exact"/>
              <w:ind w:left="389"/>
              <w:rPr>
                <w:sz w:val="22"/>
              </w:rPr>
            </w:pPr>
            <w:r>
              <w:rPr>
                <w:spacing w:val="-4"/>
                <w:sz w:val="22"/>
              </w:rPr>
              <w:t>2.25</w:t>
            </w:r>
          </w:p>
        </w:tc>
        <w:tc>
          <w:tcPr>
            <w:tcW w:w="1287" w:type="dxa"/>
          </w:tcPr>
          <w:p>
            <w:pPr>
              <w:pStyle w:val="TableParagraph"/>
              <w:spacing w:line="239" w:lineRule="exact"/>
              <w:ind w:left="2" w:right="2"/>
              <w:jc w:val="center"/>
              <w:rPr>
                <w:sz w:val="22"/>
              </w:rPr>
            </w:pPr>
            <w:r>
              <w:rPr>
                <w:spacing w:val="-2"/>
                <w:sz w:val="22"/>
              </w:rPr>
              <w:t>92.85</w:t>
            </w:r>
          </w:p>
        </w:tc>
        <w:tc>
          <w:tcPr>
            <w:tcW w:w="1287" w:type="dxa"/>
          </w:tcPr>
          <w:p>
            <w:pPr>
              <w:pStyle w:val="TableParagraph"/>
              <w:spacing w:line="239" w:lineRule="exact"/>
              <w:ind w:right="2"/>
              <w:jc w:val="center"/>
              <w:rPr>
                <w:sz w:val="22"/>
              </w:rPr>
            </w:pPr>
            <w:r>
              <w:rPr>
                <w:spacing w:val="-2"/>
                <w:sz w:val="22"/>
              </w:rPr>
              <w:t>97.70</w:t>
            </w:r>
          </w:p>
        </w:tc>
        <w:tc>
          <w:tcPr>
            <w:tcW w:w="1984" w:type="dxa"/>
          </w:tcPr>
          <w:p>
            <w:pPr>
              <w:pStyle w:val="TableParagraph"/>
              <w:spacing w:line="239" w:lineRule="exact"/>
              <w:ind w:left="387"/>
              <w:rPr>
                <w:sz w:val="22"/>
              </w:rPr>
            </w:pPr>
            <w:r>
              <w:rPr>
                <w:spacing w:val="-2"/>
                <w:sz w:val="22"/>
              </w:rPr>
              <w:t>93.90</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2.75</w:t>
            </w:r>
          </w:p>
        </w:tc>
        <w:tc>
          <w:tcPr>
            <w:tcW w:w="1157" w:type="dxa"/>
          </w:tcPr>
          <w:p>
            <w:pPr>
              <w:pStyle w:val="TableParagraph"/>
              <w:spacing w:line="239" w:lineRule="exact"/>
              <w:ind w:left="260"/>
              <w:rPr>
                <w:sz w:val="22"/>
              </w:rPr>
            </w:pPr>
            <w:r>
              <w:rPr>
                <w:spacing w:val="-4"/>
                <w:sz w:val="22"/>
              </w:rPr>
              <w:t>0.15</w:t>
            </w:r>
          </w:p>
        </w:tc>
        <w:tc>
          <w:tcPr>
            <w:tcW w:w="1287" w:type="dxa"/>
          </w:tcPr>
          <w:p>
            <w:pPr>
              <w:pStyle w:val="TableParagraph"/>
              <w:spacing w:line="239" w:lineRule="exact"/>
              <w:ind w:left="389"/>
              <w:rPr>
                <w:sz w:val="22"/>
              </w:rPr>
            </w:pPr>
            <w:r>
              <w:rPr>
                <w:spacing w:val="-4"/>
                <w:sz w:val="22"/>
              </w:rPr>
              <w:t>1.75</w:t>
            </w:r>
          </w:p>
        </w:tc>
        <w:tc>
          <w:tcPr>
            <w:tcW w:w="1287" w:type="dxa"/>
          </w:tcPr>
          <w:p>
            <w:pPr>
              <w:pStyle w:val="TableParagraph"/>
              <w:spacing w:line="239" w:lineRule="exact"/>
              <w:ind w:left="2" w:right="2"/>
              <w:jc w:val="center"/>
              <w:rPr>
                <w:sz w:val="22"/>
              </w:rPr>
            </w:pPr>
            <w:r>
              <w:rPr>
                <w:spacing w:val="-2"/>
                <w:sz w:val="22"/>
              </w:rPr>
              <w:t>95.60</w:t>
            </w:r>
          </w:p>
        </w:tc>
        <w:tc>
          <w:tcPr>
            <w:tcW w:w="1287" w:type="dxa"/>
          </w:tcPr>
          <w:p>
            <w:pPr>
              <w:pStyle w:val="TableParagraph"/>
              <w:spacing w:line="239" w:lineRule="exact"/>
              <w:ind w:right="2"/>
              <w:jc w:val="center"/>
              <w:rPr>
                <w:sz w:val="22"/>
              </w:rPr>
            </w:pPr>
            <w:r>
              <w:rPr>
                <w:spacing w:val="-2"/>
                <w:sz w:val="22"/>
              </w:rPr>
              <w:t>97.85</w:t>
            </w:r>
          </w:p>
        </w:tc>
        <w:tc>
          <w:tcPr>
            <w:tcW w:w="1984" w:type="dxa"/>
          </w:tcPr>
          <w:p>
            <w:pPr>
              <w:pStyle w:val="TableParagraph"/>
              <w:spacing w:line="239" w:lineRule="exact"/>
              <w:ind w:left="387"/>
              <w:rPr>
                <w:sz w:val="22"/>
              </w:rPr>
            </w:pPr>
            <w:r>
              <w:rPr>
                <w:spacing w:val="-2"/>
                <w:sz w:val="22"/>
              </w:rPr>
              <w:t>95.65</w:t>
            </w:r>
          </w:p>
        </w:tc>
      </w:tr>
      <w:tr>
        <w:trPr>
          <w:trHeight w:val="259" w:hRule="atLeast"/>
        </w:trPr>
        <w:tc>
          <w:tcPr>
            <w:tcW w:w="1055" w:type="dxa"/>
          </w:tcPr>
          <w:p>
            <w:pPr>
              <w:pStyle w:val="TableParagraph"/>
              <w:spacing w:line="239" w:lineRule="exact"/>
              <w:ind w:left="115"/>
              <w:rPr>
                <w:sz w:val="22"/>
              </w:rPr>
            </w:pPr>
            <w:r>
              <w:rPr>
                <w:spacing w:val="-5"/>
                <w:sz w:val="22"/>
              </w:rPr>
              <w:t>75</w:t>
            </w:r>
          </w:p>
        </w:tc>
        <w:tc>
          <w:tcPr>
            <w:tcW w:w="1368" w:type="dxa"/>
          </w:tcPr>
          <w:p>
            <w:pPr>
              <w:pStyle w:val="TableParagraph"/>
              <w:spacing w:line="239" w:lineRule="exact"/>
              <w:ind w:left="601"/>
              <w:rPr>
                <w:sz w:val="22"/>
              </w:rPr>
            </w:pPr>
            <w:r>
              <w:rPr>
                <w:spacing w:val="-4"/>
                <w:sz w:val="22"/>
              </w:rPr>
              <w:t>2.55</w:t>
            </w:r>
          </w:p>
        </w:tc>
        <w:tc>
          <w:tcPr>
            <w:tcW w:w="1157" w:type="dxa"/>
          </w:tcPr>
          <w:p>
            <w:pPr>
              <w:pStyle w:val="TableParagraph"/>
              <w:spacing w:line="239" w:lineRule="exact"/>
              <w:ind w:left="260"/>
              <w:rPr>
                <w:sz w:val="22"/>
              </w:rPr>
            </w:pPr>
            <w:r>
              <w:rPr>
                <w:spacing w:val="-4"/>
                <w:sz w:val="22"/>
              </w:rPr>
              <w:t>0.85</w:t>
            </w:r>
          </w:p>
        </w:tc>
        <w:tc>
          <w:tcPr>
            <w:tcW w:w="1287" w:type="dxa"/>
          </w:tcPr>
          <w:p>
            <w:pPr>
              <w:pStyle w:val="TableParagraph"/>
              <w:spacing w:line="239" w:lineRule="exact"/>
              <w:ind w:left="389"/>
              <w:rPr>
                <w:sz w:val="22"/>
              </w:rPr>
            </w:pPr>
            <w:r>
              <w:rPr>
                <w:spacing w:val="-4"/>
                <w:sz w:val="22"/>
              </w:rPr>
              <w:t>0.95</w:t>
            </w:r>
          </w:p>
        </w:tc>
        <w:tc>
          <w:tcPr>
            <w:tcW w:w="1287" w:type="dxa"/>
          </w:tcPr>
          <w:p>
            <w:pPr>
              <w:pStyle w:val="TableParagraph"/>
              <w:spacing w:line="239" w:lineRule="exact"/>
              <w:ind w:left="2" w:right="2"/>
              <w:jc w:val="center"/>
              <w:rPr>
                <w:sz w:val="22"/>
              </w:rPr>
            </w:pPr>
            <w:r>
              <w:rPr>
                <w:spacing w:val="-2"/>
                <w:sz w:val="22"/>
              </w:rPr>
              <w:t>98.15</w:t>
            </w:r>
          </w:p>
        </w:tc>
        <w:tc>
          <w:tcPr>
            <w:tcW w:w="1287" w:type="dxa"/>
          </w:tcPr>
          <w:p>
            <w:pPr>
              <w:pStyle w:val="TableParagraph"/>
              <w:spacing w:line="239" w:lineRule="exact"/>
              <w:ind w:right="2"/>
              <w:jc w:val="center"/>
              <w:rPr>
                <w:sz w:val="22"/>
              </w:rPr>
            </w:pPr>
            <w:r>
              <w:rPr>
                <w:spacing w:val="-2"/>
                <w:sz w:val="22"/>
              </w:rPr>
              <w:t>98.70</w:t>
            </w:r>
          </w:p>
        </w:tc>
        <w:tc>
          <w:tcPr>
            <w:tcW w:w="1984" w:type="dxa"/>
          </w:tcPr>
          <w:p>
            <w:pPr>
              <w:pStyle w:val="TableParagraph"/>
              <w:spacing w:line="239" w:lineRule="exact"/>
              <w:ind w:left="387"/>
              <w:rPr>
                <w:sz w:val="22"/>
              </w:rPr>
            </w:pPr>
            <w:r>
              <w:rPr>
                <w:spacing w:val="-2"/>
                <w:sz w:val="22"/>
              </w:rPr>
              <w:t>96.60</w:t>
            </w:r>
          </w:p>
        </w:tc>
      </w:tr>
      <w:tr>
        <w:trPr>
          <w:trHeight w:val="253" w:hRule="atLeast"/>
        </w:trPr>
        <w:tc>
          <w:tcPr>
            <w:tcW w:w="1055" w:type="dxa"/>
            <w:tcBorders>
              <w:bottom w:val="single" w:sz="4" w:space="0" w:color="000000"/>
            </w:tcBorders>
          </w:tcPr>
          <w:p>
            <w:pPr>
              <w:pStyle w:val="TableParagraph"/>
              <w:spacing w:line="233" w:lineRule="exact"/>
              <w:ind w:left="115"/>
              <w:rPr>
                <w:sz w:val="22"/>
              </w:rPr>
            </w:pPr>
            <w:r>
              <w:rPr>
                <w:spacing w:val="-5"/>
                <w:sz w:val="22"/>
              </w:rPr>
              <w:t>Pan</w:t>
            </w:r>
          </w:p>
        </w:tc>
        <w:tc>
          <w:tcPr>
            <w:tcW w:w="1368" w:type="dxa"/>
            <w:tcBorders>
              <w:bottom w:val="single" w:sz="4" w:space="0" w:color="000000"/>
            </w:tcBorders>
          </w:tcPr>
          <w:p>
            <w:pPr>
              <w:pStyle w:val="TableParagraph"/>
              <w:spacing w:line="233" w:lineRule="exact"/>
              <w:ind w:left="601"/>
              <w:rPr>
                <w:sz w:val="22"/>
              </w:rPr>
            </w:pPr>
            <w:r>
              <w:rPr>
                <w:spacing w:val="-4"/>
                <w:sz w:val="22"/>
              </w:rPr>
              <w:t>0.40</w:t>
            </w:r>
          </w:p>
        </w:tc>
        <w:tc>
          <w:tcPr>
            <w:tcW w:w="1157" w:type="dxa"/>
            <w:tcBorders>
              <w:bottom w:val="single" w:sz="4" w:space="0" w:color="000000"/>
            </w:tcBorders>
          </w:tcPr>
          <w:p>
            <w:pPr>
              <w:pStyle w:val="TableParagraph"/>
              <w:spacing w:line="233" w:lineRule="exact"/>
              <w:ind w:left="260"/>
              <w:rPr>
                <w:sz w:val="22"/>
              </w:rPr>
            </w:pPr>
            <w:r>
              <w:rPr>
                <w:spacing w:val="-4"/>
                <w:sz w:val="22"/>
              </w:rPr>
              <w:t>0.10</w:t>
            </w:r>
          </w:p>
        </w:tc>
        <w:tc>
          <w:tcPr>
            <w:tcW w:w="1287" w:type="dxa"/>
            <w:tcBorders>
              <w:bottom w:val="single" w:sz="4" w:space="0" w:color="000000"/>
            </w:tcBorders>
          </w:tcPr>
          <w:p>
            <w:pPr>
              <w:pStyle w:val="TableParagraph"/>
              <w:spacing w:line="233" w:lineRule="exact"/>
              <w:ind w:left="389"/>
              <w:rPr>
                <w:sz w:val="22"/>
              </w:rPr>
            </w:pPr>
            <w:r>
              <w:rPr>
                <w:spacing w:val="-4"/>
                <w:sz w:val="22"/>
              </w:rPr>
              <w:t>0.30</w:t>
            </w:r>
          </w:p>
        </w:tc>
        <w:tc>
          <w:tcPr>
            <w:tcW w:w="1287" w:type="dxa"/>
            <w:tcBorders>
              <w:bottom w:val="single" w:sz="4" w:space="0" w:color="000000"/>
            </w:tcBorders>
          </w:tcPr>
          <w:p>
            <w:pPr>
              <w:pStyle w:val="TableParagraph"/>
              <w:spacing w:line="233" w:lineRule="exact"/>
              <w:ind w:left="2" w:right="2"/>
              <w:jc w:val="center"/>
              <w:rPr>
                <w:sz w:val="22"/>
              </w:rPr>
            </w:pPr>
            <w:r>
              <w:rPr>
                <w:spacing w:val="-2"/>
                <w:sz w:val="22"/>
              </w:rPr>
              <w:t>98.55</w:t>
            </w:r>
          </w:p>
        </w:tc>
        <w:tc>
          <w:tcPr>
            <w:tcW w:w="1287" w:type="dxa"/>
            <w:tcBorders>
              <w:bottom w:val="single" w:sz="4" w:space="0" w:color="000000"/>
            </w:tcBorders>
          </w:tcPr>
          <w:p>
            <w:pPr>
              <w:pStyle w:val="TableParagraph"/>
              <w:spacing w:line="233" w:lineRule="exact"/>
              <w:ind w:right="2"/>
              <w:jc w:val="center"/>
              <w:rPr>
                <w:sz w:val="22"/>
              </w:rPr>
            </w:pPr>
            <w:r>
              <w:rPr>
                <w:spacing w:val="-2"/>
                <w:sz w:val="22"/>
              </w:rPr>
              <w:t>98.80</w:t>
            </w:r>
          </w:p>
        </w:tc>
        <w:tc>
          <w:tcPr>
            <w:tcW w:w="1984" w:type="dxa"/>
            <w:tcBorders>
              <w:bottom w:val="single" w:sz="4" w:space="0" w:color="000000"/>
            </w:tcBorders>
          </w:tcPr>
          <w:p>
            <w:pPr>
              <w:pStyle w:val="TableParagraph"/>
              <w:spacing w:line="233" w:lineRule="exact"/>
              <w:ind w:left="387"/>
              <w:rPr>
                <w:sz w:val="22"/>
              </w:rPr>
            </w:pPr>
            <w:r>
              <w:rPr>
                <w:spacing w:val="-2"/>
                <w:sz w:val="22"/>
              </w:rPr>
              <w:t>96.90</w:t>
            </w:r>
          </w:p>
        </w:tc>
      </w:tr>
    </w:tbl>
    <w:p>
      <w:pPr>
        <w:spacing w:after="0" w:line="233" w:lineRule="exact"/>
        <w:rPr>
          <w:sz w:val="22"/>
        </w:rPr>
        <w:sectPr>
          <w:type w:val="continuous"/>
          <w:pgSz w:w="12240" w:h="15840"/>
          <w:pgMar w:header="0" w:footer="999" w:top="1780" w:bottom="1180" w:left="1720" w:right="760"/>
        </w:sectPr>
      </w:pPr>
    </w:p>
    <w:p>
      <w:pPr>
        <w:pStyle w:val="ListParagraph"/>
        <w:numPr>
          <w:ilvl w:val="1"/>
          <w:numId w:val="38"/>
        </w:numPr>
        <w:tabs>
          <w:tab w:pos="1342" w:val="left" w:leader="none"/>
        </w:tabs>
        <w:spacing w:line="240" w:lineRule="auto" w:before="80" w:after="0"/>
        <w:ind w:left="1342" w:right="0" w:hanging="677"/>
        <w:jc w:val="left"/>
        <w:rPr>
          <w:b/>
          <w:sz w:val="22"/>
        </w:rPr>
      </w:pPr>
      <w:r>
        <w:rPr>
          <w:b/>
          <w:sz w:val="22"/>
        </w:rPr>
        <w:t>Size</w:t>
      </w:r>
      <w:r>
        <w:rPr>
          <w:b/>
          <w:spacing w:val="16"/>
          <w:sz w:val="22"/>
        </w:rPr>
        <w:t> </w:t>
      </w:r>
      <w:r>
        <w:rPr>
          <w:b/>
          <w:sz w:val="22"/>
        </w:rPr>
        <w:t>Distribution</w:t>
      </w:r>
      <w:r>
        <w:rPr>
          <w:b/>
          <w:spacing w:val="9"/>
          <w:sz w:val="22"/>
        </w:rPr>
        <w:t> </w:t>
      </w:r>
      <w:r>
        <w:rPr>
          <w:b/>
          <w:sz w:val="22"/>
        </w:rPr>
        <w:t>of</w:t>
      </w:r>
      <w:r>
        <w:rPr>
          <w:b/>
          <w:spacing w:val="18"/>
          <w:sz w:val="22"/>
        </w:rPr>
        <w:t> </w:t>
      </w:r>
      <w:r>
        <w:rPr>
          <w:b/>
          <w:sz w:val="22"/>
        </w:rPr>
        <w:t>Metronidazole</w:t>
      </w:r>
      <w:r>
        <w:rPr>
          <w:b/>
          <w:spacing w:val="17"/>
          <w:sz w:val="22"/>
        </w:rPr>
        <w:t> </w:t>
      </w:r>
      <w:r>
        <w:rPr>
          <w:b/>
          <w:sz w:val="22"/>
        </w:rPr>
        <w:t>Granules</w:t>
      </w:r>
      <w:r>
        <w:rPr>
          <w:b/>
          <w:spacing w:val="14"/>
          <w:sz w:val="22"/>
        </w:rPr>
        <w:t> </w:t>
      </w:r>
      <w:r>
        <w:rPr>
          <w:b/>
          <w:sz w:val="22"/>
        </w:rPr>
        <w:t>Starch</w:t>
      </w:r>
      <w:r>
        <w:rPr>
          <w:b/>
          <w:spacing w:val="10"/>
          <w:sz w:val="22"/>
        </w:rPr>
        <w:t> </w:t>
      </w:r>
      <w:r>
        <w:rPr>
          <w:b/>
          <w:sz w:val="22"/>
        </w:rPr>
        <w:t>as</w:t>
      </w:r>
      <w:r>
        <w:rPr>
          <w:b/>
          <w:spacing w:val="14"/>
          <w:sz w:val="22"/>
        </w:rPr>
        <w:t> </w:t>
      </w:r>
      <w:r>
        <w:rPr>
          <w:b/>
          <w:spacing w:val="-2"/>
          <w:sz w:val="22"/>
        </w:rPr>
        <w:t>Disintegrant</w:t>
      </w:r>
    </w:p>
    <w:p>
      <w:pPr>
        <w:pStyle w:val="BodyText"/>
        <w:spacing w:before="25"/>
        <w:rPr>
          <w:b/>
          <w:sz w:val="20"/>
        </w:rPr>
      </w:pPr>
    </w:p>
    <w:p>
      <w:pPr>
        <w:pStyle w:val="BodyText"/>
        <w:spacing w:line="20" w:lineRule="exact"/>
        <w:ind w:left="243"/>
        <w:rPr>
          <w:sz w:val="2"/>
        </w:rPr>
      </w:pPr>
      <w:r>
        <w:rPr>
          <w:sz w:val="2"/>
        </w:rPr>
        <mc:AlternateContent>
          <mc:Choice Requires="wps">
            <w:drawing>
              <wp:inline distT="0" distB="0" distL="0" distR="0">
                <wp:extent cx="5974080" cy="6350"/>
                <wp:effectExtent l="0" t="0" r="0" b="0"/>
                <wp:docPr id="105" name="Group 105"/>
                <wp:cNvGraphicFramePr>
                  <a:graphicFrameLocks/>
                </wp:cNvGraphicFramePr>
                <a:graphic>
                  <a:graphicData uri="http://schemas.microsoft.com/office/word/2010/wordprocessingGroup">
                    <wpg:wgp>
                      <wpg:cNvPr id="105" name="Group 105"/>
                      <wpg:cNvGrpSpPr/>
                      <wpg:grpSpPr>
                        <a:xfrm>
                          <a:off x="0" y="0"/>
                          <a:ext cx="5974080" cy="6350"/>
                          <a:chExt cx="5974080" cy="6350"/>
                        </a:xfrm>
                      </wpg:grpSpPr>
                      <wps:wsp>
                        <wps:cNvPr id="106" name="Graphic 106"/>
                        <wps:cNvSpPr/>
                        <wps:spPr>
                          <a:xfrm>
                            <a:off x="0" y="0"/>
                            <a:ext cx="5974080" cy="6350"/>
                          </a:xfrm>
                          <a:custGeom>
                            <a:avLst/>
                            <a:gdLst/>
                            <a:ahLst/>
                            <a:cxnLst/>
                            <a:rect l="l" t="t" r="r" b="b"/>
                            <a:pathLst>
                              <a:path w="5974080" h="6350">
                                <a:moveTo>
                                  <a:pt x="984491" y="0"/>
                                </a:moveTo>
                                <a:lnTo>
                                  <a:pt x="978408" y="0"/>
                                </a:lnTo>
                                <a:lnTo>
                                  <a:pt x="0" y="0"/>
                                </a:lnTo>
                                <a:lnTo>
                                  <a:pt x="0" y="6096"/>
                                </a:lnTo>
                                <a:lnTo>
                                  <a:pt x="978408" y="6096"/>
                                </a:lnTo>
                                <a:lnTo>
                                  <a:pt x="984491" y="6096"/>
                                </a:lnTo>
                                <a:lnTo>
                                  <a:pt x="984491" y="0"/>
                                </a:lnTo>
                                <a:close/>
                              </a:path>
                              <a:path w="5974080" h="6350">
                                <a:moveTo>
                                  <a:pt x="5974080" y="0"/>
                                </a:moveTo>
                                <a:lnTo>
                                  <a:pt x="3270504" y="0"/>
                                </a:lnTo>
                                <a:lnTo>
                                  <a:pt x="3264408" y="0"/>
                                </a:lnTo>
                                <a:lnTo>
                                  <a:pt x="984504" y="0"/>
                                </a:lnTo>
                                <a:lnTo>
                                  <a:pt x="984504" y="6096"/>
                                </a:lnTo>
                                <a:lnTo>
                                  <a:pt x="3264408" y="6096"/>
                                </a:lnTo>
                                <a:lnTo>
                                  <a:pt x="3270504" y="6096"/>
                                </a:lnTo>
                                <a:lnTo>
                                  <a:pt x="5974080" y="6096"/>
                                </a:lnTo>
                                <a:lnTo>
                                  <a:pt x="5974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0.4pt;height:.5pt;mso-position-horizontal-relative:char;mso-position-vertical-relative:line" id="docshapegroup93" coordorigin="0,0" coordsize="9408,10">
                <v:shape style="position:absolute;left:0;top:0;width:9408;height:10" id="docshape94" coordorigin="0,0" coordsize="9408,10" path="m1550,0l1541,0,0,0,0,10,1541,10,1550,10,1550,0xm9408,0l5150,0,5141,0,1550,0,1550,10,5141,10,5150,10,9408,10,940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260" w:bottom="1180" w:left="1720" w:right="760"/>
        </w:sectPr>
      </w:pPr>
    </w:p>
    <w:p>
      <w:pPr>
        <w:spacing w:line="247" w:lineRule="auto" w:before="0"/>
        <w:ind w:left="344" w:right="38" w:firstLine="0"/>
        <w:jc w:val="left"/>
        <w:rPr>
          <w:b/>
          <w:sz w:val="22"/>
        </w:rPr>
      </w:pPr>
      <w:r>
        <w:rPr>
          <w:b/>
          <w:spacing w:val="-2"/>
          <w:sz w:val="22"/>
        </w:rPr>
        <w:t>Sieve</w:t>
      </w:r>
      <w:r>
        <w:rPr>
          <w:b/>
          <w:spacing w:val="40"/>
          <w:sz w:val="22"/>
        </w:rPr>
        <w:t> </w:t>
      </w:r>
      <w:r>
        <w:rPr>
          <w:b/>
          <w:sz w:val="22"/>
        </w:rPr>
        <w:t>Size</w:t>
      </w:r>
      <w:r>
        <w:rPr>
          <w:b/>
          <w:spacing w:val="-14"/>
          <w:sz w:val="22"/>
        </w:rPr>
        <w:t> </w:t>
      </w:r>
      <w:r>
        <w:rPr>
          <w:b/>
          <w:sz w:val="22"/>
        </w:rPr>
        <w:t>(</w:t>
      </w:r>
      <w:r>
        <w:rPr>
          <w:rFonts w:ascii="Calibri" w:hAnsi="Calibri"/>
          <w:b/>
          <w:sz w:val="22"/>
        </w:rPr>
        <w:t>µ</w:t>
      </w:r>
      <w:r>
        <w:rPr>
          <w:b/>
          <w:sz w:val="22"/>
        </w:rPr>
        <w:t>m)</w:t>
      </w:r>
    </w:p>
    <w:p>
      <w:pPr>
        <w:tabs>
          <w:tab w:pos="1371" w:val="left" w:leader="none"/>
          <w:tab w:pos="2657" w:val="left" w:leader="none"/>
          <w:tab w:pos="3943" w:val="left" w:leader="none"/>
          <w:tab w:pos="4116" w:val="left" w:leader="none"/>
          <w:tab w:pos="5230" w:val="left" w:leader="none"/>
          <w:tab w:pos="6516" w:val="left" w:leader="none"/>
        </w:tabs>
        <w:spacing w:line="249" w:lineRule="auto" w:before="0"/>
        <w:ind w:left="343" w:right="1200" w:firstLine="619"/>
        <w:jc w:val="left"/>
        <w:rPr>
          <w:b/>
          <w:sz w:val="22"/>
        </w:rPr>
      </w:pPr>
      <w:r>
        <w:rPr/>
        <w:br w:type="column"/>
      </w:r>
      <w:r>
        <w:rPr>
          <w:b/>
          <w:sz w:val="22"/>
        </w:rPr>
        <w:t>% Frequency</w:t>
        <w:tab/>
        <w:tab/>
        <w:tab/>
        <w:t>Cumulative Frequency (%)</w:t>
      </w:r>
      <w:r>
        <w:rPr>
          <w:b/>
          <w:spacing w:val="80"/>
          <w:sz w:val="22"/>
        </w:rPr>
        <w:t> </w:t>
      </w:r>
      <w:r>
        <w:rPr>
          <w:b/>
          <w:spacing w:val="-6"/>
          <w:sz w:val="22"/>
        </w:rPr>
        <w:t>DS</w:t>
      </w:r>
      <w:r>
        <w:rPr>
          <w:b/>
          <w:sz w:val="22"/>
        </w:rPr>
        <w:tab/>
      </w:r>
      <w:r>
        <w:rPr>
          <w:b/>
          <w:spacing w:val="-6"/>
          <w:sz w:val="22"/>
        </w:rPr>
        <w:t>MS</w:t>
      </w:r>
      <w:r>
        <w:rPr>
          <w:b/>
          <w:sz w:val="22"/>
        </w:rPr>
        <w:tab/>
      </w:r>
      <w:r>
        <w:rPr>
          <w:b/>
          <w:spacing w:val="-4"/>
          <w:sz w:val="22"/>
        </w:rPr>
        <w:t>MCS</w:t>
      </w:r>
      <w:r>
        <w:rPr>
          <w:b/>
          <w:sz w:val="22"/>
        </w:rPr>
        <w:tab/>
      </w:r>
      <w:r>
        <w:rPr>
          <w:b/>
          <w:spacing w:val="-6"/>
          <w:sz w:val="22"/>
        </w:rPr>
        <w:t>NS</w:t>
      </w:r>
      <w:r>
        <w:rPr>
          <w:b/>
          <w:sz w:val="22"/>
        </w:rPr>
        <w:tab/>
      </w:r>
      <w:r>
        <w:rPr>
          <w:b/>
          <w:spacing w:val="-6"/>
          <w:sz w:val="22"/>
        </w:rPr>
        <w:t>MS</w:t>
      </w:r>
      <w:r>
        <w:rPr>
          <w:b/>
          <w:sz w:val="22"/>
        </w:rPr>
        <w:tab/>
      </w:r>
      <w:r>
        <w:rPr>
          <w:b/>
          <w:spacing w:val="-4"/>
          <w:sz w:val="22"/>
        </w:rPr>
        <w:t>MCS</w:t>
      </w:r>
    </w:p>
    <w:p>
      <w:pPr>
        <w:spacing w:after="0" w:line="249" w:lineRule="auto"/>
        <w:jc w:val="left"/>
        <w:rPr>
          <w:sz w:val="22"/>
        </w:rPr>
        <w:sectPr>
          <w:type w:val="continuous"/>
          <w:pgSz w:w="12240" w:h="15840"/>
          <w:pgMar w:header="0" w:footer="999" w:top="1780" w:bottom="1180" w:left="1720" w:right="760"/>
          <w:cols w:num="2" w:equalWidth="0">
            <w:col w:w="1290" w:space="251"/>
            <w:col w:w="8219"/>
          </w:cols>
        </w:sectPr>
      </w:pPr>
    </w:p>
    <w:p>
      <w:pPr>
        <w:pStyle w:val="BodyText"/>
        <w:spacing w:line="20" w:lineRule="exact"/>
        <w:ind w:left="243"/>
        <w:rPr>
          <w:sz w:val="2"/>
        </w:rPr>
      </w:pPr>
      <w:r>
        <w:rPr>
          <w:sz w:val="2"/>
        </w:rPr>
        <mc:AlternateContent>
          <mc:Choice Requires="wps">
            <w:drawing>
              <wp:inline distT="0" distB="0" distL="0" distR="0">
                <wp:extent cx="5974080" cy="6350"/>
                <wp:effectExtent l="0" t="0" r="0" b="0"/>
                <wp:docPr id="107" name="Group 107"/>
                <wp:cNvGraphicFramePr>
                  <a:graphicFrameLocks/>
                </wp:cNvGraphicFramePr>
                <a:graphic>
                  <a:graphicData uri="http://schemas.microsoft.com/office/word/2010/wordprocessingGroup">
                    <wpg:wgp>
                      <wpg:cNvPr id="107" name="Group 107"/>
                      <wpg:cNvGrpSpPr/>
                      <wpg:grpSpPr>
                        <a:xfrm>
                          <a:off x="0" y="0"/>
                          <a:ext cx="5974080" cy="6350"/>
                          <a:chExt cx="5974080" cy="6350"/>
                        </a:xfrm>
                      </wpg:grpSpPr>
                      <wps:wsp>
                        <wps:cNvPr id="108" name="Graphic 108"/>
                        <wps:cNvSpPr/>
                        <wps:spPr>
                          <a:xfrm>
                            <a:off x="0" y="0"/>
                            <a:ext cx="5974080" cy="6350"/>
                          </a:xfrm>
                          <a:custGeom>
                            <a:avLst/>
                            <a:gdLst/>
                            <a:ahLst/>
                            <a:cxnLst/>
                            <a:rect l="l" t="t" r="r" b="b"/>
                            <a:pathLst>
                              <a:path w="5974080" h="6350">
                                <a:moveTo>
                                  <a:pt x="984491" y="0"/>
                                </a:moveTo>
                                <a:lnTo>
                                  <a:pt x="978408" y="0"/>
                                </a:lnTo>
                                <a:lnTo>
                                  <a:pt x="0" y="0"/>
                                </a:lnTo>
                                <a:lnTo>
                                  <a:pt x="0" y="6096"/>
                                </a:lnTo>
                                <a:lnTo>
                                  <a:pt x="978408" y="6096"/>
                                </a:lnTo>
                                <a:lnTo>
                                  <a:pt x="984491" y="6096"/>
                                </a:lnTo>
                                <a:lnTo>
                                  <a:pt x="984491" y="0"/>
                                </a:lnTo>
                                <a:close/>
                              </a:path>
                              <a:path w="5974080" h="6350">
                                <a:moveTo>
                                  <a:pt x="5974080" y="0"/>
                                </a:moveTo>
                                <a:lnTo>
                                  <a:pt x="5974080" y="0"/>
                                </a:lnTo>
                                <a:lnTo>
                                  <a:pt x="984504" y="0"/>
                                </a:lnTo>
                                <a:lnTo>
                                  <a:pt x="984504" y="6096"/>
                                </a:lnTo>
                                <a:lnTo>
                                  <a:pt x="5974080" y="6096"/>
                                </a:lnTo>
                                <a:lnTo>
                                  <a:pt x="5974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0.4pt;height:.5pt;mso-position-horizontal-relative:char;mso-position-vertical-relative:line" id="docshapegroup95" coordorigin="0,0" coordsize="9408,10">
                <v:shape style="position:absolute;left:0;top:0;width:9408;height:10" id="docshape96" coordorigin="0,0" coordsize="9408,10" path="m1550,0l1541,0,0,0,0,10,1541,10,1550,10,1550,0xm9408,0l7723,0,7714,0,6437,0,6427,0,5150,0,5141,0,3864,0,3854,0,2578,0,2573,0,1550,0,1550,10,2573,10,2578,10,3854,10,3864,10,5141,10,5150,10,6427,10,6437,10,7714,10,7723,10,9408,10,9408,0xe" filled="true" fillcolor="#000000" stroked="false">
                  <v:path arrowok="t"/>
                  <v:fill type="solid"/>
                </v:shape>
              </v:group>
            </w:pict>
          </mc:Fallback>
        </mc:AlternateContent>
      </w:r>
      <w:r>
        <w:rPr>
          <w:sz w:val="2"/>
        </w:rPr>
      </w:r>
    </w:p>
    <w:tbl>
      <w:tblPr>
        <w:tblW w:w="0" w:type="auto"/>
        <w:jc w:val="left"/>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5"/>
        <w:gridCol w:w="1368"/>
        <w:gridCol w:w="1157"/>
        <w:gridCol w:w="1287"/>
        <w:gridCol w:w="1287"/>
        <w:gridCol w:w="1287"/>
        <w:gridCol w:w="1984"/>
      </w:tblGrid>
      <w:tr>
        <w:trPr>
          <w:trHeight w:val="259" w:hRule="atLeast"/>
        </w:trPr>
        <w:tc>
          <w:tcPr>
            <w:tcW w:w="9425" w:type="dxa"/>
            <w:gridSpan w:val="7"/>
          </w:tcPr>
          <w:p>
            <w:pPr>
              <w:pStyle w:val="TableParagraph"/>
              <w:spacing w:line="239" w:lineRule="exact"/>
              <w:ind w:left="393"/>
              <w:rPr>
                <w:b/>
                <w:sz w:val="22"/>
              </w:rPr>
            </w:pPr>
            <w:r>
              <w:rPr>
                <w:b/>
                <w:sz w:val="22"/>
                <w:u w:val="single"/>
              </w:rPr>
              <w:t>2.5 %</w:t>
            </w:r>
            <w:r>
              <w:rPr>
                <w:b/>
                <w:spacing w:val="14"/>
                <w:sz w:val="22"/>
                <w:u w:val="single"/>
              </w:rPr>
              <w:t> </w:t>
            </w:r>
            <w:r>
              <w:rPr>
                <w:b/>
                <w:spacing w:val="-5"/>
                <w:sz w:val="22"/>
                <w:u w:val="single"/>
              </w:rPr>
              <w:t>w/w</w:t>
            </w:r>
          </w:p>
        </w:tc>
      </w:tr>
      <w:tr>
        <w:trPr>
          <w:trHeight w:val="252" w:hRule="atLeast"/>
        </w:trPr>
        <w:tc>
          <w:tcPr>
            <w:tcW w:w="1055" w:type="dxa"/>
          </w:tcPr>
          <w:p>
            <w:pPr>
              <w:pStyle w:val="TableParagraph"/>
              <w:spacing w:line="232" w:lineRule="exact"/>
              <w:ind w:left="115"/>
              <w:rPr>
                <w:sz w:val="22"/>
              </w:rPr>
            </w:pPr>
            <w:r>
              <w:rPr>
                <w:spacing w:val="-5"/>
                <w:sz w:val="22"/>
              </w:rPr>
              <w:t>500</w:t>
            </w:r>
          </w:p>
        </w:tc>
        <w:tc>
          <w:tcPr>
            <w:tcW w:w="1368" w:type="dxa"/>
          </w:tcPr>
          <w:p>
            <w:pPr>
              <w:pStyle w:val="TableParagraph"/>
              <w:spacing w:line="232" w:lineRule="exact"/>
              <w:ind w:left="601"/>
              <w:rPr>
                <w:sz w:val="22"/>
              </w:rPr>
            </w:pPr>
            <w:r>
              <w:rPr>
                <w:spacing w:val="-2"/>
                <w:sz w:val="22"/>
              </w:rPr>
              <w:t>72.15</w:t>
            </w:r>
          </w:p>
        </w:tc>
        <w:tc>
          <w:tcPr>
            <w:tcW w:w="1157" w:type="dxa"/>
          </w:tcPr>
          <w:p>
            <w:pPr>
              <w:pStyle w:val="TableParagraph"/>
              <w:spacing w:line="232" w:lineRule="exact"/>
              <w:ind w:left="260"/>
              <w:rPr>
                <w:sz w:val="22"/>
              </w:rPr>
            </w:pPr>
            <w:r>
              <w:rPr>
                <w:spacing w:val="-2"/>
                <w:sz w:val="22"/>
              </w:rPr>
              <w:t>70.85</w:t>
            </w:r>
          </w:p>
        </w:tc>
        <w:tc>
          <w:tcPr>
            <w:tcW w:w="1287" w:type="dxa"/>
          </w:tcPr>
          <w:p>
            <w:pPr>
              <w:pStyle w:val="TableParagraph"/>
              <w:spacing w:line="232" w:lineRule="exact"/>
              <w:ind w:left="389"/>
              <w:rPr>
                <w:sz w:val="22"/>
              </w:rPr>
            </w:pPr>
            <w:r>
              <w:rPr>
                <w:spacing w:val="-2"/>
                <w:sz w:val="22"/>
              </w:rPr>
              <w:t>75.80</w:t>
            </w:r>
          </w:p>
        </w:tc>
        <w:tc>
          <w:tcPr>
            <w:tcW w:w="1287" w:type="dxa"/>
          </w:tcPr>
          <w:p>
            <w:pPr>
              <w:pStyle w:val="TableParagraph"/>
              <w:spacing w:line="232" w:lineRule="exact"/>
              <w:ind w:left="2" w:right="2"/>
              <w:jc w:val="center"/>
              <w:rPr>
                <w:sz w:val="22"/>
              </w:rPr>
            </w:pPr>
            <w:r>
              <w:rPr>
                <w:spacing w:val="-2"/>
                <w:sz w:val="22"/>
              </w:rPr>
              <w:t>72.15</w:t>
            </w:r>
          </w:p>
        </w:tc>
        <w:tc>
          <w:tcPr>
            <w:tcW w:w="1287" w:type="dxa"/>
          </w:tcPr>
          <w:p>
            <w:pPr>
              <w:pStyle w:val="TableParagraph"/>
              <w:spacing w:line="232" w:lineRule="exact"/>
              <w:ind w:right="2"/>
              <w:jc w:val="center"/>
              <w:rPr>
                <w:sz w:val="22"/>
              </w:rPr>
            </w:pPr>
            <w:r>
              <w:rPr>
                <w:spacing w:val="-2"/>
                <w:sz w:val="22"/>
              </w:rPr>
              <w:t>70.85</w:t>
            </w:r>
          </w:p>
        </w:tc>
        <w:tc>
          <w:tcPr>
            <w:tcW w:w="1984" w:type="dxa"/>
          </w:tcPr>
          <w:p>
            <w:pPr>
              <w:pStyle w:val="TableParagraph"/>
              <w:spacing w:line="232" w:lineRule="exact"/>
              <w:ind w:left="387"/>
              <w:rPr>
                <w:sz w:val="22"/>
              </w:rPr>
            </w:pPr>
            <w:r>
              <w:rPr>
                <w:spacing w:val="-2"/>
                <w:sz w:val="22"/>
              </w:rPr>
              <w:t>75.80</w:t>
            </w:r>
          </w:p>
        </w:tc>
      </w:tr>
      <w:tr>
        <w:trPr>
          <w:trHeight w:val="259" w:hRule="atLeast"/>
        </w:trPr>
        <w:tc>
          <w:tcPr>
            <w:tcW w:w="1055" w:type="dxa"/>
          </w:tcPr>
          <w:p>
            <w:pPr>
              <w:pStyle w:val="TableParagraph"/>
              <w:spacing w:line="239" w:lineRule="exact"/>
              <w:ind w:left="115"/>
              <w:rPr>
                <w:sz w:val="22"/>
              </w:rPr>
            </w:pPr>
            <w:r>
              <w:rPr>
                <w:spacing w:val="-5"/>
                <w:sz w:val="22"/>
              </w:rPr>
              <w:t>250</w:t>
            </w:r>
          </w:p>
        </w:tc>
        <w:tc>
          <w:tcPr>
            <w:tcW w:w="1368" w:type="dxa"/>
          </w:tcPr>
          <w:p>
            <w:pPr>
              <w:pStyle w:val="TableParagraph"/>
              <w:spacing w:line="239" w:lineRule="exact"/>
              <w:ind w:left="601"/>
              <w:rPr>
                <w:sz w:val="22"/>
              </w:rPr>
            </w:pPr>
            <w:r>
              <w:rPr>
                <w:spacing w:val="-2"/>
                <w:sz w:val="22"/>
              </w:rPr>
              <w:t>16.45</w:t>
            </w:r>
          </w:p>
        </w:tc>
        <w:tc>
          <w:tcPr>
            <w:tcW w:w="1157" w:type="dxa"/>
          </w:tcPr>
          <w:p>
            <w:pPr>
              <w:pStyle w:val="TableParagraph"/>
              <w:spacing w:line="239" w:lineRule="exact"/>
              <w:ind w:left="260"/>
              <w:rPr>
                <w:sz w:val="22"/>
              </w:rPr>
            </w:pPr>
            <w:r>
              <w:rPr>
                <w:spacing w:val="-4"/>
                <w:sz w:val="22"/>
              </w:rPr>
              <w:t>19.4</w:t>
            </w:r>
          </w:p>
        </w:tc>
        <w:tc>
          <w:tcPr>
            <w:tcW w:w="1287" w:type="dxa"/>
          </w:tcPr>
          <w:p>
            <w:pPr>
              <w:pStyle w:val="TableParagraph"/>
              <w:spacing w:line="239" w:lineRule="exact"/>
              <w:ind w:left="389"/>
              <w:rPr>
                <w:sz w:val="22"/>
              </w:rPr>
            </w:pPr>
            <w:r>
              <w:rPr>
                <w:spacing w:val="-2"/>
                <w:sz w:val="22"/>
              </w:rPr>
              <w:t>14.75</w:t>
            </w:r>
          </w:p>
        </w:tc>
        <w:tc>
          <w:tcPr>
            <w:tcW w:w="1287" w:type="dxa"/>
          </w:tcPr>
          <w:p>
            <w:pPr>
              <w:pStyle w:val="TableParagraph"/>
              <w:spacing w:line="239" w:lineRule="exact"/>
              <w:ind w:left="2" w:right="2"/>
              <w:jc w:val="center"/>
              <w:rPr>
                <w:sz w:val="22"/>
              </w:rPr>
            </w:pPr>
            <w:r>
              <w:rPr>
                <w:spacing w:val="-2"/>
                <w:sz w:val="22"/>
              </w:rPr>
              <w:t>88.60</w:t>
            </w:r>
          </w:p>
        </w:tc>
        <w:tc>
          <w:tcPr>
            <w:tcW w:w="1287" w:type="dxa"/>
          </w:tcPr>
          <w:p>
            <w:pPr>
              <w:pStyle w:val="TableParagraph"/>
              <w:spacing w:line="239" w:lineRule="exact"/>
              <w:ind w:right="2"/>
              <w:jc w:val="center"/>
              <w:rPr>
                <w:sz w:val="22"/>
              </w:rPr>
            </w:pPr>
            <w:r>
              <w:rPr>
                <w:spacing w:val="-2"/>
                <w:sz w:val="22"/>
              </w:rPr>
              <w:t>90.25</w:t>
            </w:r>
          </w:p>
        </w:tc>
        <w:tc>
          <w:tcPr>
            <w:tcW w:w="1984" w:type="dxa"/>
          </w:tcPr>
          <w:p>
            <w:pPr>
              <w:pStyle w:val="TableParagraph"/>
              <w:spacing w:line="239" w:lineRule="exact"/>
              <w:ind w:left="387"/>
              <w:rPr>
                <w:sz w:val="22"/>
              </w:rPr>
            </w:pPr>
            <w:r>
              <w:rPr>
                <w:spacing w:val="-2"/>
                <w:sz w:val="22"/>
              </w:rPr>
              <w:t>90.55</w:t>
            </w:r>
          </w:p>
        </w:tc>
      </w:tr>
      <w:tr>
        <w:trPr>
          <w:trHeight w:val="259" w:hRule="atLeast"/>
        </w:trPr>
        <w:tc>
          <w:tcPr>
            <w:tcW w:w="1055" w:type="dxa"/>
          </w:tcPr>
          <w:p>
            <w:pPr>
              <w:pStyle w:val="TableParagraph"/>
              <w:spacing w:line="236" w:lineRule="exact" w:before="2"/>
              <w:ind w:left="115"/>
              <w:rPr>
                <w:sz w:val="22"/>
              </w:rPr>
            </w:pPr>
            <w:r>
              <w:rPr>
                <w:spacing w:val="-5"/>
                <w:sz w:val="22"/>
              </w:rPr>
              <w:t>150</w:t>
            </w:r>
          </w:p>
        </w:tc>
        <w:tc>
          <w:tcPr>
            <w:tcW w:w="1368" w:type="dxa"/>
          </w:tcPr>
          <w:p>
            <w:pPr>
              <w:pStyle w:val="TableParagraph"/>
              <w:spacing w:line="236" w:lineRule="exact" w:before="2"/>
              <w:ind w:left="601"/>
              <w:rPr>
                <w:sz w:val="22"/>
              </w:rPr>
            </w:pPr>
            <w:r>
              <w:rPr>
                <w:spacing w:val="-4"/>
                <w:sz w:val="22"/>
              </w:rPr>
              <w:t>2.05</w:t>
            </w:r>
          </w:p>
        </w:tc>
        <w:tc>
          <w:tcPr>
            <w:tcW w:w="1157" w:type="dxa"/>
          </w:tcPr>
          <w:p>
            <w:pPr>
              <w:pStyle w:val="TableParagraph"/>
              <w:spacing w:line="236" w:lineRule="exact" w:before="2"/>
              <w:ind w:left="260"/>
              <w:rPr>
                <w:sz w:val="22"/>
              </w:rPr>
            </w:pPr>
            <w:r>
              <w:rPr>
                <w:spacing w:val="-4"/>
                <w:sz w:val="22"/>
              </w:rPr>
              <w:t>4.10</w:t>
            </w:r>
          </w:p>
        </w:tc>
        <w:tc>
          <w:tcPr>
            <w:tcW w:w="1287" w:type="dxa"/>
          </w:tcPr>
          <w:p>
            <w:pPr>
              <w:pStyle w:val="TableParagraph"/>
              <w:spacing w:line="236" w:lineRule="exact" w:before="2"/>
              <w:ind w:left="389"/>
              <w:rPr>
                <w:sz w:val="22"/>
              </w:rPr>
            </w:pPr>
            <w:r>
              <w:rPr>
                <w:spacing w:val="-4"/>
                <w:sz w:val="22"/>
              </w:rPr>
              <w:t>2.35</w:t>
            </w:r>
          </w:p>
        </w:tc>
        <w:tc>
          <w:tcPr>
            <w:tcW w:w="1287" w:type="dxa"/>
          </w:tcPr>
          <w:p>
            <w:pPr>
              <w:pStyle w:val="TableParagraph"/>
              <w:spacing w:line="236" w:lineRule="exact" w:before="2"/>
              <w:ind w:left="2" w:right="2"/>
              <w:jc w:val="center"/>
              <w:rPr>
                <w:sz w:val="22"/>
              </w:rPr>
            </w:pPr>
            <w:r>
              <w:rPr>
                <w:spacing w:val="-2"/>
                <w:sz w:val="22"/>
              </w:rPr>
              <w:t>90.65</w:t>
            </w:r>
          </w:p>
        </w:tc>
        <w:tc>
          <w:tcPr>
            <w:tcW w:w="1287" w:type="dxa"/>
          </w:tcPr>
          <w:p>
            <w:pPr>
              <w:pStyle w:val="TableParagraph"/>
              <w:spacing w:line="236" w:lineRule="exact" w:before="2"/>
              <w:ind w:right="2"/>
              <w:jc w:val="center"/>
              <w:rPr>
                <w:sz w:val="22"/>
              </w:rPr>
            </w:pPr>
            <w:r>
              <w:rPr>
                <w:spacing w:val="-2"/>
                <w:sz w:val="22"/>
              </w:rPr>
              <w:t>94.35</w:t>
            </w:r>
          </w:p>
        </w:tc>
        <w:tc>
          <w:tcPr>
            <w:tcW w:w="1984" w:type="dxa"/>
          </w:tcPr>
          <w:p>
            <w:pPr>
              <w:pStyle w:val="TableParagraph"/>
              <w:spacing w:line="236" w:lineRule="exact" w:before="2"/>
              <w:ind w:left="387"/>
              <w:rPr>
                <w:sz w:val="22"/>
              </w:rPr>
            </w:pPr>
            <w:r>
              <w:rPr>
                <w:spacing w:val="-2"/>
                <w:sz w:val="22"/>
              </w:rPr>
              <w:t>92.90</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1.85</w:t>
            </w:r>
          </w:p>
        </w:tc>
        <w:tc>
          <w:tcPr>
            <w:tcW w:w="1157" w:type="dxa"/>
          </w:tcPr>
          <w:p>
            <w:pPr>
              <w:pStyle w:val="TableParagraph"/>
              <w:spacing w:line="239" w:lineRule="exact"/>
              <w:ind w:left="260"/>
              <w:rPr>
                <w:sz w:val="22"/>
              </w:rPr>
            </w:pPr>
            <w:r>
              <w:rPr>
                <w:spacing w:val="-4"/>
                <w:sz w:val="22"/>
              </w:rPr>
              <w:t>2.10</w:t>
            </w:r>
          </w:p>
        </w:tc>
        <w:tc>
          <w:tcPr>
            <w:tcW w:w="1287" w:type="dxa"/>
          </w:tcPr>
          <w:p>
            <w:pPr>
              <w:pStyle w:val="TableParagraph"/>
              <w:spacing w:line="239" w:lineRule="exact"/>
              <w:ind w:left="389"/>
              <w:rPr>
                <w:sz w:val="22"/>
              </w:rPr>
            </w:pPr>
            <w:r>
              <w:rPr>
                <w:spacing w:val="-4"/>
                <w:sz w:val="22"/>
              </w:rPr>
              <w:t>2.05</w:t>
            </w:r>
          </w:p>
        </w:tc>
        <w:tc>
          <w:tcPr>
            <w:tcW w:w="1287" w:type="dxa"/>
          </w:tcPr>
          <w:p>
            <w:pPr>
              <w:pStyle w:val="TableParagraph"/>
              <w:spacing w:line="239" w:lineRule="exact"/>
              <w:ind w:left="2" w:right="2"/>
              <w:jc w:val="center"/>
              <w:rPr>
                <w:sz w:val="22"/>
              </w:rPr>
            </w:pPr>
            <w:r>
              <w:rPr>
                <w:spacing w:val="-2"/>
                <w:sz w:val="22"/>
              </w:rPr>
              <w:t>92.50</w:t>
            </w:r>
          </w:p>
        </w:tc>
        <w:tc>
          <w:tcPr>
            <w:tcW w:w="1287" w:type="dxa"/>
          </w:tcPr>
          <w:p>
            <w:pPr>
              <w:pStyle w:val="TableParagraph"/>
              <w:spacing w:line="239" w:lineRule="exact"/>
              <w:ind w:right="2"/>
              <w:jc w:val="center"/>
              <w:rPr>
                <w:sz w:val="22"/>
              </w:rPr>
            </w:pPr>
            <w:r>
              <w:rPr>
                <w:spacing w:val="-2"/>
                <w:sz w:val="22"/>
              </w:rPr>
              <w:t>96.45</w:t>
            </w:r>
          </w:p>
        </w:tc>
        <w:tc>
          <w:tcPr>
            <w:tcW w:w="1984" w:type="dxa"/>
          </w:tcPr>
          <w:p>
            <w:pPr>
              <w:pStyle w:val="TableParagraph"/>
              <w:spacing w:line="239" w:lineRule="exact"/>
              <w:ind w:left="387"/>
              <w:rPr>
                <w:sz w:val="22"/>
              </w:rPr>
            </w:pPr>
            <w:r>
              <w:rPr>
                <w:spacing w:val="-2"/>
                <w:sz w:val="22"/>
              </w:rPr>
              <w:t>94.95</w:t>
            </w:r>
          </w:p>
        </w:tc>
      </w:tr>
      <w:tr>
        <w:trPr>
          <w:trHeight w:val="261" w:hRule="atLeast"/>
        </w:trPr>
        <w:tc>
          <w:tcPr>
            <w:tcW w:w="1055" w:type="dxa"/>
          </w:tcPr>
          <w:p>
            <w:pPr>
              <w:pStyle w:val="TableParagraph"/>
              <w:spacing w:line="239" w:lineRule="exact" w:before="2"/>
              <w:ind w:left="115"/>
              <w:rPr>
                <w:sz w:val="22"/>
              </w:rPr>
            </w:pPr>
            <w:r>
              <w:rPr>
                <w:spacing w:val="-5"/>
                <w:sz w:val="22"/>
              </w:rPr>
              <w:t>75</w:t>
            </w:r>
          </w:p>
        </w:tc>
        <w:tc>
          <w:tcPr>
            <w:tcW w:w="1368" w:type="dxa"/>
          </w:tcPr>
          <w:p>
            <w:pPr>
              <w:pStyle w:val="TableParagraph"/>
              <w:spacing w:line="239" w:lineRule="exact" w:before="2"/>
              <w:ind w:left="601"/>
              <w:rPr>
                <w:sz w:val="22"/>
              </w:rPr>
            </w:pPr>
            <w:r>
              <w:rPr>
                <w:spacing w:val="-4"/>
                <w:sz w:val="22"/>
              </w:rPr>
              <w:t>3.05</w:t>
            </w:r>
          </w:p>
        </w:tc>
        <w:tc>
          <w:tcPr>
            <w:tcW w:w="1157" w:type="dxa"/>
          </w:tcPr>
          <w:p>
            <w:pPr>
              <w:pStyle w:val="TableParagraph"/>
              <w:spacing w:line="239" w:lineRule="exact" w:before="2"/>
              <w:ind w:left="260"/>
              <w:rPr>
                <w:sz w:val="22"/>
              </w:rPr>
            </w:pPr>
            <w:r>
              <w:rPr>
                <w:spacing w:val="-4"/>
                <w:sz w:val="22"/>
              </w:rPr>
              <w:t>2.35</w:t>
            </w:r>
          </w:p>
        </w:tc>
        <w:tc>
          <w:tcPr>
            <w:tcW w:w="1287" w:type="dxa"/>
          </w:tcPr>
          <w:p>
            <w:pPr>
              <w:pStyle w:val="TableParagraph"/>
              <w:spacing w:line="239" w:lineRule="exact" w:before="2"/>
              <w:ind w:left="389"/>
              <w:rPr>
                <w:sz w:val="22"/>
              </w:rPr>
            </w:pPr>
            <w:r>
              <w:rPr>
                <w:spacing w:val="-4"/>
                <w:sz w:val="22"/>
              </w:rPr>
              <w:t>1.25</w:t>
            </w:r>
          </w:p>
        </w:tc>
        <w:tc>
          <w:tcPr>
            <w:tcW w:w="1287" w:type="dxa"/>
          </w:tcPr>
          <w:p>
            <w:pPr>
              <w:pStyle w:val="TableParagraph"/>
              <w:spacing w:line="239" w:lineRule="exact" w:before="2"/>
              <w:ind w:left="2" w:right="2"/>
              <w:jc w:val="center"/>
              <w:rPr>
                <w:sz w:val="22"/>
              </w:rPr>
            </w:pPr>
            <w:r>
              <w:rPr>
                <w:spacing w:val="-2"/>
                <w:sz w:val="22"/>
              </w:rPr>
              <w:t>95.55</w:t>
            </w:r>
          </w:p>
        </w:tc>
        <w:tc>
          <w:tcPr>
            <w:tcW w:w="1287" w:type="dxa"/>
          </w:tcPr>
          <w:p>
            <w:pPr>
              <w:pStyle w:val="TableParagraph"/>
              <w:spacing w:line="239" w:lineRule="exact" w:before="2"/>
              <w:ind w:right="2"/>
              <w:jc w:val="center"/>
              <w:rPr>
                <w:sz w:val="22"/>
              </w:rPr>
            </w:pPr>
            <w:r>
              <w:rPr>
                <w:spacing w:val="-2"/>
                <w:sz w:val="22"/>
              </w:rPr>
              <w:t>98.80</w:t>
            </w:r>
          </w:p>
        </w:tc>
        <w:tc>
          <w:tcPr>
            <w:tcW w:w="1984" w:type="dxa"/>
          </w:tcPr>
          <w:p>
            <w:pPr>
              <w:pStyle w:val="TableParagraph"/>
              <w:spacing w:line="239" w:lineRule="exact" w:before="2"/>
              <w:ind w:left="387"/>
              <w:rPr>
                <w:sz w:val="22"/>
              </w:rPr>
            </w:pPr>
            <w:r>
              <w:rPr>
                <w:spacing w:val="-2"/>
                <w:sz w:val="22"/>
              </w:rPr>
              <w:t>96.20</w:t>
            </w:r>
          </w:p>
        </w:tc>
      </w:tr>
      <w:tr>
        <w:trPr>
          <w:trHeight w:val="254" w:hRule="atLeast"/>
        </w:trPr>
        <w:tc>
          <w:tcPr>
            <w:tcW w:w="1055" w:type="dxa"/>
          </w:tcPr>
          <w:p>
            <w:pPr>
              <w:pStyle w:val="TableParagraph"/>
              <w:spacing w:line="234" w:lineRule="exact"/>
              <w:ind w:left="115"/>
              <w:rPr>
                <w:sz w:val="22"/>
              </w:rPr>
            </w:pPr>
            <w:r>
              <w:rPr>
                <w:spacing w:val="-5"/>
                <w:sz w:val="22"/>
              </w:rPr>
              <w:t>Pan</w:t>
            </w:r>
          </w:p>
        </w:tc>
        <w:tc>
          <w:tcPr>
            <w:tcW w:w="1368" w:type="dxa"/>
          </w:tcPr>
          <w:p>
            <w:pPr>
              <w:pStyle w:val="TableParagraph"/>
              <w:spacing w:line="234" w:lineRule="exact"/>
              <w:ind w:left="601"/>
              <w:rPr>
                <w:sz w:val="22"/>
              </w:rPr>
            </w:pPr>
            <w:r>
              <w:rPr>
                <w:spacing w:val="-4"/>
                <w:sz w:val="22"/>
              </w:rPr>
              <w:t>0.70</w:t>
            </w:r>
          </w:p>
        </w:tc>
        <w:tc>
          <w:tcPr>
            <w:tcW w:w="1157" w:type="dxa"/>
          </w:tcPr>
          <w:p>
            <w:pPr>
              <w:pStyle w:val="TableParagraph"/>
              <w:spacing w:line="234" w:lineRule="exact"/>
              <w:ind w:left="260"/>
              <w:rPr>
                <w:sz w:val="22"/>
              </w:rPr>
            </w:pPr>
            <w:r>
              <w:rPr>
                <w:spacing w:val="-4"/>
                <w:sz w:val="22"/>
              </w:rPr>
              <w:t>0.45</w:t>
            </w:r>
          </w:p>
        </w:tc>
        <w:tc>
          <w:tcPr>
            <w:tcW w:w="1287" w:type="dxa"/>
          </w:tcPr>
          <w:p>
            <w:pPr>
              <w:pStyle w:val="TableParagraph"/>
              <w:spacing w:line="234" w:lineRule="exact"/>
              <w:ind w:left="389"/>
              <w:rPr>
                <w:sz w:val="22"/>
              </w:rPr>
            </w:pPr>
            <w:r>
              <w:rPr>
                <w:spacing w:val="-4"/>
                <w:sz w:val="22"/>
              </w:rPr>
              <w:t>0.10</w:t>
            </w:r>
          </w:p>
        </w:tc>
        <w:tc>
          <w:tcPr>
            <w:tcW w:w="1287" w:type="dxa"/>
          </w:tcPr>
          <w:p>
            <w:pPr>
              <w:pStyle w:val="TableParagraph"/>
              <w:spacing w:line="234" w:lineRule="exact"/>
              <w:ind w:left="2" w:right="2"/>
              <w:jc w:val="center"/>
              <w:rPr>
                <w:sz w:val="22"/>
              </w:rPr>
            </w:pPr>
            <w:r>
              <w:rPr>
                <w:spacing w:val="-2"/>
                <w:sz w:val="22"/>
              </w:rPr>
              <w:t>96.25</w:t>
            </w:r>
          </w:p>
        </w:tc>
        <w:tc>
          <w:tcPr>
            <w:tcW w:w="1287" w:type="dxa"/>
          </w:tcPr>
          <w:p>
            <w:pPr>
              <w:pStyle w:val="TableParagraph"/>
              <w:spacing w:line="234" w:lineRule="exact"/>
              <w:ind w:right="2"/>
              <w:jc w:val="center"/>
              <w:rPr>
                <w:sz w:val="22"/>
              </w:rPr>
            </w:pPr>
            <w:r>
              <w:rPr>
                <w:spacing w:val="-2"/>
                <w:sz w:val="22"/>
              </w:rPr>
              <w:t>99.25</w:t>
            </w:r>
          </w:p>
        </w:tc>
        <w:tc>
          <w:tcPr>
            <w:tcW w:w="1984" w:type="dxa"/>
          </w:tcPr>
          <w:p>
            <w:pPr>
              <w:pStyle w:val="TableParagraph"/>
              <w:spacing w:line="234" w:lineRule="exact"/>
              <w:ind w:left="387"/>
              <w:rPr>
                <w:sz w:val="22"/>
              </w:rPr>
            </w:pPr>
            <w:r>
              <w:rPr>
                <w:spacing w:val="-2"/>
                <w:sz w:val="22"/>
              </w:rPr>
              <w:t>96.30</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36"/>
              <w:rPr>
                <w:b/>
                <w:sz w:val="22"/>
              </w:rPr>
            </w:pPr>
            <w:r>
              <w:rPr>
                <w:b/>
                <w:sz w:val="22"/>
                <w:u w:val="single"/>
              </w:rPr>
              <w:t>5.0</w:t>
            </w:r>
            <w:r>
              <w:rPr>
                <w:b/>
                <w:spacing w:val="8"/>
                <w:sz w:val="22"/>
                <w:u w:val="single"/>
              </w:rPr>
              <w:t> </w:t>
            </w:r>
            <w:r>
              <w:rPr>
                <w:b/>
                <w:sz w:val="22"/>
                <w:u w:val="single"/>
              </w:rPr>
              <w:t>%</w:t>
            </w:r>
            <w:r>
              <w:rPr>
                <w:b/>
                <w:spacing w:val="5"/>
                <w:sz w:val="22"/>
                <w:u w:val="single"/>
              </w:rPr>
              <w:t> </w:t>
            </w:r>
            <w:r>
              <w:rPr>
                <w:b/>
                <w:spacing w:val="-5"/>
                <w:sz w:val="22"/>
                <w:u w:val="single"/>
              </w:rPr>
              <w:t>w/w</w:t>
            </w:r>
          </w:p>
        </w:tc>
      </w:tr>
      <w:tr>
        <w:trPr>
          <w:trHeight w:val="259" w:hRule="atLeast"/>
        </w:trPr>
        <w:tc>
          <w:tcPr>
            <w:tcW w:w="1055" w:type="dxa"/>
          </w:tcPr>
          <w:p>
            <w:pPr>
              <w:pStyle w:val="TableParagraph"/>
              <w:spacing w:line="235" w:lineRule="exact"/>
              <w:ind w:left="115"/>
              <w:rPr>
                <w:sz w:val="22"/>
              </w:rPr>
            </w:pPr>
            <w:r>
              <w:rPr>
                <w:spacing w:val="-5"/>
                <w:sz w:val="22"/>
              </w:rPr>
              <w:t>500</w:t>
            </w:r>
          </w:p>
        </w:tc>
        <w:tc>
          <w:tcPr>
            <w:tcW w:w="1368" w:type="dxa"/>
          </w:tcPr>
          <w:p>
            <w:pPr>
              <w:pStyle w:val="TableParagraph"/>
              <w:spacing w:line="235" w:lineRule="exact"/>
              <w:ind w:left="601"/>
              <w:rPr>
                <w:sz w:val="22"/>
              </w:rPr>
            </w:pPr>
            <w:r>
              <w:rPr>
                <w:spacing w:val="-2"/>
                <w:sz w:val="22"/>
              </w:rPr>
              <w:t>65.65</w:t>
            </w:r>
          </w:p>
        </w:tc>
        <w:tc>
          <w:tcPr>
            <w:tcW w:w="1157" w:type="dxa"/>
          </w:tcPr>
          <w:p>
            <w:pPr>
              <w:pStyle w:val="TableParagraph"/>
              <w:spacing w:line="235" w:lineRule="exact"/>
              <w:ind w:left="260"/>
              <w:rPr>
                <w:sz w:val="22"/>
              </w:rPr>
            </w:pPr>
            <w:r>
              <w:rPr>
                <w:spacing w:val="-2"/>
                <w:sz w:val="22"/>
              </w:rPr>
              <w:t>82.65</w:t>
            </w:r>
          </w:p>
        </w:tc>
        <w:tc>
          <w:tcPr>
            <w:tcW w:w="1287" w:type="dxa"/>
          </w:tcPr>
          <w:p>
            <w:pPr>
              <w:pStyle w:val="TableParagraph"/>
              <w:spacing w:line="235" w:lineRule="exact"/>
              <w:ind w:left="389"/>
              <w:rPr>
                <w:sz w:val="22"/>
              </w:rPr>
            </w:pPr>
            <w:r>
              <w:rPr>
                <w:spacing w:val="-2"/>
                <w:sz w:val="22"/>
              </w:rPr>
              <w:t>74.85</w:t>
            </w:r>
          </w:p>
        </w:tc>
        <w:tc>
          <w:tcPr>
            <w:tcW w:w="1287" w:type="dxa"/>
          </w:tcPr>
          <w:p>
            <w:pPr>
              <w:pStyle w:val="TableParagraph"/>
              <w:spacing w:line="235" w:lineRule="exact"/>
              <w:ind w:left="2" w:right="2"/>
              <w:jc w:val="center"/>
              <w:rPr>
                <w:sz w:val="22"/>
              </w:rPr>
            </w:pPr>
            <w:r>
              <w:rPr>
                <w:spacing w:val="-2"/>
                <w:sz w:val="22"/>
              </w:rPr>
              <w:t>65.65</w:t>
            </w:r>
          </w:p>
        </w:tc>
        <w:tc>
          <w:tcPr>
            <w:tcW w:w="1287" w:type="dxa"/>
          </w:tcPr>
          <w:p>
            <w:pPr>
              <w:pStyle w:val="TableParagraph"/>
              <w:spacing w:line="235" w:lineRule="exact"/>
              <w:ind w:right="2"/>
              <w:jc w:val="center"/>
              <w:rPr>
                <w:sz w:val="22"/>
              </w:rPr>
            </w:pPr>
            <w:r>
              <w:rPr>
                <w:spacing w:val="-2"/>
                <w:sz w:val="22"/>
              </w:rPr>
              <w:t>82.65</w:t>
            </w:r>
          </w:p>
        </w:tc>
        <w:tc>
          <w:tcPr>
            <w:tcW w:w="1984" w:type="dxa"/>
          </w:tcPr>
          <w:p>
            <w:pPr>
              <w:pStyle w:val="TableParagraph"/>
              <w:spacing w:line="235" w:lineRule="exact"/>
              <w:ind w:left="387"/>
              <w:rPr>
                <w:sz w:val="22"/>
              </w:rPr>
            </w:pPr>
            <w:r>
              <w:rPr>
                <w:spacing w:val="-2"/>
                <w:sz w:val="22"/>
              </w:rPr>
              <w:t>74.85</w:t>
            </w:r>
          </w:p>
        </w:tc>
      </w:tr>
      <w:tr>
        <w:trPr>
          <w:trHeight w:val="259" w:hRule="atLeast"/>
        </w:trPr>
        <w:tc>
          <w:tcPr>
            <w:tcW w:w="1055" w:type="dxa"/>
          </w:tcPr>
          <w:p>
            <w:pPr>
              <w:pStyle w:val="TableParagraph"/>
              <w:spacing w:line="239" w:lineRule="exact"/>
              <w:ind w:left="115"/>
              <w:rPr>
                <w:sz w:val="22"/>
              </w:rPr>
            </w:pPr>
            <w:r>
              <w:rPr>
                <w:spacing w:val="-5"/>
                <w:sz w:val="22"/>
              </w:rPr>
              <w:t>250</w:t>
            </w:r>
          </w:p>
        </w:tc>
        <w:tc>
          <w:tcPr>
            <w:tcW w:w="1368" w:type="dxa"/>
          </w:tcPr>
          <w:p>
            <w:pPr>
              <w:pStyle w:val="TableParagraph"/>
              <w:spacing w:line="239" w:lineRule="exact"/>
              <w:ind w:left="601"/>
              <w:rPr>
                <w:sz w:val="22"/>
              </w:rPr>
            </w:pPr>
            <w:r>
              <w:rPr>
                <w:spacing w:val="-2"/>
                <w:sz w:val="22"/>
              </w:rPr>
              <w:t>25.45</w:t>
            </w:r>
          </w:p>
        </w:tc>
        <w:tc>
          <w:tcPr>
            <w:tcW w:w="1157" w:type="dxa"/>
          </w:tcPr>
          <w:p>
            <w:pPr>
              <w:pStyle w:val="TableParagraph"/>
              <w:spacing w:line="239" w:lineRule="exact"/>
              <w:ind w:left="260"/>
              <w:rPr>
                <w:sz w:val="22"/>
              </w:rPr>
            </w:pPr>
            <w:r>
              <w:rPr>
                <w:spacing w:val="-4"/>
                <w:sz w:val="22"/>
              </w:rPr>
              <w:t>1.25</w:t>
            </w:r>
          </w:p>
        </w:tc>
        <w:tc>
          <w:tcPr>
            <w:tcW w:w="1287" w:type="dxa"/>
          </w:tcPr>
          <w:p>
            <w:pPr>
              <w:pStyle w:val="TableParagraph"/>
              <w:spacing w:line="239" w:lineRule="exact"/>
              <w:ind w:left="389"/>
              <w:rPr>
                <w:sz w:val="22"/>
              </w:rPr>
            </w:pPr>
            <w:r>
              <w:rPr>
                <w:spacing w:val="-4"/>
                <w:sz w:val="22"/>
              </w:rPr>
              <w:t>16.6</w:t>
            </w:r>
          </w:p>
        </w:tc>
        <w:tc>
          <w:tcPr>
            <w:tcW w:w="1287" w:type="dxa"/>
          </w:tcPr>
          <w:p>
            <w:pPr>
              <w:pStyle w:val="TableParagraph"/>
              <w:spacing w:line="239" w:lineRule="exact"/>
              <w:ind w:left="2" w:right="2"/>
              <w:jc w:val="center"/>
              <w:rPr>
                <w:sz w:val="22"/>
              </w:rPr>
            </w:pPr>
            <w:r>
              <w:rPr>
                <w:spacing w:val="-2"/>
                <w:sz w:val="22"/>
              </w:rPr>
              <w:t>91.10</w:t>
            </w:r>
          </w:p>
        </w:tc>
        <w:tc>
          <w:tcPr>
            <w:tcW w:w="1287" w:type="dxa"/>
          </w:tcPr>
          <w:p>
            <w:pPr>
              <w:pStyle w:val="TableParagraph"/>
              <w:spacing w:line="239" w:lineRule="exact"/>
              <w:ind w:right="2"/>
              <w:jc w:val="center"/>
              <w:rPr>
                <w:sz w:val="22"/>
              </w:rPr>
            </w:pPr>
            <w:r>
              <w:rPr>
                <w:spacing w:val="-2"/>
                <w:sz w:val="22"/>
              </w:rPr>
              <w:t>95.15</w:t>
            </w:r>
          </w:p>
        </w:tc>
        <w:tc>
          <w:tcPr>
            <w:tcW w:w="1984" w:type="dxa"/>
          </w:tcPr>
          <w:p>
            <w:pPr>
              <w:pStyle w:val="TableParagraph"/>
              <w:spacing w:line="239" w:lineRule="exact"/>
              <w:ind w:left="387"/>
              <w:rPr>
                <w:sz w:val="22"/>
              </w:rPr>
            </w:pPr>
            <w:r>
              <w:rPr>
                <w:spacing w:val="-2"/>
                <w:sz w:val="22"/>
              </w:rPr>
              <w:t>91.45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4.70</w:t>
            </w:r>
          </w:p>
        </w:tc>
        <w:tc>
          <w:tcPr>
            <w:tcW w:w="1157" w:type="dxa"/>
          </w:tcPr>
          <w:p>
            <w:pPr>
              <w:pStyle w:val="TableParagraph"/>
              <w:spacing w:line="239" w:lineRule="exact"/>
              <w:ind w:left="260"/>
              <w:rPr>
                <w:sz w:val="22"/>
              </w:rPr>
            </w:pPr>
            <w:r>
              <w:rPr>
                <w:spacing w:val="-4"/>
                <w:sz w:val="22"/>
              </w:rPr>
              <w:t>0.75</w:t>
            </w:r>
          </w:p>
        </w:tc>
        <w:tc>
          <w:tcPr>
            <w:tcW w:w="1287" w:type="dxa"/>
          </w:tcPr>
          <w:p>
            <w:pPr>
              <w:pStyle w:val="TableParagraph"/>
              <w:spacing w:line="239" w:lineRule="exact"/>
              <w:ind w:left="389"/>
              <w:rPr>
                <w:sz w:val="22"/>
              </w:rPr>
            </w:pPr>
            <w:r>
              <w:rPr>
                <w:spacing w:val="-4"/>
                <w:sz w:val="22"/>
              </w:rPr>
              <w:t>0.20</w:t>
            </w:r>
          </w:p>
        </w:tc>
        <w:tc>
          <w:tcPr>
            <w:tcW w:w="1287" w:type="dxa"/>
          </w:tcPr>
          <w:p>
            <w:pPr>
              <w:pStyle w:val="TableParagraph"/>
              <w:spacing w:line="239" w:lineRule="exact"/>
              <w:ind w:left="2" w:right="2"/>
              <w:jc w:val="center"/>
              <w:rPr>
                <w:sz w:val="22"/>
              </w:rPr>
            </w:pPr>
            <w:r>
              <w:rPr>
                <w:spacing w:val="-2"/>
                <w:sz w:val="22"/>
              </w:rPr>
              <w:t>95.80</w:t>
            </w:r>
          </w:p>
        </w:tc>
        <w:tc>
          <w:tcPr>
            <w:tcW w:w="1287" w:type="dxa"/>
          </w:tcPr>
          <w:p>
            <w:pPr>
              <w:pStyle w:val="TableParagraph"/>
              <w:spacing w:line="239" w:lineRule="exact"/>
              <w:ind w:right="2"/>
              <w:jc w:val="center"/>
              <w:rPr>
                <w:sz w:val="22"/>
              </w:rPr>
            </w:pPr>
            <w:r>
              <w:rPr>
                <w:spacing w:val="-2"/>
                <w:sz w:val="22"/>
              </w:rPr>
              <w:t>95.90</w:t>
            </w:r>
          </w:p>
        </w:tc>
        <w:tc>
          <w:tcPr>
            <w:tcW w:w="1984" w:type="dxa"/>
          </w:tcPr>
          <w:p>
            <w:pPr>
              <w:pStyle w:val="TableParagraph"/>
              <w:spacing w:line="239" w:lineRule="exact"/>
              <w:ind w:left="387"/>
              <w:rPr>
                <w:sz w:val="22"/>
              </w:rPr>
            </w:pPr>
            <w:r>
              <w:rPr>
                <w:spacing w:val="-2"/>
                <w:sz w:val="22"/>
              </w:rPr>
              <w:t>91.65</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1.00</w:t>
            </w:r>
          </w:p>
        </w:tc>
        <w:tc>
          <w:tcPr>
            <w:tcW w:w="1157" w:type="dxa"/>
          </w:tcPr>
          <w:p>
            <w:pPr>
              <w:pStyle w:val="TableParagraph"/>
              <w:spacing w:line="239" w:lineRule="exact"/>
              <w:ind w:left="260"/>
              <w:rPr>
                <w:sz w:val="22"/>
              </w:rPr>
            </w:pPr>
            <w:r>
              <w:rPr>
                <w:spacing w:val="-4"/>
                <w:sz w:val="22"/>
              </w:rPr>
              <w:t>0.95</w:t>
            </w:r>
          </w:p>
        </w:tc>
        <w:tc>
          <w:tcPr>
            <w:tcW w:w="1287" w:type="dxa"/>
          </w:tcPr>
          <w:p>
            <w:pPr>
              <w:pStyle w:val="TableParagraph"/>
              <w:spacing w:line="239" w:lineRule="exact"/>
              <w:ind w:left="389"/>
              <w:rPr>
                <w:sz w:val="22"/>
              </w:rPr>
            </w:pPr>
            <w:r>
              <w:rPr>
                <w:spacing w:val="-4"/>
                <w:sz w:val="22"/>
              </w:rPr>
              <w:t>3.05</w:t>
            </w:r>
          </w:p>
        </w:tc>
        <w:tc>
          <w:tcPr>
            <w:tcW w:w="1287" w:type="dxa"/>
          </w:tcPr>
          <w:p>
            <w:pPr>
              <w:pStyle w:val="TableParagraph"/>
              <w:spacing w:line="239" w:lineRule="exact"/>
              <w:ind w:left="2" w:right="2"/>
              <w:jc w:val="center"/>
              <w:rPr>
                <w:sz w:val="22"/>
              </w:rPr>
            </w:pPr>
            <w:r>
              <w:rPr>
                <w:spacing w:val="-2"/>
                <w:sz w:val="22"/>
              </w:rPr>
              <w:t>96.80</w:t>
            </w:r>
          </w:p>
        </w:tc>
        <w:tc>
          <w:tcPr>
            <w:tcW w:w="1287" w:type="dxa"/>
          </w:tcPr>
          <w:p>
            <w:pPr>
              <w:pStyle w:val="TableParagraph"/>
              <w:spacing w:line="239" w:lineRule="exact"/>
              <w:ind w:right="2"/>
              <w:jc w:val="center"/>
              <w:rPr>
                <w:sz w:val="22"/>
              </w:rPr>
            </w:pPr>
            <w:r>
              <w:rPr>
                <w:spacing w:val="-2"/>
                <w:sz w:val="22"/>
              </w:rPr>
              <w:t>96.85</w:t>
            </w:r>
          </w:p>
        </w:tc>
        <w:tc>
          <w:tcPr>
            <w:tcW w:w="1984" w:type="dxa"/>
          </w:tcPr>
          <w:p>
            <w:pPr>
              <w:pStyle w:val="TableParagraph"/>
              <w:spacing w:line="239" w:lineRule="exact"/>
              <w:ind w:left="387"/>
              <w:rPr>
                <w:sz w:val="22"/>
              </w:rPr>
            </w:pPr>
            <w:r>
              <w:rPr>
                <w:spacing w:val="-2"/>
                <w:sz w:val="22"/>
              </w:rPr>
              <w:t>94.70</w:t>
            </w:r>
          </w:p>
        </w:tc>
      </w:tr>
      <w:tr>
        <w:trPr>
          <w:trHeight w:val="259" w:hRule="atLeast"/>
        </w:trPr>
        <w:tc>
          <w:tcPr>
            <w:tcW w:w="1055" w:type="dxa"/>
          </w:tcPr>
          <w:p>
            <w:pPr>
              <w:pStyle w:val="TableParagraph"/>
              <w:spacing w:line="239" w:lineRule="exact"/>
              <w:ind w:left="115"/>
              <w:rPr>
                <w:sz w:val="22"/>
              </w:rPr>
            </w:pPr>
            <w:r>
              <w:rPr>
                <w:spacing w:val="-5"/>
                <w:sz w:val="22"/>
              </w:rPr>
              <w:t>75</w:t>
            </w:r>
          </w:p>
        </w:tc>
        <w:tc>
          <w:tcPr>
            <w:tcW w:w="1368" w:type="dxa"/>
          </w:tcPr>
          <w:p>
            <w:pPr>
              <w:pStyle w:val="TableParagraph"/>
              <w:spacing w:line="239" w:lineRule="exact"/>
              <w:ind w:left="601"/>
              <w:rPr>
                <w:sz w:val="22"/>
              </w:rPr>
            </w:pPr>
            <w:r>
              <w:rPr>
                <w:spacing w:val="-4"/>
                <w:sz w:val="22"/>
              </w:rPr>
              <w:t>2.20</w:t>
            </w:r>
          </w:p>
        </w:tc>
        <w:tc>
          <w:tcPr>
            <w:tcW w:w="1157" w:type="dxa"/>
          </w:tcPr>
          <w:p>
            <w:pPr>
              <w:pStyle w:val="TableParagraph"/>
              <w:spacing w:line="239" w:lineRule="exact"/>
              <w:ind w:left="260"/>
              <w:rPr>
                <w:sz w:val="22"/>
              </w:rPr>
            </w:pPr>
            <w:r>
              <w:rPr>
                <w:spacing w:val="-4"/>
                <w:sz w:val="22"/>
              </w:rPr>
              <w:t>1.95</w:t>
            </w:r>
          </w:p>
        </w:tc>
        <w:tc>
          <w:tcPr>
            <w:tcW w:w="1287" w:type="dxa"/>
          </w:tcPr>
          <w:p>
            <w:pPr>
              <w:pStyle w:val="TableParagraph"/>
              <w:spacing w:line="239" w:lineRule="exact"/>
              <w:ind w:left="389"/>
              <w:rPr>
                <w:sz w:val="22"/>
              </w:rPr>
            </w:pPr>
            <w:r>
              <w:rPr>
                <w:spacing w:val="-4"/>
                <w:sz w:val="22"/>
              </w:rPr>
              <w:t>2.10</w:t>
            </w:r>
          </w:p>
        </w:tc>
        <w:tc>
          <w:tcPr>
            <w:tcW w:w="1287" w:type="dxa"/>
          </w:tcPr>
          <w:p>
            <w:pPr>
              <w:pStyle w:val="TableParagraph"/>
              <w:spacing w:line="239" w:lineRule="exact"/>
              <w:ind w:left="2" w:right="2"/>
              <w:jc w:val="center"/>
              <w:rPr>
                <w:sz w:val="22"/>
              </w:rPr>
            </w:pPr>
            <w:r>
              <w:rPr>
                <w:spacing w:val="-2"/>
                <w:sz w:val="22"/>
              </w:rPr>
              <w:t>99.00</w:t>
            </w:r>
          </w:p>
        </w:tc>
        <w:tc>
          <w:tcPr>
            <w:tcW w:w="1287" w:type="dxa"/>
          </w:tcPr>
          <w:p>
            <w:pPr>
              <w:pStyle w:val="TableParagraph"/>
              <w:spacing w:line="239" w:lineRule="exact"/>
              <w:ind w:right="2"/>
              <w:jc w:val="center"/>
              <w:rPr>
                <w:sz w:val="22"/>
              </w:rPr>
            </w:pPr>
            <w:r>
              <w:rPr>
                <w:spacing w:val="-2"/>
                <w:sz w:val="22"/>
              </w:rPr>
              <w:t>98.80</w:t>
            </w:r>
          </w:p>
        </w:tc>
        <w:tc>
          <w:tcPr>
            <w:tcW w:w="1984" w:type="dxa"/>
          </w:tcPr>
          <w:p>
            <w:pPr>
              <w:pStyle w:val="TableParagraph"/>
              <w:spacing w:line="239" w:lineRule="exact"/>
              <w:ind w:left="387"/>
              <w:rPr>
                <w:sz w:val="22"/>
              </w:rPr>
            </w:pPr>
            <w:r>
              <w:rPr>
                <w:spacing w:val="-2"/>
                <w:sz w:val="22"/>
              </w:rPr>
              <w:t>96.80</w:t>
            </w:r>
          </w:p>
        </w:tc>
      </w:tr>
      <w:tr>
        <w:trPr>
          <w:trHeight w:val="254" w:hRule="atLeast"/>
        </w:trPr>
        <w:tc>
          <w:tcPr>
            <w:tcW w:w="1055" w:type="dxa"/>
          </w:tcPr>
          <w:p>
            <w:pPr>
              <w:pStyle w:val="TableParagraph"/>
              <w:spacing w:line="234" w:lineRule="exact"/>
              <w:ind w:left="115"/>
              <w:rPr>
                <w:sz w:val="22"/>
              </w:rPr>
            </w:pPr>
            <w:r>
              <w:rPr>
                <w:spacing w:val="-5"/>
                <w:sz w:val="22"/>
              </w:rPr>
              <w:t>Pan</w:t>
            </w:r>
          </w:p>
        </w:tc>
        <w:tc>
          <w:tcPr>
            <w:tcW w:w="1368" w:type="dxa"/>
          </w:tcPr>
          <w:p>
            <w:pPr>
              <w:pStyle w:val="TableParagraph"/>
              <w:spacing w:line="234" w:lineRule="exact"/>
              <w:ind w:left="601"/>
              <w:rPr>
                <w:sz w:val="22"/>
              </w:rPr>
            </w:pPr>
            <w:r>
              <w:rPr>
                <w:spacing w:val="-4"/>
                <w:sz w:val="22"/>
              </w:rPr>
              <w:t>0.35</w:t>
            </w:r>
          </w:p>
        </w:tc>
        <w:tc>
          <w:tcPr>
            <w:tcW w:w="1157" w:type="dxa"/>
          </w:tcPr>
          <w:p>
            <w:pPr>
              <w:pStyle w:val="TableParagraph"/>
              <w:spacing w:line="234" w:lineRule="exact"/>
              <w:ind w:left="260"/>
              <w:rPr>
                <w:sz w:val="22"/>
              </w:rPr>
            </w:pPr>
            <w:r>
              <w:rPr>
                <w:spacing w:val="-4"/>
                <w:sz w:val="22"/>
              </w:rPr>
              <w:t>0.25</w:t>
            </w:r>
          </w:p>
        </w:tc>
        <w:tc>
          <w:tcPr>
            <w:tcW w:w="1287" w:type="dxa"/>
          </w:tcPr>
          <w:p>
            <w:pPr>
              <w:pStyle w:val="TableParagraph"/>
              <w:spacing w:line="234" w:lineRule="exact"/>
              <w:ind w:left="389"/>
              <w:rPr>
                <w:sz w:val="22"/>
              </w:rPr>
            </w:pPr>
            <w:r>
              <w:rPr>
                <w:spacing w:val="-4"/>
                <w:sz w:val="22"/>
              </w:rPr>
              <w:t>0.55</w:t>
            </w:r>
          </w:p>
        </w:tc>
        <w:tc>
          <w:tcPr>
            <w:tcW w:w="1287" w:type="dxa"/>
          </w:tcPr>
          <w:p>
            <w:pPr>
              <w:pStyle w:val="TableParagraph"/>
              <w:spacing w:line="234" w:lineRule="exact"/>
              <w:ind w:left="2" w:right="2"/>
              <w:jc w:val="center"/>
              <w:rPr>
                <w:sz w:val="22"/>
              </w:rPr>
            </w:pPr>
            <w:r>
              <w:rPr>
                <w:spacing w:val="-2"/>
                <w:sz w:val="22"/>
              </w:rPr>
              <w:t>99.35</w:t>
            </w:r>
          </w:p>
        </w:tc>
        <w:tc>
          <w:tcPr>
            <w:tcW w:w="1287" w:type="dxa"/>
          </w:tcPr>
          <w:p>
            <w:pPr>
              <w:pStyle w:val="TableParagraph"/>
              <w:spacing w:line="234" w:lineRule="exact"/>
              <w:ind w:right="2"/>
              <w:jc w:val="center"/>
              <w:rPr>
                <w:sz w:val="22"/>
              </w:rPr>
            </w:pPr>
            <w:r>
              <w:rPr>
                <w:spacing w:val="-2"/>
                <w:sz w:val="22"/>
              </w:rPr>
              <w:t>99.05</w:t>
            </w:r>
          </w:p>
        </w:tc>
        <w:tc>
          <w:tcPr>
            <w:tcW w:w="1984" w:type="dxa"/>
          </w:tcPr>
          <w:p>
            <w:pPr>
              <w:pStyle w:val="TableParagraph"/>
              <w:spacing w:line="234" w:lineRule="exact"/>
              <w:ind w:left="387"/>
              <w:rPr>
                <w:sz w:val="22"/>
              </w:rPr>
            </w:pPr>
            <w:r>
              <w:rPr>
                <w:spacing w:val="-2"/>
                <w:sz w:val="22"/>
              </w:rPr>
              <w:t>97.35</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36"/>
              <w:rPr>
                <w:b/>
                <w:sz w:val="22"/>
              </w:rPr>
            </w:pPr>
            <w:r>
              <w:rPr>
                <w:b/>
                <w:sz w:val="22"/>
                <w:u w:val="single"/>
              </w:rPr>
              <w:t>7.5</w:t>
            </w:r>
            <w:r>
              <w:rPr>
                <w:b/>
                <w:spacing w:val="8"/>
                <w:sz w:val="22"/>
                <w:u w:val="single"/>
              </w:rPr>
              <w:t> </w:t>
            </w:r>
            <w:r>
              <w:rPr>
                <w:b/>
                <w:sz w:val="22"/>
                <w:u w:val="single"/>
              </w:rPr>
              <w:t>%</w:t>
            </w:r>
            <w:r>
              <w:rPr>
                <w:b/>
                <w:spacing w:val="5"/>
                <w:sz w:val="22"/>
                <w:u w:val="single"/>
              </w:rPr>
              <w:t> </w:t>
            </w:r>
            <w:r>
              <w:rPr>
                <w:b/>
                <w:spacing w:val="-5"/>
                <w:sz w:val="22"/>
                <w:u w:val="single"/>
              </w:rPr>
              <w:t>w/w</w:t>
            </w:r>
          </w:p>
        </w:tc>
      </w:tr>
      <w:tr>
        <w:trPr>
          <w:trHeight w:val="261" w:hRule="atLeast"/>
        </w:trPr>
        <w:tc>
          <w:tcPr>
            <w:tcW w:w="1055" w:type="dxa"/>
          </w:tcPr>
          <w:p>
            <w:pPr>
              <w:pStyle w:val="TableParagraph"/>
              <w:spacing w:line="232" w:lineRule="exact"/>
              <w:ind w:left="115"/>
              <w:rPr>
                <w:sz w:val="22"/>
              </w:rPr>
            </w:pPr>
            <w:r>
              <w:rPr>
                <w:spacing w:val="-5"/>
                <w:sz w:val="22"/>
              </w:rPr>
              <w:t>500</w:t>
            </w:r>
          </w:p>
        </w:tc>
        <w:tc>
          <w:tcPr>
            <w:tcW w:w="1368" w:type="dxa"/>
          </w:tcPr>
          <w:p>
            <w:pPr>
              <w:pStyle w:val="TableParagraph"/>
              <w:spacing w:line="232" w:lineRule="exact"/>
              <w:ind w:left="601"/>
              <w:rPr>
                <w:sz w:val="22"/>
              </w:rPr>
            </w:pPr>
            <w:r>
              <w:rPr>
                <w:spacing w:val="-2"/>
                <w:sz w:val="22"/>
              </w:rPr>
              <w:t>77.40</w:t>
            </w:r>
          </w:p>
        </w:tc>
        <w:tc>
          <w:tcPr>
            <w:tcW w:w="1157" w:type="dxa"/>
          </w:tcPr>
          <w:p>
            <w:pPr>
              <w:pStyle w:val="TableParagraph"/>
              <w:spacing w:line="232" w:lineRule="exact"/>
              <w:ind w:left="260"/>
              <w:rPr>
                <w:sz w:val="22"/>
              </w:rPr>
            </w:pPr>
            <w:r>
              <w:rPr>
                <w:spacing w:val="-4"/>
                <w:sz w:val="22"/>
              </w:rPr>
              <w:t>71.7</w:t>
            </w:r>
          </w:p>
        </w:tc>
        <w:tc>
          <w:tcPr>
            <w:tcW w:w="1287" w:type="dxa"/>
          </w:tcPr>
          <w:p>
            <w:pPr>
              <w:pStyle w:val="TableParagraph"/>
              <w:spacing w:line="232" w:lineRule="exact"/>
              <w:ind w:left="389"/>
              <w:rPr>
                <w:sz w:val="22"/>
              </w:rPr>
            </w:pPr>
            <w:r>
              <w:rPr>
                <w:spacing w:val="-2"/>
                <w:sz w:val="22"/>
              </w:rPr>
              <w:t>46.55</w:t>
            </w:r>
          </w:p>
        </w:tc>
        <w:tc>
          <w:tcPr>
            <w:tcW w:w="1287" w:type="dxa"/>
          </w:tcPr>
          <w:p>
            <w:pPr>
              <w:pStyle w:val="TableParagraph"/>
              <w:spacing w:line="232" w:lineRule="exact"/>
              <w:ind w:left="2" w:right="2"/>
              <w:jc w:val="center"/>
              <w:rPr>
                <w:sz w:val="22"/>
              </w:rPr>
            </w:pPr>
            <w:r>
              <w:rPr>
                <w:spacing w:val="-2"/>
                <w:sz w:val="22"/>
              </w:rPr>
              <w:t>77.40</w:t>
            </w:r>
          </w:p>
        </w:tc>
        <w:tc>
          <w:tcPr>
            <w:tcW w:w="1287" w:type="dxa"/>
          </w:tcPr>
          <w:p>
            <w:pPr>
              <w:pStyle w:val="TableParagraph"/>
              <w:spacing w:line="232" w:lineRule="exact"/>
              <w:ind w:right="2"/>
              <w:jc w:val="center"/>
              <w:rPr>
                <w:sz w:val="22"/>
              </w:rPr>
            </w:pPr>
            <w:r>
              <w:rPr>
                <w:spacing w:val="-2"/>
                <w:sz w:val="22"/>
              </w:rPr>
              <w:t>71.70</w:t>
            </w:r>
          </w:p>
        </w:tc>
        <w:tc>
          <w:tcPr>
            <w:tcW w:w="1984" w:type="dxa"/>
          </w:tcPr>
          <w:p>
            <w:pPr>
              <w:pStyle w:val="TableParagraph"/>
              <w:spacing w:line="232" w:lineRule="exact"/>
              <w:ind w:left="387"/>
              <w:rPr>
                <w:sz w:val="22"/>
              </w:rPr>
            </w:pPr>
            <w:r>
              <w:rPr>
                <w:spacing w:val="-2"/>
                <w:sz w:val="22"/>
              </w:rPr>
              <w:t>46.55</w:t>
            </w:r>
          </w:p>
        </w:tc>
      </w:tr>
      <w:tr>
        <w:trPr>
          <w:trHeight w:val="259" w:hRule="atLeast"/>
        </w:trPr>
        <w:tc>
          <w:tcPr>
            <w:tcW w:w="1055" w:type="dxa"/>
          </w:tcPr>
          <w:p>
            <w:pPr>
              <w:pStyle w:val="TableParagraph"/>
              <w:spacing w:line="239" w:lineRule="exact"/>
              <w:ind w:left="115"/>
              <w:rPr>
                <w:sz w:val="22"/>
              </w:rPr>
            </w:pPr>
            <w:r>
              <w:rPr>
                <w:spacing w:val="-5"/>
                <w:sz w:val="22"/>
              </w:rPr>
              <w:t>250</w:t>
            </w:r>
          </w:p>
        </w:tc>
        <w:tc>
          <w:tcPr>
            <w:tcW w:w="1368" w:type="dxa"/>
          </w:tcPr>
          <w:p>
            <w:pPr>
              <w:pStyle w:val="TableParagraph"/>
              <w:spacing w:line="239" w:lineRule="exact"/>
              <w:ind w:left="601"/>
              <w:rPr>
                <w:sz w:val="22"/>
              </w:rPr>
            </w:pPr>
            <w:r>
              <w:rPr>
                <w:spacing w:val="-2"/>
                <w:sz w:val="22"/>
              </w:rPr>
              <w:t>18.10</w:t>
            </w:r>
          </w:p>
        </w:tc>
        <w:tc>
          <w:tcPr>
            <w:tcW w:w="1157" w:type="dxa"/>
          </w:tcPr>
          <w:p>
            <w:pPr>
              <w:pStyle w:val="TableParagraph"/>
              <w:spacing w:line="239" w:lineRule="exact"/>
              <w:ind w:left="260"/>
              <w:rPr>
                <w:sz w:val="22"/>
              </w:rPr>
            </w:pPr>
            <w:r>
              <w:rPr>
                <w:spacing w:val="-4"/>
                <w:sz w:val="22"/>
              </w:rPr>
              <w:t>21.2</w:t>
            </w:r>
          </w:p>
        </w:tc>
        <w:tc>
          <w:tcPr>
            <w:tcW w:w="1287" w:type="dxa"/>
          </w:tcPr>
          <w:p>
            <w:pPr>
              <w:pStyle w:val="TableParagraph"/>
              <w:spacing w:line="239" w:lineRule="exact"/>
              <w:ind w:left="389"/>
              <w:rPr>
                <w:sz w:val="22"/>
              </w:rPr>
            </w:pPr>
            <w:r>
              <w:rPr>
                <w:spacing w:val="-2"/>
                <w:sz w:val="22"/>
              </w:rPr>
              <w:t>33.25</w:t>
            </w:r>
          </w:p>
        </w:tc>
        <w:tc>
          <w:tcPr>
            <w:tcW w:w="1287" w:type="dxa"/>
          </w:tcPr>
          <w:p>
            <w:pPr>
              <w:pStyle w:val="TableParagraph"/>
              <w:spacing w:line="239" w:lineRule="exact"/>
              <w:ind w:left="2" w:right="2"/>
              <w:jc w:val="center"/>
              <w:rPr>
                <w:sz w:val="22"/>
              </w:rPr>
            </w:pPr>
            <w:r>
              <w:rPr>
                <w:spacing w:val="-2"/>
                <w:sz w:val="22"/>
              </w:rPr>
              <w:t>95.50</w:t>
            </w:r>
          </w:p>
        </w:tc>
        <w:tc>
          <w:tcPr>
            <w:tcW w:w="1287" w:type="dxa"/>
          </w:tcPr>
          <w:p>
            <w:pPr>
              <w:pStyle w:val="TableParagraph"/>
              <w:spacing w:line="239" w:lineRule="exact"/>
              <w:ind w:right="2"/>
              <w:jc w:val="center"/>
              <w:rPr>
                <w:sz w:val="22"/>
              </w:rPr>
            </w:pPr>
            <w:r>
              <w:rPr>
                <w:spacing w:val="-2"/>
                <w:sz w:val="22"/>
              </w:rPr>
              <w:t>92.90</w:t>
            </w:r>
          </w:p>
        </w:tc>
        <w:tc>
          <w:tcPr>
            <w:tcW w:w="1984" w:type="dxa"/>
          </w:tcPr>
          <w:p>
            <w:pPr>
              <w:pStyle w:val="TableParagraph"/>
              <w:spacing w:line="239" w:lineRule="exact"/>
              <w:ind w:left="387"/>
              <w:rPr>
                <w:sz w:val="22"/>
              </w:rPr>
            </w:pPr>
            <w:r>
              <w:rPr>
                <w:spacing w:val="-2"/>
                <w:sz w:val="22"/>
              </w:rPr>
              <w:t>79.80</w:t>
            </w:r>
          </w:p>
        </w:tc>
      </w:tr>
      <w:tr>
        <w:trPr>
          <w:trHeight w:val="259" w:hRule="atLeast"/>
        </w:trPr>
        <w:tc>
          <w:tcPr>
            <w:tcW w:w="1055" w:type="dxa"/>
          </w:tcPr>
          <w:p>
            <w:pPr>
              <w:pStyle w:val="TableParagraph"/>
              <w:spacing w:line="236" w:lineRule="exact" w:before="2"/>
              <w:ind w:left="115"/>
              <w:rPr>
                <w:sz w:val="22"/>
              </w:rPr>
            </w:pPr>
            <w:r>
              <w:rPr>
                <w:spacing w:val="-5"/>
                <w:sz w:val="22"/>
              </w:rPr>
              <w:t>150</w:t>
            </w:r>
          </w:p>
        </w:tc>
        <w:tc>
          <w:tcPr>
            <w:tcW w:w="1368" w:type="dxa"/>
          </w:tcPr>
          <w:p>
            <w:pPr>
              <w:pStyle w:val="TableParagraph"/>
              <w:spacing w:line="236" w:lineRule="exact" w:before="2"/>
              <w:ind w:left="601"/>
              <w:rPr>
                <w:sz w:val="22"/>
              </w:rPr>
            </w:pPr>
            <w:r>
              <w:rPr>
                <w:spacing w:val="-4"/>
                <w:sz w:val="22"/>
              </w:rPr>
              <w:t>2.25</w:t>
            </w:r>
          </w:p>
        </w:tc>
        <w:tc>
          <w:tcPr>
            <w:tcW w:w="1157" w:type="dxa"/>
          </w:tcPr>
          <w:p>
            <w:pPr>
              <w:pStyle w:val="TableParagraph"/>
              <w:spacing w:line="236" w:lineRule="exact" w:before="2"/>
              <w:ind w:left="260"/>
              <w:rPr>
                <w:sz w:val="22"/>
              </w:rPr>
            </w:pPr>
            <w:r>
              <w:rPr>
                <w:spacing w:val="-4"/>
                <w:sz w:val="22"/>
              </w:rPr>
              <w:t>2.30</w:t>
            </w:r>
          </w:p>
        </w:tc>
        <w:tc>
          <w:tcPr>
            <w:tcW w:w="1287" w:type="dxa"/>
          </w:tcPr>
          <w:p>
            <w:pPr>
              <w:pStyle w:val="TableParagraph"/>
              <w:spacing w:line="236" w:lineRule="exact" w:before="2"/>
              <w:ind w:left="389"/>
              <w:rPr>
                <w:sz w:val="22"/>
              </w:rPr>
            </w:pPr>
            <w:r>
              <w:rPr>
                <w:spacing w:val="-4"/>
                <w:sz w:val="22"/>
              </w:rPr>
              <w:t>3.90</w:t>
            </w:r>
          </w:p>
        </w:tc>
        <w:tc>
          <w:tcPr>
            <w:tcW w:w="1287" w:type="dxa"/>
          </w:tcPr>
          <w:p>
            <w:pPr>
              <w:pStyle w:val="TableParagraph"/>
              <w:spacing w:line="236" w:lineRule="exact" w:before="2"/>
              <w:ind w:left="2" w:right="2"/>
              <w:jc w:val="center"/>
              <w:rPr>
                <w:sz w:val="22"/>
              </w:rPr>
            </w:pPr>
            <w:r>
              <w:rPr>
                <w:spacing w:val="-2"/>
                <w:sz w:val="22"/>
              </w:rPr>
              <w:t>97.75</w:t>
            </w:r>
          </w:p>
        </w:tc>
        <w:tc>
          <w:tcPr>
            <w:tcW w:w="1287" w:type="dxa"/>
          </w:tcPr>
          <w:p>
            <w:pPr>
              <w:pStyle w:val="TableParagraph"/>
              <w:spacing w:line="236" w:lineRule="exact" w:before="2"/>
              <w:ind w:right="2"/>
              <w:jc w:val="center"/>
              <w:rPr>
                <w:sz w:val="22"/>
              </w:rPr>
            </w:pPr>
            <w:r>
              <w:rPr>
                <w:spacing w:val="-2"/>
                <w:sz w:val="22"/>
              </w:rPr>
              <w:t>95.20</w:t>
            </w:r>
          </w:p>
        </w:tc>
        <w:tc>
          <w:tcPr>
            <w:tcW w:w="1984" w:type="dxa"/>
          </w:tcPr>
          <w:p>
            <w:pPr>
              <w:pStyle w:val="TableParagraph"/>
              <w:spacing w:line="236" w:lineRule="exact" w:before="2"/>
              <w:ind w:left="387"/>
              <w:rPr>
                <w:sz w:val="22"/>
              </w:rPr>
            </w:pPr>
            <w:r>
              <w:rPr>
                <w:spacing w:val="-2"/>
                <w:sz w:val="22"/>
              </w:rPr>
              <w:t>83.70</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1.30</w:t>
            </w:r>
          </w:p>
        </w:tc>
        <w:tc>
          <w:tcPr>
            <w:tcW w:w="1157" w:type="dxa"/>
          </w:tcPr>
          <w:p>
            <w:pPr>
              <w:pStyle w:val="TableParagraph"/>
              <w:spacing w:line="239" w:lineRule="exact"/>
              <w:ind w:left="260"/>
              <w:rPr>
                <w:sz w:val="22"/>
              </w:rPr>
            </w:pPr>
            <w:r>
              <w:rPr>
                <w:spacing w:val="-4"/>
                <w:sz w:val="22"/>
              </w:rPr>
              <w:t>3.40</w:t>
            </w:r>
          </w:p>
        </w:tc>
        <w:tc>
          <w:tcPr>
            <w:tcW w:w="1287" w:type="dxa"/>
          </w:tcPr>
          <w:p>
            <w:pPr>
              <w:pStyle w:val="TableParagraph"/>
              <w:spacing w:line="239" w:lineRule="exact"/>
              <w:ind w:left="389"/>
              <w:rPr>
                <w:sz w:val="22"/>
              </w:rPr>
            </w:pPr>
            <w:r>
              <w:rPr>
                <w:spacing w:val="-4"/>
                <w:sz w:val="22"/>
              </w:rPr>
              <w:t>8.00</w:t>
            </w:r>
          </w:p>
        </w:tc>
        <w:tc>
          <w:tcPr>
            <w:tcW w:w="1287" w:type="dxa"/>
          </w:tcPr>
          <w:p>
            <w:pPr>
              <w:pStyle w:val="TableParagraph"/>
              <w:spacing w:line="239" w:lineRule="exact"/>
              <w:ind w:left="2" w:right="2"/>
              <w:jc w:val="center"/>
              <w:rPr>
                <w:sz w:val="22"/>
              </w:rPr>
            </w:pPr>
            <w:r>
              <w:rPr>
                <w:spacing w:val="-2"/>
                <w:sz w:val="22"/>
              </w:rPr>
              <w:t>99.05</w:t>
            </w:r>
          </w:p>
        </w:tc>
        <w:tc>
          <w:tcPr>
            <w:tcW w:w="1287" w:type="dxa"/>
          </w:tcPr>
          <w:p>
            <w:pPr>
              <w:pStyle w:val="TableParagraph"/>
              <w:spacing w:line="239" w:lineRule="exact"/>
              <w:ind w:right="2"/>
              <w:jc w:val="center"/>
              <w:rPr>
                <w:sz w:val="22"/>
              </w:rPr>
            </w:pPr>
            <w:r>
              <w:rPr>
                <w:spacing w:val="-2"/>
                <w:sz w:val="22"/>
              </w:rPr>
              <w:t>98.60</w:t>
            </w:r>
          </w:p>
        </w:tc>
        <w:tc>
          <w:tcPr>
            <w:tcW w:w="1984" w:type="dxa"/>
          </w:tcPr>
          <w:p>
            <w:pPr>
              <w:pStyle w:val="TableParagraph"/>
              <w:spacing w:line="239" w:lineRule="exact"/>
              <w:ind w:left="387"/>
              <w:rPr>
                <w:sz w:val="22"/>
              </w:rPr>
            </w:pPr>
            <w:r>
              <w:rPr>
                <w:spacing w:val="-2"/>
                <w:sz w:val="22"/>
              </w:rPr>
              <w:t>91.70</w:t>
            </w:r>
          </w:p>
        </w:tc>
      </w:tr>
      <w:tr>
        <w:trPr>
          <w:trHeight w:val="259" w:hRule="atLeast"/>
        </w:trPr>
        <w:tc>
          <w:tcPr>
            <w:tcW w:w="1055" w:type="dxa"/>
          </w:tcPr>
          <w:p>
            <w:pPr>
              <w:pStyle w:val="TableParagraph"/>
              <w:spacing w:line="236" w:lineRule="exact" w:before="2"/>
              <w:ind w:left="115"/>
              <w:rPr>
                <w:sz w:val="22"/>
              </w:rPr>
            </w:pPr>
            <w:r>
              <w:rPr>
                <w:spacing w:val="-5"/>
                <w:sz w:val="22"/>
              </w:rPr>
              <w:t>75</w:t>
            </w:r>
          </w:p>
        </w:tc>
        <w:tc>
          <w:tcPr>
            <w:tcW w:w="1368" w:type="dxa"/>
          </w:tcPr>
          <w:p>
            <w:pPr>
              <w:pStyle w:val="TableParagraph"/>
              <w:spacing w:line="236" w:lineRule="exact" w:before="2"/>
              <w:ind w:left="601"/>
              <w:rPr>
                <w:sz w:val="22"/>
              </w:rPr>
            </w:pPr>
            <w:r>
              <w:rPr>
                <w:spacing w:val="-4"/>
                <w:sz w:val="22"/>
              </w:rPr>
              <w:t>0.65</w:t>
            </w:r>
          </w:p>
        </w:tc>
        <w:tc>
          <w:tcPr>
            <w:tcW w:w="1157" w:type="dxa"/>
          </w:tcPr>
          <w:p>
            <w:pPr>
              <w:pStyle w:val="TableParagraph"/>
              <w:spacing w:line="236" w:lineRule="exact" w:before="2"/>
              <w:ind w:left="260"/>
              <w:rPr>
                <w:sz w:val="22"/>
              </w:rPr>
            </w:pPr>
            <w:r>
              <w:rPr>
                <w:spacing w:val="-4"/>
                <w:sz w:val="22"/>
              </w:rPr>
              <w:t>0.70</w:t>
            </w:r>
          </w:p>
        </w:tc>
        <w:tc>
          <w:tcPr>
            <w:tcW w:w="1287" w:type="dxa"/>
          </w:tcPr>
          <w:p>
            <w:pPr>
              <w:pStyle w:val="TableParagraph"/>
              <w:spacing w:line="236" w:lineRule="exact" w:before="2"/>
              <w:ind w:left="389"/>
              <w:rPr>
                <w:sz w:val="22"/>
              </w:rPr>
            </w:pPr>
            <w:r>
              <w:rPr>
                <w:spacing w:val="-4"/>
                <w:sz w:val="22"/>
              </w:rPr>
              <w:t>5.60</w:t>
            </w:r>
          </w:p>
        </w:tc>
        <w:tc>
          <w:tcPr>
            <w:tcW w:w="1287" w:type="dxa"/>
          </w:tcPr>
          <w:p>
            <w:pPr>
              <w:pStyle w:val="TableParagraph"/>
              <w:spacing w:line="236" w:lineRule="exact" w:before="2"/>
              <w:ind w:left="2" w:right="2"/>
              <w:jc w:val="center"/>
              <w:rPr>
                <w:sz w:val="22"/>
              </w:rPr>
            </w:pPr>
            <w:r>
              <w:rPr>
                <w:spacing w:val="-2"/>
                <w:sz w:val="22"/>
              </w:rPr>
              <w:t>99.70</w:t>
            </w:r>
          </w:p>
        </w:tc>
        <w:tc>
          <w:tcPr>
            <w:tcW w:w="1287" w:type="dxa"/>
          </w:tcPr>
          <w:p>
            <w:pPr>
              <w:pStyle w:val="TableParagraph"/>
              <w:spacing w:line="236" w:lineRule="exact" w:before="2"/>
              <w:ind w:right="2"/>
              <w:jc w:val="center"/>
              <w:rPr>
                <w:sz w:val="22"/>
              </w:rPr>
            </w:pPr>
            <w:r>
              <w:rPr>
                <w:spacing w:val="-2"/>
                <w:sz w:val="22"/>
              </w:rPr>
              <w:t>99.30</w:t>
            </w:r>
          </w:p>
        </w:tc>
        <w:tc>
          <w:tcPr>
            <w:tcW w:w="1984" w:type="dxa"/>
          </w:tcPr>
          <w:p>
            <w:pPr>
              <w:pStyle w:val="TableParagraph"/>
              <w:spacing w:line="236" w:lineRule="exact" w:before="2"/>
              <w:ind w:left="387"/>
              <w:rPr>
                <w:sz w:val="22"/>
              </w:rPr>
            </w:pPr>
            <w:r>
              <w:rPr>
                <w:spacing w:val="-2"/>
                <w:sz w:val="22"/>
              </w:rPr>
              <w:t>97.30</w:t>
            </w:r>
          </w:p>
        </w:tc>
      </w:tr>
      <w:tr>
        <w:trPr>
          <w:trHeight w:val="252" w:hRule="atLeast"/>
        </w:trPr>
        <w:tc>
          <w:tcPr>
            <w:tcW w:w="1055" w:type="dxa"/>
          </w:tcPr>
          <w:p>
            <w:pPr>
              <w:pStyle w:val="TableParagraph"/>
              <w:spacing w:line="232" w:lineRule="exact"/>
              <w:ind w:left="115"/>
              <w:rPr>
                <w:sz w:val="22"/>
              </w:rPr>
            </w:pPr>
            <w:r>
              <w:rPr>
                <w:spacing w:val="-5"/>
                <w:sz w:val="22"/>
              </w:rPr>
              <w:t>Pan</w:t>
            </w:r>
          </w:p>
        </w:tc>
        <w:tc>
          <w:tcPr>
            <w:tcW w:w="1368" w:type="dxa"/>
          </w:tcPr>
          <w:p>
            <w:pPr>
              <w:pStyle w:val="TableParagraph"/>
              <w:spacing w:line="232" w:lineRule="exact"/>
              <w:ind w:left="601"/>
              <w:rPr>
                <w:sz w:val="22"/>
              </w:rPr>
            </w:pPr>
            <w:r>
              <w:rPr>
                <w:spacing w:val="-4"/>
                <w:sz w:val="22"/>
              </w:rPr>
              <w:t>0.15</w:t>
            </w:r>
          </w:p>
        </w:tc>
        <w:tc>
          <w:tcPr>
            <w:tcW w:w="1157" w:type="dxa"/>
          </w:tcPr>
          <w:p>
            <w:pPr>
              <w:pStyle w:val="TableParagraph"/>
              <w:spacing w:line="232" w:lineRule="exact"/>
              <w:ind w:left="260"/>
              <w:rPr>
                <w:sz w:val="22"/>
              </w:rPr>
            </w:pPr>
            <w:r>
              <w:rPr>
                <w:spacing w:val="-4"/>
                <w:sz w:val="22"/>
              </w:rPr>
              <w:t>0.25</w:t>
            </w:r>
          </w:p>
        </w:tc>
        <w:tc>
          <w:tcPr>
            <w:tcW w:w="1287" w:type="dxa"/>
          </w:tcPr>
          <w:p>
            <w:pPr>
              <w:pStyle w:val="TableParagraph"/>
              <w:spacing w:line="232" w:lineRule="exact"/>
              <w:ind w:left="389"/>
              <w:rPr>
                <w:sz w:val="22"/>
              </w:rPr>
            </w:pPr>
            <w:r>
              <w:rPr>
                <w:spacing w:val="-4"/>
                <w:sz w:val="22"/>
              </w:rPr>
              <w:t>0.90</w:t>
            </w:r>
          </w:p>
        </w:tc>
        <w:tc>
          <w:tcPr>
            <w:tcW w:w="1287" w:type="dxa"/>
          </w:tcPr>
          <w:p>
            <w:pPr>
              <w:pStyle w:val="TableParagraph"/>
              <w:spacing w:line="232" w:lineRule="exact"/>
              <w:ind w:left="2" w:right="2"/>
              <w:jc w:val="center"/>
              <w:rPr>
                <w:sz w:val="22"/>
              </w:rPr>
            </w:pPr>
            <w:r>
              <w:rPr>
                <w:spacing w:val="-2"/>
                <w:sz w:val="22"/>
              </w:rPr>
              <w:t>99.85</w:t>
            </w:r>
          </w:p>
        </w:tc>
        <w:tc>
          <w:tcPr>
            <w:tcW w:w="1287" w:type="dxa"/>
          </w:tcPr>
          <w:p>
            <w:pPr>
              <w:pStyle w:val="TableParagraph"/>
              <w:spacing w:line="232" w:lineRule="exact"/>
              <w:ind w:right="2"/>
              <w:jc w:val="center"/>
              <w:rPr>
                <w:sz w:val="22"/>
              </w:rPr>
            </w:pPr>
            <w:r>
              <w:rPr>
                <w:spacing w:val="-2"/>
                <w:sz w:val="22"/>
              </w:rPr>
              <w:t>99.55</w:t>
            </w:r>
          </w:p>
        </w:tc>
        <w:tc>
          <w:tcPr>
            <w:tcW w:w="1984" w:type="dxa"/>
          </w:tcPr>
          <w:p>
            <w:pPr>
              <w:pStyle w:val="TableParagraph"/>
              <w:spacing w:line="232" w:lineRule="exact"/>
              <w:ind w:left="387"/>
              <w:rPr>
                <w:sz w:val="22"/>
              </w:rPr>
            </w:pPr>
            <w:r>
              <w:rPr>
                <w:spacing w:val="-2"/>
                <w:sz w:val="22"/>
              </w:rPr>
              <w:t>98.20</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36"/>
              <w:rPr>
                <w:b/>
                <w:sz w:val="22"/>
              </w:rPr>
            </w:pPr>
            <w:r>
              <w:rPr>
                <w:b/>
                <w:sz w:val="22"/>
                <w:u w:val="single"/>
              </w:rPr>
              <w:t>10.0</w:t>
            </w:r>
            <w:r>
              <w:rPr>
                <w:b/>
                <w:spacing w:val="8"/>
                <w:sz w:val="22"/>
                <w:u w:val="single"/>
              </w:rPr>
              <w:t> </w:t>
            </w:r>
            <w:r>
              <w:rPr>
                <w:b/>
                <w:sz w:val="22"/>
                <w:u w:val="single"/>
              </w:rPr>
              <w:t>%</w:t>
            </w:r>
            <w:r>
              <w:rPr>
                <w:b/>
                <w:spacing w:val="6"/>
                <w:sz w:val="22"/>
                <w:u w:val="single"/>
              </w:rPr>
              <w:t> </w:t>
            </w:r>
            <w:r>
              <w:rPr>
                <w:b/>
                <w:spacing w:val="-5"/>
                <w:sz w:val="22"/>
                <w:u w:val="single"/>
              </w:rPr>
              <w:t>w/w</w:t>
            </w:r>
          </w:p>
        </w:tc>
      </w:tr>
      <w:tr>
        <w:trPr>
          <w:trHeight w:val="261" w:hRule="atLeast"/>
        </w:trPr>
        <w:tc>
          <w:tcPr>
            <w:tcW w:w="1055" w:type="dxa"/>
          </w:tcPr>
          <w:p>
            <w:pPr>
              <w:pStyle w:val="TableParagraph"/>
              <w:spacing w:line="237" w:lineRule="exact"/>
              <w:ind w:left="115"/>
              <w:rPr>
                <w:sz w:val="22"/>
              </w:rPr>
            </w:pPr>
            <w:r>
              <w:rPr>
                <w:spacing w:val="-5"/>
                <w:sz w:val="22"/>
              </w:rPr>
              <w:t>500</w:t>
            </w:r>
          </w:p>
        </w:tc>
        <w:tc>
          <w:tcPr>
            <w:tcW w:w="1368" w:type="dxa"/>
          </w:tcPr>
          <w:p>
            <w:pPr>
              <w:pStyle w:val="TableParagraph"/>
              <w:spacing w:line="237" w:lineRule="exact"/>
              <w:ind w:left="601"/>
              <w:rPr>
                <w:sz w:val="22"/>
              </w:rPr>
            </w:pPr>
            <w:r>
              <w:rPr>
                <w:spacing w:val="-2"/>
                <w:sz w:val="22"/>
              </w:rPr>
              <w:t>74.45</w:t>
            </w:r>
          </w:p>
        </w:tc>
        <w:tc>
          <w:tcPr>
            <w:tcW w:w="1157" w:type="dxa"/>
          </w:tcPr>
          <w:p>
            <w:pPr>
              <w:pStyle w:val="TableParagraph"/>
              <w:spacing w:line="237" w:lineRule="exact"/>
              <w:ind w:left="260"/>
              <w:rPr>
                <w:sz w:val="22"/>
              </w:rPr>
            </w:pPr>
            <w:r>
              <w:rPr>
                <w:spacing w:val="-2"/>
                <w:sz w:val="22"/>
              </w:rPr>
              <w:t>85.35</w:t>
            </w:r>
          </w:p>
        </w:tc>
        <w:tc>
          <w:tcPr>
            <w:tcW w:w="1287" w:type="dxa"/>
          </w:tcPr>
          <w:p>
            <w:pPr>
              <w:pStyle w:val="TableParagraph"/>
              <w:spacing w:line="237" w:lineRule="exact"/>
              <w:ind w:left="389"/>
              <w:rPr>
                <w:sz w:val="22"/>
              </w:rPr>
            </w:pPr>
            <w:r>
              <w:rPr>
                <w:spacing w:val="-2"/>
                <w:sz w:val="22"/>
              </w:rPr>
              <w:t>59.60</w:t>
            </w:r>
          </w:p>
        </w:tc>
        <w:tc>
          <w:tcPr>
            <w:tcW w:w="1287" w:type="dxa"/>
          </w:tcPr>
          <w:p>
            <w:pPr>
              <w:pStyle w:val="TableParagraph"/>
              <w:spacing w:line="237" w:lineRule="exact"/>
              <w:ind w:left="2" w:right="2"/>
              <w:jc w:val="center"/>
              <w:rPr>
                <w:sz w:val="22"/>
              </w:rPr>
            </w:pPr>
            <w:r>
              <w:rPr>
                <w:spacing w:val="-2"/>
                <w:sz w:val="22"/>
              </w:rPr>
              <w:t>74.45</w:t>
            </w:r>
          </w:p>
        </w:tc>
        <w:tc>
          <w:tcPr>
            <w:tcW w:w="1287" w:type="dxa"/>
          </w:tcPr>
          <w:p>
            <w:pPr>
              <w:pStyle w:val="TableParagraph"/>
              <w:spacing w:line="237" w:lineRule="exact"/>
              <w:ind w:right="2"/>
              <w:jc w:val="center"/>
              <w:rPr>
                <w:sz w:val="22"/>
              </w:rPr>
            </w:pPr>
            <w:r>
              <w:rPr>
                <w:spacing w:val="-2"/>
                <w:sz w:val="22"/>
              </w:rPr>
              <w:t>85.35</w:t>
            </w:r>
          </w:p>
        </w:tc>
        <w:tc>
          <w:tcPr>
            <w:tcW w:w="1984" w:type="dxa"/>
          </w:tcPr>
          <w:p>
            <w:pPr>
              <w:pStyle w:val="TableParagraph"/>
              <w:spacing w:line="237" w:lineRule="exact"/>
              <w:ind w:left="387"/>
              <w:rPr>
                <w:sz w:val="22"/>
              </w:rPr>
            </w:pPr>
            <w:r>
              <w:rPr>
                <w:spacing w:val="-4"/>
                <w:sz w:val="22"/>
              </w:rPr>
              <w:t>59.6</w:t>
            </w:r>
          </w:p>
        </w:tc>
      </w:tr>
      <w:tr>
        <w:trPr>
          <w:trHeight w:val="259" w:hRule="atLeast"/>
        </w:trPr>
        <w:tc>
          <w:tcPr>
            <w:tcW w:w="1055" w:type="dxa"/>
          </w:tcPr>
          <w:p>
            <w:pPr>
              <w:pStyle w:val="TableParagraph"/>
              <w:spacing w:line="236" w:lineRule="exact" w:before="2"/>
              <w:ind w:left="115"/>
              <w:rPr>
                <w:sz w:val="22"/>
              </w:rPr>
            </w:pPr>
            <w:r>
              <w:rPr>
                <w:spacing w:val="-5"/>
                <w:sz w:val="22"/>
              </w:rPr>
              <w:t>250</w:t>
            </w:r>
          </w:p>
        </w:tc>
        <w:tc>
          <w:tcPr>
            <w:tcW w:w="1368" w:type="dxa"/>
          </w:tcPr>
          <w:p>
            <w:pPr>
              <w:pStyle w:val="TableParagraph"/>
              <w:spacing w:line="236" w:lineRule="exact" w:before="2"/>
              <w:ind w:left="601"/>
              <w:rPr>
                <w:sz w:val="22"/>
              </w:rPr>
            </w:pPr>
            <w:r>
              <w:rPr>
                <w:spacing w:val="-2"/>
                <w:sz w:val="22"/>
              </w:rPr>
              <w:t>21.40</w:t>
            </w:r>
          </w:p>
        </w:tc>
        <w:tc>
          <w:tcPr>
            <w:tcW w:w="1157" w:type="dxa"/>
          </w:tcPr>
          <w:p>
            <w:pPr>
              <w:pStyle w:val="TableParagraph"/>
              <w:spacing w:line="236" w:lineRule="exact" w:before="2"/>
              <w:ind w:left="260"/>
              <w:rPr>
                <w:sz w:val="22"/>
              </w:rPr>
            </w:pPr>
            <w:r>
              <w:rPr>
                <w:spacing w:val="-4"/>
                <w:sz w:val="22"/>
              </w:rPr>
              <w:t>9.70</w:t>
            </w:r>
          </w:p>
        </w:tc>
        <w:tc>
          <w:tcPr>
            <w:tcW w:w="1287" w:type="dxa"/>
          </w:tcPr>
          <w:p>
            <w:pPr>
              <w:pStyle w:val="TableParagraph"/>
              <w:spacing w:line="236" w:lineRule="exact" w:before="2"/>
              <w:ind w:left="389"/>
              <w:rPr>
                <w:sz w:val="22"/>
              </w:rPr>
            </w:pPr>
            <w:r>
              <w:rPr>
                <w:spacing w:val="-2"/>
                <w:sz w:val="22"/>
              </w:rPr>
              <w:t>31.05</w:t>
            </w:r>
          </w:p>
        </w:tc>
        <w:tc>
          <w:tcPr>
            <w:tcW w:w="1287" w:type="dxa"/>
          </w:tcPr>
          <w:p>
            <w:pPr>
              <w:pStyle w:val="TableParagraph"/>
              <w:spacing w:line="236" w:lineRule="exact" w:before="2"/>
              <w:ind w:left="2" w:right="2"/>
              <w:jc w:val="center"/>
              <w:rPr>
                <w:sz w:val="22"/>
              </w:rPr>
            </w:pPr>
            <w:r>
              <w:rPr>
                <w:spacing w:val="-2"/>
                <w:sz w:val="22"/>
              </w:rPr>
              <w:t>95.85</w:t>
            </w:r>
          </w:p>
        </w:tc>
        <w:tc>
          <w:tcPr>
            <w:tcW w:w="1287" w:type="dxa"/>
          </w:tcPr>
          <w:p>
            <w:pPr>
              <w:pStyle w:val="TableParagraph"/>
              <w:spacing w:line="236" w:lineRule="exact" w:before="2"/>
              <w:ind w:right="2"/>
              <w:jc w:val="center"/>
              <w:rPr>
                <w:sz w:val="22"/>
              </w:rPr>
            </w:pPr>
            <w:r>
              <w:rPr>
                <w:spacing w:val="-2"/>
                <w:sz w:val="22"/>
              </w:rPr>
              <w:t>93.05</w:t>
            </w:r>
          </w:p>
        </w:tc>
        <w:tc>
          <w:tcPr>
            <w:tcW w:w="1984" w:type="dxa"/>
          </w:tcPr>
          <w:p>
            <w:pPr>
              <w:pStyle w:val="TableParagraph"/>
              <w:spacing w:line="236" w:lineRule="exact" w:before="2"/>
              <w:ind w:left="387"/>
              <w:rPr>
                <w:sz w:val="22"/>
              </w:rPr>
            </w:pPr>
            <w:r>
              <w:rPr>
                <w:spacing w:val="-2"/>
                <w:sz w:val="22"/>
              </w:rPr>
              <w:t>90.65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0.25</w:t>
            </w:r>
          </w:p>
        </w:tc>
        <w:tc>
          <w:tcPr>
            <w:tcW w:w="1157" w:type="dxa"/>
          </w:tcPr>
          <w:p>
            <w:pPr>
              <w:pStyle w:val="TableParagraph"/>
              <w:spacing w:line="239" w:lineRule="exact"/>
              <w:ind w:left="260"/>
              <w:rPr>
                <w:sz w:val="22"/>
              </w:rPr>
            </w:pPr>
            <w:r>
              <w:rPr>
                <w:spacing w:val="-4"/>
                <w:sz w:val="22"/>
              </w:rPr>
              <w:t>1.15</w:t>
            </w:r>
          </w:p>
        </w:tc>
        <w:tc>
          <w:tcPr>
            <w:tcW w:w="1287" w:type="dxa"/>
          </w:tcPr>
          <w:p>
            <w:pPr>
              <w:pStyle w:val="TableParagraph"/>
              <w:spacing w:line="239" w:lineRule="exact"/>
              <w:ind w:left="389"/>
              <w:rPr>
                <w:sz w:val="22"/>
              </w:rPr>
            </w:pPr>
            <w:r>
              <w:rPr>
                <w:spacing w:val="-4"/>
                <w:sz w:val="22"/>
              </w:rPr>
              <w:t>4.85</w:t>
            </w:r>
          </w:p>
        </w:tc>
        <w:tc>
          <w:tcPr>
            <w:tcW w:w="1287" w:type="dxa"/>
          </w:tcPr>
          <w:p>
            <w:pPr>
              <w:pStyle w:val="TableParagraph"/>
              <w:spacing w:line="239" w:lineRule="exact"/>
              <w:ind w:left="2" w:right="2"/>
              <w:jc w:val="center"/>
              <w:rPr>
                <w:sz w:val="22"/>
              </w:rPr>
            </w:pPr>
            <w:r>
              <w:rPr>
                <w:spacing w:val="-2"/>
                <w:sz w:val="22"/>
              </w:rPr>
              <w:t>96.10</w:t>
            </w:r>
          </w:p>
        </w:tc>
        <w:tc>
          <w:tcPr>
            <w:tcW w:w="1287" w:type="dxa"/>
          </w:tcPr>
          <w:p>
            <w:pPr>
              <w:pStyle w:val="TableParagraph"/>
              <w:spacing w:line="239" w:lineRule="exact"/>
              <w:ind w:right="2"/>
              <w:jc w:val="center"/>
              <w:rPr>
                <w:sz w:val="22"/>
              </w:rPr>
            </w:pPr>
            <w:r>
              <w:rPr>
                <w:spacing w:val="-2"/>
                <w:sz w:val="22"/>
              </w:rPr>
              <w:t>94.20</w:t>
            </w:r>
          </w:p>
        </w:tc>
        <w:tc>
          <w:tcPr>
            <w:tcW w:w="1984" w:type="dxa"/>
          </w:tcPr>
          <w:p>
            <w:pPr>
              <w:pStyle w:val="TableParagraph"/>
              <w:spacing w:line="239" w:lineRule="exact"/>
              <w:ind w:left="387"/>
              <w:rPr>
                <w:sz w:val="22"/>
              </w:rPr>
            </w:pPr>
            <w:r>
              <w:rPr>
                <w:spacing w:val="-2"/>
                <w:sz w:val="22"/>
              </w:rPr>
              <w:t>95.50</w:t>
            </w:r>
          </w:p>
        </w:tc>
      </w:tr>
      <w:tr>
        <w:trPr>
          <w:trHeight w:val="259" w:hRule="atLeast"/>
        </w:trPr>
        <w:tc>
          <w:tcPr>
            <w:tcW w:w="1055" w:type="dxa"/>
          </w:tcPr>
          <w:p>
            <w:pPr>
              <w:pStyle w:val="TableParagraph"/>
              <w:spacing w:line="236" w:lineRule="exact" w:before="2"/>
              <w:ind w:left="115"/>
              <w:rPr>
                <w:sz w:val="22"/>
              </w:rPr>
            </w:pPr>
            <w:r>
              <w:rPr>
                <w:spacing w:val="-5"/>
                <w:sz w:val="22"/>
              </w:rPr>
              <w:t>90</w:t>
            </w:r>
          </w:p>
        </w:tc>
        <w:tc>
          <w:tcPr>
            <w:tcW w:w="1368" w:type="dxa"/>
          </w:tcPr>
          <w:p>
            <w:pPr>
              <w:pStyle w:val="TableParagraph"/>
              <w:spacing w:line="236" w:lineRule="exact" w:before="2"/>
              <w:ind w:left="601"/>
              <w:rPr>
                <w:sz w:val="22"/>
              </w:rPr>
            </w:pPr>
            <w:r>
              <w:rPr>
                <w:spacing w:val="-4"/>
                <w:sz w:val="22"/>
              </w:rPr>
              <w:t>3.20</w:t>
            </w:r>
          </w:p>
        </w:tc>
        <w:tc>
          <w:tcPr>
            <w:tcW w:w="1157" w:type="dxa"/>
          </w:tcPr>
          <w:p>
            <w:pPr>
              <w:pStyle w:val="TableParagraph"/>
              <w:spacing w:line="236" w:lineRule="exact" w:before="2"/>
              <w:ind w:left="260"/>
              <w:rPr>
                <w:sz w:val="22"/>
              </w:rPr>
            </w:pPr>
            <w:r>
              <w:rPr>
                <w:spacing w:val="-4"/>
                <w:sz w:val="22"/>
              </w:rPr>
              <w:t>0.45</w:t>
            </w:r>
          </w:p>
        </w:tc>
        <w:tc>
          <w:tcPr>
            <w:tcW w:w="1287" w:type="dxa"/>
          </w:tcPr>
          <w:p>
            <w:pPr>
              <w:pStyle w:val="TableParagraph"/>
              <w:spacing w:line="236" w:lineRule="exact" w:before="2"/>
              <w:ind w:left="389"/>
              <w:rPr>
                <w:sz w:val="22"/>
              </w:rPr>
            </w:pPr>
            <w:r>
              <w:rPr>
                <w:spacing w:val="-4"/>
                <w:sz w:val="22"/>
              </w:rPr>
              <w:t>0.95</w:t>
            </w:r>
          </w:p>
        </w:tc>
        <w:tc>
          <w:tcPr>
            <w:tcW w:w="1287" w:type="dxa"/>
          </w:tcPr>
          <w:p>
            <w:pPr>
              <w:pStyle w:val="TableParagraph"/>
              <w:spacing w:line="236" w:lineRule="exact" w:before="2"/>
              <w:ind w:left="2" w:right="2"/>
              <w:jc w:val="center"/>
              <w:rPr>
                <w:sz w:val="22"/>
              </w:rPr>
            </w:pPr>
            <w:r>
              <w:rPr>
                <w:spacing w:val="-2"/>
                <w:sz w:val="22"/>
              </w:rPr>
              <w:t>99.30</w:t>
            </w:r>
          </w:p>
        </w:tc>
        <w:tc>
          <w:tcPr>
            <w:tcW w:w="1287" w:type="dxa"/>
          </w:tcPr>
          <w:p>
            <w:pPr>
              <w:pStyle w:val="TableParagraph"/>
              <w:spacing w:line="236" w:lineRule="exact" w:before="2"/>
              <w:ind w:right="2"/>
              <w:jc w:val="center"/>
              <w:rPr>
                <w:sz w:val="22"/>
              </w:rPr>
            </w:pPr>
            <w:r>
              <w:rPr>
                <w:spacing w:val="-2"/>
                <w:sz w:val="22"/>
              </w:rPr>
              <w:t>94.65</w:t>
            </w:r>
          </w:p>
        </w:tc>
        <w:tc>
          <w:tcPr>
            <w:tcW w:w="1984" w:type="dxa"/>
          </w:tcPr>
          <w:p>
            <w:pPr>
              <w:pStyle w:val="TableParagraph"/>
              <w:spacing w:line="236" w:lineRule="exact" w:before="2"/>
              <w:ind w:left="387"/>
              <w:rPr>
                <w:sz w:val="22"/>
              </w:rPr>
            </w:pPr>
            <w:r>
              <w:rPr>
                <w:spacing w:val="-2"/>
                <w:sz w:val="22"/>
              </w:rPr>
              <w:t>96.45</w:t>
            </w:r>
          </w:p>
        </w:tc>
      </w:tr>
      <w:tr>
        <w:trPr>
          <w:trHeight w:val="259" w:hRule="atLeast"/>
        </w:trPr>
        <w:tc>
          <w:tcPr>
            <w:tcW w:w="1055" w:type="dxa"/>
          </w:tcPr>
          <w:p>
            <w:pPr>
              <w:pStyle w:val="TableParagraph"/>
              <w:spacing w:line="239" w:lineRule="exact"/>
              <w:ind w:left="115"/>
              <w:rPr>
                <w:sz w:val="22"/>
              </w:rPr>
            </w:pPr>
            <w:r>
              <w:rPr>
                <w:spacing w:val="-5"/>
                <w:sz w:val="22"/>
              </w:rPr>
              <w:t>75</w:t>
            </w:r>
          </w:p>
        </w:tc>
        <w:tc>
          <w:tcPr>
            <w:tcW w:w="1368" w:type="dxa"/>
          </w:tcPr>
          <w:p>
            <w:pPr>
              <w:pStyle w:val="TableParagraph"/>
              <w:spacing w:line="239" w:lineRule="exact"/>
              <w:ind w:left="601"/>
              <w:rPr>
                <w:sz w:val="22"/>
              </w:rPr>
            </w:pPr>
            <w:r>
              <w:rPr>
                <w:spacing w:val="-4"/>
                <w:sz w:val="22"/>
              </w:rPr>
              <w:t>0.20</w:t>
            </w:r>
          </w:p>
        </w:tc>
        <w:tc>
          <w:tcPr>
            <w:tcW w:w="1157" w:type="dxa"/>
          </w:tcPr>
          <w:p>
            <w:pPr>
              <w:pStyle w:val="TableParagraph"/>
              <w:spacing w:line="239" w:lineRule="exact"/>
              <w:ind w:left="260"/>
              <w:rPr>
                <w:sz w:val="22"/>
              </w:rPr>
            </w:pPr>
            <w:r>
              <w:rPr>
                <w:spacing w:val="-4"/>
                <w:sz w:val="22"/>
              </w:rPr>
              <w:t>2.15</w:t>
            </w:r>
          </w:p>
        </w:tc>
        <w:tc>
          <w:tcPr>
            <w:tcW w:w="1287" w:type="dxa"/>
          </w:tcPr>
          <w:p>
            <w:pPr>
              <w:pStyle w:val="TableParagraph"/>
              <w:spacing w:line="239" w:lineRule="exact"/>
              <w:ind w:left="389"/>
              <w:rPr>
                <w:sz w:val="22"/>
              </w:rPr>
            </w:pPr>
            <w:r>
              <w:rPr>
                <w:spacing w:val="-4"/>
                <w:sz w:val="22"/>
              </w:rPr>
              <w:t>1.45</w:t>
            </w:r>
          </w:p>
        </w:tc>
        <w:tc>
          <w:tcPr>
            <w:tcW w:w="1287" w:type="dxa"/>
          </w:tcPr>
          <w:p>
            <w:pPr>
              <w:pStyle w:val="TableParagraph"/>
              <w:spacing w:line="239" w:lineRule="exact"/>
              <w:ind w:left="2" w:right="2"/>
              <w:jc w:val="center"/>
              <w:rPr>
                <w:sz w:val="22"/>
              </w:rPr>
            </w:pPr>
            <w:r>
              <w:rPr>
                <w:spacing w:val="-2"/>
                <w:sz w:val="22"/>
              </w:rPr>
              <w:t>99.50</w:t>
            </w:r>
          </w:p>
        </w:tc>
        <w:tc>
          <w:tcPr>
            <w:tcW w:w="1287" w:type="dxa"/>
          </w:tcPr>
          <w:p>
            <w:pPr>
              <w:pStyle w:val="TableParagraph"/>
              <w:spacing w:line="239" w:lineRule="exact"/>
              <w:ind w:right="2"/>
              <w:jc w:val="center"/>
              <w:rPr>
                <w:sz w:val="22"/>
              </w:rPr>
            </w:pPr>
            <w:r>
              <w:rPr>
                <w:spacing w:val="-2"/>
                <w:sz w:val="22"/>
              </w:rPr>
              <w:t>96.15</w:t>
            </w:r>
          </w:p>
        </w:tc>
        <w:tc>
          <w:tcPr>
            <w:tcW w:w="1984" w:type="dxa"/>
          </w:tcPr>
          <w:p>
            <w:pPr>
              <w:pStyle w:val="TableParagraph"/>
              <w:spacing w:line="239" w:lineRule="exact"/>
              <w:ind w:left="387"/>
              <w:rPr>
                <w:sz w:val="22"/>
              </w:rPr>
            </w:pPr>
            <w:r>
              <w:rPr>
                <w:spacing w:val="-2"/>
                <w:sz w:val="22"/>
              </w:rPr>
              <w:t>97.90</w:t>
            </w:r>
          </w:p>
        </w:tc>
      </w:tr>
      <w:tr>
        <w:trPr>
          <w:trHeight w:val="256" w:hRule="atLeast"/>
        </w:trPr>
        <w:tc>
          <w:tcPr>
            <w:tcW w:w="1055" w:type="dxa"/>
          </w:tcPr>
          <w:p>
            <w:pPr>
              <w:pStyle w:val="TableParagraph"/>
              <w:spacing w:line="234" w:lineRule="exact" w:before="2"/>
              <w:ind w:left="115"/>
              <w:rPr>
                <w:sz w:val="22"/>
              </w:rPr>
            </w:pPr>
            <w:r>
              <w:rPr>
                <w:spacing w:val="-5"/>
                <w:sz w:val="22"/>
              </w:rPr>
              <w:t>Pan</w:t>
            </w:r>
          </w:p>
        </w:tc>
        <w:tc>
          <w:tcPr>
            <w:tcW w:w="1368" w:type="dxa"/>
          </w:tcPr>
          <w:p>
            <w:pPr>
              <w:pStyle w:val="TableParagraph"/>
              <w:spacing w:line="234" w:lineRule="exact" w:before="2"/>
              <w:ind w:left="601"/>
              <w:rPr>
                <w:sz w:val="22"/>
              </w:rPr>
            </w:pPr>
            <w:r>
              <w:rPr>
                <w:spacing w:val="-4"/>
                <w:sz w:val="22"/>
              </w:rPr>
              <w:t>0.15</w:t>
            </w:r>
          </w:p>
        </w:tc>
        <w:tc>
          <w:tcPr>
            <w:tcW w:w="1157" w:type="dxa"/>
          </w:tcPr>
          <w:p>
            <w:pPr>
              <w:pStyle w:val="TableParagraph"/>
              <w:spacing w:line="234" w:lineRule="exact" w:before="2"/>
              <w:ind w:left="260"/>
              <w:rPr>
                <w:sz w:val="22"/>
              </w:rPr>
            </w:pPr>
            <w:r>
              <w:rPr>
                <w:spacing w:val="-4"/>
                <w:sz w:val="22"/>
              </w:rPr>
              <w:t>0.30</w:t>
            </w:r>
          </w:p>
        </w:tc>
        <w:tc>
          <w:tcPr>
            <w:tcW w:w="1287" w:type="dxa"/>
          </w:tcPr>
          <w:p>
            <w:pPr>
              <w:pStyle w:val="TableParagraph"/>
              <w:spacing w:line="234" w:lineRule="exact" w:before="2"/>
              <w:ind w:left="389"/>
              <w:rPr>
                <w:sz w:val="22"/>
              </w:rPr>
            </w:pPr>
            <w:r>
              <w:rPr>
                <w:spacing w:val="-4"/>
                <w:sz w:val="22"/>
              </w:rPr>
              <w:t>0.30</w:t>
            </w:r>
          </w:p>
        </w:tc>
        <w:tc>
          <w:tcPr>
            <w:tcW w:w="1287" w:type="dxa"/>
          </w:tcPr>
          <w:p>
            <w:pPr>
              <w:pStyle w:val="TableParagraph"/>
              <w:spacing w:line="234" w:lineRule="exact" w:before="2"/>
              <w:ind w:left="2" w:right="2"/>
              <w:jc w:val="center"/>
              <w:rPr>
                <w:sz w:val="22"/>
              </w:rPr>
            </w:pPr>
            <w:r>
              <w:rPr>
                <w:spacing w:val="-2"/>
                <w:sz w:val="22"/>
              </w:rPr>
              <w:t>99.65</w:t>
            </w:r>
          </w:p>
        </w:tc>
        <w:tc>
          <w:tcPr>
            <w:tcW w:w="1287" w:type="dxa"/>
          </w:tcPr>
          <w:p>
            <w:pPr>
              <w:pStyle w:val="TableParagraph"/>
              <w:spacing w:line="234" w:lineRule="exact" w:before="2"/>
              <w:ind w:right="2"/>
              <w:jc w:val="center"/>
              <w:rPr>
                <w:sz w:val="22"/>
              </w:rPr>
            </w:pPr>
            <w:r>
              <w:rPr>
                <w:spacing w:val="-2"/>
                <w:sz w:val="22"/>
              </w:rPr>
              <w:t>97.10</w:t>
            </w:r>
          </w:p>
        </w:tc>
        <w:tc>
          <w:tcPr>
            <w:tcW w:w="1984" w:type="dxa"/>
          </w:tcPr>
          <w:p>
            <w:pPr>
              <w:pStyle w:val="TableParagraph"/>
              <w:spacing w:line="234" w:lineRule="exact" w:before="2"/>
              <w:ind w:left="387"/>
              <w:rPr>
                <w:sz w:val="22"/>
              </w:rPr>
            </w:pPr>
            <w:r>
              <w:rPr>
                <w:spacing w:val="-2"/>
                <w:sz w:val="22"/>
              </w:rPr>
              <w:t>98.20</w:t>
            </w:r>
          </w:p>
        </w:tc>
      </w:tr>
      <w:tr>
        <w:trPr>
          <w:trHeight w:val="523" w:hRule="atLeast"/>
        </w:trPr>
        <w:tc>
          <w:tcPr>
            <w:tcW w:w="9425" w:type="dxa"/>
            <w:gridSpan w:val="7"/>
          </w:tcPr>
          <w:p>
            <w:pPr>
              <w:pStyle w:val="TableParagraph"/>
              <w:spacing w:before="16"/>
              <w:rPr>
                <w:b/>
                <w:sz w:val="22"/>
              </w:rPr>
            </w:pPr>
          </w:p>
          <w:p>
            <w:pPr>
              <w:pStyle w:val="TableParagraph"/>
              <w:spacing w:line="234" w:lineRule="exact"/>
              <w:ind w:left="436"/>
              <w:rPr>
                <w:b/>
                <w:sz w:val="22"/>
              </w:rPr>
            </w:pPr>
            <w:r>
              <w:rPr>
                <w:b/>
                <w:sz w:val="22"/>
                <w:u w:val="single"/>
              </w:rPr>
              <w:t>12.5</w:t>
            </w:r>
            <w:r>
              <w:rPr>
                <w:b/>
                <w:spacing w:val="8"/>
                <w:sz w:val="22"/>
                <w:u w:val="single"/>
              </w:rPr>
              <w:t> </w:t>
            </w:r>
            <w:r>
              <w:rPr>
                <w:b/>
                <w:sz w:val="22"/>
                <w:u w:val="single"/>
              </w:rPr>
              <w:t>%</w:t>
            </w:r>
            <w:r>
              <w:rPr>
                <w:b/>
                <w:spacing w:val="6"/>
                <w:sz w:val="22"/>
                <w:u w:val="single"/>
              </w:rPr>
              <w:t> </w:t>
            </w:r>
            <w:r>
              <w:rPr>
                <w:b/>
                <w:spacing w:val="-5"/>
                <w:sz w:val="22"/>
                <w:u w:val="single"/>
              </w:rPr>
              <w:t>w/w</w:t>
            </w:r>
          </w:p>
        </w:tc>
      </w:tr>
      <w:tr>
        <w:trPr>
          <w:trHeight w:val="256" w:hRule="atLeast"/>
        </w:trPr>
        <w:tc>
          <w:tcPr>
            <w:tcW w:w="1055" w:type="dxa"/>
          </w:tcPr>
          <w:p>
            <w:pPr>
              <w:pStyle w:val="TableParagraph"/>
              <w:spacing w:line="237" w:lineRule="exact"/>
              <w:ind w:left="115"/>
              <w:rPr>
                <w:sz w:val="22"/>
              </w:rPr>
            </w:pPr>
            <w:r>
              <w:rPr>
                <w:spacing w:val="-5"/>
                <w:sz w:val="22"/>
              </w:rPr>
              <w:t>500</w:t>
            </w:r>
          </w:p>
        </w:tc>
        <w:tc>
          <w:tcPr>
            <w:tcW w:w="1368" w:type="dxa"/>
          </w:tcPr>
          <w:p>
            <w:pPr>
              <w:pStyle w:val="TableParagraph"/>
              <w:spacing w:line="237" w:lineRule="exact"/>
              <w:ind w:left="601"/>
              <w:rPr>
                <w:sz w:val="22"/>
              </w:rPr>
            </w:pPr>
            <w:r>
              <w:rPr>
                <w:spacing w:val="-2"/>
                <w:sz w:val="22"/>
              </w:rPr>
              <w:t>84.00</w:t>
            </w:r>
          </w:p>
        </w:tc>
        <w:tc>
          <w:tcPr>
            <w:tcW w:w="1157" w:type="dxa"/>
          </w:tcPr>
          <w:p>
            <w:pPr>
              <w:pStyle w:val="TableParagraph"/>
              <w:spacing w:line="237" w:lineRule="exact"/>
              <w:ind w:left="260"/>
              <w:rPr>
                <w:sz w:val="22"/>
              </w:rPr>
            </w:pPr>
            <w:r>
              <w:rPr>
                <w:spacing w:val="-2"/>
                <w:sz w:val="22"/>
              </w:rPr>
              <w:t>78.30</w:t>
            </w:r>
          </w:p>
        </w:tc>
        <w:tc>
          <w:tcPr>
            <w:tcW w:w="1287" w:type="dxa"/>
          </w:tcPr>
          <w:p>
            <w:pPr>
              <w:pStyle w:val="TableParagraph"/>
              <w:spacing w:line="237" w:lineRule="exact"/>
              <w:ind w:left="389"/>
              <w:rPr>
                <w:sz w:val="22"/>
              </w:rPr>
            </w:pPr>
            <w:r>
              <w:rPr>
                <w:spacing w:val="-2"/>
                <w:sz w:val="22"/>
              </w:rPr>
              <w:t>84.65</w:t>
            </w:r>
          </w:p>
        </w:tc>
        <w:tc>
          <w:tcPr>
            <w:tcW w:w="1287" w:type="dxa"/>
          </w:tcPr>
          <w:p>
            <w:pPr>
              <w:pStyle w:val="TableParagraph"/>
              <w:spacing w:line="237" w:lineRule="exact"/>
              <w:ind w:left="2" w:right="2"/>
              <w:jc w:val="center"/>
              <w:rPr>
                <w:sz w:val="22"/>
              </w:rPr>
            </w:pPr>
            <w:r>
              <w:rPr>
                <w:spacing w:val="-2"/>
                <w:sz w:val="22"/>
              </w:rPr>
              <w:t>84.00</w:t>
            </w:r>
          </w:p>
        </w:tc>
        <w:tc>
          <w:tcPr>
            <w:tcW w:w="1287" w:type="dxa"/>
          </w:tcPr>
          <w:p>
            <w:pPr>
              <w:pStyle w:val="TableParagraph"/>
              <w:spacing w:line="237" w:lineRule="exact"/>
              <w:ind w:right="2"/>
              <w:jc w:val="center"/>
              <w:rPr>
                <w:sz w:val="22"/>
              </w:rPr>
            </w:pPr>
            <w:r>
              <w:rPr>
                <w:spacing w:val="-2"/>
                <w:sz w:val="22"/>
              </w:rPr>
              <w:t>78.30</w:t>
            </w:r>
          </w:p>
        </w:tc>
        <w:tc>
          <w:tcPr>
            <w:tcW w:w="1984" w:type="dxa"/>
          </w:tcPr>
          <w:p>
            <w:pPr>
              <w:pStyle w:val="TableParagraph"/>
              <w:spacing w:line="237" w:lineRule="exact"/>
              <w:ind w:left="387"/>
              <w:rPr>
                <w:sz w:val="22"/>
              </w:rPr>
            </w:pPr>
            <w:r>
              <w:rPr>
                <w:spacing w:val="-2"/>
                <w:sz w:val="22"/>
              </w:rPr>
              <w:t>84.65</w:t>
            </w:r>
          </w:p>
        </w:tc>
      </w:tr>
      <w:tr>
        <w:trPr>
          <w:trHeight w:val="261" w:hRule="atLeast"/>
        </w:trPr>
        <w:tc>
          <w:tcPr>
            <w:tcW w:w="1055" w:type="dxa"/>
          </w:tcPr>
          <w:p>
            <w:pPr>
              <w:pStyle w:val="TableParagraph"/>
              <w:spacing w:line="239" w:lineRule="exact" w:before="2"/>
              <w:ind w:left="115"/>
              <w:rPr>
                <w:sz w:val="22"/>
              </w:rPr>
            </w:pPr>
            <w:r>
              <w:rPr>
                <w:spacing w:val="-5"/>
                <w:sz w:val="22"/>
              </w:rPr>
              <w:t>250</w:t>
            </w:r>
          </w:p>
        </w:tc>
        <w:tc>
          <w:tcPr>
            <w:tcW w:w="1368" w:type="dxa"/>
          </w:tcPr>
          <w:p>
            <w:pPr>
              <w:pStyle w:val="TableParagraph"/>
              <w:spacing w:line="239" w:lineRule="exact" w:before="2"/>
              <w:ind w:left="601"/>
              <w:rPr>
                <w:sz w:val="22"/>
              </w:rPr>
            </w:pPr>
            <w:r>
              <w:rPr>
                <w:spacing w:val="-2"/>
                <w:sz w:val="22"/>
              </w:rPr>
              <w:t>10.65</w:t>
            </w:r>
          </w:p>
        </w:tc>
        <w:tc>
          <w:tcPr>
            <w:tcW w:w="1157" w:type="dxa"/>
          </w:tcPr>
          <w:p>
            <w:pPr>
              <w:pStyle w:val="TableParagraph"/>
              <w:spacing w:line="239" w:lineRule="exact" w:before="2"/>
              <w:ind w:left="260"/>
              <w:rPr>
                <w:sz w:val="22"/>
              </w:rPr>
            </w:pPr>
            <w:r>
              <w:rPr>
                <w:spacing w:val="-2"/>
                <w:sz w:val="22"/>
              </w:rPr>
              <w:t>14.55</w:t>
            </w:r>
          </w:p>
        </w:tc>
        <w:tc>
          <w:tcPr>
            <w:tcW w:w="1287" w:type="dxa"/>
          </w:tcPr>
          <w:p>
            <w:pPr>
              <w:pStyle w:val="TableParagraph"/>
              <w:spacing w:line="239" w:lineRule="exact" w:before="2"/>
              <w:ind w:left="389"/>
              <w:rPr>
                <w:sz w:val="22"/>
              </w:rPr>
            </w:pPr>
            <w:r>
              <w:rPr>
                <w:spacing w:val="-2"/>
                <w:sz w:val="22"/>
              </w:rPr>
              <w:t>11.70</w:t>
            </w:r>
          </w:p>
        </w:tc>
        <w:tc>
          <w:tcPr>
            <w:tcW w:w="1287" w:type="dxa"/>
          </w:tcPr>
          <w:p>
            <w:pPr>
              <w:pStyle w:val="TableParagraph"/>
              <w:spacing w:line="239" w:lineRule="exact" w:before="2"/>
              <w:ind w:left="2" w:right="2"/>
              <w:jc w:val="center"/>
              <w:rPr>
                <w:sz w:val="22"/>
              </w:rPr>
            </w:pPr>
            <w:r>
              <w:rPr>
                <w:spacing w:val="-2"/>
                <w:sz w:val="22"/>
              </w:rPr>
              <w:t>94.65</w:t>
            </w:r>
          </w:p>
        </w:tc>
        <w:tc>
          <w:tcPr>
            <w:tcW w:w="1287" w:type="dxa"/>
          </w:tcPr>
          <w:p>
            <w:pPr>
              <w:pStyle w:val="TableParagraph"/>
              <w:spacing w:line="239" w:lineRule="exact" w:before="2"/>
              <w:ind w:right="2"/>
              <w:jc w:val="center"/>
              <w:rPr>
                <w:sz w:val="22"/>
              </w:rPr>
            </w:pPr>
            <w:r>
              <w:rPr>
                <w:spacing w:val="-2"/>
                <w:sz w:val="22"/>
              </w:rPr>
              <w:t>92.85</w:t>
            </w:r>
          </w:p>
        </w:tc>
        <w:tc>
          <w:tcPr>
            <w:tcW w:w="1984" w:type="dxa"/>
          </w:tcPr>
          <w:p>
            <w:pPr>
              <w:pStyle w:val="TableParagraph"/>
              <w:spacing w:line="239" w:lineRule="exact" w:before="2"/>
              <w:ind w:left="387"/>
              <w:rPr>
                <w:sz w:val="22"/>
              </w:rPr>
            </w:pPr>
            <w:r>
              <w:rPr>
                <w:spacing w:val="-2"/>
                <w:sz w:val="22"/>
              </w:rPr>
              <w:t>96.35</w:t>
            </w:r>
          </w:p>
        </w:tc>
      </w:tr>
      <w:tr>
        <w:trPr>
          <w:trHeight w:val="259" w:hRule="atLeast"/>
        </w:trPr>
        <w:tc>
          <w:tcPr>
            <w:tcW w:w="1055" w:type="dxa"/>
          </w:tcPr>
          <w:p>
            <w:pPr>
              <w:pStyle w:val="TableParagraph"/>
              <w:spacing w:line="239" w:lineRule="exact"/>
              <w:ind w:left="115"/>
              <w:rPr>
                <w:sz w:val="22"/>
              </w:rPr>
            </w:pPr>
            <w:r>
              <w:rPr>
                <w:spacing w:val="-5"/>
                <w:sz w:val="22"/>
              </w:rPr>
              <w:t>150</w:t>
            </w:r>
          </w:p>
        </w:tc>
        <w:tc>
          <w:tcPr>
            <w:tcW w:w="1368" w:type="dxa"/>
          </w:tcPr>
          <w:p>
            <w:pPr>
              <w:pStyle w:val="TableParagraph"/>
              <w:spacing w:line="239" w:lineRule="exact"/>
              <w:ind w:left="601"/>
              <w:rPr>
                <w:sz w:val="22"/>
              </w:rPr>
            </w:pPr>
            <w:r>
              <w:rPr>
                <w:spacing w:val="-4"/>
                <w:sz w:val="22"/>
              </w:rPr>
              <w:t>1.85</w:t>
            </w:r>
          </w:p>
        </w:tc>
        <w:tc>
          <w:tcPr>
            <w:tcW w:w="1157" w:type="dxa"/>
          </w:tcPr>
          <w:p>
            <w:pPr>
              <w:pStyle w:val="TableParagraph"/>
              <w:spacing w:line="239" w:lineRule="exact"/>
              <w:ind w:left="260"/>
              <w:rPr>
                <w:sz w:val="22"/>
              </w:rPr>
            </w:pPr>
            <w:r>
              <w:rPr>
                <w:spacing w:val="-4"/>
                <w:sz w:val="22"/>
              </w:rPr>
              <w:t>0.95</w:t>
            </w:r>
          </w:p>
        </w:tc>
        <w:tc>
          <w:tcPr>
            <w:tcW w:w="1287" w:type="dxa"/>
          </w:tcPr>
          <w:p>
            <w:pPr>
              <w:pStyle w:val="TableParagraph"/>
              <w:spacing w:line="239" w:lineRule="exact"/>
              <w:ind w:left="389"/>
              <w:rPr>
                <w:sz w:val="22"/>
              </w:rPr>
            </w:pPr>
            <w:r>
              <w:rPr>
                <w:spacing w:val="-4"/>
                <w:sz w:val="22"/>
              </w:rPr>
              <w:t>0.95</w:t>
            </w:r>
          </w:p>
        </w:tc>
        <w:tc>
          <w:tcPr>
            <w:tcW w:w="1287" w:type="dxa"/>
          </w:tcPr>
          <w:p>
            <w:pPr>
              <w:pStyle w:val="TableParagraph"/>
              <w:spacing w:line="239" w:lineRule="exact"/>
              <w:ind w:left="2" w:right="2"/>
              <w:jc w:val="center"/>
              <w:rPr>
                <w:sz w:val="22"/>
              </w:rPr>
            </w:pPr>
            <w:r>
              <w:rPr>
                <w:spacing w:val="-2"/>
                <w:sz w:val="22"/>
              </w:rPr>
              <w:t>96.50</w:t>
            </w:r>
          </w:p>
        </w:tc>
        <w:tc>
          <w:tcPr>
            <w:tcW w:w="1287" w:type="dxa"/>
          </w:tcPr>
          <w:p>
            <w:pPr>
              <w:pStyle w:val="TableParagraph"/>
              <w:spacing w:line="239" w:lineRule="exact"/>
              <w:ind w:right="2"/>
              <w:jc w:val="center"/>
              <w:rPr>
                <w:sz w:val="22"/>
              </w:rPr>
            </w:pPr>
            <w:r>
              <w:rPr>
                <w:spacing w:val="-2"/>
                <w:sz w:val="22"/>
              </w:rPr>
              <w:t>93.80</w:t>
            </w:r>
          </w:p>
        </w:tc>
        <w:tc>
          <w:tcPr>
            <w:tcW w:w="1984" w:type="dxa"/>
          </w:tcPr>
          <w:p>
            <w:pPr>
              <w:pStyle w:val="TableParagraph"/>
              <w:spacing w:line="239" w:lineRule="exact"/>
              <w:ind w:left="387"/>
              <w:rPr>
                <w:sz w:val="22"/>
              </w:rPr>
            </w:pPr>
            <w:r>
              <w:rPr>
                <w:spacing w:val="-2"/>
                <w:sz w:val="22"/>
              </w:rPr>
              <w:t>97.30</w:t>
            </w:r>
          </w:p>
        </w:tc>
      </w:tr>
      <w:tr>
        <w:trPr>
          <w:trHeight w:val="259" w:hRule="atLeast"/>
        </w:trPr>
        <w:tc>
          <w:tcPr>
            <w:tcW w:w="1055" w:type="dxa"/>
          </w:tcPr>
          <w:p>
            <w:pPr>
              <w:pStyle w:val="TableParagraph"/>
              <w:spacing w:line="239" w:lineRule="exact"/>
              <w:ind w:left="115"/>
              <w:rPr>
                <w:sz w:val="22"/>
              </w:rPr>
            </w:pPr>
            <w:r>
              <w:rPr>
                <w:spacing w:val="-5"/>
                <w:sz w:val="22"/>
              </w:rPr>
              <w:t>90</w:t>
            </w:r>
          </w:p>
        </w:tc>
        <w:tc>
          <w:tcPr>
            <w:tcW w:w="1368" w:type="dxa"/>
          </w:tcPr>
          <w:p>
            <w:pPr>
              <w:pStyle w:val="TableParagraph"/>
              <w:spacing w:line="239" w:lineRule="exact"/>
              <w:ind w:left="601"/>
              <w:rPr>
                <w:sz w:val="22"/>
              </w:rPr>
            </w:pPr>
            <w:r>
              <w:rPr>
                <w:spacing w:val="-4"/>
                <w:sz w:val="22"/>
              </w:rPr>
              <w:t>0.75</w:t>
            </w:r>
          </w:p>
        </w:tc>
        <w:tc>
          <w:tcPr>
            <w:tcW w:w="1157" w:type="dxa"/>
          </w:tcPr>
          <w:p>
            <w:pPr>
              <w:pStyle w:val="TableParagraph"/>
              <w:spacing w:line="239" w:lineRule="exact"/>
              <w:ind w:left="260"/>
              <w:rPr>
                <w:sz w:val="22"/>
              </w:rPr>
            </w:pPr>
            <w:r>
              <w:rPr>
                <w:spacing w:val="-4"/>
                <w:sz w:val="22"/>
              </w:rPr>
              <w:t>3.55</w:t>
            </w:r>
          </w:p>
        </w:tc>
        <w:tc>
          <w:tcPr>
            <w:tcW w:w="1287" w:type="dxa"/>
          </w:tcPr>
          <w:p>
            <w:pPr>
              <w:pStyle w:val="TableParagraph"/>
              <w:spacing w:line="239" w:lineRule="exact"/>
              <w:ind w:left="389"/>
              <w:rPr>
                <w:sz w:val="22"/>
              </w:rPr>
            </w:pPr>
            <w:r>
              <w:rPr>
                <w:spacing w:val="-4"/>
                <w:sz w:val="22"/>
              </w:rPr>
              <w:t>1.05</w:t>
            </w:r>
          </w:p>
        </w:tc>
        <w:tc>
          <w:tcPr>
            <w:tcW w:w="1287" w:type="dxa"/>
          </w:tcPr>
          <w:p>
            <w:pPr>
              <w:pStyle w:val="TableParagraph"/>
              <w:spacing w:line="239" w:lineRule="exact"/>
              <w:ind w:left="2" w:right="2"/>
              <w:jc w:val="center"/>
              <w:rPr>
                <w:sz w:val="22"/>
              </w:rPr>
            </w:pPr>
            <w:r>
              <w:rPr>
                <w:spacing w:val="-2"/>
                <w:sz w:val="22"/>
              </w:rPr>
              <w:t>97.25</w:t>
            </w:r>
          </w:p>
        </w:tc>
        <w:tc>
          <w:tcPr>
            <w:tcW w:w="1287" w:type="dxa"/>
          </w:tcPr>
          <w:p>
            <w:pPr>
              <w:pStyle w:val="TableParagraph"/>
              <w:spacing w:line="239" w:lineRule="exact"/>
              <w:ind w:right="2"/>
              <w:jc w:val="center"/>
              <w:rPr>
                <w:sz w:val="22"/>
              </w:rPr>
            </w:pPr>
            <w:r>
              <w:rPr>
                <w:spacing w:val="-2"/>
                <w:sz w:val="22"/>
              </w:rPr>
              <w:t>97.35</w:t>
            </w:r>
          </w:p>
        </w:tc>
        <w:tc>
          <w:tcPr>
            <w:tcW w:w="1984" w:type="dxa"/>
          </w:tcPr>
          <w:p>
            <w:pPr>
              <w:pStyle w:val="TableParagraph"/>
              <w:spacing w:line="239" w:lineRule="exact"/>
              <w:ind w:left="387"/>
              <w:rPr>
                <w:sz w:val="22"/>
              </w:rPr>
            </w:pPr>
            <w:r>
              <w:rPr>
                <w:spacing w:val="-2"/>
                <w:sz w:val="22"/>
              </w:rPr>
              <w:t>98.35</w:t>
            </w:r>
          </w:p>
        </w:tc>
      </w:tr>
      <w:tr>
        <w:trPr>
          <w:trHeight w:val="259" w:hRule="atLeast"/>
        </w:trPr>
        <w:tc>
          <w:tcPr>
            <w:tcW w:w="1055" w:type="dxa"/>
          </w:tcPr>
          <w:p>
            <w:pPr>
              <w:pStyle w:val="TableParagraph"/>
              <w:spacing w:line="239" w:lineRule="exact"/>
              <w:ind w:left="115"/>
              <w:rPr>
                <w:sz w:val="22"/>
              </w:rPr>
            </w:pPr>
            <w:r>
              <w:rPr>
                <w:spacing w:val="-5"/>
                <w:sz w:val="22"/>
              </w:rPr>
              <w:t>75</w:t>
            </w:r>
          </w:p>
        </w:tc>
        <w:tc>
          <w:tcPr>
            <w:tcW w:w="1368" w:type="dxa"/>
          </w:tcPr>
          <w:p>
            <w:pPr>
              <w:pStyle w:val="TableParagraph"/>
              <w:spacing w:line="239" w:lineRule="exact"/>
              <w:ind w:left="601"/>
              <w:rPr>
                <w:sz w:val="22"/>
              </w:rPr>
            </w:pPr>
            <w:r>
              <w:rPr>
                <w:spacing w:val="-4"/>
                <w:sz w:val="22"/>
              </w:rPr>
              <w:t>0.70</w:t>
            </w:r>
          </w:p>
        </w:tc>
        <w:tc>
          <w:tcPr>
            <w:tcW w:w="1157" w:type="dxa"/>
          </w:tcPr>
          <w:p>
            <w:pPr>
              <w:pStyle w:val="TableParagraph"/>
              <w:spacing w:line="239" w:lineRule="exact"/>
              <w:ind w:left="260"/>
              <w:rPr>
                <w:sz w:val="22"/>
              </w:rPr>
            </w:pPr>
            <w:r>
              <w:rPr>
                <w:spacing w:val="-4"/>
                <w:sz w:val="22"/>
              </w:rPr>
              <w:t>1.40</w:t>
            </w:r>
          </w:p>
        </w:tc>
        <w:tc>
          <w:tcPr>
            <w:tcW w:w="1287" w:type="dxa"/>
          </w:tcPr>
          <w:p>
            <w:pPr>
              <w:pStyle w:val="TableParagraph"/>
              <w:spacing w:line="239" w:lineRule="exact"/>
              <w:ind w:left="389"/>
              <w:rPr>
                <w:sz w:val="22"/>
              </w:rPr>
            </w:pPr>
            <w:r>
              <w:rPr>
                <w:spacing w:val="-4"/>
                <w:sz w:val="22"/>
              </w:rPr>
              <w:t>0.55</w:t>
            </w:r>
          </w:p>
        </w:tc>
        <w:tc>
          <w:tcPr>
            <w:tcW w:w="1287" w:type="dxa"/>
          </w:tcPr>
          <w:p>
            <w:pPr>
              <w:pStyle w:val="TableParagraph"/>
              <w:spacing w:line="239" w:lineRule="exact"/>
              <w:ind w:left="2" w:right="2"/>
              <w:jc w:val="center"/>
              <w:rPr>
                <w:sz w:val="22"/>
              </w:rPr>
            </w:pPr>
            <w:r>
              <w:rPr>
                <w:spacing w:val="-2"/>
                <w:sz w:val="22"/>
              </w:rPr>
              <w:t>97.95</w:t>
            </w:r>
          </w:p>
        </w:tc>
        <w:tc>
          <w:tcPr>
            <w:tcW w:w="1287" w:type="dxa"/>
          </w:tcPr>
          <w:p>
            <w:pPr>
              <w:pStyle w:val="TableParagraph"/>
              <w:spacing w:line="239" w:lineRule="exact"/>
              <w:ind w:right="2"/>
              <w:jc w:val="center"/>
              <w:rPr>
                <w:sz w:val="22"/>
              </w:rPr>
            </w:pPr>
            <w:r>
              <w:rPr>
                <w:spacing w:val="-2"/>
                <w:sz w:val="22"/>
              </w:rPr>
              <w:t>98.75</w:t>
            </w:r>
          </w:p>
        </w:tc>
        <w:tc>
          <w:tcPr>
            <w:tcW w:w="1984" w:type="dxa"/>
          </w:tcPr>
          <w:p>
            <w:pPr>
              <w:pStyle w:val="TableParagraph"/>
              <w:spacing w:line="239" w:lineRule="exact"/>
              <w:ind w:left="387"/>
              <w:rPr>
                <w:sz w:val="22"/>
              </w:rPr>
            </w:pPr>
            <w:r>
              <w:rPr>
                <w:spacing w:val="-2"/>
                <w:sz w:val="22"/>
              </w:rPr>
              <w:t>98.90</w:t>
            </w:r>
          </w:p>
        </w:tc>
      </w:tr>
      <w:tr>
        <w:trPr>
          <w:trHeight w:val="253" w:hRule="atLeast"/>
        </w:trPr>
        <w:tc>
          <w:tcPr>
            <w:tcW w:w="1055" w:type="dxa"/>
            <w:tcBorders>
              <w:bottom w:val="single" w:sz="4" w:space="0" w:color="000000"/>
            </w:tcBorders>
          </w:tcPr>
          <w:p>
            <w:pPr>
              <w:pStyle w:val="TableParagraph"/>
              <w:spacing w:line="233" w:lineRule="exact"/>
              <w:ind w:left="115"/>
              <w:rPr>
                <w:sz w:val="22"/>
              </w:rPr>
            </w:pPr>
            <w:r>
              <w:rPr>
                <w:spacing w:val="-5"/>
                <w:sz w:val="22"/>
              </w:rPr>
              <w:t>Pan</w:t>
            </w:r>
          </w:p>
        </w:tc>
        <w:tc>
          <w:tcPr>
            <w:tcW w:w="1368" w:type="dxa"/>
            <w:tcBorders>
              <w:bottom w:val="single" w:sz="4" w:space="0" w:color="000000"/>
            </w:tcBorders>
          </w:tcPr>
          <w:p>
            <w:pPr>
              <w:pStyle w:val="TableParagraph"/>
              <w:spacing w:line="233" w:lineRule="exact"/>
              <w:ind w:left="601"/>
              <w:rPr>
                <w:sz w:val="22"/>
              </w:rPr>
            </w:pPr>
            <w:r>
              <w:rPr>
                <w:spacing w:val="-4"/>
                <w:sz w:val="22"/>
              </w:rPr>
              <w:t>0.65</w:t>
            </w:r>
          </w:p>
        </w:tc>
        <w:tc>
          <w:tcPr>
            <w:tcW w:w="1157" w:type="dxa"/>
            <w:tcBorders>
              <w:bottom w:val="single" w:sz="4" w:space="0" w:color="000000"/>
            </w:tcBorders>
          </w:tcPr>
          <w:p>
            <w:pPr>
              <w:pStyle w:val="TableParagraph"/>
              <w:spacing w:line="233" w:lineRule="exact"/>
              <w:ind w:left="260"/>
              <w:rPr>
                <w:sz w:val="22"/>
              </w:rPr>
            </w:pPr>
            <w:r>
              <w:rPr>
                <w:spacing w:val="-4"/>
                <w:sz w:val="22"/>
              </w:rPr>
              <w:t>0.25</w:t>
            </w:r>
          </w:p>
        </w:tc>
        <w:tc>
          <w:tcPr>
            <w:tcW w:w="1287" w:type="dxa"/>
            <w:tcBorders>
              <w:bottom w:val="single" w:sz="4" w:space="0" w:color="000000"/>
            </w:tcBorders>
          </w:tcPr>
          <w:p>
            <w:pPr>
              <w:pStyle w:val="TableParagraph"/>
              <w:spacing w:line="233" w:lineRule="exact"/>
              <w:ind w:left="389"/>
              <w:rPr>
                <w:sz w:val="22"/>
              </w:rPr>
            </w:pPr>
            <w:r>
              <w:rPr>
                <w:spacing w:val="-4"/>
                <w:sz w:val="22"/>
              </w:rPr>
              <w:t>0.35</w:t>
            </w:r>
          </w:p>
        </w:tc>
        <w:tc>
          <w:tcPr>
            <w:tcW w:w="1287" w:type="dxa"/>
            <w:tcBorders>
              <w:bottom w:val="single" w:sz="4" w:space="0" w:color="000000"/>
            </w:tcBorders>
          </w:tcPr>
          <w:p>
            <w:pPr>
              <w:pStyle w:val="TableParagraph"/>
              <w:spacing w:line="233" w:lineRule="exact"/>
              <w:ind w:left="2" w:right="2"/>
              <w:jc w:val="center"/>
              <w:rPr>
                <w:sz w:val="22"/>
              </w:rPr>
            </w:pPr>
            <w:r>
              <w:rPr>
                <w:spacing w:val="-2"/>
                <w:sz w:val="22"/>
              </w:rPr>
              <w:t>98.60</w:t>
            </w:r>
          </w:p>
        </w:tc>
        <w:tc>
          <w:tcPr>
            <w:tcW w:w="1287" w:type="dxa"/>
            <w:tcBorders>
              <w:bottom w:val="single" w:sz="4" w:space="0" w:color="000000"/>
            </w:tcBorders>
          </w:tcPr>
          <w:p>
            <w:pPr>
              <w:pStyle w:val="TableParagraph"/>
              <w:spacing w:line="233" w:lineRule="exact"/>
              <w:ind w:right="2"/>
              <w:jc w:val="center"/>
              <w:rPr>
                <w:sz w:val="22"/>
              </w:rPr>
            </w:pPr>
            <w:r>
              <w:rPr>
                <w:spacing w:val="-2"/>
                <w:sz w:val="22"/>
              </w:rPr>
              <w:t>99.00</w:t>
            </w:r>
          </w:p>
        </w:tc>
        <w:tc>
          <w:tcPr>
            <w:tcW w:w="1984" w:type="dxa"/>
            <w:tcBorders>
              <w:bottom w:val="single" w:sz="4" w:space="0" w:color="000000"/>
            </w:tcBorders>
          </w:tcPr>
          <w:p>
            <w:pPr>
              <w:pStyle w:val="TableParagraph"/>
              <w:spacing w:line="233" w:lineRule="exact"/>
              <w:ind w:left="387"/>
              <w:rPr>
                <w:sz w:val="22"/>
              </w:rPr>
            </w:pPr>
            <w:r>
              <w:rPr>
                <w:spacing w:val="-2"/>
                <w:sz w:val="22"/>
              </w:rPr>
              <w:t>99.25</w:t>
            </w:r>
          </w:p>
        </w:tc>
      </w:tr>
    </w:tbl>
    <w:p>
      <w:pPr>
        <w:spacing w:after="0" w:line="233" w:lineRule="exact"/>
        <w:rPr>
          <w:sz w:val="22"/>
        </w:rPr>
        <w:sectPr>
          <w:type w:val="continuous"/>
          <w:pgSz w:w="12240" w:h="15840"/>
          <w:pgMar w:header="0" w:footer="999" w:top="178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48"/>
        <w:rPr>
          <w:b/>
          <w:sz w:val="19"/>
        </w:rPr>
      </w:pPr>
    </w:p>
    <w:p>
      <w:pPr>
        <w:spacing w:before="0"/>
        <w:ind w:left="1529" w:right="0" w:firstLine="0"/>
        <w:jc w:val="left"/>
        <w:rPr>
          <w:rFonts w:ascii="Calibri"/>
          <w:sz w:val="19"/>
        </w:rPr>
      </w:pPr>
      <w:r>
        <w:rPr/>
        <mc:AlternateContent>
          <mc:Choice Requires="wps">
            <w:drawing>
              <wp:anchor distT="0" distB="0" distL="0" distR="0" allowOverlap="1" layoutInCell="1" locked="0" behindDoc="0" simplePos="0" relativeHeight="15757312">
                <wp:simplePos x="0" y="0"/>
                <wp:positionH relativeFrom="page">
                  <wp:posOffset>2319527</wp:posOffset>
                </wp:positionH>
                <wp:positionV relativeFrom="paragraph">
                  <wp:posOffset>72427</wp:posOffset>
                </wp:positionV>
                <wp:extent cx="3880485" cy="3542029"/>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3880485" cy="3542029"/>
                          <a:chExt cx="3880485" cy="3542029"/>
                        </a:xfrm>
                      </wpg:grpSpPr>
                      <wps:wsp>
                        <wps:cNvPr id="110" name="Graphic 110"/>
                        <wps:cNvSpPr/>
                        <wps:spPr>
                          <a:xfrm>
                            <a:off x="0" y="0"/>
                            <a:ext cx="3807460" cy="3542029"/>
                          </a:xfrm>
                          <a:custGeom>
                            <a:avLst/>
                            <a:gdLst/>
                            <a:ahLst/>
                            <a:cxnLst/>
                            <a:rect l="l" t="t" r="r" b="b"/>
                            <a:pathLst>
                              <a:path w="3807460" h="3542029">
                                <a:moveTo>
                                  <a:pt x="3806952" y="3502152"/>
                                </a:moveTo>
                                <a:lnTo>
                                  <a:pt x="3803904" y="3502152"/>
                                </a:lnTo>
                                <a:lnTo>
                                  <a:pt x="3803904" y="3499104"/>
                                </a:lnTo>
                                <a:lnTo>
                                  <a:pt x="42672" y="3499104"/>
                                </a:lnTo>
                                <a:lnTo>
                                  <a:pt x="42672" y="6096"/>
                                </a:lnTo>
                                <a:lnTo>
                                  <a:pt x="36576" y="6096"/>
                                </a:lnTo>
                                <a:lnTo>
                                  <a:pt x="36576" y="0"/>
                                </a:lnTo>
                                <a:lnTo>
                                  <a:pt x="0" y="0"/>
                                </a:lnTo>
                                <a:lnTo>
                                  <a:pt x="0" y="9144"/>
                                </a:lnTo>
                                <a:lnTo>
                                  <a:pt x="36576" y="9144"/>
                                </a:lnTo>
                                <a:lnTo>
                                  <a:pt x="36576" y="585216"/>
                                </a:lnTo>
                                <a:lnTo>
                                  <a:pt x="0" y="585216"/>
                                </a:lnTo>
                                <a:lnTo>
                                  <a:pt x="0" y="594360"/>
                                </a:lnTo>
                                <a:lnTo>
                                  <a:pt x="36576" y="594360"/>
                                </a:lnTo>
                                <a:lnTo>
                                  <a:pt x="36576" y="1167384"/>
                                </a:lnTo>
                                <a:lnTo>
                                  <a:pt x="0" y="1167384"/>
                                </a:lnTo>
                                <a:lnTo>
                                  <a:pt x="0" y="1173480"/>
                                </a:lnTo>
                                <a:lnTo>
                                  <a:pt x="36576" y="1173480"/>
                                </a:lnTo>
                                <a:lnTo>
                                  <a:pt x="36576" y="1749552"/>
                                </a:lnTo>
                                <a:lnTo>
                                  <a:pt x="0" y="1749552"/>
                                </a:lnTo>
                                <a:lnTo>
                                  <a:pt x="0" y="1758696"/>
                                </a:lnTo>
                                <a:lnTo>
                                  <a:pt x="36576" y="1758696"/>
                                </a:lnTo>
                                <a:lnTo>
                                  <a:pt x="36576" y="2331720"/>
                                </a:lnTo>
                                <a:lnTo>
                                  <a:pt x="0" y="2331720"/>
                                </a:lnTo>
                                <a:lnTo>
                                  <a:pt x="0" y="2340864"/>
                                </a:lnTo>
                                <a:lnTo>
                                  <a:pt x="36576" y="2340864"/>
                                </a:lnTo>
                                <a:lnTo>
                                  <a:pt x="36576" y="2916936"/>
                                </a:lnTo>
                                <a:lnTo>
                                  <a:pt x="0" y="2916936"/>
                                </a:lnTo>
                                <a:lnTo>
                                  <a:pt x="0" y="2926080"/>
                                </a:lnTo>
                                <a:lnTo>
                                  <a:pt x="36576" y="2926080"/>
                                </a:lnTo>
                                <a:lnTo>
                                  <a:pt x="36576" y="3499104"/>
                                </a:lnTo>
                                <a:lnTo>
                                  <a:pt x="0" y="3499104"/>
                                </a:lnTo>
                                <a:lnTo>
                                  <a:pt x="0" y="3508248"/>
                                </a:lnTo>
                                <a:lnTo>
                                  <a:pt x="33528" y="3508248"/>
                                </a:lnTo>
                                <a:lnTo>
                                  <a:pt x="33528" y="3541788"/>
                                </a:lnTo>
                                <a:lnTo>
                                  <a:pt x="42672" y="3541788"/>
                                </a:lnTo>
                                <a:lnTo>
                                  <a:pt x="42672" y="3508248"/>
                                </a:lnTo>
                                <a:lnTo>
                                  <a:pt x="661416" y="3508248"/>
                                </a:lnTo>
                                <a:lnTo>
                                  <a:pt x="661416" y="3541788"/>
                                </a:lnTo>
                                <a:lnTo>
                                  <a:pt x="670560" y="3541788"/>
                                </a:lnTo>
                                <a:lnTo>
                                  <a:pt x="670560" y="3508248"/>
                                </a:lnTo>
                                <a:lnTo>
                                  <a:pt x="1289304" y="3508248"/>
                                </a:lnTo>
                                <a:lnTo>
                                  <a:pt x="1289304" y="3541788"/>
                                </a:lnTo>
                                <a:lnTo>
                                  <a:pt x="1298448" y="3541788"/>
                                </a:lnTo>
                                <a:lnTo>
                                  <a:pt x="1298448" y="3508248"/>
                                </a:lnTo>
                                <a:lnTo>
                                  <a:pt x="1917192" y="3508248"/>
                                </a:lnTo>
                                <a:lnTo>
                                  <a:pt x="1917192" y="3541788"/>
                                </a:lnTo>
                                <a:lnTo>
                                  <a:pt x="1923288" y="3541788"/>
                                </a:lnTo>
                                <a:lnTo>
                                  <a:pt x="1923288" y="3508248"/>
                                </a:lnTo>
                                <a:lnTo>
                                  <a:pt x="2542032" y="3508248"/>
                                </a:lnTo>
                                <a:lnTo>
                                  <a:pt x="2542032" y="3541788"/>
                                </a:lnTo>
                                <a:lnTo>
                                  <a:pt x="2551176" y="3541788"/>
                                </a:lnTo>
                                <a:lnTo>
                                  <a:pt x="2551176" y="3508248"/>
                                </a:lnTo>
                                <a:lnTo>
                                  <a:pt x="3169920" y="3508248"/>
                                </a:lnTo>
                                <a:lnTo>
                                  <a:pt x="3169920" y="3541788"/>
                                </a:lnTo>
                                <a:lnTo>
                                  <a:pt x="3179064" y="3541788"/>
                                </a:lnTo>
                                <a:lnTo>
                                  <a:pt x="3179064" y="3508248"/>
                                </a:lnTo>
                                <a:lnTo>
                                  <a:pt x="3797808" y="3508248"/>
                                </a:lnTo>
                                <a:lnTo>
                                  <a:pt x="3797808" y="3541788"/>
                                </a:lnTo>
                                <a:lnTo>
                                  <a:pt x="3806952" y="3541788"/>
                                </a:lnTo>
                                <a:lnTo>
                                  <a:pt x="3806952" y="3502152"/>
                                </a:lnTo>
                                <a:close/>
                              </a:path>
                            </a:pathLst>
                          </a:custGeom>
                          <a:solidFill>
                            <a:srgbClr val="858585"/>
                          </a:solidFill>
                        </wps:spPr>
                        <wps:bodyPr wrap="square" lIns="0" tIns="0" rIns="0" bIns="0" rtlCol="0">
                          <a:prstTxWarp prst="textNoShape">
                            <a:avLst/>
                          </a:prstTxWarp>
                          <a:noAutofit/>
                        </wps:bodyPr>
                      </wps:wsp>
                      <wps:wsp>
                        <wps:cNvPr id="111" name="Graphic 111"/>
                        <wps:cNvSpPr/>
                        <wps:spPr>
                          <a:xfrm>
                            <a:off x="341375" y="600455"/>
                            <a:ext cx="3164205" cy="744220"/>
                          </a:xfrm>
                          <a:custGeom>
                            <a:avLst/>
                            <a:gdLst/>
                            <a:ahLst/>
                            <a:cxnLst/>
                            <a:rect l="l" t="t" r="r" b="b"/>
                            <a:pathLst>
                              <a:path w="3164205" h="744220">
                                <a:moveTo>
                                  <a:pt x="2517629" y="218949"/>
                                </a:moveTo>
                                <a:lnTo>
                                  <a:pt x="3139440" y="740663"/>
                                </a:lnTo>
                                <a:lnTo>
                                  <a:pt x="3145535" y="743712"/>
                                </a:lnTo>
                                <a:lnTo>
                                  <a:pt x="3154680" y="743712"/>
                                </a:lnTo>
                                <a:lnTo>
                                  <a:pt x="3157728" y="737615"/>
                                </a:lnTo>
                                <a:lnTo>
                                  <a:pt x="3163823" y="734568"/>
                                </a:lnTo>
                                <a:lnTo>
                                  <a:pt x="3163823" y="725424"/>
                                </a:lnTo>
                                <a:lnTo>
                                  <a:pt x="3157728" y="719327"/>
                                </a:lnTo>
                                <a:lnTo>
                                  <a:pt x="2559044" y="219456"/>
                                </a:lnTo>
                                <a:lnTo>
                                  <a:pt x="2520696" y="219456"/>
                                </a:lnTo>
                                <a:lnTo>
                                  <a:pt x="2517629" y="218949"/>
                                </a:lnTo>
                                <a:close/>
                              </a:path>
                              <a:path w="3164205" h="744220">
                                <a:moveTo>
                                  <a:pt x="2514599" y="216408"/>
                                </a:moveTo>
                                <a:lnTo>
                                  <a:pt x="2517629" y="218949"/>
                                </a:lnTo>
                                <a:lnTo>
                                  <a:pt x="2520696" y="219456"/>
                                </a:lnTo>
                                <a:lnTo>
                                  <a:pt x="2514599" y="216408"/>
                                </a:lnTo>
                                <a:close/>
                              </a:path>
                              <a:path w="3164205" h="744220">
                                <a:moveTo>
                                  <a:pt x="2555393" y="216408"/>
                                </a:moveTo>
                                <a:lnTo>
                                  <a:pt x="2514599" y="216408"/>
                                </a:lnTo>
                                <a:lnTo>
                                  <a:pt x="2520696" y="219456"/>
                                </a:lnTo>
                                <a:lnTo>
                                  <a:pt x="2559044" y="219456"/>
                                </a:lnTo>
                                <a:lnTo>
                                  <a:pt x="2555393" y="216408"/>
                                </a:lnTo>
                                <a:close/>
                              </a:path>
                              <a:path w="3164205" h="744220">
                                <a:moveTo>
                                  <a:pt x="12191" y="0"/>
                                </a:moveTo>
                                <a:lnTo>
                                  <a:pt x="6095" y="0"/>
                                </a:lnTo>
                                <a:lnTo>
                                  <a:pt x="0" y="6096"/>
                                </a:lnTo>
                                <a:lnTo>
                                  <a:pt x="0" y="21336"/>
                                </a:lnTo>
                                <a:lnTo>
                                  <a:pt x="3047" y="27432"/>
                                </a:lnTo>
                                <a:lnTo>
                                  <a:pt x="640080" y="33527"/>
                                </a:lnTo>
                                <a:lnTo>
                                  <a:pt x="1264920" y="100584"/>
                                </a:lnTo>
                                <a:lnTo>
                                  <a:pt x="1892808" y="115824"/>
                                </a:lnTo>
                                <a:lnTo>
                                  <a:pt x="2517629" y="218949"/>
                                </a:lnTo>
                                <a:lnTo>
                                  <a:pt x="2514599" y="216408"/>
                                </a:lnTo>
                                <a:lnTo>
                                  <a:pt x="2555393" y="216408"/>
                                </a:lnTo>
                                <a:lnTo>
                                  <a:pt x="2529840" y="195072"/>
                                </a:lnTo>
                                <a:lnTo>
                                  <a:pt x="2526792" y="195072"/>
                                </a:lnTo>
                                <a:lnTo>
                                  <a:pt x="2523744" y="192024"/>
                                </a:lnTo>
                                <a:lnTo>
                                  <a:pt x="1895856" y="91439"/>
                                </a:lnTo>
                                <a:lnTo>
                                  <a:pt x="1267968" y="76200"/>
                                </a:lnTo>
                                <a:lnTo>
                                  <a:pt x="640080" y="6096"/>
                                </a:lnTo>
                                <a:lnTo>
                                  <a:pt x="12191" y="0"/>
                                </a:lnTo>
                                <a:close/>
                              </a:path>
                            </a:pathLst>
                          </a:custGeom>
                          <a:solidFill>
                            <a:srgbClr val="497DBA"/>
                          </a:solidFill>
                        </wps:spPr>
                        <wps:bodyPr wrap="square" lIns="0" tIns="0" rIns="0" bIns="0" rtlCol="0">
                          <a:prstTxWarp prst="textNoShape">
                            <a:avLst/>
                          </a:prstTxWarp>
                          <a:noAutofit/>
                        </wps:bodyPr>
                      </wps:wsp>
                      <pic:pic>
                        <pic:nvPicPr>
                          <pic:cNvPr id="112" name="Image 112"/>
                          <pic:cNvPicPr/>
                        </pic:nvPicPr>
                        <pic:blipFill>
                          <a:blip r:embed="rId30" cstate="print"/>
                          <a:stretch>
                            <a:fillRect/>
                          </a:stretch>
                        </pic:blipFill>
                        <pic:spPr>
                          <a:xfrm>
                            <a:off x="301752" y="566927"/>
                            <a:ext cx="3233928" cy="1764791"/>
                          </a:xfrm>
                          <a:prstGeom prst="rect">
                            <a:avLst/>
                          </a:prstGeom>
                        </pic:spPr>
                      </pic:pic>
                      <wps:wsp>
                        <wps:cNvPr id="113" name="Graphic 113"/>
                        <wps:cNvSpPr/>
                        <wps:spPr>
                          <a:xfrm>
                            <a:off x="3624071" y="356615"/>
                            <a:ext cx="256540" cy="27940"/>
                          </a:xfrm>
                          <a:custGeom>
                            <a:avLst/>
                            <a:gdLst/>
                            <a:ahLst/>
                            <a:cxnLst/>
                            <a:rect l="l" t="t" r="r" b="b"/>
                            <a:pathLst>
                              <a:path w="256540" h="27940">
                                <a:moveTo>
                                  <a:pt x="249936" y="0"/>
                                </a:moveTo>
                                <a:lnTo>
                                  <a:pt x="15239" y="0"/>
                                </a:lnTo>
                                <a:lnTo>
                                  <a:pt x="6096" y="0"/>
                                </a:lnTo>
                                <a:lnTo>
                                  <a:pt x="0" y="6096"/>
                                </a:lnTo>
                                <a:lnTo>
                                  <a:pt x="0" y="21336"/>
                                </a:lnTo>
                                <a:lnTo>
                                  <a:pt x="6096" y="27431"/>
                                </a:lnTo>
                                <a:lnTo>
                                  <a:pt x="249936" y="27431"/>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114" name="Image 114"/>
                          <pic:cNvPicPr/>
                        </pic:nvPicPr>
                        <pic:blipFill>
                          <a:blip r:embed="rId31" cstate="print"/>
                          <a:stretch>
                            <a:fillRect/>
                          </a:stretch>
                        </pic:blipFill>
                        <pic:spPr>
                          <a:xfrm>
                            <a:off x="3715511" y="332231"/>
                            <a:ext cx="76200" cy="76200"/>
                          </a:xfrm>
                          <a:prstGeom prst="rect">
                            <a:avLst/>
                          </a:prstGeom>
                        </pic:spPr>
                      </pic:pic>
                      <wps:wsp>
                        <wps:cNvPr id="115" name="Graphic 115"/>
                        <wps:cNvSpPr/>
                        <wps:spPr>
                          <a:xfrm>
                            <a:off x="3624071" y="710183"/>
                            <a:ext cx="256540" cy="24765"/>
                          </a:xfrm>
                          <a:custGeom>
                            <a:avLst/>
                            <a:gdLst/>
                            <a:ahLst/>
                            <a:cxnLst/>
                            <a:rect l="l" t="t" r="r" b="b"/>
                            <a:pathLst>
                              <a:path w="256540" h="24765">
                                <a:moveTo>
                                  <a:pt x="249936" y="0"/>
                                </a:moveTo>
                                <a:lnTo>
                                  <a:pt x="15239" y="0"/>
                                </a:lnTo>
                                <a:lnTo>
                                  <a:pt x="6096" y="0"/>
                                </a:lnTo>
                                <a:lnTo>
                                  <a:pt x="0" y="6096"/>
                                </a:lnTo>
                                <a:lnTo>
                                  <a:pt x="0" y="18287"/>
                                </a:lnTo>
                                <a:lnTo>
                                  <a:pt x="6096" y="24384"/>
                                </a:lnTo>
                                <a:lnTo>
                                  <a:pt x="249936" y="24384"/>
                                </a:lnTo>
                                <a:lnTo>
                                  <a:pt x="256032" y="18287"/>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116" name="Graphic 116"/>
                        <wps:cNvSpPr/>
                        <wps:spPr>
                          <a:xfrm>
                            <a:off x="3718559" y="688848"/>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BF4F4C"/>
                          </a:solidFill>
                        </wps:spPr>
                        <wps:bodyPr wrap="square" lIns="0" tIns="0" rIns="0" bIns="0" rtlCol="0">
                          <a:prstTxWarp prst="textNoShape">
                            <a:avLst/>
                          </a:prstTxWarp>
                          <a:noAutofit/>
                        </wps:bodyPr>
                      </wps:wsp>
                      <wps:wsp>
                        <wps:cNvPr id="117" name="Graphic 117"/>
                        <wps:cNvSpPr/>
                        <wps:spPr>
                          <a:xfrm>
                            <a:off x="3712464" y="682751"/>
                            <a:ext cx="82550" cy="82550"/>
                          </a:xfrm>
                          <a:custGeom>
                            <a:avLst/>
                            <a:gdLst/>
                            <a:ahLst/>
                            <a:cxnLst/>
                            <a:rect l="l" t="t" r="r" b="b"/>
                            <a:pathLst>
                              <a:path w="82550" h="82550">
                                <a:moveTo>
                                  <a:pt x="76200" y="0"/>
                                </a:moveTo>
                                <a:lnTo>
                                  <a:pt x="6096" y="0"/>
                                </a:lnTo>
                                <a:lnTo>
                                  <a:pt x="0" y="6095"/>
                                </a:lnTo>
                                <a:lnTo>
                                  <a:pt x="0" y="76200"/>
                                </a:lnTo>
                                <a:lnTo>
                                  <a:pt x="6096" y="82295"/>
                                </a:lnTo>
                                <a:lnTo>
                                  <a:pt x="76200" y="82295"/>
                                </a:lnTo>
                                <a:lnTo>
                                  <a:pt x="82296" y="76200"/>
                                </a:lnTo>
                                <a:lnTo>
                                  <a:pt x="9144" y="76200"/>
                                </a:lnTo>
                                <a:lnTo>
                                  <a:pt x="6096" y="73151"/>
                                </a:lnTo>
                                <a:lnTo>
                                  <a:pt x="9144" y="73151"/>
                                </a:lnTo>
                                <a:lnTo>
                                  <a:pt x="9144" y="9143"/>
                                </a:lnTo>
                                <a:lnTo>
                                  <a:pt x="6096" y="9143"/>
                                </a:lnTo>
                                <a:lnTo>
                                  <a:pt x="9144" y="6095"/>
                                </a:lnTo>
                                <a:lnTo>
                                  <a:pt x="82296" y="6095"/>
                                </a:lnTo>
                                <a:lnTo>
                                  <a:pt x="76200" y="0"/>
                                </a:lnTo>
                                <a:close/>
                              </a:path>
                              <a:path w="82550" h="82550">
                                <a:moveTo>
                                  <a:pt x="9144" y="73151"/>
                                </a:moveTo>
                                <a:lnTo>
                                  <a:pt x="6096" y="73151"/>
                                </a:lnTo>
                                <a:lnTo>
                                  <a:pt x="9144" y="76200"/>
                                </a:lnTo>
                                <a:lnTo>
                                  <a:pt x="9144" y="73151"/>
                                </a:lnTo>
                                <a:close/>
                              </a:path>
                              <a:path w="82550" h="82550">
                                <a:moveTo>
                                  <a:pt x="73152" y="73151"/>
                                </a:moveTo>
                                <a:lnTo>
                                  <a:pt x="9144" y="73151"/>
                                </a:lnTo>
                                <a:lnTo>
                                  <a:pt x="9144" y="76200"/>
                                </a:lnTo>
                                <a:lnTo>
                                  <a:pt x="73152" y="76200"/>
                                </a:lnTo>
                                <a:lnTo>
                                  <a:pt x="73152" y="73151"/>
                                </a:lnTo>
                                <a:close/>
                              </a:path>
                              <a:path w="82550" h="82550">
                                <a:moveTo>
                                  <a:pt x="73152" y="6095"/>
                                </a:moveTo>
                                <a:lnTo>
                                  <a:pt x="73152" y="76200"/>
                                </a:lnTo>
                                <a:lnTo>
                                  <a:pt x="76200" y="73151"/>
                                </a:lnTo>
                                <a:lnTo>
                                  <a:pt x="82296" y="73151"/>
                                </a:lnTo>
                                <a:lnTo>
                                  <a:pt x="82296" y="9143"/>
                                </a:lnTo>
                                <a:lnTo>
                                  <a:pt x="76200" y="9143"/>
                                </a:lnTo>
                                <a:lnTo>
                                  <a:pt x="73152" y="6095"/>
                                </a:lnTo>
                                <a:close/>
                              </a:path>
                              <a:path w="82550" h="82550">
                                <a:moveTo>
                                  <a:pt x="82296" y="73151"/>
                                </a:moveTo>
                                <a:lnTo>
                                  <a:pt x="76200" y="73151"/>
                                </a:lnTo>
                                <a:lnTo>
                                  <a:pt x="73152" y="76200"/>
                                </a:lnTo>
                                <a:lnTo>
                                  <a:pt x="82296" y="76200"/>
                                </a:lnTo>
                                <a:lnTo>
                                  <a:pt x="82296" y="73151"/>
                                </a:lnTo>
                                <a:close/>
                              </a:path>
                              <a:path w="82550" h="82550">
                                <a:moveTo>
                                  <a:pt x="9144" y="6095"/>
                                </a:moveTo>
                                <a:lnTo>
                                  <a:pt x="6096" y="9143"/>
                                </a:lnTo>
                                <a:lnTo>
                                  <a:pt x="9144" y="9143"/>
                                </a:lnTo>
                                <a:lnTo>
                                  <a:pt x="9144" y="6095"/>
                                </a:lnTo>
                                <a:close/>
                              </a:path>
                              <a:path w="82550" h="82550">
                                <a:moveTo>
                                  <a:pt x="73152" y="6095"/>
                                </a:moveTo>
                                <a:lnTo>
                                  <a:pt x="9144" y="6095"/>
                                </a:lnTo>
                                <a:lnTo>
                                  <a:pt x="9144" y="9143"/>
                                </a:lnTo>
                                <a:lnTo>
                                  <a:pt x="73152" y="9143"/>
                                </a:lnTo>
                                <a:lnTo>
                                  <a:pt x="73152" y="6095"/>
                                </a:lnTo>
                                <a:close/>
                              </a:path>
                              <a:path w="82550" h="82550">
                                <a:moveTo>
                                  <a:pt x="82296" y="6095"/>
                                </a:moveTo>
                                <a:lnTo>
                                  <a:pt x="73152" y="6095"/>
                                </a:lnTo>
                                <a:lnTo>
                                  <a:pt x="76200" y="9143"/>
                                </a:lnTo>
                                <a:lnTo>
                                  <a:pt x="82296" y="9143"/>
                                </a:lnTo>
                                <a:lnTo>
                                  <a:pt x="82296" y="6095"/>
                                </a:lnTo>
                                <a:close/>
                              </a:path>
                            </a:pathLst>
                          </a:custGeom>
                          <a:solidFill>
                            <a:srgbClr val="BD4A47"/>
                          </a:solidFill>
                        </wps:spPr>
                        <wps:bodyPr wrap="square" lIns="0" tIns="0" rIns="0" bIns="0" rtlCol="0">
                          <a:prstTxWarp prst="textNoShape">
                            <a:avLst/>
                          </a:prstTxWarp>
                          <a:noAutofit/>
                        </wps:bodyPr>
                      </wps:wsp>
                      <wps:wsp>
                        <wps:cNvPr id="118" name="Graphic 118"/>
                        <wps:cNvSpPr/>
                        <wps:spPr>
                          <a:xfrm>
                            <a:off x="3624071" y="1060703"/>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97B853"/>
                          </a:solidFill>
                        </wps:spPr>
                        <wps:bodyPr wrap="square" lIns="0" tIns="0" rIns="0" bIns="0" rtlCol="0">
                          <a:prstTxWarp prst="textNoShape">
                            <a:avLst/>
                          </a:prstTxWarp>
                          <a:noAutofit/>
                        </wps:bodyPr>
                      </wps:wsp>
                      <pic:pic>
                        <pic:nvPicPr>
                          <pic:cNvPr id="119" name="Image 119"/>
                          <pic:cNvPicPr/>
                        </pic:nvPicPr>
                        <pic:blipFill>
                          <a:blip r:embed="rId32" cstate="print"/>
                          <a:stretch>
                            <a:fillRect/>
                          </a:stretch>
                        </pic:blipFill>
                        <pic:spPr>
                          <a:xfrm>
                            <a:off x="3715511" y="1033272"/>
                            <a:ext cx="79248" cy="82296"/>
                          </a:xfrm>
                          <a:prstGeom prst="rect">
                            <a:avLst/>
                          </a:prstGeom>
                        </pic:spPr>
                      </pic:pic>
                    </wpg:wgp>
                  </a:graphicData>
                </a:graphic>
              </wp:anchor>
            </w:drawing>
          </mc:Choice>
          <mc:Fallback>
            <w:pict>
              <v:group style="position:absolute;margin-left:182.639999pt;margin-top:5.702988pt;width:305.55pt;height:278.9pt;mso-position-horizontal-relative:page;mso-position-vertical-relative:paragraph;z-index:15757312" id="docshapegroup97" coordorigin="3653,114" coordsize="6111,5578">
                <v:shape style="position:absolute;left:3652;top:114;width:5996;height:5578" id="docshape98" coordorigin="3653,114" coordsize="5996,5578" path="m9648,5629l9643,5629,9643,5624,3720,5624,3720,124,3710,124,3710,114,3653,114,3653,128,3710,128,3710,1036,3653,1036,3653,1050,3710,1050,3710,1952,3653,1952,3653,1962,3710,1962,3710,2869,3653,2869,3653,2884,3710,2884,3710,3786,3653,3786,3653,3800,3710,3800,3710,4708,3653,4708,3653,4722,3710,4722,3710,5624,3653,5624,3653,5639,3706,5639,3706,5692,3720,5692,3720,5639,4694,5639,4694,5692,4709,5692,4709,5639,5683,5639,5683,5692,5698,5692,5698,5639,6672,5639,6672,5692,6682,5692,6682,5639,7656,5639,7656,5692,7670,5692,7670,5639,8645,5639,8645,5692,8659,5692,8659,5639,9634,5639,9634,5692,9648,5692,9648,5629xe" filled="true" fillcolor="#858585" stroked="false">
                  <v:path arrowok="t"/>
                  <v:fill type="solid"/>
                </v:shape>
                <v:shape style="position:absolute;left:4190;top:1059;width:4983;height:1172" id="docshape99" coordorigin="4190,1060" coordsize="4983,1172" path="m8155,1404l9134,2226,9144,2231,9158,2231,9163,2221,9173,2216,9173,2202,9163,2192,8220,1405,8160,1405,8155,1404xm8150,1400l8155,1404,8160,1405,8150,1400xm8215,1400l8150,1400,8160,1405,8220,1405,8215,1400xm4210,1060l4200,1060,4190,1069,4190,1093,4195,1103,5198,1112,6182,1218,7171,1242,8155,1404,8150,1400,8215,1400,8174,1367,8170,1367,8165,1362,7176,1204,6187,1180,5198,1069,4210,1060xe" filled="true" fillcolor="#497dba" stroked="false">
                  <v:path arrowok="t"/>
                  <v:fill type="solid"/>
                </v:shape>
                <v:shape style="position:absolute;left:4128;top:1006;width:5093;height:2780" type="#_x0000_t75" id="docshape100" stroked="false">
                  <v:imagedata r:id="rId30" o:title=""/>
                </v:shape>
                <v:shape style="position:absolute;left:9360;top:675;width:404;height:44" id="docshape101" coordorigin="9360,676" coordsize="404,44" path="m9754,676l9384,676,9370,676,9360,685,9360,709,9370,719,9754,719,9763,709,9763,685,9754,676xe" filled="true" fillcolor="#497dba" stroked="false">
                  <v:path arrowok="t"/>
                  <v:fill type="solid"/>
                </v:shape>
                <v:shape style="position:absolute;left:9504;top:637;width:120;height:120" type="#_x0000_t75" id="docshape102" stroked="false">
                  <v:imagedata r:id="rId31" o:title=""/>
                </v:shape>
                <v:shape style="position:absolute;left:9360;top:1232;width:404;height:39" id="docshape103" coordorigin="9360,1232" coordsize="404,39" path="m9754,1232l9384,1232,9370,1232,9360,1242,9360,1261,9370,1271,9754,1271,9763,1261,9763,1242,9754,1232xe" filled="true" fillcolor="#bd4a47" stroked="false">
                  <v:path arrowok="t"/>
                  <v:fill type="solid"/>
                </v:shape>
                <v:rect style="position:absolute;left:9508;top:1198;width:111;height:111" id="docshape104" filled="true" fillcolor="#bf4f4c" stroked="false">
                  <v:fill type="solid"/>
                </v:rect>
                <v:shape style="position:absolute;left:9499;top:1189;width:130;height:130" id="docshape105" coordorigin="9499,1189" coordsize="130,130" path="m9619,1189l9509,1189,9499,1199,9499,1309,9509,1319,9619,1319,9629,1309,9514,1309,9509,1304,9514,1304,9514,1204,9509,1204,9514,1199,9629,1199,9619,1189xm9514,1304l9509,1304,9514,1309,9514,1304xm9614,1304l9514,1304,9514,1309,9614,1309,9614,1304xm9614,1199l9614,1309,9619,1304,9629,1304,9629,1204,9619,1204,9614,1199xm9629,1304l9619,1304,9614,1309,9629,1309,9629,1304xm9514,1199l9509,1204,9514,1204,9514,1199xm9614,1199l9514,1199,9514,1204,9614,1204,9614,1199xm9629,1199l9614,1199,9619,1204,9629,1204,9629,1199xe" filled="true" fillcolor="#bd4a47" stroked="false">
                  <v:path arrowok="t"/>
                  <v:fill type="solid"/>
                </v:shape>
                <v:shape style="position:absolute;left:9360;top:1784;width:404;height:44" id="docshape106" coordorigin="9360,1784" coordsize="404,44" path="m9754,1784l9384,1784,9370,1784,9360,1794,9360,1818,9370,1828,9754,1828,9763,1818,9763,1794,9754,1784xe" filled="true" fillcolor="#97b853" stroked="false">
                  <v:path arrowok="t"/>
                  <v:fill type="solid"/>
                </v:shape>
                <v:shape style="position:absolute;left:9504;top:1741;width:125;height:130" type="#_x0000_t75" id="docshape107" stroked="false">
                  <v:imagedata r:id="rId32" o:title=""/>
                </v:shape>
                <w10:wrap type="none"/>
              </v:group>
            </w:pict>
          </mc:Fallback>
        </mc:AlternateContent>
      </w:r>
      <w:r>
        <w:rPr>
          <w:rFonts w:ascii="Calibri"/>
          <w:spacing w:val="-5"/>
          <w:sz w:val="19"/>
        </w:rPr>
        <w:t>120</w:t>
      </w:r>
    </w:p>
    <w:p>
      <w:pPr>
        <w:pStyle w:val="BodyText"/>
        <w:spacing w:before="112"/>
        <w:rPr>
          <w:rFonts w:ascii="Calibri"/>
          <w:sz w:val="19"/>
        </w:rPr>
      </w:pPr>
    </w:p>
    <w:p>
      <w:pPr>
        <w:spacing w:before="0"/>
        <w:ind w:left="8062" w:right="0" w:firstLine="0"/>
        <w:jc w:val="left"/>
        <w:rPr>
          <w:rFonts w:ascii="Calibri"/>
          <w:sz w:val="19"/>
        </w:rPr>
      </w:pPr>
      <w:r>
        <w:rPr>
          <w:rFonts w:ascii="Calibri"/>
          <w:spacing w:val="-5"/>
          <w:sz w:val="19"/>
        </w:rPr>
        <w:t>DS</w:t>
      </w:r>
    </w:p>
    <w:p>
      <w:pPr>
        <w:spacing w:line="222" w:lineRule="exact" w:before="109"/>
        <w:ind w:left="1529" w:right="0" w:firstLine="0"/>
        <w:jc w:val="left"/>
        <w:rPr>
          <w:rFonts w:ascii="Calibri"/>
          <w:sz w:val="19"/>
        </w:rPr>
      </w:pPr>
      <w:r>
        <w:rPr>
          <w:rFonts w:ascii="Calibri"/>
          <w:spacing w:val="-5"/>
          <w:sz w:val="19"/>
        </w:rPr>
        <w:t>100</w:t>
      </w:r>
    </w:p>
    <w:p>
      <w:pPr>
        <w:spacing w:line="222" w:lineRule="exact" w:before="0"/>
        <w:ind w:left="8062" w:right="0" w:firstLine="0"/>
        <w:jc w:val="left"/>
        <w:rPr>
          <w:rFonts w:ascii="Calibri"/>
          <w:sz w:val="19"/>
        </w:rPr>
      </w:pPr>
      <w:r>
        <w:rPr>
          <w:rFonts w:ascii="Calibri"/>
          <w:spacing w:val="-5"/>
          <w:sz w:val="19"/>
        </w:rPr>
        <w:t>MCS</w:t>
      </w:r>
    </w:p>
    <w:p>
      <w:pPr>
        <w:pStyle w:val="BodyText"/>
        <w:spacing w:before="93"/>
        <w:rPr>
          <w:rFonts w:ascii="Calibri"/>
          <w:sz w:val="19"/>
        </w:rPr>
      </w:pPr>
    </w:p>
    <w:p>
      <w:pPr>
        <w:spacing w:line="190" w:lineRule="exact" w:before="0"/>
        <w:ind w:left="0" w:right="1404" w:firstLine="0"/>
        <w:jc w:val="right"/>
        <w:rPr>
          <w:rFonts w:ascii="Calibri"/>
          <w:sz w:val="19"/>
        </w:rPr>
      </w:pPr>
      <w:r>
        <w:rPr/>
        <mc:AlternateContent>
          <mc:Choice Requires="wps">
            <w:drawing>
              <wp:anchor distT="0" distB="0" distL="0" distR="0" allowOverlap="1" layoutInCell="1" locked="0" behindDoc="0" simplePos="0" relativeHeight="15757824">
                <wp:simplePos x="0" y="0"/>
                <wp:positionH relativeFrom="page">
                  <wp:posOffset>1893489</wp:posOffset>
                </wp:positionH>
                <wp:positionV relativeFrom="paragraph">
                  <wp:posOffset>107952</wp:posOffset>
                </wp:positionV>
                <wp:extent cx="146050" cy="130619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49.093674pt;margin-top:8.500183pt;width:11.5pt;height:102.85pt;mso-position-horizontal-relative:page;mso-position-vertical-relative:paragraph;z-index:15757824" type="#_x0000_t202" id="docshape108"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GEL</w:t>
      </w:r>
    </w:p>
    <w:p>
      <w:pPr>
        <w:spacing w:line="190" w:lineRule="exact" w:before="0"/>
        <w:ind w:left="1625" w:right="0" w:firstLine="0"/>
        <w:jc w:val="left"/>
        <w:rPr>
          <w:rFonts w:ascii="Calibri"/>
          <w:sz w:val="19"/>
        </w:rPr>
      </w:pPr>
      <w:r>
        <w:rPr>
          <w:rFonts w:ascii="Calibri"/>
          <w:spacing w:val="-5"/>
          <w:sz w:val="19"/>
        </w:rPr>
        <w:t>80</w:t>
      </w:r>
    </w:p>
    <w:p>
      <w:pPr>
        <w:pStyle w:val="BodyText"/>
        <w:rPr>
          <w:rFonts w:ascii="Calibri"/>
          <w:sz w:val="19"/>
        </w:rPr>
      </w:pPr>
    </w:p>
    <w:p>
      <w:pPr>
        <w:pStyle w:val="BodyText"/>
        <w:spacing w:before="226"/>
        <w:rPr>
          <w:rFonts w:ascii="Calibri"/>
          <w:sz w:val="19"/>
        </w:rPr>
      </w:pPr>
    </w:p>
    <w:p>
      <w:pPr>
        <w:spacing w:before="0"/>
        <w:ind w:left="1625" w:right="0" w:firstLine="0"/>
        <w:jc w:val="left"/>
        <w:rPr>
          <w:rFonts w:ascii="Calibri"/>
          <w:sz w:val="19"/>
        </w:rPr>
      </w:pPr>
      <w:r>
        <w:rPr>
          <w:rFonts w:ascii="Calibri"/>
          <w:spacing w:val="-5"/>
          <w:sz w:val="19"/>
        </w:rPr>
        <w:t>60</w:t>
      </w:r>
    </w:p>
    <w:p>
      <w:pPr>
        <w:pStyle w:val="BodyText"/>
        <w:rPr>
          <w:rFonts w:ascii="Calibri"/>
          <w:sz w:val="19"/>
        </w:rPr>
      </w:pPr>
    </w:p>
    <w:p>
      <w:pPr>
        <w:pStyle w:val="BodyText"/>
        <w:spacing w:before="221"/>
        <w:rPr>
          <w:rFonts w:ascii="Calibri"/>
          <w:sz w:val="19"/>
        </w:rPr>
      </w:pPr>
    </w:p>
    <w:p>
      <w:pPr>
        <w:spacing w:before="0"/>
        <w:ind w:left="1625" w:right="0" w:firstLine="0"/>
        <w:jc w:val="left"/>
        <w:rPr>
          <w:rFonts w:ascii="Calibri"/>
          <w:sz w:val="19"/>
        </w:rPr>
      </w:pPr>
      <w:r>
        <w:rPr>
          <w:rFonts w:ascii="Calibri"/>
          <w:spacing w:val="-5"/>
          <w:sz w:val="19"/>
        </w:rPr>
        <w:t>40</w:t>
      </w:r>
    </w:p>
    <w:p>
      <w:pPr>
        <w:pStyle w:val="BodyText"/>
        <w:rPr>
          <w:rFonts w:ascii="Calibri"/>
          <w:sz w:val="19"/>
        </w:rPr>
      </w:pPr>
    </w:p>
    <w:p>
      <w:pPr>
        <w:pStyle w:val="BodyText"/>
        <w:spacing w:before="221"/>
        <w:rPr>
          <w:rFonts w:ascii="Calibri"/>
          <w:sz w:val="19"/>
        </w:rPr>
      </w:pPr>
    </w:p>
    <w:p>
      <w:pPr>
        <w:spacing w:before="0"/>
        <w:ind w:left="1625" w:right="0" w:firstLine="0"/>
        <w:jc w:val="left"/>
        <w:rPr>
          <w:rFonts w:ascii="Calibri"/>
          <w:sz w:val="19"/>
        </w:rPr>
      </w:pPr>
      <w:r>
        <w:rPr>
          <w:rFonts w:ascii="Calibri"/>
          <w:spacing w:val="-5"/>
          <w:sz w:val="19"/>
        </w:rPr>
        <w:t>20</w:t>
      </w:r>
    </w:p>
    <w:p>
      <w:pPr>
        <w:pStyle w:val="BodyText"/>
        <w:rPr>
          <w:rFonts w:ascii="Calibri"/>
          <w:sz w:val="19"/>
        </w:rPr>
      </w:pPr>
    </w:p>
    <w:p>
      <w:pPr>
        <w:pStyle w:val="BodyText"/>
        <w:spacing w:before="225"/>
        <w:rPr>
          <w:rFonts w:ascii="Calibri"/>
          <w:sz w:val="19"/>
        </w:rPr>
      </w:pPr>
    </w:p>
    <w:p>
      <w:pPr>
        <w:spacing w:before="1"/>
        <w:ind w:left="0" w:right="6218" w:firstLine="0"/>
        <w:jc w:val="center"/>
        <w:rPr>
          <w:rFonts w:ascii="Calibri"/>
          <w:sz w:val="19"/>
        </w:rPr>
      </w:pPr>
      <w:r>
        <w:rPr>
          <w:rFonts w:ascii="Calibri"/>
          <w:spacing w:val="-10"/>
          <w:sz w:val="19"/>
        </w:rPr>
        <w:t>0</w:t>
      </w:r>
    </w:p>
    <w:p>
      <w:pPr>
        <w:tabs>
          <w:tab w:pos="1185" w:val="left" w:leader="none"/>
          <w:tab w:pos="2174" w:val="left" w:leader="none"/>
          <w:tab w:pos="3115" w:val="left" w:leader="none"/>
          <w:tab w:pos="4104" w:val="left" w:leader="none"/>
          <w:tab w:pos="5376" w:val="right" w:leader="none"/>
        </w:tabs>
        <w:spacing w:before="12"/>
        <w:ind w:left="129" w:right="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2"/>
        <w:ind w:left="149" w:right="0"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6"/>
          <w:sz w:val="19"/>
        </w:rPr>
        <w:t> </w:t>
      </w:r>
      <w:r>
        <w:rPr>
          <w:rFonts w:ascii="Calibri" w:hAnsi="Calibri"/>
          <w:b/>
          <w:spacing w:val="-4"/>
          <w:sz w:val="19"/>
        </w:rPr>
        <w:t>(µm)</w:t>
      </w:r>
    </w:p>
    <w:p>
      <w:pPr>
        <w:pStyle w:val="Heading2"/>
        <w:spacing w:before="665"/>
        <w:ind w:left="0" w:right="911" w:firstLine="0"/>
        <w:jc w:val="center"/>
      </w:pPr>
      <w:r>
        <w:rPr/>
        <w:t>Figure</w:t>
      </w:r>
      <w:r>
        <w:rPr>
          <w:spacing w:val="16"/>
        </w:rPr>
        <w:t> </w:t>
      </w:r>
      <w:r>
        <w:rPr/>
        <w:t>A.</w:t>
      </w:r>
      <w:r>
        <w:rPr>
          <w:spacing w:val="6"/>
        </w:rPr>
        <w:t> </w:t>
      </w:r>
      <w:r>
        <w:rPr/>
        <w:t>1:</w:t>
      </w:r>
      <w:r>
        <w:rPr>
          <w:spacing w:val="12"/>
        </w:rPr>
        <w:t> </w:t>
      </w:r>
      <w:r>
        <w:rPr/>
        <w:t>Graph</w:t>
      </w:r>
      <w:r>
        <w:rPr>
          <w:spacing w:val="15"/>
        </w:rPr>
        <w:t> </w:t>
      </w:r>
      <w:r>
        <w:rPr/>
        <w:t>of</w:t>
      </w:r>
      <w:r>
        <w:rPr>
          <w:spacing w:val="18"/>
        </w:rPr>
        <w:t> </w:t>
      </w:r>
      <w:r>
        <w:rPr/>
        <w:t>Cumulative</w:t>
      </w:r>
      <w:r>
        <w:rPr>
          <w:spacing w:val="17"/>
        </w:rPr>
        <w:t> </w:t>
      </w:r>
      <w:r>
        <w:rPr/>
        <w:t>frequency</w:t>
      </w:r>
      <w:r>
        <w:rPr>
          <w:spacing w:val="13"/>
        </w:rPr>
        <w:t> </w:t>
      </w:r>
      <w:r>
        <w:rPr/>
        <w:t>(%)</w:t>
      </w:r>
      <w:r>
        <w:rPr>
          <w:spacing w:val="6"/>
        </w:rPr>
        <w:t> </w:t>
      </w:r>
      <w:r>
        <w:rPr/>
        <w:t>oversize</w:t>
      </w:r>
      <w:r>
        <w:rPr>
          <w:spacing w:val="10"/>
        </w:rPr>
        <w:t> </w:t>
      </w:r>
      <w:r>
        <w:rPr/>
        <w:t>distribution</w:t>
      </w:r>
      <w:r>
        <w:rPr>
          <w:spacing w:val="4"/>
        </w:rPr>
        <w:t> </w:t>
      </w:r>
      <w:r>
        <w:rPr>
          <w:spacing w:val="-2"/>
        </w:rPr>
        <w:t>against</w:t>
      </w:r>
    </w:p>
    <w:p>
      <w:pPr>
        <w:spacing w:before="6"/>
        <w:ind w:left="387" w:right="0" w:firstLine="0"/>
        <w:jc w:val="center"/>
        <w:rPr>
          <w:b/>
          <w:sz w:val="22"/>
        </w:rPr>
      </w:pPr>
      <w:r>
        <w:rPr>
          <w:b/>
          <w:sz w:val="22"/>
        </w:rPr>
        <w:t>sieve</w:t>
      </w:r>
      <w:r>
        <w:rPr>
          <w:b/>
          <w:spacing w:val="10"/>
          <w:sz w:val="22"/>
        </w:rPr>
        <w:t> </w:t>
      </w:r>
      <w:r>
        <w:rPr>
          <w:b/>
          <w:sz w:val="22"/>
        </w:rPr>
        <w:t>size</w:t>
      </w:r>
      <w:r>
        <w:rPr>
          <w:b/>
          <w:spacing w:val="10"/>
          <w:sz w:val="22"/>
        </w:rPr>
        <w:t> </w:t>
      </w:r>
      <w:r>
        <w:rPr>
          <w:b/>
          <w:sz w:val="22"/>
        </w:rPr>
        <w:t>(µm)</w:t>
      </w:r>
      <w:r>
        <w:rPr>
          <w:b/>
          <w:spacing w:val="11"/>
          <w:sz w:val="22"/>
        </w:rPr>
        <w:t> </w:t>
      </w:r>
      <w:r>
        <w:rPr>
          <w:b/>
          <w:sz w:val="22"/>
        </w:rPr>
        <w:t>of</w:t>
      </w:r>
      <w:r>
        <w:rPr>
          <w:b/>
          <w:spacing w:val="16"/>
          <w:sz w:val="22"/>
        </w:rPr>
        <w:t> </w:t>
      </w:r>
      <w:r>
        <w:rPr>
          <w:b/>
          <w:sz w:val="22"/>
        </w:rPr>
        <w:t>metronidazole</w:t>
      </w:r>
      <w:r>
        <w:rPr>
          <w:b/>
          <w:spacing w:val="5"/>
          <w:sz w:val="22"/>
        </w:rPr>
        <w:t> </w:t>
      </w:r>
      <w:r>
        <w:rPr>
          <w:b/>
          <w:sz w:val="22"/>
        </w:rPr>
        <w:t>granules</w:t>
      </w:r>
      <w:r>
        <w:rPr>
          <w:b/>
          <w:spacing w:val="7"/>
          <w:sz w:val="22"/>
        </w:rPr>
        <w:t> </w:t>
      </w:r>
      <w:r>
        <w:rPr>
          <w:b/>
          <w:sz w:val="22"/>
        </w:rPr>
        <w:t>using</w:t>
      </w:r>
      <w:r>
        <w:rPr>
          <w:b/>
          <w:spacing w:val="7"/>
          <w:sz w:val="22"/>
        </w:rPr>
        <w:t> </w:t>
      </w:r>
      <w:r>
        <w:rPr>
          <w:b/>
          <w:sz w:val="22"/>
        </w:rPr>
        <w:t>2.5</w:t>
      </w:r>
      <w:r>
        <w:rPr>
          <w:b/>
          <w:spacing w:val="7"/>
          <w:sz w:val="22"/>
        </w:rPr>
        <w:t> </w:t>
      </w:r>
      <w:r>
        <w:rPr>
          <w:b/>
          <w:sz w:val="22"/>
        </w:rPr>
        <w:t>%</w:t>
      </w:r>
      <w:r>
        <w:rPr>
          <w:b/>
          <w:spacing w:val="14"/>
          <w:sz w:val="22"/>
        </w:rPr>
        <w:t> </w:t>
      </w:r>
      <w:r>
        <w:rPr>
          <w:b/>
          <w:sz w:val="22"/>
        </w:rPr>
        <w:t>w/v</w:t>
      </w:r>
      <w:r>
        <w:rPr>
          <w:b/>
          <w:spacing w:val="7"/>
          <w:sz w:val="22"/>
        </w:rPr>
        <w:t> </w:t>
      </w:r>
      <w:r>
        <w:rPr>
          <w:b/>
          <w:sz w:val="22"/>
        </w:rPr>
        <w:t>as</w:t>
      </w:r>
      <w:r>
        <w:rPr>
          <w:b/>
          <w:spacing w:val="8"/>
          <w:sz w:val="22"/>
        </w:rPr>
        <w:t> </w:t>
      </w:r>
      <w:r>
        <w:rPr>
          <w:b/>
          <w:spacing w:val="-2"/>
          <w:sz w:val="22"/>
        </w:rPr>
        <w:t>binder.</w:t>
      </w:r>
    </w:p>
    <w:p>
      <w:pPr>
        <w:spacing w:after="0"/>
        <w:jc w:val="center"/>
        <w:rPr>
          <w:sz w:val="22"/>
        </w:rPr>
        <w:sectPr>
          <w:pgSz w:w="12240" w:h="15840"/>
          <w:pgMar w:header="0" w:footer="999" w:top="182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32"/>
        <w:rPr>
          <w:b/>
          <w:sz w:val="19"/>
        </w:rPr>
      </w:pPr>
    </w:p>
    <w:p>
      <w:pPr>
        <w:spacing w:before="0"/>
        <w:ind w:left="1688" w:right="0" w:firstLine="0"/>
        <w:jc w:val="left"/>
        <w:rPr>
          <w:rFonts w:ascii="Calibri"/>
          <w:sz w:val="19"/>
        </w:rPr>
      </w:pPr>
      <w:r>
        <w:rPr/>
        <mc:AlternateContent>
          <mc:Choice Requires="wps">
            <w:drawing>
              <wp:anchor distT="0" distB="0" distL="0" distR="0" allowOverlap="1" layoutInCell="1" locked="0" behindDoc="0" simplePos="0" relativeHeight="15758336">
                <wp:simplePos x="0" y="0"/>
                <wp:positionH relativeFrom="page">
                  <wp:posOffset>2225039</wp:posOffset>
                </wp:positionH>
                <wp:positionV relativeFrom="paragraph">
                  <wp:posOffset>24702</wp:posOffset>
                </wp:positionV>
                <wp:extent cx="4192270" cy="37871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4192270" cy="3787140"/>
                          <a:chExt cx="4192270" cy="3787140"/>
                        </a:xfrm>
                      </wpg:grpSpPr>
                      <wps:wsp>
                        <wps:cNvPr id="122" name="Graphic 122"/>
                        <wps:cNvSpPr/>
                        <wps:spPr>
                          <a:xfrm>
                            <a:off x="195072" y="47578"/>
                            <a:ext cx="3807460" cy="3709670"/>
                          </a:xfrm>
                          <a:custGeom>
                            <a:avLst/>
                            <a:gdLst/>
                            <a:ahLst/>
                            <a:cxnLst/>
                            <a:rect l="l" t="t" r="r" b="b"/>
                            <a:pathLst>
                              <a:path w="3807460" h="3709670">
                                <a:moveTo>
                                  <a:pt x="3806952" y="3672840"/>
                                </a:moveTo>
                                <a:lnTo>
                                  <a:pt x="3803904" y="3672840"/>
                                </a:lnTo>
                                <a:lnTo>
                                  <a:pt x="3803904" y="3666744"/>
                                </a:lnTo>
                                <a:lnTo>
                                  <a:pt x="42672" y="3666744"/>
                                </a:lnTo>
                                <a:lnTo>
                                  <a:pt x="42672" y="6096"/>
                                </a:lnTo>
                                <a:lnTo>
                                  <a:pt x="36576" y="6096"/>
                                </a:lnTo>
                                <a:lnTo>
                                  <a:pt x="36576" y="0"/>
                                </a:lnTo>
                                <a:lnTo>
                                  <a:pt x="0" y="0"/>
                                </a:lnTo>
                                <a:lnTo>
                                  <a:pt x="0" y="6096"/>
                                </a:lnTo>
                                <a:lnTo>
                                  <a:pt x="33528" y="6096"/>
                                </a:lnTo>
                                <a:lnTo>
                                  <a:pt x="33528" y="612648"/>
                                </a:lnTo>
                                <a:lnTo>
                                  <a:pt x="0" y="612648"/>
                                </a:lnTo>
                                <a:lnTo>
                                  <a:pt x="0" y="621792"/>
                                </a:lnTo>
                                <a:lnTo>
                                  <a:pt x="33528" y="621792"/>
                                </a:lnTo>
                                <a:lnTo>
                                  <a:pt x="33528" y="1222248"/>
                                </a:lnTo>
                                <a:lnTo>
                                  <a:pt x="0" y="1222248"/>
                                </a:lnTo>
                                <a:lnTo>
                                  <a:pt x="0" y="1231392"/>
                                </a:lnTo>
                                <a:lnTo>
                                  <a:pt x="33528" y="1231392"/>
                                </a:lnTo>
                                <a:lnTo>
                                  <a:pt x="33528" y="1834896"/>
                                </a:lnTo>
                                <a:lnTo>
                                  <a:pt x="0" y="1834896"/>
                                </a:lnTo>
                                <a:lnTo>
                                  <a:pt x="0" y="1844040"/>
                                </a:lnTo>
                                <a:lnTo>
                                  <a:pt x="33528" y="1844040"/>
                                </a:lnTo>
                                <a:lnTo>
                                  <a:pt x="33528" y="2444496"/>
                                </a:lnTo>
                                <a:lnTo>
                                  <a:pt x="0" y="2444496"/>
                                </a:lnTo>
                                <a:lnTo>
                                  <a:pt x="0" y="2453640"/>
                                </a:lnTo>
                                <a:lnTo>
                                  <a:pt x="33528" y="2453640"/>
                                </a:lnTo>
                                <a:lnTo>
                                  <a:pt x="33528" y="3060192"/>
                                </a:lnTo>
                                <a:lnTo>
                                  <a:pt x="0" y="3060192"/>
                                </a:lnTo>
                                <a:lnTo>
                                  <a:pt x="0" y="3066288"/>
                                </a:lnTo>
                                <a:lnTo>
                                  <a:pt x="33528" y="3066288"/>
                                </a:lnTo>
                                <a:lnTo>
                                  <a:pt x="33528" y="3669792"/>
                                </a:lnTo>
                                <a:lnTo>
                                  <a:pt x="0" y="3669792"/>
                                </a:lnTo>
                                <a:lnTo>
                                  <a:pt x="0" y="3678936"/>
                                </a:lnTo>
                                <a:lnTo>
                                  <a:pt x="33528" y="3678936"/>
                                </a:lnTo>
                                <a:lnTo>
                                  <a:pt x="33528" y="3709416"/>
                                </a:lnTo>
                                <a:lnTo>
                                  <a:pt x="42672" y="3709416"/>
                                </a:lnTo>
                                <a:lnTo>
                                  <a:pt x="42672" y="3675888"/>
                                </a:lnTo>
                                <a:lnTo>
                                  <a:pt x="661416" y="3675888"/>
                                </a:lnTo>
                                <a:lnTo>
                                  <a:pt x="661416" y="3709416"/>
                                </a:lnTo>
                                <a:lnTo>
                                  <a:pt x="670560" y="3709416"/>
                                </a:lnTo>
                                <a:lnTo>
                                  <a:pt x="670560" y="3675888"/>
                                </a:lnTo>
                                <a:lnTo>
                                  <a:pt x="1289304" y="3675888"/>
                                </a:lnTo>
                                <a:lnTo>
                                  <a:pt x="1289304" y="3709416"/>
                                </a:lnTo>
                                <a:lnTo>
                                  <a:pt x="1295400" y="3709416"/>
                                </a:lnTo>
                                <a:lnTo>
                                  <a:pt x="1295400" y="3675888"/>
                                </a:lnTo>
                                <a:lnTo>
                                  <a:pt x="1917192" y="3675888"/>
                                </a:lnTo>
                                <a:lnTo>
                                  <a:pt x="1917192" y="3709416"/>
                                </a:lnTo>
                                <a:lnTo>
                                  <a:pt x="1923288" y="3709416"/>
                                </a:lnTo>
                                <a:lnTo>
                                  <a:pt x="1923288" y="3675888"/>
                                </a:lnTo>
                                <a:lnTo>
                                  <a:pt x="2542032" y="3675888"/>
                                </a:lnTo>
                                <a:lnTo>
                                  <a:pt x="2542032" y="3709416"/>
                                </a:lnTo>
                                <a:lnTo>
                                  <a:pt x="2551176" y="3709416"/>
                                </a:lnTo>
                                <a:lnTo>
                                  <a:pt x="2551176" y="3675888"/>
                                </a:lnTo>
                                <a:lnTo>
                                  <a:pt x="3169920" y="3675888"/>
                                </a:lnTo>
                                <a:lnTo>
                                  <a:pt x="3169920" y="3709416"/>
                                </a:lnTo>
                                <a:lnTo>
                                  <a:pt x="3179064" y="3709416"/>
                                </a:lnTo>
                                <a:lnTo>
                                  <a:pt x="3179064" y="3675888"/>
                                </a:lnTo>
                                <a:lnTo>
                                  <a:pt x="3797808" y="3675888"/>
                                </a:lnTo>
                                <a:lnTo>
                                  <a:pt x="3797808" y="3709416"/>
                                </a:lnTo>
                                <a:lnTo>
                                  <a:pt x="3806952" y="3709416"/>
                                </a:lnTo>
                                <a:lnTo>
                                  <a:pt x="3806952" y="3672840"/>
                                </a:lnTo>
                                <a:close/>
                              </a:path>
                            </a:pathLst>
                          </a:custGeom>
                          <a:solidFill>
                            <a:srgbClr val="858585"/>
                          </a:solidFill>
                        </wps:spPr>
                        <wps:bodyPr wrap="square" lIns="0" tIns="0" rIns="0" bIns="0" rtlCol="0">
                          <a:prstTxWarp prst="textNoShape">
                            <a:avLst/>
                          </a:prstTxWarp>
                          <a:noAutofit/>
                        </wps:bodyPr>
                      </wps:wsp>
                      <pic:pic>
                        <pic:nvPicPr>
                          <pic:cNvPr id="123" name="Image 123"/>
                          <pic:cNvPicPr/>
                        </pic:nvPicPr>
                        <pic:blipFill>
                          <a:blip r:embed="rId33" cstate="print"/>
                          <a:stretch>
                            <a:fillRect/>
                          </a:stretch>
                        </pic:blipFill>
                        <pic:spPr>
                          <a:xfrm>
                            <a:off x="496823" y="644987"/>
                            <a:ext cx="3450336" cy="2011680"/>
                          </a:xfrm>
                          <a:prstGeom prst="rect">
                            <a:avLst/>
                          </a:prstGeom>
                        </pic:spPr>
                      </pic:pic>
                      <pic:pic>
                        <pic:nvPicPr>
                          <pic:cNvPr id="124" name="Image 124"/>
                          <pic:cNvPicPr/>
                        </pic:nvPicPr>
                        <pic:blipFill>
                          <a:blip r:embed="rId34" cstate="print"/>
                          <a:stretch>
                            <a:fillRect/>
                          </a:stretch>
                        </pic:blipFill>
                        <pic:spPr>
                          <a:xfrm>
                            <a:off x="3694176" y="456011"/>
                            <a:ext cx="252984" cy="79248"/>
                          </a:xfrm>
                          <a:prstGeom prst="rect">
                            <a:avLst/>
                          </a:prstGeom>
                        </pic:spPr>
                      </pic:pic>
                      <wps:wsp>
                        <wps:cNvPr id="125" name="Textbox 125"/>
                        <wps:cNvSpPr txBox="1"/>
                        <wps:spPr>
                          <a:xfrm>
                            <a:off x="49" y="0"/>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05</w:t>
                              </w:r>
                            </w:p>
                          </w:txbxContent>
                        </wps:txbx>
                        <wps:bodyPr wrap="square" lIns="0" tIns="0" rIns="0" bIns="0" rtlCol="0">
                          <a:noAutofit/>
                        </wps:bodyPr>
                      </wps:wsp>
                      <wps:wsp>
                        <wps:cNvPr id="126" name="Textbox 126"/>
                        <wps:cNvSpPr txBox="1"/>
                        <wps:spPr>
                          <a:xfrm>
                            <a:off x="3956303" y="441959"/>
                            <a:ext cx="144780"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DS</w:t>
                              </w:r>
                            </w:p>
                          </w:txbxContent>
                        </wps:txbx>
                        <wps:bodyPr wrap="square" lIns="0" tIns="0" rIns="0" bIns="0" rtlCol="0">
                          <a:noAutofit/>
                        </wps:bodyPr>
                      </wps:wsp>
                      <wps:wsp>
                        <wps:cNvPr id="127" name="Textbox 127"/>
                        <wps:cNvSpPr txBox="1"/>
                        <wps:spPr>
                          <a:xfrm>
                            <a:off x="49" y="609600"/>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00</w:t>
                              </w:r>
                            </w:p>
                          </w:txbxContent>
                        </wps:txbx>
                        <wps:bodyPr wrap="square" lIns="0" tIns="0" rIns="0" bIns="0" rtlCol="0">
                          <a:noAutofit/>
                        </wps:bodyPr>
                      </wps:wsp>
                      <wps:wsp>
                        <wps:cNvPr id="128" name="Textbox 128"/>
                        <wps:cNvSpPr txBox="1"/>
                        <wps:spPr>
                          <a:xfrm>
                            <a:off x="3956303" y="810768"/>
                            <a:ext cx="236220"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MCS</w:t>
                              </w:r>
                            </w:p>
                          </w:txbxContent>
                        </wps:txbx>
                        <wps:bodyPr wrap="square" lIns="0" tIns="0" rIns="0" bIns="0" rtlCol="0">
                          <a:noAutofit/>
                        </wps:bodyPr>
                      </wps:wsp>
                      <wps:wsp>
                        <wps:cNvPr id="129" name="Textbox 129"/>
                        <wps:cNvSpPr txBox="1"/>
                        <wps:spPr>
                          <a:xfrm>
                            <a:off x="0" y="1222247"/>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95</w:t>
                              </w:r>
                            </w:p>
                          </w:txbxContent>
                        </wps:txbx>
                        <wps:bodyPr wrap="square" lIns="0" tIns="0" rIns="0" bIns="0" rtlCol="0">
                          <a:noAutofit/>
                        </wps:bodyPr>
                      </wps:wsp>
                      <wps:wsp>
                        <wps:cNvPr id="130" name="Textbox 130"/>
                        <wps:cNvSpPr txBox="1"/>
                        <wps:spPr>
                          <a:xfrm>
                            <a:off x="3956303" y="1179575"/>
                            <a:ext cx="200660"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GEL</w:t>
                              </w:r>
                            </w:p>
                          </w:txbxContent>
                        </wps:txbx>
                        <wps:bodyPr wrap="square" lIns="0" tIns="0" rIns="0" bIns="0" rtlCol="0">
                          <a:noAutofit/>
                        </wps:bodyPr>
                      </wps:wsp>
                      <wps:wsp>
                        <wps:cNvPr id="131" name="Textbox 131"/>
                        <wps:cNvSpPr txBox="1"/>
                        <wps:spPr>
                          <a:xfrm>
                            <a:off x="0" y="1831848"/>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90</w:t>
                              </w:r>
                            </w:p>
                          </w:txbxContent>
                        </wps:txbx>
                        <wps:bodyPr wrap="square" lIns="0" tIns="0" rIns="0" bIns="0" rtlCol="0">
                          <a:noAutofit/>
                        </wps:bodyPr>
                      </wps:wsp>
                      <wps:wsp>
                        <wps:cNvPr id="132" name="Textbox 132"/>
                        <wps:cNvSpPr txBox="1"/>
                        <wps:spPr>
                          <a:xfrm>
                            <a:off x="0" y="2444495"/>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85</w:t>
                              </w:r>
                            </w:p>
                          </w:txbxContent>
                        </wps:txbx>
                        <wps:bodyPr wrap="square" lIns="0" tIns="0" rIns="0" bIns="0" rtlCol="0">
                          <a:noAutofit/>
                        </wps:bodyPr>
                      </wps:wsp>
                      <wps:wsp>
                        <wps:cNvPr id="133" name="Textbox 133"/>
                        <wps:cNvSpPr txBox="1"/>
                        <wps:spPr>
                          <a:xfrm>
                            <a:off x="0" y="3057144"/>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80</w:t>
                              </w:r>
                            </w:p>
                          </w:txbxContent>
                        </wps:txbx>
                        <wps:bodyPr wrap="square" lIns="0" tIns="0" rIns="0" bIns="0" rtlCol="0">
                          <a:noAutofit/>
                        </wps:bodyPr>
                      </wps:wsp>
                      <wps:wsp>
                        <wps:cNvPr id="134" name="Textbox 134"/>
                        <wps:cNvSpPr txBox="1"/>
                        <wps:spPr>
                          <a:xfrm>
                            <a:off x="0" y="3666744"/>
                            <a:ext cx="135255" cy="120650"/>
                          </a:xfrm>
                          <a:prstGeom prst="rect">
                            <a:avLst/>
                          </a:prstGeom>
                        </wps:spPr>
                        <wps:txbx>
                          <w:txbxContent>
                            <w:p>
                              <w:pPr>
                                <w:spacing w:line="190" w:lineRule="exact" w:before="0"/>
                                <w:ind w:left="0" w:right="0" w:firstLine="0"/>
                                <w:jc w:val="left"/>
                                <w:rPr>
                                  <w:rFonts w:ascii="Calibri"/>
                                  <w:sz w:val="19"/>
                                </w:rPr>
                              </w:pPr>
                              <w:r>
                                <w:rPr>
                                  <w:rFonts w:ascii="Calibri"/>
                                  <w:spacing w:val="-5"/>
                                  <w:sz w:val="19"/>
                                </w:rPr>
                                <w:t>75</w:t>
                              </w:r>
                            </w:p>
                          </w:txbxContent>
                        </wps:txbx>
                        <wps:bodyPr wrap="square" lIns="0" tIns="0" rIns="0" bIns="0" rtlCol="0">
                          <a:noAutofit/>
                        </wps:bodyPr>
                      </wps:wsp>
                    </wpg:wgp>
                  </a:graphicData>
                </a:graphic>
              </wp:anchor>
            </w:drawing>
          </mc:Choice>
          <mc:Fallback>
            <w:pict>
              <v:group style="position:absolute;margin-left:175.199997pt;margin-top:1.945102pt;width:330.1pt;height:298.2pt;mso-position-horizontal-relative:page;mso-position-vertical-relative:paragraph;z-index:15758336" id="docshapegroup109" coordorigin="3504,39" coordsize="6602,5964">
                <v:shape style="position:absolute;left:3811;top:113;width:5996;height:5842" id="docshape110" coordorigin="3811,114" coordsize="5996,5842" path="m9806,5898l9802,5898,9802,5888,3878,5888,3878,123,3869,123,3869,114,3811,114,3811,123,3864,123,3864,1079,3811,1079,3811,1093,3864,1093,3864,2039,3811,2039,3811,2053,3864,2053,3864,3003,3811,3003,3811,3018,3864,3018,3864,3963,3811,3963,3811,3978,3864,3978,3864,4933,3811,4933,3811,4943,3864,4943,3864,5893,3811,5893,3811,5907,3864,5907,3864,5955,3878,5955,3878,5903,4853,5903,4853,5955,4867,5955,4867,5903,5842,5903,5842,5955,5851,5955,5851,5903,6830,5903,6830,5955,6840,5955,6840,5903,7814,5903,7814,5955,7829,5955,7829,5903,8803,5903,8803,5955,8818,5955,8818,5903,9792,5903,9792,5955,9806,5955,9806,5898xe" filled="true" fillcolor="#858585" stroked="false">
                  <v:path arrowok="t"/>
                  <v:fill type="solid"/>
                </v:shape>
                <v:shape style="position:absolute;left:4286;top:1054;width:5434;height:3168" type="#_x0000_t75" id="docshape111" stroked="false">
                  <v:imagedata r:id="rId33" o:title=""/>
                </v:shape>
                <v:shape style="position:absolute;left:9321;top:757;width:399;height:125" type="#_x0000_t75" id="docshape112" stroked="false">
                  <v:imagedata r:id="rId34" o:title=""/>
                </v:shape>
                <v:shape style="position:absolute;left:3504;top:38;width:213;height:190" type="#_x0000_t202" id="docshape113" filled="false" stroked="false">
                  <v:textbox inset="0,0,0,0">
                    <w:txbxContent>
                      <w:p>
                        <w:pPr>
                          <w:spacing w:line="190" w:lineRule="exact" w:before="0"/>
                          <w:ind w:left="0" w:right="0" w:firstLine="0"/>
                          <w:jc w:val="left"/>
                          <w:rPr>
                            <w:rFonts w:ascii="Calibri"/>
                            <w:sz w:val="19"/>
                          </w:rPr>
                        </w:pPr>
                        <w:r>
                          <w:rPr>
                            <w:rFonts w:ascii="Calibri"/>
                            <w:spacing w:val="-5"/>
                            <w:sz w:val="19"/>
                          </w:rPr>
                          <w:t>05</w:t>
                        </w:r>
                      </w:p>
                    </w:txbxContent>
                  </v:textbox>
                  <w10:wrap type="none"/>
                </v:shape>
                <v:shape style="position:absolute;left:9734;top:734;width:228;height:190" type="#_x0000_t202" id="docshape114" filled="false" stroked="false">
                  <v:textbox inset="0,0,0,0">
                    <w:txbxContent>
                      <w:p>
                        <w:pPr>
                          <w:spacing w:line="190" w:lineRule="exact" w:before="0"/>
                          <w:ind w:left="0" w:right="0" w:firstLine="0"/>
                          <w:jc w:val="left"/>
                          <w:rPr>
                            <w:rFonts w:ascii="Calibri"/>
                            <w:sz w:val="19"/>
                          </w:rPr>
                        </w:pPr>
                        <w:r>
                          <w:rPr>
                            <w:rFonts w:ascii="Calibri"/>
                            <w:spacing w:val="-5"/>
                            <w:sz w:val="19"/>
                          </w:rPr>
                          <w:t>DS</w:t>
                        </w:r>
                      </w:p>
                    </w:txbxContent>
                  </v:textbox>
                  <w10:wrap type="none"/>
                </v:shape>
                <v:shape style="position:absolute;left:3504;top:998;width:213;height:190" type="#_x0000_t202" id="docshape115" filled="false" stroked="false">
                  <v:textbox inset="0,0,0,0">
                    <w:txbxContent>
                      <w:p>
                        <w:pPr>
                          <w:spacing w:line="190" w:lineRule="exact" w:before="0"/>
                          <w:ind w:left="0" w:right="0" w:firstLine="0"/>
                          <w:jc w:val="left"/>
                          <w:rPr>
                            <w:rFonts w:ascii="Calibri"/>
                            <w:sz w:val="19"/>
                          </w:rPr>
                        </w:pPr>
                        <w:r>
                          <w:rPr>
                            <w:rFonts w:ascii="Calibri"/>
                            <w:spacing w:val="-5"/>
                            <w:sz w:val="19"/>
                          </w:rPr>
                          <w:t>00</w:t>
                        </w:r>
                      </w:p>
                    </w:txbxContent>
                  </v:textbox>
                  <w10:wrap type="none"/>
                </v:shape>
                <v:shape style="position:absolute;left:9734;top:1315;width:372;height:190" type="#_x0000_t202" id="docshape116" filled="false" stroked="false">
                  <v:textbox inset="0,0,0,0">
                    <w:txbxContent>
                      <w:p>
                        <w:pPr>
                          <w:spacing w:line="190" w:lineRule="exact" w:before="0"/>
                          <w:ind w:left="0" w:right="0" w:firstLine="0"/>
                          <w:jc w:val="left"/>
                          <w:rPr>
                            <w:rFonts w:ascii="Calibri"/>
                            <w:sz w:val="19"/>
                          </w:rPr>
                        </w:pPr>
                        <w:r>
                          <w:rPr>
                            <w:rFonts w:ascii="Calibri"/>
                            <w:spacing w:val="-5"/>
                            <w:sz w:val="19"/>
                          </w:rPr>
                          <w:t>MCS</w:t>
                        </w:r>
                      </w:p>
                    </w:txbxContent>
                  </v:textbox>
                  <w10:wrap type="none"/>
                </v:shape>
                <v:shape style="position:absolute;left:3504;top:1963;width:213;height:190" type="#_x0000_t202" id="docshape117" filled="false" stroked="false">
                  <v:textbox inset="0,0,0,0">
                    <w:txbxContent>
                      <w:p>
                        <w:pPr>
                          <w:spacing w:line="190" w:lineRule="exact" w:before="0"/>
                          <w:ind w:left="0" w:right="0" w:firstLine="0"/>
                          <w:jc w:val="left"/>
                          <w:rPr>
                            <w:rFonts w:ascii="Calibri"/>
                            <w:sz w:val="19"/>
                          </w:rPr>
                        </w:pPr>
                        <w:r>
                          <w:rPr>
                            <w:rFonts w:ascii="Calibri"/>
                            <w:spacing w:val="-5"/>
                            <w:sz w:val="19"/>
                          </w:rPr>
                          <w:t>95</w:t>
                        </w:r>
                      </w:p>
                    </w:txbxContent>
                  </v:textbox>
                  <w10:wrap type="none"/>
                </v:shape>
                <v:shape style="position:absolute;left:9734;top:1896;width:316;height:190" type="#_x0000_t202" id="docshape118" filled="false" stroked="false">
                  <v:textbox inset="0,0,0,0">
                    <w:txbxContent>
                      <w:p>
                        <w:pPr>
                          <w:spacing w:line="190" w:lineRule="exact" w:before="0"/>
                          <w:ind w:left="0" w:right="0" w:firstLine="0"/>
                          <w:jc w:val="left"/>
                          <w:rPr>
                            <w:rFonts w:ascii="Calibri"/>
                            <w:sz w:val="19"/>
                          </w:rPr>
                        </w:pPr>
                        <w:r>
                          <w:rPr>
                            <w:rFonts w:ascii="Calibri"/>
                            <w:spacing w:val="-5"/>
                            <w:sz w:val="19"/>
                          </w:rPr>
                          <w:t>GEL</w:t>
                        </w:r>
                      </w:p>
                    </w:txbxContent>
                  </v:textbox>
                  <w10:wrap type="none"/>
                </v:shape>
                <v:shape style="position:absolute;left:3504;top:2923;width:213;height:190" type="#_x0000_t202" id="docshape119" filled="false" stroked="false">
                  <v:textbox inset="0,0,0,0">
                    <w:txbxContent>
                      <w:p>
                        <w:pPr>
                          <w:spacing w:line="190" w:lineRule="exact" w:before="0"/>
                          <w:ind w:left="0" w:right="0" w:firstLine="0"/>
                          <w:jc w:val="left"/>
                          <w:rPr>
                            <w:rFonts w:ascii="Calibri"/>
                            <w:sz w:val="19"/>
                          </w:rPr>
                        </w:pPr>
                        <w:r>
                          <w:rPr>
                            <w:rFonts w:ascii="Calibri"/>
                            <w:spacing w:val="-5"/>
                            <w:sz w:val="19"/>
                          </w:rPr>
                          <w:t>90</w:t>
                        </w:r>
                      </w:p>
                    </w:txbxContent>
                  </v:textbox>
                  <w10:wrap type="none"/>
                </v:shape>
                <v:shape style="position:absolute;left:3504;top:3888;width:213;height:190" type="#_x0000_t202" id="docshape120" filled="false" stroked="false">
                  <v:textbox inset="0,0,0,0">
                    <w:txbxContent>
                      <w:p>
                        <w:pPr>
                          <w:spacing w:line="190" w:lineRule="exact" w:before="0"/>
                          <w:ind w:left="0" w:right="0" w:firstLine="0"/>
                          <w:jc w:val="left"/>
                          <w:rPr>
                            <w:rFonts w:ascii="Calibri"/>
                            <w:sz w:val="19"/>
                          </w:rPr>
                        </w:pPr>
                        <w:r>
                          <w:rPr>
                            <w:rFonts w:ascii="Calibri"/>
                            <w:spacing w:val="-5"/>
                            <w:sz w:val="19"/>
                          </w:rPr>
                          <w:t>85</w:t>
                        </w:r>
                      </w:p>
                    </w:txbxContent>
                  </v:textbox>
                  <w10:wrap type="none"/>
                </v:shape>
                <v:shape style="position:absolute;left:3504;top:4853;width:213;height:190" type="#_x0000_t202" id="docshape121" filled="false" stroked="false">
                  <v:textbox inset="0,0,0,0">
                    <w:txbxContent>
                      <w:p>
                        <w:pPr>
                          <w:spacing w:line="190" w:lineRule="exact" w:before="0"/>
                          <w:ind w:left="0" w:right="0" w:firstLine="0"/>
                          <w:jc w:val="left"/>
                          <w:rPr>
                            <w:rFonts w:ascii="Calibri"/>
                            <w:sz w:val="19"/>
                          </w:rPr>
                        </w:pPr>
                        <w:r>
                          <w:rPr>
                            <w:rFonts w:ascii="Calibri"/>
                            <w:spacing w:val="-5"/>
                            <w:sz w:val="19"/>
                          </w:rPr>
                          <w:t>80</w:t>
                        </w:r>
                      </w:p>
                    </w:txbxContent>
                  </v:textbox>
                  <w10:wrap type="none"/>
                </v:shape>
                <v:shape style="position:absolute;left:3504;top:5813;width:213;height:190" type="#_x0000_t202" id="docshape122" filled="false" stroked="false">
                  <v:textbox inset="0,0,0,0">
                    <w:txbxContent>
                      <w:p>
                        <w:pPr>
                          <w:spacing w:line="190" w:lineRule="exact" w:before="0"/>
                          <w:ind w:left="0" w:right="0" w:firstLine="0"/>
                          <w:jc w:val="left"/>
                          <w:rPr>
                            <w:rFonts w:ascii="Calibri"/>
                            <w:sz w:val="19"/>
                          </w:rPr>
                        </w:pPr>
                        <w:r>
                          <w:rPr>
                            <w:rFonts w:ascii="Calibri"/>
                            <w:spacing w:val="-5"/>
                            <w:sz w:val="19"/>
                          </w:rPr>
                          <w:t>75</w:t>
                        </w:r>
                      </w:p>
                    </w:txbxContent>
                  </v:textbox>
                  <w10:wrap type="none"/>
                </v:shape>
                <w10:wrap type="none"/>
              </v:group>
            </w:pict>
          </mc:Fallback>
        </mc:AlternateContent>
      </w:r>
      <w:r>
        <w:rPr>
          <w:rFonts w:ascii="Calibri"/>
          <w:spacing w:val="-10"/>
          <w:sz w:val="19"/>
        </w:rPr>
        <w:t>1</w:t>
      </w:r>
    </w:p>
    <w:p>
      <w:pPr>
        <w:pStyle w:val="BodyText"/>
        <w:rPr>
          <w:rFonts w:ascii="Calibri"/>
          <w:sz w:val="19"/>
        </w:rPr>
      </w:pPr>
    </w:p>
    <w:p>
      <w:pPr>
        <w:pStyle w:val="BodyText"/>
        <w:rPr>
          <w:rFonts w:ascii="Calibri"/>
          <w:sz w:val="19"/>
        </w:rPr>
      </w:pPr>
    </w:p>
    <w:p>
      <w:pPr>
        <w:pStyle w:val="BodyText"/>
        <w:spacing w:before="32"/>
        <w:rPr>
          <w:rFonts w:ascii="Calibri"/>
          <w:sz w:val="19"/>
        </w:rPr>
      </w:pPr>
    </w:p>
    <w:p>
      <w:pPr>
        <w:spacing w:before="0"/>
        <w:ind w:left="1688" w:right="0" w:firstLine="0"/>
        <w:jc w:val="left"/>
        <w:rPr>
          <w:rFonts w:ascii="Calibri"/>
          <w:sz w:val="19"/>
        </w:rPr>
      </w:pPr>
      <w:r>
        <w:rPr/>
        <mc:AlternateContent>
          <mc:Choice Requires="wps">
            <w:drawing>
              <wp:anchor distT="0" distB="0" distL="0" distR="0" allowOverlap="1" layoutInCell="1" locked="0" behindDoc="0" simplePos="0" relativeHeight="15758848">
                <wp:simplePos x="0" y="0"/>
                <wp:positionH relativeFrom="page">
                  <wp:posOffset>1994073</wp:posOffset>
                </wp:positionH>
                <wp:positionV relativeFrom="paragraph">
                  <wp:posOffset>650562</wp:posOffset>
                </wp:positionV>
                <wp:extent cx="146050" cy="13061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57.013672pt;margin-top:51.225365pt;width:11.5pt;height:102.85pt;mso-position-horizontal-relative:page;mso-position-vertical-relative:paragraph;z-index:15758848" type="#_x0000_t202" id="docshape123"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1"/>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10"/>
          <w:sz w:val="19"/>
        </w:rPr>
        <w:t>1</w:t>
      </w: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188"/>
        <w:rPr>
          <w:rFonts w:ascii="Calibri"/>
          <w:sz w:val="19"/>
        </w:rPr>
      </w:pPr>
    </w:p>
    <w:p>
      <w:pPr>
        <w:tabs>
          <w:tab w:pos="1502" w:val="left" w:leader="none"/>
          <w:tab w:pos="2491" w:val="left" w:leader="none"/>
          <w:tab w:pos="3432" w:val="left" w:leader="none"/>
          <w:tab w:pos="4421" w:val="left" w:leader="none"/>
          <w:tab w:pos="5693" w:val="right" w:leader="none"/>
        </w:tabs>
        <w:spacing w:before="1"/>
        <w:ind w:left="446" w:right="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6"/>
        <w:ind w:left="1377" w:right="911"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10"/>
          <w:sz w:val="19"/>
        </w:rPr>
        <w:t> </w:t>
      </w:r>
      <w:r>
        <w:rPr>
          <w:rFonts w:ascii="Calibri" w:hAnsi="Calibri"/>
          <w:b/>
          <w:spacing w:val="-4"/>
          <w:sz w:val="19"/>
        </w:rPr>
        <w:t>(µm)</w:t>
      </w:r>
    </w:p>
    <w:p>
      <w:pPr>
        <w:pStyle w:val="Heading2"/>
        <w:spacing w:before="593"/>
        <w:ind w:left="0" w:right="911" w:firstLine="0"/>
        <w:jc w:val="center"/>
      </w:pPr>
      <w:r>
        <w:rPr/>
        <w:t>Figure</w:t>
      </w:r>
      <w:r>
        <w:rPr>
          <w:spacing w:val="16"/>
        </w:rPr>
        <w:t> </w:t>
      </w:r>
      <w:r>
        <w:rPr/>
        <w:t>A.</w:t>
      </w:r>
      <w:r>
        <w:rPr>
          <w:spacing w:val="6"/>
        </w:rPr>
        <w:t> </w:t>
      </w:r>
      <w:r>
        <w:rPr/>
        <w:t>2:</w:t>
      </w:r>
      <w:r>
        <w:rPr>
          <w:spacing w:val="12"/>
        </w:rPr>
        <w:t> </w:t>
      </w:r>
      <w:r>
        <w:rPr/>
        <w:t>Graph</w:t>
      </w:r>
      <w:r>
        <w:rPr>
          <w:spacing w:val="15"/>
        </w:rPr>
        <w:t> </w:t>
      </w:r>
      <w:r>
        <w:rPr/>
        <w:t>of</w:t>
      </w:r>
      <w:r>
        <w:rPr>
          <w:spacing w:val="18"/>
        </w:rPr>
        <w:t> </w:t>
      </w:r>
      <w:r>
        <w:rPr/>
        <w:t>Cumulative</w:t>
      </w:r>
      <w:r>
        <w:rPr>
          <w:spacing w:val="17"/>
        </w:rPr>
        <w:t> </w:t>
      </w:r>
      <w:r>
        <w:rPr/>
        <w:t>frequency</w:t>
      </w:r>
      <w:r>
        <w:rPr>
          <w:spacing w:val="13"/>
        </w:rPr>
        <w:t> </w:t>
      </w:r>
      <w:r>
        <w:rPr/>
        <w:t>(%)</w:t>
      </w:r>
      <w:r>
        <w:rPr>
          <w:spacing w:val="6"/>
        </w:rPr>
        <w:t> </w:t>
      </w:r>
      <w:r>
        <w:rPr/>
        <w:t>oversize</w:t>
      </w:r>
      <w:r>
        <w:rPr>
          <w:spacing w:val="10"/>
        </w:rPr>
        <w:t> </w:t>
      </w:r>
      <w:r>
        <w:rPr/>
        <w:t>distribution</w:t>
      </w:r>
      <w:r>
        <w:rPr>
          <w:spacing w:val="4"/>
        </w:rPr>
        <w:t> </w:t>
      </w:r>
      <w:r>
        <w:rPr>
          <w:spacing w:val="-2"/>
        </w:rPr>
        <w:t>against</w:t>
      </w:r>
    </w:p>
    <w:p>
      <w:pPr>
        <w:spacing w:before="6"/>
        <w:ind w:left="387" w:right="0" w:firstLine="0"/>
        <w:jc w:val="center"/>
        <w:rPr>
          <w:b/>
          <w:sz w:val="22"/>
        </w:rPr>
      </w:pPr>
      <w:r>
        <w:rPr>
          <w:b/>
          <w:sz w:val="22"/>
        </w:rPr>
        <w:t>sieve</w:t>
      </w:r>
      <w:r>
        <w:rPr>
          <w:b/>
          <w:spacing w:val="10"/>
          <w:sz w:val="22"/>
        </w:rPr>
        <w:t> </w:t>
      </w:r>
      <w:r>
        <w:rPr>
          <w:b/>
          <w:sz w:val="22"/>
        </w:rPr>
        <w:t>size</w:t>
      </w:r>
      <w:r>
        <w:rPr>
          <w:b/>
          <w:spacing w:val="10"/>
          <w:sz w:val="22"/>
        </w:rPr>
        <w:t> </w:t>
      </w:r>
      <w:r>
        <w:rPr>
          <w:b/>
          <w:sz w:val="22"/>
        </w:rPr>
        <w:t>(µm)</w:t>
      </w:r>
      <w:r>
        <w:rPr>
          <w:b/>
          <w:spacing w:val="11"/>
          <w:sz w:val="22"/>
        </w:rPr>
        <w:t> </w:t>
      </w:r>
      <w:r>
        <w:rPr>
          <w:b/>
          <w:sz w:val="22"/>
        </w:rPr>
        <w:t>of</w:t>
      </w:r>
      <w:r>
        <w:rPr>
          <w:b/>
          <w:spacing w:val="16"/>
          <w:sz w:val="22"/>
        </w:rPr>
        <w:t> </w:t>
      </w:r>
      <w:r>
        <w:rPr>
          <w:b/>
          <w:sz w:val="22"/>
        </w:rPr>
        <w:t>metronidazole</w:t>
      </w:r>
      <w:r>
        <w:rPr>
          <w:b/>
          <w:spacing w:val="5"/>
          <w:sz w:val="22"/>
        </w:rPr>
        <w:t> </w:t>
      </w:r>
      <w:r>
        <w:rPr>
          <w:b/>
          <w:sz w:val="22"/>
        </w:rPr>
        <w:t>granules</w:t>
      </w:r>
      <w:r>
        <w:rPr>
          <w:b/>
          <w:spacing w:val="7"/>
          <w:sz w:val="22"/>
        </w:rPr>
        <w:t> </w:t>
      </w:r>
      <w:r>
        <w:rPr>
          <w:b/>
          <w:sz w:val="22"/>
        </w:rPr>
        <w:t>using</w:t>
      </w:r>
      <w:r>
        <w:rPr>
          <w:b/>
          <w:spacing w:val="7"/>
          <w:sz w:val="22"/>
        </w:rPr>
        <w:t> </w:t>
      </w:r>
      <w:r>
        <w:rPr>
          <w:b/>
          <w:sz w:val="22"/>
        </w:rPr>
        <w:t>5.0</w:t>
      </w:r>
      <w:r>
        <w:rPr>
          <w:b/>
          <w:spacing w:val="7"/>
          <w:sz w:val="22"/>
        </w:rPr>
        <w:t> </w:t>
      </w:r>
      <w:r>
        <w:rPr>
          <w:b/>
          <w:sz w:val="22"/>
        </w:rPr>
        <w:t>%</w:t>
      </w:r>
      <w:r>
        <w:rPr>
          <w:b/>
          <w:spacing w:val="14"/>
          <w:sz w:val="22"/>
        </w:rPr>
        <w:t> </w:t>
      </w:r>
      <w:r>
        <w:rPr>
          <w:b/>
          <w:sz w:val="22"/>
        </w:rPr>
        <w:t>w/v</w:t>
      </w:r>
      <w:r>
        <w:rPr>
          <w:b/>
          <w:spacing w:val="7"/>
          <w:sz w:val="22"/>
        </w:rPr>
        <w:t> </w:t>
      </w:r>
      <w:r>
        <w:rPr>
          <w:b/>
          <w:sz w:val="22"/>
        </w:rPr>
        <w:t>as</w:t>
      </w:r>
      <w:r>
        <w:rPr>
          <w:b/>
          <w:spacing w:val="8"/>
          <w:sz w:val="22"/>
        </w:rPr>
        <w:t> </w:t>
      </w:r>
      <w:r>
        <w:rPr>
          <w:b/>
          <w:spacing w:val="-2"/>
          <w:sz w:val="22"/>
        </w:rPr>
        <w:t>binder.</w:t>
      </w:r>
    </w:p>
    <w:p>
      <w:pPr>
        <w:spacing w:after="0"/>
        <w:jc w:val="center"/>
        <w:rPr>
          <w:sz w:val="22"/>
        </w:rPr>
        <w:sectPr>
          <w:pgSz w:w="12240" w:h="15840"/>
          <w:pgMar w:header="0" w:footer="999" w:top="1820" w:bottom="1180" w:left="1720" w:right="760"/>
        </w:sectPr>
      </w:pPr>
    </w:p>
    <w:p>
      <w:pPr>
        <w:pStyle w:val="BodyText"/>
        <w:rPr>
          <w:b/>
          <w:sz w:val="19"/>
        </w:rPr>
      </w:pPr>
    </w:p>
    <w:p>
      <w:pPr>
        <w:pStyle w:val="BodyText"/>
        <w:rPr>
          <w:b/>
          <w:sz w:val="19"/>
        </w:rPr>
      </w:pPr>
    </w:p>
    <w:p>
      <w:pPr>
        <w:pStyle w:val="BodyText"/>
        <w:spacing w:before="194"/>
        <w:rPr>
          <w:b/>
          <w:sz w:val="19"/>
        </w:rPr>
      </w:pPr>
    </w:p>
    <w:p>
      <w:pPr>
        <w:spacing w:before="1"/>
        <w:ind w:left="1462" w:right="0" w:firstLine="0"/>
        <w:jc w:val="left"/>
        <w:rPr>
          <w:rFonts w:ascii="Calibri"/>
          <w:sz w:val="19"/>
        </w:rPr>
      </w:pPr>
      <w:r>
        <w:rPr/>
        <mc:AlternateContent>
          <mc:Choice Requires="wps">
            <w:drawing>
              <wp:anchor distT="0" distB="0" distL="0" distR="0" allowOverlap="1" layoutInCell="1" locked="0" behindDoc="1" simplePos="0" relativeHeight="482010112">
                <wp:simplePos x="0" y="0"/>
                <wp:positionH relativeFrom="page">
                  <wp:posOffset>2276855</wp:posOffset>
                </wp:positionH>
                <wp:positionV relativeFrom="paragraph">
                  <wp:posOffset>75790</wp:posOffset>
                </wp:positionV>
                <wp:extent cx="4029710" cy="315468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4029710" cy="3154680"/>
                          <a:chExt cx="4029710" cy="3154680"/>
                        </a:xfrm>
                      </wpg:grpSpPr>
                      <wps:wsp>
                        <wps:cNvPr id="137" name="Graphic 137"/>
                        <wps:cNvSpPr/>
                        <wps:spPr>
                          <a:xfrm>
                            <a:off x="0" y="0"/>
                            <a:ext cx="3807460" cy="3154680"/>
                          </a:xfrm>
                          <a:custGeom>
                            <a:avLst/>
                            <a:gdLst/>
                            <a:ahLst/>
                            <a:cxnLst/>
                            <a:rect l="l" t="t" r="r" b="b"/>
                            <a:pathLst>
                              <a:path w="3807460" h="3154680">
                                <a:moveTo>
                                  <a:pt x="3806952" y="3118104"/>
                                </a:moveTo>
                                <a:lnTo>
                                  <a:pt x="3803904" y="3118104"/>
                                </a:lnTo>
                                <a:lnTo>
                                  <a:pt x="3803904" y="3115056"/>
                                </a:lnTo>
                                <a:lnTo>
                                  <a:pt x="42672" y="3115056"/>
                                </a:lnTo>
                                <a:lnTo>
                                  <a:pt x="42672" y="3048"/>
                                </a:lnTo>
                                <a:lnTo>
                                  <a:pt x="36576" y="3048"/>
                                </a:lnTo>
                                <a:lnTo>
                                  <a:pt x="36576" y="0"/>
                                </a:lnTo>
                                <a:lnTo>
                                  <a:pt x="0" y="0"/>
                                </a:lnTo>
                                <a:lnTo>
                                  <a:pt x="0" y="9144"/>
                                </a:lnTo>
                                <a:lnTo>
                                  <a:pt x="33528" y="9144"/>
                                </a:lnTo>
                                <a:lnTo>
                                  <a:pt x="33528" y="518160"/>
                                </a:lnTo>
                                <a:lnTo>
                                  <a:pt x="0" y="518160"/>
                                </a:lnTo>
                                <a:lnTo>
                                  <a:pt x="0" y="527304"/>
                                </a:lnTo>
                                <a:lnTo>
                                  <a:pt x="33528" y="527304"/>
                                </a:lnTo>
                                <a:lnTo>
                                  <a:pt x="33528" y="1039368"/>
                                </a:lnTo>
                                <a:lnTo>
                                  <a:pt x="0" y="1039368"/>
                                </a:lnTo>
                                <a:lnTo>
                                  <a:pt x="0" y="1045464"/>
                                </a:lnTo>
                                <a:lnTo>
                                  <a:pt x="33528" y="1045464"/>
                                </a:lnTo>
                                <a:lnTo>
                                  <a:pt x="33528" y="1557528"/>
                                </a:lnTo>
                                <a:lnTo>
                                  <a:pt x="0" y="1557528"/>
                                </a:lnTo>
                                <a:lnTo>
                                  <a:pt x="0" y="1566672"/>
                                </a:lnTo>
                                <a:lnTo>
                                  <a:pt x="33528" y="1566672"/>
                                </a:lnTo>
                                <a:lnTo>
                                  <a:pt x="33528" y="2075688"/>
                                </a:lnTo>
                                <a:lnTo>
                                  <a:pt x="0" y="2075688"/>
                                </a:lnTo>
                                <a:lnTo>
                                  <a:pt x="0" y="2084832"/>
                                </a:lnTo>
                                <a:lnTo>
                                  <a:pt x="33528" y="2084832"/>
                                </a:lnTo>
                                <a:lnTo>
                                  <a:pt x="33528" y="2593848"/>
                                </a:lnTo>
                                <a:lnTo>
                                  <a:pt x="0" y="2593848"/>
                                </a:lnTo>
                                <a:lnTo>
                                  <a:pt x="0" y="2602992"/>
                                </a:lnTo>
                                <a:lnTo>
                                  <a:pt x="33528" y="2602992"/>
                                </a:lnTo>
                                <a:lnTo>
                                  <a:pt x="33528" y="3112008"/>
                                </a:lnTo>
                                <a:lnTo>
                                  <a:pt x="0" y="3112008"/>
                                </a:lnTo>
                                <a:lnTo>
                                  <a:pt x="0" y="3121152"/>
                                </a:lnTo>
                                <a:lnTo>
                                  <a:pt x="33528" y="3121152"/>
                                </a:lnTo>
                                <a:lnTo>
                                  <a:pt x="33528" y="3154680"/>
                                </a:lnTo>
                                <a:lnTo>
                                  <a:pt x="42672" y="3154680"/>
                                </a:lnTo>
                                <a:lnTo>
                                  <a:pt x="42672" y="3121152"/>
                                </a:lnTo>
                                <a:lnTo>
                                  <a:pt x="661416" y="3121152"/>
                                </a:lnTo>
                                <a:lnTo>
                                  <a:pt x="661416" y="3154680"/>
                                </a:lnTo>
                                <a:lnTo>
                                  <a:pt x="670560" y="3154680"/>
                                </a:lnTo>
                                <a:lnTo>
                                  <a:pt x="670560" y="3121152"/>
                                </a:lnTo>
                                <a:lnTo>
                                  <a:pt x="1289304" y="3121152"/>
                                </a:lnTo>
                                <a:lnTo>
                                  <a:pt x="1289304" y="3154680"/>
                                </a:lnTo>
                                <a:lnTo>
                                  <a:pt x="1295400" y="3154680"/>
                                </a:lnTo>
                                <a:lnTo>
                                  <a:pt x="1295400" y="3121152"/>
                                </a:lnTo>
                                <a:lnTo>
                                  <a:pt x="1917192" y="3121152"/>
                                </a:lnTo>
                                <a:lnTo>
                                  <a:pt x="1917192" y="3154680"/>
                                </a:lnTo>
                                <a:lnTo>
                                  <a:pt x="1923288" y="3154680"/>
                                </a:lnTo>
                                <a:lnTo>
                                  <a:pt x="1923288" y="3121152"/>
                                </a:lnTo>
                                <a:lnTo>
                                  <a:pt x="2542032" y="3121152"/>
                                </a:lnTo>
                                <a:lnTo>
                                  <a:pt x="2542032" y="3154680"/>
                                </a:lnTo>
                                <a:lnTo>
                                  <a:pt x="2551176" y="3154680"/>
                                </a:lnTo>
                                <a:lnTo>
                                  <a:pt x="2551176" y="3121152"/>
                                </a:lnTo>
                                <a:lnTo>
                                  <a:pt x="3169920" y="3121152"/>
                                </a:lnTo>
                                <a:lnTo>
                                  <a:pt x="3169920" y="3154680"/>
                                </a:lnTo>
                                <a:lnTo>
                                  <a:pt x="3179064" y="3154680"/>
                                </a:lnTo>
                                <a:lnTo>
                                  <a:pt x="3179064" y="3121152"/>
                                </a:lnTo>
                                <a:lnTo>
                                  <a:pt x="3797808" y="3121152"/>
                                </a:lnTo>
                                <a:lnTo>
                                  <a:pt x="3797808" y="3154680"/>
                                </a:lnTo>
                                <a:lnTo>
                                  <a:pt x="3806952" y="3154680"/>
                                </a:lnTo>
                                <a:lnTo>
                                  <a:pt x="3806952" y="3118104"/>
                                </a:lnTo>
                                <a:close/>
                              </a:path>
                            </a:pathLst>
                          </a:custGeom>
                          <a:solidFill>
                            <a:srgbClr val="858585"/>
                          </a:solidFill>
                        </wps:spPr>
                        <wps:bodyPr wrap="square" lIns="0" tIns="0" rIns="0" bIns="0" rtlCol="0">
                          <a:prstTxWarp prst="textNoShape">
                            <a:avLst/>
                          </a:prstTxWarp>
                          <a:noAutofit/>
                        </wps:bodyPr>
                      </wps:wsp>
                      <pic:pic>
                        <pic:nvPicPr>
                          <pic:cNvPr id="138" name="Image 138"/>
                          <pic:cNvPicPr/>
                        </pic:nvPicPr>
                        <pic:blipFill>
                          <a:blip r:embed="rId35" cstate="print"/>
                          <a:stretch>
                            <a:fillRect/>
                          </a:stretch>
                        </pic:blipFill>
                        <pic:spPr>
                          <a:xfrm>
                            <a:off x="301752" y="487680"/>
                            <a:ext cx="3233928" cy="557783"/>
                          </a:xfrm>
                          <a:prstGeom prst="rect">
                            <a:avLst/>
                          </a:prstGeom>
                        </pic:spPr>
                      </pic:pic>
                      <wps:wsp>
                        <wps:cNvPr id="139" name="Graphic 139"/>
                        <wps:cNvSpPr/>
                        <wps:spPr>
                          <a:xfrm>
                            <a:off x="3773423" y="1542288"/>
                            <a:ext cx="256540" cy="24765"/>
                          </a:xfrm>
                          <a:custGeom>
                            <a:avLst/>
                            <a:gdLst/>
                            <a:ahLst/>
                            <a:cxnLst/>
                            <a:rect l="l" t="t" r="r" b="b"/>
                            <a:pathLst>
                              <a:path w="256540" h="24765">
                                <a:moveTo>
                                  <a:pt x="249936" y="0"/>
                                </a:moveTo>
                                <a:lnTo>
                                  <a:pt x="12192" y="0"/>
                                </a:lnTo>
                                <a:lnTo>
                                  <a:pt x="6096" y="0"/>
                                </a:lnTo>
                                <a:lnTo>
                                  <a:pt x="0" y="3048"/>
                                </a:lnTo>
                                <a:lnTo>
                                  <a:pt x="0" y="18288"/>
                                </a:lnTo>
                                <a:lnTo>
                                  <a:pt x="6096" y="24383"/>
                                </a:lnTo>
                                <a:lnTo>
                                  <a:pt x="249936" y="24383"/>
                                </a:lnTo>
                                <a:lnTo>
                                  <a:pt x="256032" y="18288"/>
                                </a:lnTo>
                                <a:lnTo>
                                  <a:pt x="256032" y="3048"/>
                                </a:lnTo>
                                <a:lnTo>
                                  <a:pt x="249936" y="0"/>
                                </a:lnTo>
                                <a:close/>
                              </a:path>
                            </a:pathLst>
                          </a:custGeom>
                          <a:solidFill>
                            <a:srgbClr val="497DBA"/>
                          </a:solidFill>
                        </wps:spPr>
                        <wps:bodyPr wrap="square" lIns="0" tIns="0" rIns="0" bIns="0" rtlCol="0">
                          <a:prstTxWarp prst="textNoShape">
                            <a:avLst/>
                          </a:prstTxWarp>
                          <a:noAutofit/>
                        </wps:bodyPr>
                      </wps:wsp>
                      <pic:pic>
                        <pic:nvPicPr>
                          <pic:cNvPr id="140" name="Image 140"/>
                          <pic:cNvPicPr/>
                        </pic:nvPicPr>
                        <pic:blipFill>
                          <a:blip r:embed="rId36" cstate="print"/>
                          <a:stretch>
                            <a:fillRect/>
                          </a:stretch>
                        </pic:blipFill>
                        <pic:spPr>
                          <a:xfrm>
                            <a:off x="3861815" y="1514855"/>
                            <a:ext cx="79248" cy="76200"/>
                          </a:xfrm>
                          <a:prstGeom prst="rect">
                            <a:avLst/>
                          </a:prstGeom>
                        </pic:spPr>
                      </pic:pic>
                      <wps:wsp>
                        <wps:cNvPr id="141" name="Graphic 141"/>
                        <wps:cNvSpPr/>
                        <wps:spPr>
                          <a:xfrm>
                            <a:off x="3773423" y="1755648"/>
                            <a:ext cx="256540" cy="27940"/>
                          </a:xfrm>
                          <a:custGeom>
                            <a:avLst/>
                            <a:gdLst/>
                            <a:ahLst/>
                            <a:cxnLst/>
                            <a:rect l="l" t="t" r="r" b="b"/>
                            <a:pathLst>
                              <a:path w="256540" h="27940">
                                <a:moveTo>
                                  <a:pt x="249936" y="0"/>
                                </a:moveTo>
                                <a:lnTo>
                                  <a:pt x="12192"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142" name="Graphic 142"/>
                        <wps:cNvSpPr/>
                        <wps:spPr>
                          <a:xfrm>
                            <a:off x="3867911" y="1731264"/>
                            <a:ext cx="70485" cy="73660"/>
                          </a:xfrm>
                          <a:custGeom>
                            <a:avLst/>
                            <a:gdLst/>
                            <a:ahLst/>
                            <a:cxnLst/>
                            <a:rect l="l" t="t" r="r" b="b"/>
                            <a:pathLst>
                              <a:path w="70485" h="73660">
                                <a:moveTo>
                                  <a:pt x="70103" y="0"/>
                                </a:moveTo>
                                <a:lnTo>
                                  <a:pt x="0" y="0"/>
                                </a:lnTo>
                                <a:lnTo>
                                  <a:pt x="0" y="73151"/>
                                </a:lnTo>
                                <a:lnTo>
                                  <a:pt x="70103" y="73151"/>
                                </a:lnTo>
                                <a:lnTo>
                                  <a:pt x="70103" y="0"/>
                                </a:lnTo>
                                <a:close/>
                              </a:path>
                            </a:pathLst>
                          </a:custGeom>
                          <a:solidFill>
                            <a:srgbClr val="BF4F4C"/>
                          </a:solidFill>
                        </wps:spPr>
                        <wps:bodyPr wrap="square" lIns="0" tIns="0" rIns="0" bIns="0" rtlCol="0">
                          <a:prstTxWarp prst="textNoShape">
                            <a:avLst/>
                          </a:prstTxWarp>
                          <a:noAutofit/>
                        </wps:bodyPr>
                      </wps:wsp>
                      <wps:wsp>
                        <wps:cNvPr id="143" name="Graphic 143"/>
                        <wps:cNvSpPr/>
                        <wps:spPr>
                          <a:xfrm>
                            <a:off x="3861815" y="1728216"/>
                            <a:ext cx="82550" cy="79375"/>
                          </a:xfrm>
                          <a:custGeom>
                            <a:avLst/>
                            <a:gdLst/>
                            <a:ahLst/>
                            <a:cxnLst/>
                            <a:rect l="l" t="t" r="r" b="b"/>
                            <a:pathLst>
                              <a:path w="82550" h="79375">
                                <a:moveTo>
                                  <a:pt x="76200" y="0"/>
                                </a:moveTo>
                                <a:lnTo>
                                  <a:pt x="6095" y="0"/>
                                </a:lnTo>
                                <a:lnTo>
                                  <a:pt x="0" y="3048"/>
                                </a:lnTo>
                                <a:lnTo>
                                  <a:pt x="0" y="76200"/>
                                </a:lnTo>
                                <a:lnTo>
                                  <a:pt x="6095" y="79248"/>
                                </a:lnTo>
                                <a:lnTo>
                                  <a:pt x="76200" y="79248"/>
                                </a:lnTo>
                                <a:lnTo>
                                  <a:pt x="82295" y="76200"/>
                                </a:lnTo>
                                <a:lnTo>
                                  <a:pt x="9143" y="76200"/>
                                </a:lnTo>
                                <a:lnTo>
                                  <a:pt x="6095" y="70104"/>
                                </a:lnTo>
                                <a:lnTo>
                                  <a:pt x="9143" y="70104"/>
                                </a:lnTo>
                                <a:lnTo>
                                  <a:pt x="9143" y="9144"/>
                                </a:lnTo>
                                <a:lnTo>
                                  <a:pt x="6095" y="9144"/>
                                </a:lnTo>
                                <a:lnTo>
                                  <a:pt x="9143" y="3048"/>
                                </a:lnTo>
                                <a:lnTo>
                                  <a:pt x="82295" y="3048"/>
                                </a:lnTo>
                                <a:lnTo>
                                  <a:pt x="76200" y="0"/>
                                </a:lnTo>
                                <a:close/>
                              </a:path>
                              <a:path w="82550" h="79375">
                                <a:moveTo>
                                  <a:pt x="9143" y="70104"/>
                                </a:moveTo>
                                <a:lnTo>
                                  <a:pt x="6095" y="70104"/>
                                </a:lnTo>
                                <a:lnTo>
                                  <a:pt x="9143" y="76200"/>
                                </a:lnTo>
                                <a:lnTo>
                                  <a:pt x="9143" y="70104"/>
                                </a:lnTo>
                                <a:close/>
                              </a:path>
                              <a:path w="82550" h="79375">
                                <a:moveTo>
                                  <a:pt x="73151" y="70104"/>
                                </a:moveTo>
                                <a:lnTo>
                                  <a:pt x="9143" y="70104"/>
                                </a:lnTo>
                                <a:lnTo>
                                  <a:pt x="9143" y="76200"/>
                                </a:lnTo>
                                <a:lnTo>
                                  <a:pt x="73151" y="76200"/>
                                </a:lnTo>
                                <a:lnTo>
                                  <a:pt x="73151" y="70104"/>
                                </a:lnTo>
                                <a:close/>
                              </a:path>
                              <a:path w="82550" h="79375">
                                <a:moveTo>
                                  <a:pt x="73151" y="3048"/>
                                </a:moveTo>
                                <a:lnTo>
                                  <a:pt x="73151" y="76200"/>
                                </a:lnTo>
                                <a:lnTo>
                                  <a:pt x="76200" y="70104"/>
                                </a:lnTo>
                                <a:lnTo>
                                  <a:pt x="82295" y="70104"/>
                                </a:lnTo>
                                <a:lnTo>
                                  <a:pt x="82295" y="9144"/>
                                </a:lnTo>
                                <a:lnTo>
                                  <a:pt x="76200" y="9144"/>
                                </a:lnTo>
                                <a:lnTo>
                                  <a:pt x="73151" y="3048"/>
                                </a:lnTo>
                                <a:close/>
                              </a:path>
                              <a:path w="82550" h="79375">
                                <a:moveTo>
                                  <a:pt x="82295" y="70104"/>
                                </a:moveTo>
                                <a:lnTo>
                                  <a:pt x="76200" y="70104"/>
                                </a:lnTo>
                                <a:lnTo>
                                  <a:pt x="73151" y="76200"/>
                                </a:lnTo>
                                <a:lnTo>
                                  <a:pt x="82295" y="76200"/>
                                </a:lnTo>
                                <a:lnTo>
                                  <a:pt x="82295" y="70104"/>
                                </a:lnTo>
                                <a:close/>
                              </a:path>
                              <a:path w="82550" h="79375">
                                <a:moveTo>
                                  <a:pt x="9143" y="3048"/>
                                </a:moveTo>
                                <a:lnTo>
                                  <a:pt x="6095" y="9144"/>
                                </a:lnTo>
                                <a:lnTo>
                                  <a:pt x="9143" y="9144"/>
                                </a:lnTo>
                                <a:lnTo>
                                  <a:pt x="9143" y="3048"/>
                                </a:lnTo>
                                <a:close/>
                              </a:path>
                              <a:path w="82550" h="79375">
                                <a:moveTo>
                                  <a:pt x="73151" y="3048"/>
                                </a:moveTo>
                                <a:lnTo>
                                  <a:pt x="9143" y="3048"/>
                                </a:lnTo>
                                <a:lnTo>
                                  <a:pt x="9143" y="9144"/>
                                </a:lnTo>
                                <a:lnTo>
                                  <a:pt x="73151" y="9144"/>
                                </a:lnTo>
                                <a:lnTo>
                                  <a:pt x="73151" y="3048"/>
                                </a:lnTo>
                                <a:close/>
                              </a:path>
                              <a:path w="82550" h="79375">
                                <a:moveTo>
                                  <a:pt x="82295" y="3048"/>
                                </a:moveTo>
                                <a:lnTo>
                                  <a:pt x="73151" y="3048"/>
                                </a:lnTo>
                                <a:lnTo>
                                  <a:pt x="76200" y="9144"/>
                                </a:lnTo>
                                <a:lnTo>
                                  <a:pt x="82295" y="9144"/>
                                </a:lnTo>
                                <a:lnTo>
                                  <a:pt x="82295" y="3048"/>
                                </a:lnTo>
                                <a:close/>
                              </a:path>
                            </a:pathLst>
                          </a:custGeom>
                          <a:solidFill>
                            <a:srgbClr val="BD4A47"/>
                          </a:solidFill>
                        </wps:spPr>
                        <wps:bodyPr wrap="square" lIns="0" tIns="0" rIns="0" bIns="0" rtlCol="0">
                          <a:prstTxWarp prst="textNoShape">
                            <a:avLst/>
                          </a:prstTxWarp>
                          <a:noAutofit/>
                        </wps:bodyPr>
                      </wps:wsp>
                      <wps:wsp>
                        <wps:cNvPr id="144" name="Graphic 144"/>
                        <wps:cNvSpPr/>
                        <wps:spPr>
                          <a:xfrm>
                            <a:off x="3773423" y="1972055"/>
                            <a:ext cx="256540" cy="24765"/>
                          </a:xfrm>
                          <a:custGeom>
                            <a:avLst/>
                            <a:gdLst/>
                            <a:ahLst/>
                            <a:cxnLst/>
                            <a:rect l="l" t="t" r="r" b="b"/>
                            <a:pathLst>
                              <a:path w="256540" h="24765">
                                <a:moveTo>
                                  <a:pt x="249936" y="0"/>
                                </a:moveTo>
                                <a:lnTo>
                                  <a:pt x="12192" y="0"/>
                                </a:lnTo>
                                <a:lnTo>
                                  <a:pt x="6096" y="0"/>
                                </a:lnTo>
                                <a:lnTo>
                                  <a:pt x="0" y="3047"/>
                                </a:lnTo>
                                <a:lnTo>
                                  <a:pt x="0" y="18287"/>
                                </a:lnTo>
                                <a:lnTo>
                                  <a:pt x="6096" y="24383"/>
                                </a:lnTo>
                                <a:lnTo>
                                  <a:pt x="249936" y="24383"/>
                                </a:lnTo>
                                <a:lnTo>
                                  <a:pt x="256032" y="18287"/>
                                </a:lnTo>
                                <a:lnTo>
                                  <a:pt x="256032" y="3047"/>
                                </a:lnTo>
                                <a:lnTo>
                                  <a:pt x="249936" y="0"/>
                                </a:lnTo>
                                <a:close/>
                              </a:path>
                            </a:pathLst>
                          </a:custGeom>
                          <a:solidFill>
                            <a:srgbClr val="97B853"/>
                          </a:solidFill>
                        </wps:spPr>
                        <wps:bodyPr wrap="square" lIns="0" tIns="0" rIns="0" bIns="0" rtlCol="0">
                          <a:prstTxWarp prst="textNoShape">
                            <a:avLst/>
                          </a:prstTxWarp>
                          <a:noAutofit/>
                        </wps:bodyPr>
                      </wps:wsp>
                      <pic:pic>
                        <pic:nvPicPr>
                          <pic:cNvPr id="145" name="Image 145"/>
                          <pic:cNvPicPr/>
                        </pic:nvPicPr>
                        <pic:blipFill>
                          <a:blip r:embed="rId37" cstate="print"/>
                          <a:stretch>
                            <a:fillRect/>
                          </a:stretch>
                        </pic:blipFill>
                        <pic:spPr>
                          <a:xfrm>
                            <a:off x="3861815" y="1944623"/>
                            <a:ext cx="79248" cy="79248"/>
                          </a:xfrm>
                          <a:prstGeom prst="rect">
                            <a:avLst/>
                          </a:prstGeom>
                        </pic:spPr>
                      </pic:pic>
                    </wpg:wgp>
                  </a:graphicData>
                </a:graphic>
              </wp:anchor>
            </w:drawing>
          </mc:Choice>
          <mc:Fallback>
            <w:pict>
              <v:group style="position:absolute;margin-left:179.279999pt;margin-top:5.967783pt;width:317.3pt;height:248.4pt;mso-position-horizontal-relative:page;mso-position-vertical-relative:paragraph;z-index:-21306368" id="docshapegroup124" coordorigin="3586,119" coordsize="6346,4968">
                <v:shape style="position:absolute;left:3585;top:119;width:5996;height:4968" id="docshape125" coordorigin="3586,119" coordsize="5996,4968" path="m9581,5030l9576,5030,9576,5025,3653,5025,3653,124,3643,124,3643,119,3586,119,3586,134,3638,134,3638,935,3586,935,3586,950,3638,950,3638,1756,3586,1756,3586,1766,3638,1766,3638,2572,3586,2572,3586,2587,3638,2587,3638,3388,3586,3388,3586,3403,3638,3403,3638,4204,3586,4204,3586,4219,3638,4219,3638,5020,3586,5020,3586,5035,3638,5035,3638,5087,3653,5087,3653,5035,4627,5035,4627,5087,4642,5087,4642,5035,5616,5035,5616,5087,5626,5087,5626,5035,6605,5035,6605,5087,6614,5087,6614,5035,7589,5035,7589,5087,7603,5087,7603,5035,8578,5035,8578,5087,8592,5087,8592,5035,9566,5035,9566,5087,9581,5087,9581,5030xe" filled="true" fillcolor="#858585" stroked="false">
                  <v:path arrowok="t"/>
                  <v:fill type="solid"/>
                </v:shape>
                <v:shape style="position:absolute;left:4060;top:887;width:5093;height:879" type="#_x0000_t75" id="docshape126" stroked="false">
                  <v:imagedata r:id="rId35" o:title=""/>
                </v:shape>
                <v:shape style="position:absolute;left:9528;top:2548;width:404;height:39" id="docshape127" coordorigin="9528,2548" coordsize="404,39" path="m9922,2548l9547,2548,9538,2548,9528,2553,9528,2577,9538,2587,9922,2587,9931,2577,9931,2553,9922,2548xe" filled="true" fillcolor="#497dba" stroked="false">
                  <v:path arrowok="t"/>
                  <v:fill type="solid"/>
                </v:shape>
                <v:shape style="position:absolute;left:9667;top:2504;width:125;height:120" type="#_x0000_t75" id="docshape128" stroked="false">
                  <v:imagedata r:id="rId36" o:title=""/>
                </v:shape>
                <v:shape style="position:absolute;left:9528;top:2884;width:404;height:44" id="docshape129" coordorigin="9528,2884" coordsize="404,44" path="m9922,2884l9547,2884,9538,2884,9528,2894,9528,2918,9538,2927,9922,2927,9931,2918,9931,2894,9922,2884xe" filled="true" fillcolor="#bd4a47" stroked="false">
                  <v:path arrowok="t"/>
                  <v:fill type="solid"/>
                </v:shape>
                <v:rect style="position:absolute;left:9676;top:2845;width:111;height:116" id="docshape130" filled="true" fillcolor="#bf4f4c" stroked="false">
                  <v:fill type="solid"/>
                </v:rect>
                <v:shape style="position:absolute;left:9667;top:2840;width:130;height:125" id="docshape131" coordorigin="9667,2841" coordsize="130,125" path="m9787,2841l9677,2841,9667,2846,9667,2961,9677,2966,9787,2966,9797,2961,9682,2961,9677,2951,9682,2951,9682,2855,9677,2855,9682,2846,9797,2846,9787,2841xm9682,2951l9677,2951,9682,2961,9682,2951xm9782,2951l9682,2951,9682,2961,9782,2961,9782,2951xm9782,2846l9782,2961,9787,2951,9797,2951,9797,2855,9787,2855,9782,2846xm9797,2951l9787,2951,9782,2961,9797,2961,9797,2951xm9682,2846l9677,2855,9682,2855,9682,2846xm9782,2846l9682,2846,9682,2855,9782,2855,9782,2846xm9797,2846l9782,2846,9787,2855,9797,2855,9797,2846xe" filled="true" fillcolor="#bd4a47" stroked="false">
                  <v:path arrowok="t"/>
                  <v:fill type="solid"/>
                </v:shape>
                <v:shape style="position:absolute;left:9528;top:3224;width:404;height:39" id="docshape132" coordorigin="9528,3225" coordsize="404,39" path="m9922,3225l9547,3225,9538,3225,9528,3230,9528,3254,9538,3263,9922,3263,9931,3254,9931,3230,9922,3225xe" filled="true" fillcolor="#97b853" stroked="false">
                  <v:path arrowok="t"/>
                  <v:fill type="solid"/>
                </v:shape>
                <v:shape style="position:absolute;left:9667;top:3181;width:125;height:125" type="#_x0000_t75" id="docshape133" stroked="false">
                  <v:imagedata r:id="rId37" o:title=""/>
                </v:shape>
                <w10:wrap type="none"/>
              </v:group>
            </w:pict>
          </mc:Fallback>
        </mc:AlternateContent>
      </w:r>
      <w:r>
        <w:rPr>
          <w:rFonts w:ascii="Calibri"/>
          <w:spacing w:val="-5"/>
          <w:sz w:val="19"/>
        </w:rPr>
        <w:t>120</w:t>
      </w:r>
    </w:p>
    <w:p>
      <w:pPr>
        <w:pStyle w:val="BodyText"/>
        <w:rPr>
          <w:rFonts w:ascii="Calibri"/>
          <w:sz w:val="19"/>
        </w:rPr>
      </w:pPr>
    </w:p>
    <w:p>
      <w:pPr>
        <w:pStyle w:val="BodyText"/>
        <w:spacing w:before="120"/>
        <w:rPr>
          <w:rFonts w:ascii="Calibri"/>
          <w:sz w:val="19"/>
        </w:rPr>
      </w:pPr>
    </w:p>
    <w:p>
      <w:pPr>
        <w:spacing w:before="0"/>
        <w:ind w:left="1462" w:right="0" w:firstLine="0"/>
        <w:jc w:val="left"/>
        <w:rPr>
          <w:rFonts w:ascii="Calibri"/>
          <w:sz w:val="19"/>
        </w:rPr>
      </w:pPr>
      <w:r>
        <w:rPr>
          <w:rFonts w:ascii="Calibri"/>
          <w:spacing w:val="-5"/>
          <w:sz w:val="19"/>
        </w:rPr>
        <w:t>100</w:t>
      </w:r>
    </w:p>
    <w:p>
      <w:pPr>
        <w:pStyle w:val="BodyText"/>
        <w:rPr>
          <w:rFonts w:ascii="Calibri"/>
          <w:sz w:val="19"/>
        </w:rPr>
      </w:pPr>
    </w:p>
    <w:p>
      <w:pPr>
        <w:pStyle w:val="BodyText"/>
        <w:spacing w:before="125"/>
        <w:rPr>
          <w:rFonts w:ascii="Calibri"/>
          <w:sz w:val="19"/>
        </w:rPr>
      </w:pPr>
    </w:p>
    <w:p>
      <w:pPr>
        <w:spacing w:before="0"/>
        <w:ind w:left="1558" w:right="0" w:firstLine="0"/>
        <w:jc w:val="left"/>
        <w:rPr>
          <w:rFonts w:ascii="Calibri"/>
          <w:sz w:val="19"/>
        </w:rPr>
      </w:pPr>
      <w:r>
        <w:rPr/>
        <mc:AlternateContent>
          <mc:Choice Requires="wps">
            <w:drawing>
              <wp:anchor distT="0" distB="0" distL="0" distR="0" allowOverlap="1" layoutInCell="1" locked="0" behindDoc="0" simplePos="0" relativeHeight="15759872">
                <wp:simplePos x="0" y="0"/>
                <wp:positionH relativeFrom="page">
                  <wp:posOffset>1850817</wp:posOffset>
                </wp:positionH>
                <wp:positionV relativeFrom="paragraph">
                  <wp:posOffset>-56549</wp:posOffset>
                </wp:positionV>
                <wp:extent cx="146050" cy="130619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45.733673pt;margin-top:-4.452754pt;width:11.5pt;height:102.85pt;mso-position-horizontal-relative:page;mso-position-vertical-relative:paragraph;z-index:15759872" type="#_x0000_t202" id="docshape134"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spacing w:before="110"/>
        <w:rPr>
          <w:rFonts w:ascii="Calibri"/>
          <w:sz w:val="19"/>
        </w:rPr>
      </w:pPr>
    </w:p>
    <w:p>
      <w:pPr>
        <w:tabs>
          <w:tab w:pos="8225" w:val="left" w:leader="none"/>
        </w:tabs>
        <w:spacing w:before="0"/>
        <w:ind w:left="1558" w:right="0" w:firstLine="0"/>
        <w:jc w:val="left"/>
        <w:rPr>
          <w:rFonts w:ascii="Calibri"/>
          <w:sz w:val="19"/>
        </w:rPr>
      </w:pPr>
      <w:r>
        <w:rPr>
          <w:rFonts w:ascii="Calibri"/>
          <w:spacing w:val="-5"/>
          <w:sz w:val="19"/>
        </w:rPr>
        <w:t>60</w:t>
      </w:r>
      <w:r>
        <w:rPr>
          <w:rFonts w:ascii="Calibri"/>
          <w:sz w:val="19"/>
        </w:rPr>
        <w:tab/>
      </w:r>
      <w:r>
        <w:rPr>
          <w:rFonts w:ascii="Calibri"/>
          <w:spacing w:val="-5"/>
          <w:position w:val="1"/>
          <w:sz w:val="19"/>
        </w:rPr>
        <w:t>DS</w:t>
      </w:r>
    </w:p>
    <w:p>
      <w:pPr>
        <w:spacing w:line="340" w:lineRule="exact" w:before="3"/>
        <w:ind w:left="8225" w:right="1175" w:firstLine="0"/>
        <w:jc w:val="left"/>
        <w:rPr>
          <w:rFonts w:ascii="Calibri"/>
          <w:sz w:val="19"/>
        </w:rPr>
      </w:pPr>
      <w:r>
        <w:rPr>
          <w:rFonts w:ascii="Calibri"/>
          <w:spacing w:val="-4"/>
          <w:sz w:val="19"/>
        </w:rPr>
        <w:t>MCS</w:t>
      </w:r>
      <w:r>
        <w:rPr>
          <w:rFonts w:ascii="Calibri"/>
          <w:sz w:val="19"/>
        </w:rPr>
        <w:t> </w:t>
      </w:r>
      <w:r>
        <w:rPr>
          <w:rFonts w:ascii="Calibri"/>
          <w:spacing w:val="-4"/>
          <w:sz w:val="19"/>
        </w:rPr>
        <w:t>GEL</w:t>
      </w:r>
    </w:p>
    <w:p>
      <w:pPr>
        <w:spacing w:line="133" w:lineRule="exact" w:before="0"/>
        <w:ind w:left="1558" w:right="0" w:firstLine="0"/>
        <w:jc w:val="left"/>
        <w:rPr>
          <w:rFonts w:ascii="Calibri"/>
          <w:sz w:val="19"/>
        </w:rPr>
      </w:pPr>
      <w:r>
        <w:rPr>
          <w:rFonts w:ascii="Calibri"/>
          <w:spacing w:val="-5"/>
          <w:sz w:val="19"/>
        </w:rPr>
        <w:t>40</w:t>
      </w:r>
    </w:p>
    <w:p>
      <w:pPr>
        <w:pStyle w:val="BodyText"/>
        <w:rPr>
          <w:rFonts w:ascii="Calibri"/>
          <w:sz w:val="19"/>
        </w:rPr>
      </w:pPr>
    </w:p>
    <w:p>
      <w:pPr>
        <w:pStyle w:val="BodyText"/>
        <w:spacing w:before="120"/>
        <w:rPr>
          <w:rFonts w:ascii="Calibri"/>
          <w:sz w:val="19"/>
        </w:rPr>
      </w:pPr>
    </w:p>
    <w:p>
      <w:pPr>
        <w:spacing w:before="1"/>
        <w:ind w:left="1558" w:right="0" w:firstLine="0"/>
        <w:jc w:val="left"/>
        <w:rPr>
          <w:rFonts w:ascii="Calibri"/>
          <w:sz w:val="19"/>
        </w:rPr>
      </w:pPr>
      <w:r>
        <w:rPr>
          <w:rFonts w:ascii="Calibri"/>
          <w:spacing w:val="-5"/>
          <w:sz w:val="19"/>
        </w:rPr>
        <w:t>20</w:t>
      </w:r>
    </w:p>
    <w:p>
      <w:pPr>
        <w:pStyle w:val="BodyText"/>
        <w:rPr>
          <w:rFonts w:ascii="Calibri"/>
          <w:sz w:val="19"/>
        </w:rPr>
      </w:pPr>
    </w:p>
    <w:p>
      <w:pPr>
        <w:pStyle w:val="BodyText"/>
        <w:spacing w:before="120"/>
        <w:rPr>
          <w:rFonts w:ascii="Calibri"/>
          <w:sz w:val="19"/>
        </w:rPr>
      </w:pPr>
    </w:p>
    <w:p>
      <w:pPr>
        <w:spacing w:before="0"/>
        <w:ind w:left="0" w:right="6353" w:firstLine="0"/>
        <w:jc w:val="center"/>
        <w:rPr>
          <w:rFonts w:ascii="Calibri"/>
          <w:sz w:val="19"/>
        </w:rPr>
      </w:pPr>
      <w:r>
        <w:rPr>
          <w:rFonts w:ascii="Calibri"/>
          <w:spacing w:val="-10"/>
          <w:sz w:val="19"/>
        </w:rPr>
        <w:t>0</w:t>
      </w:r>
    </w:p>
    <w:p>
      <w:pPr>
        <w:tabs>
          <w:tab w:pos="1055" w:val="left" w:leader="none"/>
          <w:tab w:pos="2044" w:val="left" w:leader="none"/>
          <w:tab w:pos="2985" w:val="left" w:leader="none"/>
          <w:tab w:pos="3974" w:val="left" w:leader="none"/>
          <w:tab w:pos="5246" w:val="right" w:leader="none"/>
        </w:tabs>
        <w:spacing w:before="13"/>
        <w:ind w:left="0" w:right="2"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6"/>
        <w:ind w:left="15" w:right="0"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6"/>
          <w:sz w:val="19"/>
        </w:rPr>
        <w:t> </w:t>
      </w:r>
      <w:r>
        <w:rPr>
          <w:rFonts w:ascii="Calibri" w:hAnsi="Calibri"/>
          <w:b/>
          <w:spacing w:val="-4"/>
          <w:sz w:val="19"/>
        </w:rPr>
        <w:t>(µm)</w:t>
      </w:r>
    </w:p>
    <w:p>
      <w:pPr>
        <w:pStyle w:val="Heading2"/>
        <w:spacing w:before="967"/>
        <w:ind w:left="0" w:right="911" w:firstLine="0"/>
        <w:jc w:val="center"/>
      </w:pPr>
      <w:r>
        <w:rPr/>
        <w:t>Figure</w:t>
      </w:r>
      <w:r>
        <w:rPr>
          <w:spacing w:val="16"/>
        </w:rPr>
        <w:t> </w:t>
      </w:r>
      <w:r>
        <w:rPr/>
        <w:t>A.</w:t>
      </w:r>
      <w:r>
        <w:rPr>
          <w:spacing w:val="6"/>
        </w:rPr>
        <w:t> </w:t>
      </w:r>
      <w:r>
        <w:rPr/>
        <w:t>3:</w:t>
      </w:r>
      <w:r>
        <w:rPr>
          <w:spacing w:val="12"/>
        </w:rPr>
        <w:t> </w:t>
      </w:r>
      <w:r>
        <w:rPr/>
        <w:t>Graph</w:t>
      </w:r>
      <w:r>
        <w:rPr>
          <w:spacing w:val="15"/>
        </w:rPr>
        <w:t> </w:t>
      </w:r>
      <w:r>
        <w:rPr/>
        <w:t>of</w:t>
      </w:r>
      <w:r>
        <w:rPr>
          <w:spacing w:val="18"/>
        </w:rPr>
        <w:t> </w:t>
      </w:r>
      <w:r>
        <w:rPr/>
        <w:t>Cumulative</w:t>
      </w:r>
      <w:r>
        <w:rPr>
          <w:spacing w:val="17"/>
        </w:rPr>
        <w:t> </w:t>
      </w:r>
      <w:r>
        <w:rPr/>
        <w:t>frequency</w:t>
      </w:r>
      <w:r>
        <w:rPr>
          <w:spacing w:val="13"/>
        </w:rPr>
        <w:t> </w:t>
      </w:r>
      <w:r>
        <w:rPr/>
        <w:t>(%)</w:t>
      </w:r>
      <w:r>
        <w:rPr>
          <w:spacing w:val="6"/>
        </w:rPr>
        <w:t> </w:t>
      </w:r>
      <w:r>
        <w:rPr/>
        <w:t>oversize</w:t>
      </w:r>
      <w:r>
        <w:rPr>
          <w:spacing w:val="10"/>
        </w:rPr>
        <w:t> </w:t>
      </w:r>
      <w:r>
        <w:rPr/>
        <w:t>distribution</w:t>
      </w:r>
      <w:r>
        <w:rPr>
          <w:spacing w:val="4"/>
        </w:rPr>
        <w:t> </w:t>
      </w:r>
      <w:r>
        <w:rPr>
          <w:spacing w:val="-2"/>
        </w:rPr>
        <w:t>against</w:t>
      </w:r>
    </w:p>
    <w:p>
      <w:pPr>
        <w:spacing w:before="6"/>
        <w:ind w:left="387" w:right="0" w:firstLine="0"/>
        <w:jc w:val="center"/>
        <w:rPr>
          <w:b/>
          <w:sz w:val="22"/>
        </w:rPr>
      </w:pPr>
      <w:r>
        <w:rPr>
          <w:b/>
          <w:sz w:val="22"/>
        </w:rPr>
        <w:t>sieve</w:t>
      </w:r>
      <w:r>
        <w:rPr>
          <w:b/>
          <w:spacing w:val="10"/>
          <w:sz w:val="22"/>
        </w:rPr>
        <w:t> </w:t>
      </w:r>
      <w:r>
        <w:rPr>
          <w:b/>
          <w:sz w:val="22"/>
        </w:rPr>
        <w:t>size</w:t>
      </w:r>
      <w:r>
        <w:rPr>
          <w:b/>
          <w:spacing w:val="10"/>
          <w:sz w:val="22"/>
        </w:rPr>
        <w:t> </w:t>
      </w:r>
      <w:r>
        <w:rPr>
          <w:b/>
          <w:sz w:val="22"/>
        </w:rPr>
        <w:t>(µm)</w:t>
      </w:r>
      <w:r>
        <w:rPr>
          <w:b/>
          <w:spacing w:val="11"/>
          <w:sz w:val="22"/>
        </w:rPr>
        <w:t> </w:t>
      </w:r>
      <w:r>
        <w:rPr>
          <w:b/>
          <w:sz w:val="22"/>
        </w:rPr>
        <w:t>of</w:t>
      </w:r>
      <w:r>
        <w:rPr>
          <w:b/>
          <w:spacing w:val="16"/>
          <w:sz w:val="22"/>
        </w:rPr>
        <w:t> </w:t>
      </w:r>
      <w:r>
        <w:rPr>
          <w:b/>
          <w:sz w:val="22"/>
        </w:rPr>
        <w:t>metronidazole</w:t>
      </w:r>
      <w:r>
        <w:rPr>
          <w:b/>
          <w:spacing w:val="5"/>
          <w:sz w:val="22"/>
        </w:rPr>
        <w:t> </w:t>
      </w:r>
      <w:r>
        <w:rPr>
          <w:b/>
          <w:sz w:val="22"/>
        </w:rPr>
        <w:t>granules</w:t>
      </w:r>
      <w:r>
        <w:rPr>
          <w:b/>
          <w:spacing w:val="7"/>
          <w:sz w:val="22"/>
        </w:rPr>
        <w:t> </w:t>
      </w:r>
      <w:r>
        <w:rPr>
          <w:b/>
          <w:sz w:val="22"/>
        </w:rPr>
        <w:t>using</w:t>
      </w:r>
      <w:r>
        <w:rPr>
          <w:b/>
          <w:spacing w:val="7"/>
          <w:sz w:val="22"/>
        </w:rPr>
        <w:t> </w:t>
      </w:r>
      <w:r>
        <w:rPr>
          <w:b/>
          <w:sz w:val="22"/>
        </w:rPr>
        <w:t>7.5</w:t>
      </w:r>
      <w:r>
        <w:rPr>
          <w:b/>
          <w:spacing w:val="7"/>
          <w:sz w:val="22"/>
        </w:rPr>
        <w:t> </w:t>
      </w:r>
      <w:r>
        <w:rPr>
          <w:b/>
          <w:sz w:val="22"/>
        </w:rPr>
        <w:t>%</w:t>
      </w:r>
      <w:r>
        <w:rPr>
          <w:b/>
          <w:spacing w:val="14"/>
          <w:sz w:val="22"/>
        </w:rPr>
        <w:t> </w:t>
      </w:r>
      <w:r>
        <w:rPr>
          <w:b/>
          <w:sz w:val="22"/>
        </w:rPr>
        <w:t>w/v</w:t>
      </w:r>
      <w:r>
        <w:rPr>
          <w:b/>
          <w:spacing w:val="7"/>
          <w:sz w:val="22"/>
        </w:rPr>
        <w:t> </w:t>
      </w:r>
      <w:r>
        <w:rPr>
          <w:b/>
          <w:sz w:val="22"/>
        </w:rPr>
        <w:t>as</w:t>
      </w:r>
      <w:r>
        <w:rPr>
          <w:b/>
          <w:spacing w:val="8"/>
          <w:sz w:val="22"/>
        </w:rPr>
        <w:t> </w:t>
      </w:r>
      <w:r>
        <w:rPr>
          <w:b/>
          <w:spacing w:val="-2"/>
          <w:sz w:val="22"/>
        </w:rPr>
        <w:t>binder.</w:t>
      </w:r>
    </w:p>
    <w:p>
      <w:pPr>
        <w:spacing w:after="0"/>
        <w:jc w:val="center"/>
        <w:rPr>
          <w:sz w:val="22"/>
        </w:rPr>
        <w:sectPr>
          <w:pgSz w:w="12240" w:h="15840"/>
          <w:pgMar w:header="0" w:footer="999" w:top="1820" w:bottom="1180" w:left="1720" w:right="760"/>
        </w:sectPr>
      </w:pPr>
    </w:p>
    <w:p>
      <w:pPr>
        <w:spacing w:before="106"/>
        <w:ind w:left="1577" w:right="0" w:firstLine="0"/>
        <w:jc w:val="left"/>
        <w:rPr>
          <w:rFonts w:ascii="Calibri"/>
          <w:sz w:val="19"/>
        </w:rPr>
      </w:pPr>
      <w:r>
        <w:rPr/>
        <mc:AlternateContent>
          <mc:Choice Requires="wps">
            <w:drawing>
              <wp:anchor distT="0" distB="0" distL="0" distR="0" allowOverlap="1" layoutInCell="1" locked="0" behindDoc="1" simplePos="0" relativeHeight="482011136">
                <wp:simplePos x="0" y="0"/>
                <wp:positionH relativeFrom="page">
                  <wp:posOffset>2350007</wp:posOffset>
                </wp:positionH>
                <wp:positionV relativeFrom="paragraph">
                  <wp:posOffset>139700</wp:posOffset>
                </wp:positionV>
                <wp:extent cx="3956685" cy="378269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3956685" cy="3782695"/>
                          <a:chExt cx="3956685" cy="3782695"/>
                        </a:xfrm>
                      </wpg:grpSpPr>
                      <wps:wsp>
                        <wps:cNvPr id="148" name="Graphic 148"/>
                        <wps:cNvSpPr/>
                        <wps:spPr>
                          <a:xfrm>
                            <a:off x="0" y="0"/>
                            <a:ext cx="3804285" cy="3782695"/>
                          </a:xfrm>
                          <a:custGeom>
                            <a:avLst/>
                            <a:gdLst/>
                            <a:ahLst/>
                            <a:cxnLst/>
                            <a:rect l="l" t="t" r="r" b="b"/>
                            <a:pathLst>
                              <a:path w="3804285" h="3782695">
                                <a:moveTo>
                                  <a:pt x="3803904" y="3742944"/>
                                </a:moveTo>
                                <a:lnTo>
                                  <a:pt x="3800856" y="3742944"/>
                                </a:lnTo>
                                <a:lnTo>
                                  <a:pt x="3800856" y="3736848"/>
                                </a:lnTo>
                                <a:lnTo>
                                  <a:pt x="42672" y="3736848"/>
                                </a:lnTo>
                                <a:lnTo>
                                  <a:pt x="42672" y="6096"/>
                                </a:lnTo>
                                <a:lnTo>
                                  <a:pt x="36576" y="6096"/>
                                </a:lnTo>
                                <a:lnTo>
                                  <a:pt x="36576" y="0"/>
                                </a:lnTo>
                                <a:lnTo>
                                  <a:pt x="0" y="0"/>
                                </a:lnTo>
                                <a:lnTo>
                                  <a:pt x="0" y="9144"/>
                                </a:lnTo>
                                <a:lnTo>
                                  <a:pt x="33528" y="9144"/>
                                </a:lnTo>
                                <a:lnTo>
                                  <a:pt x="33528" y="624840"/>
                                </a:lnTo>
                                <a:lnTo>
                                  <a:pt x="0" y="624840"/>
                                </a:lnTo>
                                <a:lnTo>
                                  <a:pt x="0" y="633984"/>
                                </a:lnTo>
                                <a:lnTo>
                                  <a:pt x="33528" y="633984"/>
                                </a:lnTo>
                                <a:lnTo>
                                  <a:pt x="33528" y="1246632"/>
                                </a:lnTo>
                                <a:lnTo>
                                  <a:pt x="0" y="1246632"/>
                                </a:lnTo>
                                <a:lnTo>
                                  <a:pt x="0" y="1255776"/>
                                </a:lnTo>
                                <a:lnTo>
                                  <a:pt x="33528" y="1255776"/>
                                </a:lnTo>
                                <a:lnTo>
                                  <a:pt x="33528" y="1868424"/>
                                </a:lnTo>
                                <a:lnTo>
                                  <a:pt x="0" y="1868424"/>
                                </a:lnTo>
                                <a:lnTo>
                                  <a:pt x="0" y="1877568"/>
                                </a:lnTo>
                                <a:lnTo>
                                  <a:pt x="33528" y="1877568"/>
                                </a:lnTo>
                                <a:lnTo>
                                  <a:pt x="33528" y="2493264"/>
                                </a:lnTo>
                                <a:lnTo>
                                  <a:pt x="0" y="2493264"/>
                                </a:lnTo>
                                <a:lnTo>
                                  <a:pt x="0" y="2502408"/>
                                </a:lnTo>
                                <a:lnTo>
                                  <a:pt x="33528" y="2502408"/>
                                </a:lnTo>
                                <a:lnTo>
                                  <a:pt x="33528" y="3115056"/>
                                </a:lnTo>
                                <a:lnTo>
                                  <a:pt x="0" y="3115056"/>
                                </a:lnTo>
                                <a:lnTo>
                                  <a:pt x="0" y="3124200"/>
                                </a:lnTo>
                                <a:lnTo>
                                  <a:pt x="33528" y="3124200"/>
                                </a:lnTo>
                                <a:lnTo>
                                  <a:pt x="33528" y="3739896"/>
                                </a:lnTo>
                                <a:lnTo>
                                  <a:pt x="0" y="3739896"/>
                                </a:lnTo>
                                <a:lnTo>
                                  <a:pt x="0" y="3749040"/>
                                </a:lnTo>
                                <a:lnTo>
                                  <a:pt x="30480" y="3749040"/>
                                </a:lnTo>
                                <a:lnTo>
                                  <a:pt x="30480" y="3782568"/>
                                </a:lnTo>
                                <a:lnTo>
                                  <a:pt x="39624" y="3782568"/>
                                </a:lnTo>
                                <a:lnTo>
                                  <a:pt x="39624" y="3745992"/>
                                </a:lnTo>
                                <a:lnTo>
                                  <a:pt x="658368" y="3745992"/>
                                </a:lnTo>
                                <a:lnTo>
                                  <a:pt x="658368" y="3782568"/>
                                </a:lnTo>
                                <a:lnTo>
                                  <a:pt x="667512" y="3782568"/>
                                </a:lnTo>
                                <a:lnTo>
                                  <a:pt x="667512" y="3745992"/>
                                </a:lnTo>
                                <a:lnTo>
                                  <a:pt x="1286256" y="3745992"/>
                                </a:lnTo>
                                <a:lnTo>
                                  <a:pt x="1286256" y="3782568"/>
                                </a:lnTo>
                                <a:lnTo>
                                  <a:pt x="1295400" y="3782568"/>
                                </a:lnTo>
                                <a:lnTo>
                                  <a:pt x="1295400" y="3745992"/>
                                </a:lnTo>
                                <a:lnTo>
                                  <a:pt x="1914144" y="3745992"/>
                                </a:lnTo>
                                <a:lnTo>
                                  <a:pt x="1914144" y="3782568"/>
                                </a:lnTo>
                                <a:lnTo>
                                  <a:pt x="1923288" y="3782568"/>
                                </a:lnTo>
                                <a:lnTo>
                                  <a:pt x="1923288" y="3745992"/>
                                </a:lnTo>
                                <a:lnTo>
                                  <a:pt x="2542032" y="3745992"/>
                                </a:lnTo>
                                <a:lnTo>
                                  <a:pt x="2542032" y="3782568"/>
                                </a:lnTo>
                                <a:lnTo>
                                  <a:pt x="2551176" y="3782568"/>
                                </a:lnTo>
                                <a:lnTo>
                                  <a:pt x="2551176" y="3745992"/>
                                </a:lnTo>
                                <a:lnTo>
                                  <a:pt x="3169920" y="3745992"/>
                                </a:lnTo>
                                <a:lnTo>
                                  <a:pt x="3169920" y="3782568"/>
                                </a:lnTo>
                                <a:lnTo>
                                  <a:pt x="3179064" y="3782568"/>
                                </a:lnTo>
                                <a:lnTo>
                                  <a:pt x="3179064" y="3745992"/>
                                </a:lnTo>
                                <a:lnTo>
                                  <a:pt x="3797808" y="3745992"/>
                                </a:lnTo>
                                <a:lnTo>
                                  <a:pt x="3797808" y="3782568"/>
                                </a:lnTo>
                                <a:lnTo>
                                  <a:pt x="3803904" y="3782568"/>
                                </a:lnTo>
                                <a:lnTo>
                                  <a:pt x="3803904" y="3742944"/>
                                </a:lnTo>
                                <a:close/>
                              </a:path>
                            </a:pathLst>
                          </a:custGeom>
                          <a:solidFill>
                            <a:srgbClr val="858585"/>
                          </a:solidFill>
                        </wps:spPr>
                        <wps:bodyPr wrap="square" lIns="0" tIns="0" rIns="0" bIns="0" rtlCol="0">
                          <a:prstTxWarp prst="textNoShape">
                            <a:avLst/>
                          </a:prstTxWarp>
                          <a:noAutofit/>
                        </wps:bodyPr>
                      </wps:wsp>
                      <wps:wsp>
                        <wps:cNvPr id="149" name="Graphic 149"/>
                        <wps:cNvSpPr/>
                        <wps:spPr>
                          <a:xfrm>
                            <a:off x="338327" y="649223"/>
                            <a:ext cx="3164205" cy="375285"/>
                          </a:xfrm>
                          <a:custGeom>
                            <a:avLst/>
                            <a:gdLst/>
                            <a:ahLst/>
                            <a:cxnLst/>
                            <a:rect l="l" t="t" r="r" b="b"/>
                            <a:pathLst>
                              <a:path w="3164205" h="375285">
                                <a:moveTo>
                                  <a:pt x="2582604" y="100583"/>
                                </a:moveTo>
                                <a:lnTo>
                                  <a:pt x="2517648" y="100583"/>
                                </a:lnTo>
                                <a:lnTo>
                                  <a:pt x="3145536" y="374903"/>
                                </a:lnTo>
                                <a:lnTo>
                                  <a:pt x="3151631" y="374903"/>
                                </a:lnTo>
                                <a:lnTo>
                                  <a:pt x="3157728" y="371855"/>
                                </a:lnTo>
                                <a:lnTo>
                                  <a:pt x="3163824" y="359664"/>
                                </a:lnTo>
                                <a:lnTo>
                                  <a:pt x="3160776" y="353568"/>
                                </a:lnTo>
                                <a:lnTo>
                                  <a:pt x="3154679" y="350520"/>
                                </a:lnTo>
                                <a:lnTo>
                                  <a:pt x="2582604" y="100583"/>
                                </a:lnTo>
                                <a:close/>
                              </a:path>
                              <a:path w="3164205" h="375285">
                                <a:moveTo>
                                  <a:pt x="12191" y="0"/>
                                </a:moveTo>
                                <a:lnTo>
                                  <a:pt x="6095" y="0"/>
                                </a:lnTo>
                                <a:lnTo>
                                  <a:pt x="0" y="6096"/>
                                </a:lnTo>
                                <a:lnTo>
                                  <a:pt x="0" y="18287"/>
                                </a:lnTo>
                                <a:lnTo>
                                  <a:pt x="6095" y="24383"/>
                                </a:lnTo>
                                <a:lnTo>
                                  <a:pt x="12191" y="24383"/>
                                </a:lnTo>
                                <a:lnTo>
                                  <a:pt x="640079" y="33527"/>
                                </a:lnTo>
                                <a:lnTo>
                                  <a:pt x="1267967" y="60959"/>
                                </a:lnTo>
                                <a:lnTo>
                                  <a:pt x="1895855" y="67055"/>
                                </a:lnTo>
                                <a:lnTo>
                                  <a:pt x="2520696" y="103631"/>
                                </a:lnTo>
                                <a:lnTo>
                                  <a:pt x="2517648" y="100583"/>
                                </a:lnTo>
                                <a:lnTo>
                                  <a:pt x="2582604" y="100583"/>
                                </a:lnTo>
                                <a:lnTo>
                                  <a:pt x="2526791" y="76200"/>
                                </a:lnTo>
                                <a:lnTo>
                                  <a:pt x="2523743" y="76200"/>
                                </a:lnTo>
                                <a:lnTo>
                                  <a:pt x="1895855" y="42672"/>
                                </a:lnTo>
                                <a:lnTo>
                                  <a:pt x="1267967" y="36575"/>
                                </a:lnTo>
                                <a:lnTo>
                                  <a:pt x="640079" y="9144"/>
                                </a:lnTo>
                                <a:lnTo>
                                  <a:pt x="12191" y="0"/>
                                </a:lnTo>
                                <a:close/>
                              </a:path>
                            </a:pathLst>
                          </a:custGeom>
                          <a:solidFill>
                            <a:srgbClr val="497DBA"/>
                          </a:solidFill>
                        </wps:spPr>
                        <wps:bodyPr wrap="square" lIns="0" tIns="0" rIns="0" bIns="0" rtlCol="0">
                          <a:prstTxWarp prst="textNoShape">
                            <a:avLst/>
                          </a:prstTxWarp>
                          <a:noAutofit/>
                        </wps:bodyPr>
                      </wps:wsp>
                      <pic:pic>
                        <pic:nvPicPr>
                          <pic:cNvPr id="150" name="Image 150"/>
                          <pic:cNvPicPr/>
                        </pic:nvPicPr>
                        <pic:blipFill>
                          <a:blip r:embed="rId38" cstate="print"/>
                          <a:stretch>
                            <a:fillRect/>
                          </a:stretch>
                        </pic:blipFill>
                        <pic:spPr>
                          <a:xfrm>
                            <a:off x="298704" y="615695"/>
                            <a:ext cx="97536" cy="94487"/>
                          </a:xfrm>
                          <a:prstGeom prst="rect">
                            <a:avLst/>
                          </a:prstGeom>
                        </pic:spPr>
                      </pic:pic>
                      <pic:pic>
                        <pic:nvPicPr>
                          <pic:cNvPr id="151" name="Image 151"/>
                          <pic:cNvPicPr/>
                        </pic:nvPicPr>
                        <pic:blipFill>
                          <a:blip r:embed="rId39" cstate="print"/>
                          <a:stretch>
                            <a:fillRect/>
                          </a:stretch>
                        </pic:blipFill>
                        <pic:spPr>
                          <a:xfrm>
                            <a:off x="926591" y="624840"/>
                            <a:ext cx="97536" cy="94487"/>
                          </a:xfrm>
                          <a:prstGeom prst="rect">
                            <a:avLst/>
                          </a:prstGeom>
                        </pic:spPr>
                      </pic:pic>
                      <pic:pic>
                        <pic:nvPicPr>
                          <pic:cNvPr id="152" name="Image 152"/>
                          <pic:cNvPicPr/>
                        </pic:nvPicPr>
                        <pic:blipFill>
                          <a:blip r:embed="rId40" cstate="print"/>
                          <a:stretch>
                            <a:fillRect/>
                          </a:stretch>
                        </pic:blipFill>
                        <pic:spPr>
                          <a:xfrm>
                            <a:off x="1554480" y="649223"/>
                            <a:ext cx="97536" cy="97535"/>
                          </a:xfrm>
                          <a:prstGeom prst="rect">
                            <a:avLst/>
                          </a:prstGeom>
                        </pic:spPr>
                      </pic:pic>
                      <pic:pic>
                        <pic:nvPicPr>
                          <pic:cNvPr id="153" name="Image 153"/>
                          <pic:cNvPicPr/>
                        </pic:nvPicPr>
                        <pic:blipFill>
                          <a:blip r:embed="rId41" cstate="print"/>
                          <a:stretch>
                            <a:fillRect/>
                          </a:stretch>
                        </pic:blipFill>
                        <pic:spPr>
                          <a:xfrm>
                            <a:off x="2182367" y="658368"/>
                            <a:ext cx="94487" cy="94487"/>
                          </a:xfrm>
                          <a:prstGeom prst="rect">
                            <a:avLst/>
                          </a:prstGeom>
                        </pic:spPr>
                      </pic:pic>
                      <pic:pic>
                        <pic:nvPicPr>
                          <pic:cNvPr id="154" name="Image 154"/>
                          <pic:cNvPicPr/>
                        </pic:nvPicPr>
                        <pic:blipFill>
                          <a:blip r:embed="rId42" cstate="print"/>
                          <a:stretch>
                            <a:fillRect/>
                          </a:stretch>
                        </pic:blipFill>
                        <pic:spPr>
                          <a:xfrm>
                            <a:off x="2810255" y="691895"/>
                            <a:ext cx="94487" cy="97535"/>
                          </a:xfrm>
                          <a:prstGeom prst="rect">
                            <a:avLst/>
                          </a:prstGeom>
                        </pic:spPr>
                      </pic:pic>
                      <pic:pic>
                        <pic:nvPicPr>
                          <pic:cNvPr id="155" name="Image 155"/>
                          <pic:cNvPicPr/>
                        </pic:nvPicPr>
                        <pic:blipFill>
                          <a:blip r:embed="rId43" cstate="print"/>
                          <a:stretch>
                            <a:fillRect/>
                          </a:stretch>
                        </pic:blipFill>
                        <pic:spPr>
                          <a:xfrm>
                            <a:off x="3438144" y="963167"/>
                            <a:ext cx="94487" cy="97535"/>
                          </a:xfrm>
                          <a:prstGeom prst="rect">
                            <a:avLst/>
                          </a:prstGeom>
                        </pic:spPr>
                      </pic:pic>
                      <wps:wsp>
                        <wps:cNvPr id="156" name="Graphic 156"/>
                        <wps:cNvSpPr/>
                        <wps:spPr>
                          <a:xfrm>
                            <a:off x="338327" y="743712"/>
                            <a:ext cx="3164205" cy="1012190"/>
                          </a:xfrm>
                          <a:custGeom>
                            <a:avLst/>
                            <a:gdLst/>
                            <a:ahLst/>
                            <a:cxnLst/>
                            <a:rect l="l" t="t" r="r" b="b"/>
                            <a:pathLst>
                              <a:path w="3164205" h="1012190">
                                <a:moveTo>
                                  <a:pt x="2515741" y="152039"/>
                                </a:moveTo>
                                <a:lnTo>
                                  <a:pt x="3139440" y="1005840"/>
                                </a:lnTo>
                                <a:lnTo>
                                  <a:pt x="3142488" y="1011936"/>
                                </a:lnTo>
                                <a:lnTo>
                                  <a:pt x="3151631" y="1011936"/>
                                </a:lnTo>
                                <a:lnTo>
                                  <a:pt x="3157728" y="1008888"/>
                                </a:lnTo>
                                <a:lnTo>
                                  <a:pt x="3163824" y="1002792"/>
                                </a:lnTo>
                                <a:lnTo>
                                  <a:pt x="3163824" y="996696"/>
                                </a:lnTo>
                                <a:lnTo>
                                  <a:pt x="3160776" y="990600"/>
                                </a:lnTo>
                                <a:lnTo>
                                  <a:pt x="2548473" y="152400"/>
                                </a:lnTo>
                                <a:lnTo>
                                  <a:pt x="2520696" y="152400"/>
                                </a:lnTo>
                                <a:lnTo>
                                  <a:pt x="2515741" y="152039"/>
                                </a:lnTo>
                                <a:close/>
                              </a:path>
                              <a:path w="3164205" h="1012190">
                                <a:moveTo>
                                  <a:pt x="2511552" y="146304"/>
                                </a:moveTo>
                                <a:lnTo>
                                  <a:pt x="2515741" y="152039"/>
                                </a:lnTo>
                                <a:lnTo>
                                  <a:pt x="2520696" y="152400"/>
                                </a:lnTo>
                                <a:lnTo>
                                  <a:pt x="2511552" y="146304"/>
                                </a:lnTo>
                                <a:close/>
                              </a:path>
                              <a:path w="3164205" h="1012190">
                                <a:moveTo>
                                  <a:pt x="2544020" y="146304"/>
                                </a:moveTo>
                                <a:lnTo>
                                  <a:pt x="2511552" y="146304"/>
                                </a:lnTo>
                                <a:lnTo>
                                  <a:pt x="2520696" y="152400"/>
                                </a:lnTo>
                                <a:lnTo>
                                  <a:pt x="2548473" y="152400"/>
                                </a:lnTo>
                                <a:lnTo>
                                  <a:pt x="2544020" y="146304"/>
                                </a:lnTo>
                                <a:close/>
                              </a:path>
                              <a:path w="3164205" h="1012190">
                                <a:moveTo>
                                  <a:pt x="12191" y="0"/>
                                </a:moveTo>
                                <a:lnTo>
                                  <a:pt x="6095" y="0"/>
                                </a:lnTo>
                                <a:lnTo>
                                  <a:pt x="0" y="6096"/>
                                </a:lnTo>
                                <a:lnTo>
                                  <a:pt x="0" y="18288"/>
                                </a:lnTo>
                                <a:lnTo>
                                  <a:pt x="6095" y="24384"/>
                                </a:lnTo>
                                <a:lnTo>
                                  <a:pt x="12191" y="24384"/>
                                </a:lnTo>
                                <a:lnTo>
                                  <a:pt x="1267967" y="39624"/>
                                </a:lnTo>
                                <a:lnTo>
                                  <a:pt x="1892808" y="106680"/>
                                </a:lnTo>
                                <a:lnTo>
                                  <a:pt x="2515741" y="152039"/>
                                </a:lnTo>
                                <a:lnTo>
                                  <a:pt x="2511552" y="146304"/>
                                </a:lnTo>
                                <a:lnTo>
                                  <a:pt x="2544020" y="146304"/>
                                </a:lnTo>
                                <a:lnTo>
                                  <a:pt x="2532888" y="131064"/>
                                </a:lnTo>
                                <a:lnTo>
                                  <a:pt x="2526791" y="124968"/>
                                </a:lnTo>
                                <a:lnTo>
                                  <a:pt x="2523743" y="124968"/>
                                </a:lnTo>
                                <a:lnTo>
                                  <a:pt x="1895855" y="79248"/>
                                </a:lnTo>
                                <a:lnTo>
                                  <a:pt x="1267967" y="12192"/>
                                </a:lnTo>
                                <a:lnTo>
                                  <a:pt x="12191" y="0"/>
                                </a:lnTo>
                                <a:close/>
                              </a:path>
                            </a:pathLst>
                          </a:custGeom>
                          <a:solidFill>
                            <a:srgbClr val="BD4A47"/>
                          </a:solidFill>
                        </wps:spPr>
                        <wps:bodyPr wrap="square" lIns="0" tIns="0" rIns="0" bIns="0" rtlCol="0">
                          <a:prstTxWarp prst="textNoShape">
                            <a:avLst/>
                          </a:prstTxWarp>
                          <a:noAutofit/>
                        </wps:bodyPr>
                      </wps:wsp>
                      <wps:wsp>
                        <wps:cNvPr id="157" name="Graphic 157"/>
                        <wps:cNvSpPr/>
                        <wps:spPr>
                          <a:xfrm>
                            <a:off x="304800" y="713231"/>
                            <a:ext cx="85725" cy="82550"/>
                          </a:xfrm>
                          <a:custGeom>
                            <a:avLst/>
                            <a:gdLst/>
                            <a:ahLst/>
                            <a:cxnLst/>
                            <a:rect l="l" t="t" r="r" b="b"/>
                            <a:pathLst>
                              <a:path w="85725" h="82550">
                                <a:moveTo>
                                  <a:pt x="85343" y="0"/>
                                </a:moveTo>
                                <a:lnTo>
                                  <a:pt x="0" y="0"/>
                                </a:lnTo>
                                <a:lnTo>
                                  <a:pt x="0" y="82296"/>
                                </a:lnTo>
                                <a:lnTo>
                                  <a:pt x="85343" y="82296"/>
                                </a:lnTo>
                                <a:lnTo>
                                  <a:pt x="85343" y="0"/>
                                </a:lnTo>
                                <a:close/>
                              </a:path>
                            </a:pathLst>
                          </a:custGeom>
                          <a:solidFill>
                            <a:srgbClr val="BF4F4C"/>
                          </a:solidFill>
                        </wps:spPr>
                        <wps:bodyPr wrap="square" lIns="0" tIns="0" rIns="0" bIns="0" rtlCol="0">
                          <a:prstTxWarp prst="textNoShape">
                            <a:avLst/>
                          </a:prstTxWarp>
                          <a:noAutofit/>
                        </wps:bodyPr>
                      </wps:wsp>
                      <wps:wsp>
                        <wps:cNvPr id="158" name="Graphic 158"/>
                        <wps:cNvSpPr/>
                        <wps:spPr>
                          <a:xfrm>
                            <a:off x="301752" y="707136"/>
                            <a:ext cx="91440" cy="94615"/>
                          </a:xfrm>
                          <a:custGeom>
                            <a:avLst/>
                            <a:gdLst/>
                            <a:ahLst/>
                            <a:cxnLst/>
                            <a:rect l="l" t="t" r="r" b="b"/>
                            <a:pathLst>
                              <a:path w="91440" h="94615">
                                <a:moveTo>
                                  <a:pt x="88391" y="0"/>
                                </a:moveTo>
                                <a:lnTo>
                                  <a:pt x="0" y="0"/>
                                </a:lnTo>
                                <a:lnTo>
                                  <a:pt x="0" y="94488"/>
                                </a:lnTo>
                                <a:lnTo>
                                  <a:pt x="88391" y="94488"/>
                                </a:lnTo>
                                <a:lnTo>
                                  <a:pt x="91439" y="91440"/>
                                </a:lnTo>
                                <a:lnTo>
                                  <a:pt x="91439" y="88392"/>
                                </a:lnTo>
                                <a:lnTo>
                                  <a:pt x="9143" y="88392"/>
                                </a:lnTo>
                                <a:lnTo>
                                  <a:pt x="3047" y="85344"/>
                                </a:lnTo>
                                <a:lnTo>
                                  <a:pt x="9143" y="85344"/>
                                </a:lnTo>
                                <a:lnTo>
                                  <a:pt x="9143" y="9144"/>
                                </a:lnTo>
                                <a:lnTo>
                                  <a:pt x="3047" y="9144"/>
                                </a:lnTo>
                                <a:lnTo>
                                  <a:pt x="9143" y="6096"/>
                                </a:lnTo>
                                <a:lnTo>
                                  <a:pt x="91439" y="6096"/>
                                </a:lnTo>
                                <a:lnTo>
                                  <a:pt x="91439" y="3048"/>
                                </a:lnTo>
                                <a:lnTo>
                                  <a:pt x="88391" y="0"/>
                                </a:lnTo>
                                <a:close/>
                              </a:path>
                              <a:path w="91440" h="94615">
                                <a:moveTo>
                                  <a:pt x="9143" y="85344"/>
                                </a:moveTo>
                                <a:lnTo>
                                  <a:pt x="3047" y="85344"/>
                                </a:lnTo>
                                <a:lnTo>
                                  <a:pt x="9143" y="88392"/>
                                </a:lnTo>
                                <a:lnTo>
                                  <a:pt x="9143" y="85344"/>
                                </a:lnTo>
                                <a:close/>
                              </a:path>
                              <a:path w="91440" h="94615">
                                <a:moveTo>
                                  <a:pt x="82295" y="85344"/>
                                </a:moveTo>
                                <a:lnTo>
                                  <a:pt x="9143" y="85344"/>
                                </a:lnTo>
                                <a:lnTo>
                                  <a:pt x="9143" y="88392"/>
                                </a:lnTo>
                                <a:lnTo>
                                  <a:pt x="82295" y="88392"/>
                                </a:lnTo>
                                <a:lnTo>
                                  <a:pt x="82295" y="85344"/>
                                </a:lnTo>
                                <a:close/>
                              </a:path>
                              <a:path w="91440" h="94615">
                                <a:moveTo>
                                  <a:pt x="82295" y="6096"/>
                                </a:moveTo>
                                <a:lnTo>
                                  <a:pt x="82295" y="88392"/>
                                </a:lnTo>
                                <a:lnTo>
                                  <a:pt x="88391" y="85344"/>
                                </a:lnTo>
                                <a:lnTo>
                                  <a:pt x="91439" y="85344"/>
                                </a:lnTo>
                                <a:lnTo>
                                  <a:pt x="91439" y="9144"/>
                                </a:lnTo>
                                <a:lnTo>
                                  <a:pt x="88391" y="9144"/>
                                </a:lnTo>
                                <a:lnTo>
                                  <a:pt x="82295" y="6096"/>
                                </a:lnTo>
                                <a:close/>
                              </a:path>
                              <a:path w="91440" h="94615">
                                <a:moveTo>
                                  <a:pt x="91439" y="85344"/>
                                </a:moveTo>
                                <a:lnTo>
                                  <a:pt x="88391" y="85344"/>
                                </a:lnTo>
                                <a:lnTo>
                                  <a:pt x="82295" y="88392"/>
                                </a:lnTo>
                                <a:lnTo>
                                  <a:pt x="91439" y="88392"/>
                                </a:lnTo>
                                <a:lnTo>
                                  <a:pt x="91439" y="85344"/>
                                </a:lnTo>
                                <a:close/>
                              </a:path>
                              <a:path w="91440" h="94615">
                                <a:moveTo>
                                  <a:pt x="9143" y="6096"/>
                                </a:moveTo>
                                <a:lnTo>
                                  <a:pt x="3047" y="9144"/>
                                </a:lnTo>
                                <a:lnTo>
                                  <a:pt x="9143" y="9144"/>
                                </a:lnTo>
                                <a:lnTo>
                                  <a:pt x="9143" y="6096"/>
                                </a:lnTo>
                                <a:close/>
                              </a:path>
                              <a:path w="91440" h="94615">
                                <a:moveTo>
                                  <a:pt x="82295" y="6096"/>
                                </a:moveTo>
                                <a:lnTo>
                                  <a:pt x="9143" y="6096"/>
                                </a:lnTo>
                                <a:lnTo>
                                  <a:pt x="9143" y="9144"/>
                                </a:lnTo>
                                <a:lnTo>
                                  <a:pt x="82295" y="9144"/>
                                </a:lnTo>
                                <a:lnTo>
                                  <a:pt x="82295" y="6096"/>
                                </a:lnTo>
                                <a:close/>
                              </a:path>
                              <a:path w="91440" h="94615">
                                <a:moveTo>
                                  <a:pt x="91439" y="6096"/>
                                </a:moveTo>
                                <a:lnTo>
                                  <a:pt x="82295" y="6096"/>
                                </a:lnTo>
                                <a:lnTo>
                                  <a:pt x="88391"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159" name="Graphic 159"/>
                        <wps:cNvSpPr/>
                        <wps:spPr>
                          <a:xfrm>
                            <a:off x="932688" y="719327"/>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160" name="Graphic 160"/>
                        <wps:cNvSpPr/>
                        <wps:spPr>
                          <a:xfrm>
                            <a:off x="929639" y="713231"/>
                            <a:ext cx="91440" cy="91440"/>
                          </a:xfrm>
                          <a:custGeom>
                            <a:avLst/>
                            <a:gdLst/>
                            <a:ahLst/>
                            <a:cxnLst/>
                            <a:rect l="l" t="t" r="r" b="b"/>
                            <a:pathLst>
                              <a:path w="91440" h="91440">
                                <a:moveTo>
                                  <a:pt x="88391" y="0"/>
                                </a:moveTo>
                                <a:lnTo>
                                  <a:pt x="0" y="0"/>
                                </a:lnTo>
                                <a:lnTo>
                                  <a:pt x="0" y="91440"/>
                                </a:lnTo>
                                <a:lnTo>
                                  <a:pt x="91439" y="91440"/>
                                </a:lnTo>
                                <a:lnTo>
                                  <a:pt x="91439" y="88392"/>
                                </a:lnTo>
                                <a:lnTo>
                                  <a:pt x="9143" y="88392"/>
                                </a:lnTo>
                                <a:lnTo>
                                  <a:pt x="3048" y="82296"/>
                                </a:lnTo>
                                <a:lnTo>
                                  <a:pt x="9143" y="82296"/>
                                </a:lnTo>
                                <a:lnTo>
                                  <a:pt x="9143" y="9144"/>
                                </a:lnTo>
                                <a:lnTo>
                                  <a:pt x="3048" y="9144"/>
                                </a:lnTo>
                                <a:lnTo>
                                  <a:pt x="9143" y="6096"/>
                                </a:lnTo>
                                <a:lnTo>
                                  <a:pt x="91439" y="6096"/>
                                </a:lnTo>
                                <a:lnTo>
                                  <a:pt x="91439" y="3048"/>
                                </a:lnTo>
                                <a:lnTo>
                                  <a:pt x="88391" y="0"/>
                                </a:lnTo>
                                <a:close/>
                              </a:path>
                              <a:path w="91440" h="91440">
                                <a:moveTo>
                                  <a:pt x="9143" y="82296"/>
                                </a:moveTo>
                                <a:lnTo>
                                  <a:pt x="3048" y="82296"/>
                                </a:lnTo>
                                <a:lnTo>
                                  <a:pt x="9143" y="88392"/>
                                </a:lnTo>
                                <a:lnTo>
                                  <a:pt x="9143" y="82296"/>
                                </a:lnTo>
                                <a:close/>
                              </a:path>
                              <a:path w="91440" h="91440">
                                <a:moveTo>
                                  <a:pt x="82296" y="82296"/>
                                </a:moveTo>
                                <a:lnTo>
                                  <a:pt x="9143" y="82296"/>
                                </a:lnTo>
                                <a:lnTo>
                                  <a:pt x="9143" y="88392"/>
                                </a:lnTo>
                                <a:lnTo>
                                  <a:pt x="82296" y="88392"/>
                                </a:lnTo>
                                <a:lnTo>
                                  <a:pt x="82296" y="82296"/>
                                </a:lnTo>
                                <a:close/>
                              </a:path>
                              <a:path w="91440" h="91440">
                                <a:moveTo>
                                  <a:pt x="82296" y="6096"/>
                                </a:moveTo>
                                <a:lnTo>
                                  <a:pt x="82296" y="88392"/>
                                </a:lnTo>
                                <a:lnTo>
                                  <a:pt x="85343" y="82296"/>
                                </a:lnTo>
                                <a:lnTo>
                                  <a:pt x="91439" y="82296"/>
                                </a:lnTo>
                                <a:lnTo>
                                  <a:pt x="91439" y="9144"/>
                                </a:lnTo>
                                <a:lnTo>
                                  <a:pt x="85343" y="9144"/>
                                </a:lnTo>
                                <a:lnTo>
                                  <a:pt x="82296" y="6096"/>
                                </a:lnTo>
                                <a:close/>
                              </a:path>
                              <a:path w="91440" h="91440">
                                <a:moveTo>
                                  <a:pt x="91439" y="82296"/>
                                </a:moveTo>
                                <a:lnTo>
                                  <a:pt x="85343" y="82296"/>
                                </a:lnTo>
                                <a:lnTo>
                                  <a:pt x="82296" y="88392"/>
                                </a:lnTo>
                                <a:lnTo>
                                  <a:pt x="91439" y="88392"/>
                                </a:lnTo>
                                <a:lnTo>
                                  <a:pt x="91439" y="82296"/>
                                </a:lnTo>
                                <a:close/>
                              </a:path>
                              <a:path w="91440" h="91440">
                                <a:moveTo>
                                  <a:pt x="9143" y="6096"/>
                                </a:moveTo>
                                <a:lnTo>
                                  <a:pt x="3048" y="9144"/>
                                </a:lnTo>
                                <a:lnTo>
                                  <a:pt x="9143" y="9144"/>
                                </a:lnTo>
                                <a:lnTo>
                                  <a:pt x="9143" y="6096"/>
                                </a:lnTo>
                                <a:close/>
                              </a:path>
                              <a:path w="91440" h="91440">
                                <a:moveTo>
                                  <a:pt x="82296" y="6096"/>
                                </a:moveTo>
                                <a:lnTo>
                                  <a:pt x="9143" y="6096"/>
                                </a:lnTo>
                                <a:lnTo>
                                  <a:pt x="9143" y="9144"/>
                                </a:lnTo>
                                <a:lnTo>
                                  <a:pt x="82296" y="9144"/>
                                </a:lnTo>
                                <a:lnTo>
                                  <a:pt x="82296" y="6096"/>
                                </a:lnTo>
                                <a:close/>
                              </a:path>
                              <a:path w="91440" h="91440">
                                <a:moveTo>
                                  <a:pt x="91439" y="6096"/>
                                </a:moveTo>
                                <a:lnTo>
                                  <a:pt x="82296" y="6096"/>
                                </a:lnTo>
                                <a:lnTo>
                                  <a:pt x="85343"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161" name="Graphic 161"/>
                        <wps:cNvSpPr/>
                        <wps:spPr>
                          <a:xfrm>
                            <a:off x="1560575" y="728472"/>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162" name="Graphic 162"/>
                        <wps:cNvSpPr/>
                        <wps:spPr>
                          <a:xfrm>
                            <a:off x="1554480" y="722376"/>
                            <a:ext cx="94615" cy="91440"/>
                          </a:xfrm>
                          <a:custGeom>
                            <a:avLst/>
                            <a:gdLst/>
                            <a:ahLst/>
                            <a:cxnLst/>
                            <a:rect l="l" t="t" r="r" b="b"/>
                            <a:pathLst>
                              <a:path w="94615" h="91440">
                                <a:moveTo>
                                  <a:pt x="91439" y="0"/>
                                </a:moveTo>
                                <a:lnTo>
                                  <a:pt x="3048" y="0"/>
                                </a:lnTo>
                                <a:lnTo>
                                  <a:pt x="0" y="3048"/>
                                </a:lnTo>
                                <a:lnTo>
                                  <a:pt x="0" y="91440"/>
                                </a:lnTo>
                                <a:lnTo>
                                  <a:pt x="94487" y="91440"/>
                                </a:lnTo>
                                <a:lnTo>
                                  <a:pt x="94487" y="88392"/>
                                </a:lnTo>
                                <a:lnTo>
                                  <a:pt x="9144" y="88392"/>
                                </a:lnTo>
                                <a:lnTo>
                                  <a:pt x="6096" y="82296"/>
                                </a:lnTo>
                                <a:lnTo>
                                  <a:pt x="9144" y="82296"/>
                                </a:lnTo>
                                <a:lnTo>
                                  <a:pt x="9144" y="9144"/>
                                </a:lnTo>
                                <a:lnTo>
                                  <a:pt x="6096" y="9144"/>
                                </a:lnTo>
                                <a:lnTo>
                                  <a:pt x="9144" y="6096"/>
                                </a:lnTo>
                                <a:lnTo>
                                  <a:pt x="94487" y="6096"/>
                                </a:lnTo>
                                <a:lnTo>
                                  <a:pt x="94487" y="3048"/>
                                </a:lnTo>
                                <a:lnTo>
                                  <a:pt x="91439" y="0"/>
                                </a:lnTo>
                                <a:close/>
                              </a:path>
                              <a:path w="94615" h="91440">
                                <a:moveTo>
                                  <a:pt x="9144" y="82296"/>
                                </a:moveTo>
                                <a:lnTo>
                                  <a:pt x="6096" y="82296"/>
                                </a:lnTo>
                                <a:lnTo>
                                  <a:pt x="9144" y="88392"/>
                                </a:lnTo>
                                <a:lnTo>
                                  <a:pt x="9144" y="82296"/>
                                </a:lnTo>
                                <a:close/>
                              </a:path>
                              <a:path w="94615" h="91440">
                                <a:moveTo>
                                  <a:pt x="85344" y="82296"/>
                                </a:moveTo>
                                <a:lnTo>
                                  <a:pt x="9144" y="82296"/>
                                </a:lnTo>
                                <a:lnTo>
                                  <a:pt x="9144" y="88392"/>
                                </a:lnTo>
                                <a:lnTo>
                                  <a:pt x="85344" y="88392"/>
                                </a:lnTo>
                                <a:lnTo>
                                  <a:pt x="85344" y="82296"/>
                                </a:lnTo>
                                <a:close/>
                              </a:path>
                              <a:path w="94615" h="91440">
                                <a:moveTo>
                                  <a:pt x="85344" y="6096"/>
                                </a:moveTo>
                                <a:lnTo>
                                  <a:pt x="85344" y="88392"/>
                                </a:lnTo>
                                <a:lnTo>
                                  <a:pt x="88391" y="82296"/>
                                </a:lnTo>
                                <a:lnTo>
                                  <a:pt x="94487" y="82296"/>
                                </a:lnTo>
                                <a:lnTo>
                                  <a:pt x="94487" y="9144"/>
                                </a:lnTo>
                                <a:lnTo>
                                  <a:pt x="88391" y="9144"/>
                                </a:lnTo>
                                <a:lnTo>
                                  <a:pt x="85344" y="6096"/>
                                </a:lnTo>
                                <a:close/>
                              </a:path>
                              <a:path w="94615" h="91440">
                                <a:moveTo>
                                  <a:pt x="94487" y="82296"/>
                                </a:moveTo>
                                <a:lnTo>
                                  <a:pt x="88391" y="82296"/>
                                </a:lnTo>
                                <a:lnTo>
                                  <a:pt x="85344" y="88392"/>
                                </a:lnTo>
                                <a:lnTo>
                                  <a:pt x="94487" y="88392"/>
                                </a:lnTo>
                                <a:lnTo>
                                  <a:pt x="94487" y="82296"/>
                                </a:lnTo>
                                <a:close/>
                              </a:path>
                              <a:path w="94615" h="91440">
                                <a:moveTo>
                                  <a:pt x="9144" y="6096"/>
                                </a:moveTo>
                                <a:lnTo>
                                  <a:pt x="6096" y="9144"/>
                                </a:lnTo>
                                <a:lnTo>
                                  <a:pt x="9144" y="9144"/>
                                </a:lnTo>
                                <a:lnTo>
                                  <a:pt x="9144" y="6096"/>
                                </a:lnTo>
                                <a:close/>
                              </a:path>
                              <a:path w="94615" h="91440">
                                <a:moveTo>
                                  <a:pt x="85344" y="6096"/>
                                </a:moveTo>
                                <a:lnTo>
                                  <a:pt x="9144" y="6096"/>
                                </a:lnTo>
                                <a:lnTo>
                                  <a:pt x="9144" y="9144"/>
                                </a:lnTo>
                                <a:lnTo>
                                  <a:pt x="85344" y="9144"/>
                                </a:lnTo>
                                <a:lnTo>
                                  <a:pt x="85344" y="6096"/>
                                </a:lnTo>
                                <a:close/>
                              </a:path>
                              <a:path w="94615" h="91440">
                                <a:moveTo>
                                  <a:pt x="94487" y="6096"/>
                                </a:moveTo>
                                <a:lnTo>
                                  <a:pt x="85344" y="6096"/>
                                </a:lnTo>
                                <a:lnTo>
                                  <a:pt x="88391" y="9144"/>
                                </a:lnTo>
                                <a:lnTo>
                                  <a:pt x="94487" y="9144"/>
                                </a:lnTo>
                                <a:lnTo>
                                  <a:pt x="94487" y="6096"/>
                                </a:lnTo>
                                <a:close/>
                              </a:path>
                            </a:pathLst>
                          </a:custGeom>
                          <a:solidFill>
                            <a:srgbClr val="BD4A47"/>
                          </a:solidFill>
                        </wps:spPr>
                        <wps:bodyPr wrap="square" lIns="0" tIns="0" rIns="0" bIns="0" rtlCol="0">
                          <a:prstTxWarp prst="textNoShape">
                            <a:avLst/>
                          </a:prstTxWarp>
                          <a:noAutofit/>
                        </wps:bodyPr>
                      </wps:wsp>
                      <wps:wsp>
                        <wps:cNvPr id="163" name="Graphic 163"/>
                        <wps:cNvSpPr/>
                        <wps:spPr>
                          <a:xfrm>
                            <a:off x="2188464" y="792480"/>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164" name="Graphic 164"/>
                        <wps:cNvSpPr/>
                        <wps:spPr>
                          <a:xfrm>
                            <a:off x="2182367" y="789431"/>
                            <a:ext cx="94615" cy="91440"/>
                          </a:xfrm>
                          <a:custGeom>
                            <a:avLst/>
                            <a:gdLst/>
                            <a:ahLst/>
                            <a:cxnLst/>
                            <a:rect l="l" t="t" r="r" b="b"/>
                            <a:pathLst>
                              <a:path w="94615" h="91440">
                                <a:moveTo>
                                  <a:pt x="94487" y="0"/>
                                </a:moveTo>
                                <a:lnTo>
                                  <a:pt x="0" y="0"/>
                                </a:lnTo>
                                <a:lnTo>
                                  <a:pt x="0" y="88392"/>
                                </a:lnTo>
                                <a:lnTo>
                                  <a:pt x="3048" y="91440"/>
                                </a:lnTo>
                                <a:lnTo>
                                  <a:pt x="91439" y="91440"/>
                                </a:lnTo>
                                <a:lnTo>
                                  <a:pt x="94487" y="88392"/>
                                </a:lnTo>
                                <a:lnTo>
                                  <a:pt x="94487" y="85344"/>
                                </a:lnTo>
                                <a:lnTo>
                                  <a:pt x="9144" y="85344"/>
                                </a:lnTo>
                                <a:lnTo>
                                  <a:pt x="6096" y="82296"/>
                                </a:lnTo>
                                <a:lnTo>
                                  <a:pt x="9144" y="82296"/>
                                </a:lnTo>
                                <a:lnTo>
                                  <a:pt x="9144" y="9144"/>
                                </a:lnTo>
                                <a:lnTo>
                                  <a:pt x="6096" y="9144"/>
                                </a:lnTo>
                                <a:lnTo>
                                  <a:pt x="9144" y="3048"/>
                                </a:lnTo>
                                <a:lnTo>
                                  <a:pt x="94487" y="3048"/>
                                </a:lnTo>
                                <a:lnTo>
                                  <a:pt x="94487" y="0"/>
                                </a:lnTo>
                                <a:close/>
                              </a:path>
                              <a:path w="94615" h="91440">
                                <a:moveTo>
                                  <a:pt x="9144" y="82296"/>
                                </a:moveTo>
                                <a:lnTo>
                                  <a:pt x="6096" y="82296"/>
                                </a:lnTo>
                                <a:lnTo>
                                  <a:pt x="9144" y="85344"/>
                                </a:lnTo>
                                <a:lnTo>
                                  <a:pt x="9144" y="82296"/>
                                </a:lnTo>
                                <a:close/>
                              </a:path>
                              <a:path w="94615" h="91440">
                                <a:moveTo>
                                  <a:pt x="85344" y="82296"/>
                                </a:moveTo>
                                <a:lnTo>
                                  <a:pt x="9144" y="82296"/>
                                </a:lnTo>
                                <a:lnTo>
                                  <a:pt x="9144" y="85344"/>
                                </a:lnTo>
                                <a:lnTo>
                                  <a:pt x="85344" y="85344"/>
                                </a:lnTo>
                                <a:lnTo>
                                  <a:pt x="85344" y="82296"/>
                                </a:lnTo>
                                <a:close/>
                              </a:path>
                              <a:path w="94615" h="91440">
                                <a:moveTo>
                                  <a:pt x="85344" y="3048"/>
                                </a:moveTo>
                                <a:lnTo>
                                  <a:pt x="85344" y="85344"/>
                                </a:lnTo>
                                <a:lnTo>
                                  <a:pt x="88391" y="82296"/>
                                </a:lnTo>
                                <a:lnTo>
                                  <a:pt x="94487" y="82296"/>
                                </a:lnTo>
                                <a:lnTo>
                                  <a:pt x="94487" y="9144"/>
                                </a:lnTo>
                                <a:lnTo>
                                  <a:pt x="88391" y="9144"/>
                                </a:lnTo>
                                <a:lnTo>
                                  <a:pt x="85344" y="3048"/>
                                </a:lnTo>
                                <a:close/>
                              </a:path>
                              <a:path w="94615" h="91440">
                                <a:moveTo>
                                  <a:pt x="94487" y="82296"/>
                                </a:moveTo>
                                <a:lnTo>
                                  <a:pt x="88391" y="82296"/>
                                </a:lnTo>
                                <a:lnTo>
                                  <a:pt x="85344" y="85344"/>
                                </a:lnTo>
                                <a:lnTo>
                                  <a:pt x="94487" y="85344"/>
                                </a:lnTo>
                                <a:lnTo>
                                  <a:pt x="94487" y="82296"/>
                                </a:lnTo>
                                <a:close/>
                              </a:path>
                              <a:path w="94615" h="91440">
                                <a:moveTo>
                                  <a:pt x="9144" y="3048"/>
                                </a:moveTo>
                                <a:lnTo>
                                  <a:pt x="6096" y="9144"/>
                                </a:lnTo>
                                <a:lnTo>
                                  <a:pt x="9144" y="9144"/>
                                </a:lnTo>
                                <a:lnTo>
                                  <a:pt x="9144" y="3048"/>
                                </a:lnTo>
                                <a:close/>
                              </a:path>
                              <a:path w="94615" h="91440">
                                <a:moveTo>
                                  <a:pt x="85344" y="3048"/>
                                </a:moveTo>
                                <a:lnTo>
                                  <a:pt x="9144" y="3048"/>
                                </a:lnTo>
                                <a:lnTo>
                                  <a:pt x="9144" y="9144"/>
                                </a:lnTo>
                                <a:lnTo>
                                  <a:pt x="85344" y="9144"/>
                                </a:lnTo>
                                <a:lnTo>
                                  <a:pt x="85344" y="3048"/>
                                </a:lnTo>
                                <a:close/>
                              </a:path>
                              <a:path w="94615" h="91440">
                                <a:moveTo>
                                  <a:pt x="94487" y="3048"/>
                                </a:moveTo>
                                <a:lnTo>
                                  <a:pt x="85344" y="3048"/>
                                </a:lnTo>
                                <a:lnTo>
                                  <a:pt x="88391" y="9144"/>
                                </a:lnTo>
                                <a:lnTo>
                                  <a:pt x="94487" y="9144"/>
                                </a:lnTo>
                                <a:lnTo>
                                  <a:pt x="94487" y="3048"/>
                                </a:lnTo>
                                <a:close/>
                              </a:path>
                            </a:pathLst>
                          </a:custGeom>
                          <a:solidFill>
                            <a:srgbClr val="BD4A47"/>
                          </a:solidFill>
                        </wps:spPr>
                        <wps:bodyPr wrap="square" lIns="0" tIns="0" rIns="0" bIns="0" rtlCol="0">
                          <a:prstTxWarp prst="textNoShape">
                            <a:avLst/>
                          </a:prstTxWarp>
                          <a:noAutofit/>
                        </wps:bodyPr>
                      </wps:wsp>
                      <wps:wsp>
                        <wps:cNvPr id="165" name="Graphic 165"/>
                        <wps:cNvSpPr/>
                        <wps:spPr>
                          <a:xfrm>
                            <a:off x="2816351" y="838200"/>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166" name="Graphic 166"/>
                        <wps:cNvSpPr/>
                        <wps:spPr>
                          <a:xfrm>
                            <a:off x="2810255" y="835152"/>
                            <a:ext cx="91440" cy="91440"/>
                          </a:xfrm>
                          <a:custGeom>
                            <a:avLst/>
                            <a:gdLst/>
                            <a:ahLst/>
                            <a:cxnLst/>
                            <a:rect l="l" t="t" r="r" b="b"/>
                            <a:pathLst>
                              <a:path w="91440" h="91440">
                                <a:moveTo>
                                  <a:pt x="91439" y="0"/>
                                </a:moveTo>
                                <a:lnTo>
                                  <a:pt x="0" y="0"/>
                                </a:lnTo>
                                <a:lnTo>
                                  <a:pt x="0" y="88392"/>
                                </a:lnTo>
                                <a:lnTo>
                                  <a:pt x="3048" y="91440"/>
                                </a:lnTo>
                                <a:lnTo>
                                  <a:pt x="91439" y="91440"/>
                                </a:lnTo>
                                <a:lnTo>
                                  <a:pt x="91439" y="85344"/>
                                </a:lnTo>
                                <a:lnTo>
                                  <a:pt x="9144" y="85344"/>
                                </a:lnTo>
                                <a:lnTo>
                                  <a:pt x="6096" y="82296"/>
                                </a:lnTo>
                                <a:lnTo>
                                  <a:pt x="9144" y="82296"/>
                                </a:lnTo>
                                <a:lnTo>
                                  <a:pt x="9144" y="9144"/>
                                </a:lnTo>
                                <a:lnTo>
                                  <a:pt x="6096" y="9144"/>
                                </a:lnTo>
                                <a:lnTo>
                                  <a:pt x="9144" y="3048"/>
                                </a:lnTo>
                                <a:lnTo>
                                  <a:pt x="91439" y="3048"/>
                                </a:lnTo>
                                <a:lnTo>
                                  <a:pt x="91439" y="0"/>
                                </a:lnTo>
                                <a:close/>
                              </a:path>
                              <a:path w="91440" h="91440">
                                <a:moveTo>
                                  <a:pt x="9144" y="82296"/>
                                </a:moveTo>
                                <a:lnTo>
                                  <a:pt x="6096" y="82296"/>
                                </a:lnTo>
                                <a:lnTo>
                                  <a:pt x="9144" y="85344"/>
                                </a:lnTo>
                                <a:lnTo>
                                  <a:pt x="9144" y="82296"/>
                                </a:lnTo>
                                <a:close/>
                              </a:path>
                              <a:path w="91440" h="91440">
                                <a:moveTo>
                                  <a:pt x="82296" y="82296"/>
                                </a:moveTo>
                                <a:lnTo>
                                  <a:pt x="9144" y="82296"/>
                                </a:lnTo>
                                <a:lnTo>
                                  <a:pt x="9144" y="85344"/>
                                </a:lnTo>
                                <a:lnTo>
                                  <a:pt x="82296" y="85344"/>
                                </a:lnTo>
                                <a:lnTo>
                                  <a:pt x="82296" y="82296"/>
                                </a:lnTo>
                                <a:close/>
                              </a:path>
                              <a:path w="91440" h="91440">
                                <a:moveTo>
                                  <a:pt x="82296" y="3048"/>
                                </a:moveTo>
                                <a:lnTo>
                                  <a:pt x="82296" y="85344"/>
                                </a:lnTo>
                                <a:lnTo>
                                  <a:pt x="88391" y="82296"/>
                                </a:lnTo>
                                <a:lnTo>
                                  <a:pt x="91439" y="82296"/>
                                </a:lnTo>
                                <a:lnTo>
                                  <a:pt x="91439" y="9144"/>
                                </a:lnTo>
                                <a:lnTo>
                                  <a:pt x="88391" y="9144"/>
                                </a:lnTo>
                                <a:lnTo>
                                  <a:pt x="82296" y="3048"/>
                                </a:lnTo>
                                <a:close/>
                              </a:path>
                              <a:path w="91440" h="91440">
                                <a:moveTo>
                                  <a:pt x="91439" y="82296"/>
                                </a:moveTo>
                                <a:lnTo>
                                  <a:pt x="88391" y="82296"/>
                                </a:lnTo>
                                <a:lnTo>
                                  <a:pt x="82296" y="85344"/>
                                </a:lnTo>
                                <a:lnTo>
                                  <a:pt x="91439" y="85344"/>
                                </a:lnTo>
                                <a:lnTo>
                                  <a:pt x="91439" y="82296"/>
                                </a:lnTo>
                                <a:close/>
                              </a:path>
                              <a:path w="91440" h="91440">
                                <a:moveTo>
                                  <a:pt x="9144" y="3048"/>
                                </a:moveTo>
                                <a:lnTo>
                                  <a:pt x="6096" y="9144"/>
                                </a:lnTo>
                                <a:lnTo>
                                  <a:pt x="9144" y="9144"/>
                                </a:lnTo>
                                <a:lnTo>
                                  <a:pt x="9144" y="3048"/>
                                </a:lnTo>
                                <a:close/>
                              </a:path>
                              <a:path w="91440" h="91440">
                                <a:moveTo>
                                  <a:pt x="82296" y="3048"/>
                                </a:moveTo>
                                <a:lnTo>
                                  <a:pt x="9144" y="3048"/>
                                </a:lnTo>
                                <a:lnTo>
                                  <a:pt x="9144" y="9144"/>
                                </a:lnTo>
                                <a:lnTo>
                                  <a:pt x="82296" y="9144"/>
                                </a:lnTo>
                                <a:lnTo>
                                  <a:pt x="82296" y="3048"/>
                                </a:lnTo>
                                <a:close/>
                              </a:path>
                              <a:path w="91440" h="91440">
                                <a:moveTo>
                                  <a:pt x="91439" y="3048"/>
                                </a:moveTo>
                                <a:lnTo>
                                  <a:pt x="82296" y="3048"/>
                                </a:lnTo>
                                <a:lnTo>
                                  <a:pt x="88391"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wps:wsp>
                        <wps:cNvPr id="167" name="Graphic 167"/>
                        <wps:cNvSpPr/>
                        <wps:spPr>
                          <a:xfrm>
                            <a:off x="3444240" y="1697735"/>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168" name="Graphic 168"/>
                        <wps:cNvSpPr/>
                        <wps:spPr>
                          <a:xfrm>
                            <a:off x="3438144" y="1694688"/>
                            <a:ext cx="91440" cy="91440"/>
                          </a:xfrm>
                          <a:custGeom>
                            <a:avLst/>
                            <a:gdLst/>
                            <a:ahLst/>
                            <a:cxnLst/>
                            <a:rect l="l" t="t" r="r" b="b"/>
                            <a:pathLst>
                              <a:path w="91440" h="91440">
                                <a:moveTo>
                                  <a:pt x="91439" y="0"/>
                                </a:moveTo>
                                <a:lnTo>
                                  <a:pt x="0" y="0"/>
                                </a:lnTo>
                                <a:lnTo>
                                  <a:pt x="0" y="88391"/>
                                </a:lnTo>
                                <a:lnTo>
                                  <a:pt x="3048" y="91439"/>
                                </a:lnTo>
                                <a:lnTo>
                                  <a:pt x="91439" y="91439"/>
                                </a:lnTo>
                                <a:lnTo>
                                  <a:pt x="91439" y="85343"/>
                                </a:lnTo>
                                <a:lnTo>
                                  <a:pt x="9144" y="85343"/>
                                </a:lnTo>
                                <a:lnTo>
                                  <a:pt x="6096" y="82295"/>
                                </a:lnTo>
                                <a:lnTo>
                                  <a:pt x="9144" y="82295"/>
                                </a:lnTo>
                                <a:lnTo>
                                  <a:pt x="9144" y="9143"/>
                                </a:lnTo>
                                <a:lnTo>
                                  <a:pt x="6096" y="9143"/>
                                </a:lnTo>
                                <a:lnTo>
                                  <a:pt x="9144" y="3047"/>
                                </a:lnTo>
                                <a:lnTo>
                                  <a:pt x="91439" y="3047"/>
                                </a:lnTo>
                                <a:lnTo>
                                  <a:pt x="91439" y="0"/>
                                </a:lnTo>
                                <a:close/>
                              </a:path>
                              <a:path w="91440" h="91440">
                                <a:moveTo>
                                  <a:pt x="9144" y="82295"/>
                                </a:moveTo>
                                <a:lnTo>
                                  <a:pt x="6096" y="82295"/>
                                </a:lnTo>
                                <a:lnTo>
                                  <a:pt x="9144" y="85343"/>
                                </a:lnTo>
                                <a:lnTo>
                                  <a:pt x="9144" y="82295"/>
                                </a:lnTo>
                                <a:close/>
                              </a:path>
                              <a:path w="91440" h="91440">
                                <a:moveTo>
                                  <a:pt x="82296" y="82295"/>
                                </a:moveTo>
                                <a:lnTo>
                                  <a:pt x="9144" y="82295"/>
                                </a:lnTo>
                                <a:lnTo>
                                  <a:pt x="9144" y="85343"/>
                                </a:lnTo>
                                <a:lnTo>
                                  <a:pt x="82296" y="85343"/>
                                </a:lnTo>
                                <a:lnTo>
                                  <a:pt x="82296" y="82295"/>
                                </a:lnTo>
                                <a:close/>
                              </a:path>
                              <a:path w="91440" h="91440">
                                <a:moveTo>
                                  <a:pt x="82296" y="3047"/>
                                </a:moveTo>
                                <a:lnTo>
                                  <a:pt x="82296" y="85343"/>
                                </a:lnTo>
                                <a:lnTo>
                                  <a:pt x="88392" y="82295"/>
                                </a:lnTo>
                                <a:lnTo>
                                  <a:pt x="91439" y="82295"/>
                                </a:lnTo>
                                <a:lnTo>
                                  <a:pt x="91439" y="9143"/>
                                </a:lnTo>
                                <a:lnTo>
                                  <a:pt x="88392" y="9143"/>
                                </a:lnTo>
                                <a:lnTo>
                                  <a:pt x="82296" y="3047"/>
                                </a:lnTo>
                                <a:close/>
                              </a:path>
                              <a:path w="91440" h="91440">
                                <a:moveTo>
                                  <a:pt x="91439" y="82295"/>
                                </a:moveTo>
                                <a:lnTo>
                                  <a:pt x="88392" y="82295"/>
                                </a:lnTo>
                                <a:lnTo>
                                  <a:pt x="82296" y="85343"/>
                                </a:lnTo>
                                <a:lnTo>
                                  <a:pt x="91439" y="85343"/>
                                </a:lnTo>
                                <a:lnTo>
                                  <a:pt x="91439" y="82295"/>
                                </a:lnTo>
                                <a:close/>
                              </a:path>
                              <a:path w="91440" h="91440">
                                <a:moveTo>
                                  <a:pt x="9144" y="3047"/>
                                </a:moveTo>
                                <a:lnTo>
                                  <a:pt x="6096" y="9143"/>
                                </a:lnTo>
                                <a:lnTo>
                                  <a:pt x="9144" y="9143"/>
                                </a:lnTo>
                                <a:lnTo>
                                  <a:pt x="9144" y="3047"/>
                                </a:lnTo>
                                <a:close/>
                              </a:path>
                              <a:path w="91440" h="91440">
                                <a:moveTo>
                                  <a:pt x="82296" y="3047"/>
                                </a:moveTo>
                                <a:lnTo>
                                  <a:pt x="9144" y="3047"/>
                                </a:lnTo>
                                <a:lnTo>
                                  <a:pt x="9144" y="9143"/>
                                </a:lnTo>
                                <a:lnTo>
                                  <a:pt x="82296" y="9143"/>
                                </a:lnTo>
                                <a:lnTo>
                                  <a:pt x="82296" y="3047"/>
                                </a:lnTo>
                                <a:close/>
                              </a:path>
                              <a:path w="91440" h="91440">
                                <a:moveTo>
                                  <a:pt x="91439" y="3047"/>
                                </a:moveTo>
                                <a:lnTo>
                                  <a:pt x="82296" y="3047"/>
                                </a:lnTo>
                                <a:lnTo>
                                  <a:pt x="88392" y="9143"/>
                                </a:lnTo>
                                <a:lnTo>
                                  <a:pt x="91439" y="9143"/>
                                </a:lnTo>
                                <a:lnTo>
                                  <a:pt x="91439" y="3047"/>
                                </a:lnTo>
                                <a:close/>
                              </a:path>
                            </a:pathLst>
                          </a:custGeom>
                          <a:solidFill>
                            <a:srgbClr val="BD4A47"/>
                          </a:solidFill>
                        </wps:spPr>
                        <wps:bodyPr wrap="square" lIns="0" tIns="0" rIns="0" bIns="0" rtlCol="0">
                          <a:prstTxWarp prst="textNoShape">
                            <a:avLst/>
                          </a:prstTxWarp>
                          <a:noAutofit/>
                        </wps:bodyPr>
                      </wps:wsp>
                      <wps:wsp>
                        <wps:cNvPr id="169" name="Graphic 169"/>
                        <wps:cNvSpPr/>
                        <wps:spPr>
                          <a:xfrm>
                            <a:off x="338327" y="768095"/>
                            <a:ext cx="3164205" cy="859790"/>
                          </a:xfrm>
                          <a:custGeom>
                            <a:avLst/>
                            <a:gdLst/>
                            <a:ahLst/>
                            <a:cxnLst/>
                            <a:rect l="l" t="t" r="r" b="b"/>
                            <a:pathLst>
                              <a:path w="3164205" h="859790">
                                <a:moveTo>
                                  <a:pt x="15239" y="0"/>
                                </a:moveTo>
                                <a:lnTo>
                                  <a:pt x="6095" y="0"/>
                                </a:lnTo>
                                <a:lnTo>
                                  <a:pt x="0" y="6096"/>
                                </a:lnTo>
                                <a:lnTo>
                                  <a:pt x="0" y="21335"/>
                                </a:lnTo>
                                <a:lnTo>
                                  <a:pt x="6095" y="27431"/>
                                </a:lnTo>
                                <a:lnTo>
                                  <a:pt x="12191" y="27431"/>
                                </a:lnTo>
                                <a:lnTo>
                                  <a:pt x="640079" y="67055"/>
                                </a:lnTo>
                                <a:lnTo>
                                  <a:pt x="1264919" y="192024"/>
                                </a:lnTo>
                                <a:lnTo>
                                  <a:pt x="1261872" y="192024"/>
                                </a:lnTo>
                                <a:lnTo>
                                  <a:pt x="1889760" y="548639"/>
                                </a:lnTo>
                                <a:lnTo>
                                  <a:pt x="1892808" y="551687"/>
                                </a:lnTo>
                                <a:lnTo>
                                  <a:pt x="1895855" y="551687"/>
                                </a:lnTo>
                                <a:lnTo>
                                  <a:pt x="2523743" y="573024"/>
                                </a:lnTo>
                                <a:lnTo>
                                  <a:pt x="2517648" y="573024"/>
                                </a:lnTo>
                                <a:lnTo>
                                  <a:pt x="3145536" y="856487"/>
                                </a:lnTo>
                                <a:lnTo>
                                  <a:pt x="3151631" y="859535"/>
                                </a:lnTo>
                                <a:lnTo>
                                  <a:pt x="3157728" y="856487"/>
                                </a:lnTo>
                                <a:lnTo>
                                  <a:pt x="3163824" y="844296"/>
                                </a:lnTo>
                                <a:lnTo>
                                  <a:pt x="3160776" y="835151"/>
                                </a:lnTo>
                                <a:lnTo>
                                  <a:pt x="3154679" y="832103"/>
                                </a:lnTo>
                                <a:lnTo>
                                  <a:pt x="2526791" y="548639"/>
                                </a:lnTo>
                                <a:lnTo>
                                  <a:pt x="2523743" y="548639"/>
                                </a:lnTo>
                                <a:lnTo>
                                  <a:pt x="1974341" y="527303"/>
                                </a:lnTo>
                                <a:lnTo>
                                  <a:pt x="1901952" y="527303"/>
                                </a:lnTo>
                                <a:lnTo>
                                  <a:pt x="1895855" y="524255"/>
                                </a:lnTo>
                                <a:lnTo>
                                  <a:pt x="1896630" y="524255"/>
                                </a:lnTo>
                                <a:lnTo>
                                  <a:pt x="1274064" y="167639"/>
                                </a:lnTo>
                                <a:lnTo>
                                  <a:pt x="1271015" y="167639"/>
                                </a:lnTo>
                                <a:lnTo>
                                  <a:pt x="640079" y="39624"/>
                                </a:lnTo>
                                <a:lnTo>
                                  <a:pt x="15239" y="0"/>
                                </a:lnTo>
                                <a:close/>
                              </a:path>
                              <a:path w="3164205" h="859790">
                                <a:moveTo>
                                  <a:pt x="1895855" y="524255"/>
                                </a:moveTo>
                                <a:lnTo>
                                  <a:pt x="1901952" y="527303"/>
                                </a:lnTo>
                                <a:lnTo>
                                  <a:pt x="1896687" y="524288"/>
                                </a:lnTo>
                                <a:lnTo>
                                  <a:pt x="1895855" y="524255"/>
                                </a:lnTo>
                                <a:close/>
                              </a:path>
                              <a:path w="3164205" h="859790">
                                <a:moveTo>
                                  <a:pt x="1896687" y="524288"/>
                                </a:moveTo>
                                <a:lnTo>
                                  <a:pt x="1901952" y="527303"/>
                                </a:lnTo>
                                <a:lnTo>
                                  <a:pt x="1974341" y="527303"/>
                                </a:lnTo>
                                <a:lnTo>
                                  <a:pt x="1896687" y="524288"/>
                                </a:lnTo>
                                <a:close/>
                              </a:path>
                              <a:path w="3164205" h="859790">
                                <a:moveTo>
                                  <a:pt x="1896630" y="524255"/>
                                </a:moveTo>
                                <a:lnTo>
                                  <a:pt x="1895855" y="524255"/>
                                </a:lnTo>
                                <a:lnTo>
                                  <a:pt x="1896687" y="524288"/>
                                </a:lnTo>
                                <a:close/>
                              </a:path>
                            </a:pathLst>
                          </a:custGeom>
                          <a:solidFill>
                            <a:srgbClr val="97B853"/>
                          </a:solidFill>
                        </wps:spPr>
                        <wps:bodyPr wrap="square" lIns="0" tIns="0" rIns="0" bIns="0" rtlCol="0">
                          <a:prstTxWarp prst="textNoShape">
                            <a:avLst/>
                          </a:prstTxWarp>
                          <a:noAutofit/>
                        </wps:bodyPr>
                      </wps:wsp>
                      <pic:pic>
                        <pic:nvPicPr>
                          <pic:cNvPr id="170" name="Image 170"/>
                          <pic:cNvPicPr/>
                        </pic:nvPicPr>
                        <pic:blipFill>
                          <a:blip r:embed="rId44" cstate="print"/>
                          <a:stretch>
                            <a:fillRect/>
                          </a:stretch>
                        </pic:blipFill>
                        <pic:spPr>
                          <a:xfrm>
                            <a:off x="298704" y="734568"/>
                            <a:ext cx="97536" cy="97535"/>
                          </a:xfrm>
                          <a:prstGeom prst="rect">
                            <a:avLst/>
                          </a:prstGeom>
                        </pic:spPr>
                      </pic:pic>
                      <pic:pic>
                        <pic:nvPicPr>
                          <pic:cNvPr id="171" name="Image 171"/>
                          <pic:cNvPicPr/>
                        </pic:nvPicPr>
                        <pic:blipFill>
                          <a:blip r:embed="rId45" cstate="print"/>
                          <a:stretch>
                            <a:fillRect/>
                          </a:stretch>
                        </pic:blipFill>
                        <pic:spPr>
                          <a:xfrm>
                            <a:off x="926591" y="771144"/>
                            <a:ext cx="97536" cy="97535"/>
                          </a:xfrm>
                          <a:prstGeom prst="rect">
                            <a:avLst/>
                          </a:prstGeom>
                        </pic:spPr>
                      </pic:pic>
                      <pic:pic>
                        <pic:nvPicPr>
                          <pic:cNvPr id="172" name="Image 172"/>
                          <pic:cNvPicPr/>
                        </pic:nvPicPr>
                        <pic:blipFill>
                          <a:blip r:embed="rId46" cstate="print"/>
                          <a:stretch>
                            <a:fillRect/>
                          </a:stretch>
                        </pic:blipFill>
                        <pic:spPr>
                          <a:xfrm>
                            <a:off x="1554480" y="902208"/>
                            <a:ext cx="97536" cy="94488"/>
                          </a:xfrm>
                          <a:prstGeom prst="rect">
                            <a:avLst/>
                          </a:prstGeom>
                        </pic:spPr>
                      </pic:pic>
                      <pic:pic>
                        <pic:nvPicPr>
                          <pic:cNvPr id="173" name="Image 173"/>
                          <pic:cNvPicPr/>
                        </pic:nvPicPr>
                        <pic:blipFill>
                          <a:blip r:embed="rId47" cstate="print"/>
                          <a:stretch>
                            <a:fillRect/>
                          </a:stretch>
                        </pic:blipFill>
                        <pic:spPr>
                          <a:xfrm>
                            <a:off x="2182367" y="1258824"/>
                            <a:ext cx="97536" cy="97535"/>
                          </a:xfrm>
                          <a:prstGeom prst="rect">
                            <a:avLst/>
                          </a:prstGeom>
                        </pic:spPr>
                      </pic:pic>
                      <pic:pic>
                        <pic:nvPicPr>
                          <pic:cNvPr id="174" name="Image 174"/>
                          <pic:cNvPicPr/>
                        </pic:nvPicPr>
                        <pic:blipFill>
                          <a:blip r:embed="rId48" cstate="print"/>
                          <a:stretch>
                            <a:fillRect/>
                          </a:stretch>
                        </pic:blipFill>
                        <pic:spPr>
                          <a:xfrm>
                            <a:off x="2810255" y="1283208"/>
                            <a:ext cx="97536" cy="94488"/>
                          </a:xfrm>
                          <a:prstGeom prst="rect">
                            <a:avLst/>
                          </a:prstGeom>
                        </pic:spPr>
                      </pic:pic>
                      <pic:pic>
                        <pic:nvPicPr>
                          <pic:cNvPr id="175" name="Image 175"/>
                          <pic:cNvPicPr/>
                        </pic:nvPicPr>
                        <pic:blipFill>
                          <a:blip r:embed="rId49" cstate="print"/>
                          <a:stretch>
                            <a:fillRect/>
                          </a:stretch>
                        </pic:blipFill>
                        <pic:spPr>
                          <a:xfrm>
                            <a:off x="3438144" y="1563624"/>
                            <a:ext cx="97536" cy="97535"/>
                          </a:xfrm>
                          <a:prstGeom prst="rect">
                            <a:avLst/>
                          </a:prstGeom>
                        </pic:spPr>
                      </pic:pic>
                      <wps:wsp>
                        <wps:cNvPr id="176" name="Graphic 176"/>
                        <wps:cNvSpPr/>
                        <wps:spPr>
                          <a:xfrm>
                            <a:off x="3700271" y="1892807"/>
                            <a:ext cx="256540" cy="27940"/>
                          </a:xfrm>
                          <a:custGeom>
                            <a:avLst/>
                            <a:gdLst/>
                            <a:ahLst/>
                            <a:cxnLst/>
                            <a:rect l="l" t="t" r="r" b="b"/>
                            <a:pathLst>
                              <a:path w="256540" h="27940">
                                <a:moveTo>
                                  <a:pt x="249936" y="0"/>
                                </a:moveTo>
                                <a:lnTo>
                                  <a:pt x="12192"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177" name="Image 177"/>
                          <pic:cNvPicPr/>
                        </pic:nvPicPr>
                        <pic:blipFill>
                          <a:blip r:embed="rId50" cstate="print"/>
                          <a:stretch>
                            <a:fillRect/>
                          </a:stretch>
                        </pic:blipFill>
                        <pic:spPr>
                          <a:xfrm>
                            <a:off x="3788664" y="1868423"/>
                            <a:ext cx="79248" cy="79248"/>
                          </a:xfrm>
                          <a:prstGeom prst="rect">
                            <a:avLst/>
                          </a:prstGeom>
                        </pic:spPr>
                      </pic:pic>
                      <wps:wsp>
                        <wps:cNvPr id="178" name="Graphic 178"/>
                        <wps:cNvSpPr/>
                        <wps:spPr>
                          <a:xfrm>
                            <a:off x="3700271" y="2112264"/>
                            <a:ext cx="256540" cy="24765"/>
                          </a:xfrm>
                          <a:custGeom>
                            <a:avLst/>
                            <a:gdLst/>
                            <a:ahLst/>
                            <a:cxnLst/>
                            <a:rect l="l" t="t" r="r" b="b"/>
                            <a:pathLst>
                              <a:path w="256540" h="24765">
                                <a:moveTo>
                                  <a:pt x="249936" y="0"/>
                                </a:moveTo>
                                <a:lnTo>
                                  <a:pt x="12192" y="0"/>
                                </a:lnTo>
                                <a:lnTo>
                                  <a:pt x="6096" y="0"/>
                                </a:lnTo>
                                <a:lnTo>
                                  <a:pt x="0" y="3047"/>
                                </a:lnTo>
                                <a:lnTo>
                                  <a:pt x="0" y="18287"/>
                                </a:lnTo>
                                <a:lnTo>
                                  <a:pt x="6096" y="24383"/>
                                </a:lnTo>
                                <a:lnTo>
                                  <a:pt x="249936" y="24383"/>
                                </a:lnTo>
                                <a:lnTo>
                                  <a:pt x="256032" y="18287"/>
                                </a:lnTo>
                                <a:lnTo>
                                  <a:pt x="256032" y="3047"/>
                                </a:lnTo>
                                <a:lnTo>
                                  <a:pt x="249936" y="0"/>
                                </a:lnTo>
                                <a:close/>
                              </a:path>
                            </a:pathLst>
                          </a:custGeom>
                          <a:solidFill>
                            <a:srgbClr val="BD4A47"/>
                          </a:solidFill>
                        </wps:spPr>
                        <wps:bodyPr wrap="square" lIns="0" tIns="0" rIns="0" bIns="0" rtlCol="0">
                          <a:prstTxWarp prst="textNoShape">
                            <a:avLst/>
                          </a:prstTxWarp>
                          <a:noAutofit/>
                        </wps:bodyPr>
                      </wps:wsp>
                      <wps:wsp>
                        <wps:cNvPr id="179" name="Graphic 179"/>
                        <wps:cNvSpPr/>
                        <wps:spPr>
                          <a:xfrm>
                            <a:off x="3794759" y="2087879"/>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BF4F4C"/>
                          </a:solidFill>
                        </wps:spPr>
                        <wps:bodyPr wrap="square" lIns="0" tIns="0" rIns="0" bIns="0" rtlCol="0">
                          <a:prstTxWarp prst="textNoShape">
                            <a:avLst/>
                          </a:prstTxWarp>
                          <a:noAutofit/>
                        </wps:bodyPr>
                      </wps:wsp>
                      <wps:wsp>
                        <wps:cNvPr id="180" name="Graphic 180"/>
                        <wps:cNvSpPr/>
                        <wps:spPr>
                          <a:xfrm>
                            <a:off x="3788664" y="2081783"/>
                            <a:ext cx="82550" cy="82550"/>
                          </a:xfrm>
                          <a:custGeom>
                            <a:avLst/>
                            <a:gdLst/>
                            <a:ahLst/>
                            <a:cxnLst/>
                            <a:rect l="l" t="t" r="r" b="b"/>
                            <a:pathLst>
                              <a:path w="82550" h="82550">
                                <a:moveTo>
                                  <a:pt x="76200" y="0"/>
                                </a:moveTo>
                                <a:lnTo>
                                  <a:pt x="6095" y="0"/>
                                </a:lnTo>
                                <a:lnTo>
                                  <a:pt x="0" y="6096"/>
                                </a:lnTo>
                                <a:lnTo>
                                  <a:pt x="0" y="76200"/>
                                </a:lnTo>
                                <a:lnTo>
                                  <a:pt x="6095" y="82296"/>
                                </a:lnTo>
                                <a:lnTo>
                                  <a:pt x="76200" y="82296"/>
                                </a:lnTo>
                                <a:lnTo>
                                  <a:pt x="82295" y="76200"/>
                                </a:lnTo>
                                <a:lnTo>
                                  <a:pt x="9143" y="76200"/>
                                </a:lnTo>
                                <a:lnTo>
                                  <a:pt x="6095" y="73151"/>
                                </a:lnTo>
                                <a:lnTo>
                                  <a:pt x="9143" y="73151"/>
                                </a:lnTo>
                                <a:lnTo>
                                  <a:pt x="9143" y="9144"/>
                                </a:lnTo>
                                <a:lnTo>
                                  <a:pt x="6095" y="9144"/>
                                </a:lnTo>
                                <a:lnTo>
                                  <a:pt x="9143" y="6096"/>
                                </a:lnTo>
                                <a:lnTo>
                                  <a:pt x="82295" y="6096"/>
                                </a:lnTo>
                                <a:lnTo>
                                  <a:pt x="76200" y="0"/>
                                </a:lnTo>
                                <a:close/>
                              </a:path>
                              <a:path w="82550" h="82550">
                                <a:moveTo>
                                  <a:pt x="9143" y="73151"/>
                                </a:moveTo>
                                <a:lnTo>
                                  <a:pt x="6095" y="73151"/>
                                </a:lnTo>
                                <a:lnTo>
                                  <a:pt x="9143" y="76200"/>
                                </a:lnTo>
                                <a:lnTo>
                                  <a:pt x="9143" y="73151"/>
                                </a:lnTo>
                                <a:close/>
                              </a:path>
                              <a:path w="82550" h="82550">
                                <a:moveTo>
                                  <a:pt x="73151" y="73151"/>
                                </a:moveTo>
                                <a:lnTo>
                                  <a:pt x="9143" y="73151"/>
                                </a:lnTo>
                                <a:lnTo>
                                  <a:pt x="9143" y="76200"/>
                                </a:lnTo>
                                <a:lnTo>
                                  <a:pt x="73151" y="76200"/>
                                </a:lnTo>
                                <a:lnTo>
                                  <a:pt x="73151" y="73151"/>
                                </a:lnTo>
                                <a:close/>
                              </a:path>
                              <a:path w="82550" h="82550">
                                <a:moveTo>
                                  <a:pt x="73151" y="6096"/>
                                </a:moveTo>
                                <a:lnTo>
                                  <a:pt x="73151" y="76200"/>
                                </a:lnTo>
                                <a:lnTo>
                                  <a:pt x="76200" y="73151"/>
                                </a:lnTo>
                                <a:lnTo>
                                  <a:pt x="82295" y="73151"/>
                                </a:lnTo>
                                <a:lnTo>
                                  <a:pt x="82295" y="9144"/>
                                </a:lnTo>
                                <a:lnTo>
                                  <a:pt x="76200" y="9144"/>
                                </a:lnTo>
                                <a:lnTo>
                                  <a:pt x="73151" y="6096"/>
                                </a:lnTo>
                                <a:close/>
                              </a:path>
                              <a:path w="82550" h="82550">
                                <a:moveTo>
                                  <a:pt x="82295" y="73151"/>
                                </a:moveTo>
                                <a:lnTo>
                                  <a:pt x="76200" y="73151"/>
                                </a:lnTo>
                                <a:lnTo>
                                  <a:pt x="73151" y="76200"/>
                                </a:lnTo>
                                <a:lnTo>
                                  <a:pt x="82295" y="76200"/>
                                </a:lnTo>
                                <a:lnTo>
                                  <a:pt x="82295" y="73151"/>
                                </a:lnTo>
                                <a:close/>
                              </a:path>
                              <a:path w="82550" h="82550">
                                <a:moveTo>
                                  <a:pt x="9143" y="6096"/>
                                </a:moveTo>
                                <a:lnTo>
                                  <a:pt x="6095" y="9144"/>
                                </a:lnTo>
                                <a:lnTo>
                                  <a:pt x="9143" y="9144"/>
                                </a:lnTo>
                                <a:lnTo>
                                  <a:pt x="9143" y="6096"/>
                                </a:lnTo>
                                <a:close/>
                              </a:path>
                              <a:path w="82550" h="82550">
                                <a:moveTo>
                                  <a:pt x="73151" y="6096"/>
                                </a:moveTo>
                                <a:lnTo>
                                  <a:pt x="9143" y="6096"/>
                                </a:lnTo>
                                <a:lnTo>
                                  <a:pt x="9143" y="9144"/>
                                </a:lnTo>
                                <a:lnTo>
                                  <a:pt x="73151" y="9144"/>
                                </a:lnTo>
                                <a:lnTo>
                                  <a:pt x="73151" y="6096"/>
                                </a:lnTo>
                                <a:close/>
                              </a:path>
                              <a:path w="82550" h="82550">
                                <a:moveTo>
                                  <a:pt x="82295" y="6096"/>
                                </a:moveTo>
                                <a:lnTo>
                                  <a:pt x="73151" y="6096"/>
                                </a:lnTo>
                                <a:lnTo>
                                  <a:pt x="76200" y="9144"/>
                                </a:lnTo>
                                <a:lnTo>
                                  <a:pt x="82295" y="9144"/>
                                </a:lnTo>
                                <a:lnTo>
                                  <a:pt x="82295" y="6096"/>
                                </a:lnTo>
                                <a:close/>
                              </a:path>
                            </a:pathLst>
                          </a:custGeom>
                          <a:solidFill>
                            <a:srgbClr val="BD4A47"/>
                          </a:solidFill>
                        </wps:spPr>
                        <wps:bodyPr wrap="square" lIns="0" tIns="0" rIns="0" bIns="0" rtlCol="0">
                          <a:prstTxWarp prst="textNoShape">
                            <a:avLst/>
                          </a:prstTxWarp>
                          <a:noAutofit/>
                        </wps:bodyPr>
                      </wps:wsp>
                      <wps:wsp>
                        <wps:cNvPr id="181" name="Graphic 181"/>
                        <wps:cNvSpPr/>
                        <wps:spPr>
                          <a:xfrm>
                            <a:off x="3700271" y="2325623"/>
                            <a:ext cx="256540" cy="27940"/>
                          </a:xfrm>
                          <a:custGeom>
                            <a:avLst/>
                            <a:gdLst/>
                            <a:ahLst/>
                            <a:cxnLst/>
                            <a:rect l="l" t="t" r="r" b="b"/>
                            <a:pathLst>
                              <a:path w="256540" h="27940">
                                <a:moveTo>
                                  <a:pt x="249936" y="0"/>
                                </a:moveTo>
                                <a:lnTo>
                                  <a:pt x="12192" y="0"/>
                                </a:lnTo>
                                <a:lnTo>
                                  <a:pt x="6096" y="0"/>
                                </a:lnTo>
                                <a:lnTo>
                                  <a:pt x="0" y="6096"/>
                                </a:lnTo>
                                <a:lnTo>
                                  <a:pt x="0" y="21336"/>
                                </a:lnTo>
                                <a:lnTo>
                                  <a:pt x="6096" y="27431"/>
                                </a:lnTo>
                                <a:lnTo>
                                  <a:pt x="249936" y="27431"/>
                                </a:lnTo>
                                <a:lnTo>
                                  <a:pt x="256032" y="21336"/>
                                </a:lnTo>
                                <a:lnTo>
                                  <a:pt x="256032" y="6096"/>
                                </a:lnTo>
                                <a:lnTo>
                                  <a:pt x="249936" y="0"/>
                                </a:lnTo>
                                <a:close/>
                              </a:path>
                            </a:pathLst>
                          </a:custGeom>
                          <a:solidFill>
                            <a:srgbClr val="97B853"/>
                          </a:solidFill>
                        </wps:spPr>
                        <wps:bodyPr wrap="square" lIns="0" tIns="0" rIns="0" bIns="0" rtlCol="0">
                          <a:prstTxWarp prst="textNoShape">
                            <a:avLst/>
                          </a:prstTxWarp>
                          <a:noAutofit/>
                        </wps:bodyPr>
                      </wps:wsp>
                      <pic:pic>
                        <pic:nvPicPr>
                          <pic:cNvPr id="182" name="Image 182"/>
                          <pic:cNvPicPr/>
                        </pic:nvPicPr>
                        <pic:blipFill>
                          <a:blip r:embed="rId51" cstate="print"/>
                          <a:stretch>
                            <a:fillRect/>
                          </a:stretch>
                        </pic:blipFill>
                        <pic:spPr>
                          <a:xfrm>
                            <a:off x="3788664" y="2298192"/>
                            <a:ext cx="79248" cy="82296"/>
                          </a:xfrm>
                          <a:prstGeom prst="rect">
                            <a:avLst/>
                          </a:prstGeom>
                        </pic:spPr>
                      </pic:pic>
                    </wpg:wgp>
                  </a:graphicData>
                </a:graphic>
              </wp:anchor>
            </w:drawing>
          </mc:Choice>
          <mc:Fallback>
            <w:pict>
              <v:group style="position:absolute;margin-left:185.039993pt;margin-top:11pt;width:311.55pt;height:297.850pt;mso-position-horizontal-relative:page;mso-position-vertical-relative:paragraph;z-index:-21305344" id="docshapegroup135" coordorigin="3701,220" coordsize="6231,5957">
                <v:shape style="position:absolute;left:3700;top:220;width:5991;height:5957" id="docshape136" coordorigin="3701,220" coordsize="5991,5957" path="m9691,6114l9686,6114,9686,6105,3768,6105,3768,230,3758,230,3758,220,3701,220,3701,234,3754,234,3754,1204,3701,1204,3701,1218,3754,1218,3754,2183,3701,2183,3701,2198,3754,2198,3754,3162,3701,3162,3701,3177,3754,3177,3754,4146,3701,4146,3701,4161,3754,4161,3754,5126,3701,5126,3701,5140,3754,5140,3754,6110,3701,6110,3701,6124,3749,6124,3749,6177,3763,6177,3763,6119,4738,6119,4738,6177,4752,6177,4752,6119,5726,6119,5726,6177,5741,6177,5741,6119,6715,6119,6715,6177,6730,6177,6730,6119,7704,6119,7704,6177,7718,6177,7718,6119,8693,6119,8693,6177,8707,6177,8707,6119,9682,6119,9682,6177,9691,6177,9691,6114xe" filled="true" fillcolor="#858585" stroked="false">
                  <v:path arrowok="t"/>
                  <v:fill type="solid"/>
                </v:shape>
                <v:shape style="position:absolute;left:4233;top:1242;width:4983;height:591" id="docshape137" coordorigin="4234,1242" coordsize="4983,591" path="m8301,1401l8198,1401,9187,1833,9197,1833,9206,1828,9216,1809,9211,1799,9202,1794,8301,1401xm4253,1242l4243,1242,4234,1252,4234,1271,4243,1281,4253,1281,5242,1295,6230,1338,7219,1348,8203,1406,8198,1401,8301,1401,8213,1362,8208,1362,7219,1310,6230,1300,5242,1257,4253,1242xe" filled="true" fillcolor="#497dba" stroked="false">
                  <v:path arrowok="t"/>
                  <v:fill type="solid"/>
                </v:shape>
                <v:shape style="position:absolute;left:4171;top:1189;width:154;height:149" type="#_x0000_t75" id="docshape138" stroked="false">
                  <v:imagedata r:id="rId38" o:title=""/>
                </v:shape>
                <v:shape style="position:absolute;left:5160;top:1204;width:154;height:149" type="#_x0000_t75" id="docshape139" stroked="false">
                  <v:imagedata r:id="rId39" o:title=""/>
                </v:shape>
                <v:shape style="position:absolute;left:6148;top:1242;width:154;height:154" type="#_x0000_t75" id="docshape140" stroked="false">
                  <v:imagedata r:id="rId40" o:title=""/>
                </v:shape>
                <v:shape style="position:absolute;left:7137;top:1256;width:149;height:149" type="#_x0000_t75" id="docshape141" stroked="false">
                  <v:imagedata r:id="rId41" o:title=""/>
                </v:shape>
                <v:shape style="position:absolute;left:8126;top:1309;width:149;height:154" type="#_x0000_t75" id="docshape142" stroked="false">
                  <v:imagedata r:id="rId42" o:title=""/>
                </v:shape>
                <v:shape style="position:absolute;left:9115;top:1736;width:149;height:154" type="#_x0000_t75" id="docshape143" stroked="false">
                  <v:imagedata r:id="rId43" o:title=""/>
                </v:shape>
                <v:shape style="position:absolute;left:4233;top:1391;width:4983;height:1594" id="docshape144" coordorigin="4234,1391" coordsize="4983,1594" path="m8195,1631l9178,2975,9182,2985,9197,2985,9206,2980,9216,2970,9216,2961,9211,2951,8247,1631,8203,1631,8195,1631xm8189,1622l8195,1631,8203,1631,8189,1622xm8240,1622l8189,1622,8203,1631,8247,1631,8240,1622xm4253,1391l4243,1391,4234,1401,4234,1420,4243,1430,4253,1430,6230,1454,7214,1559,8195,1631,8189,1622,8240,1622,8222,1598,8213,1588,8208,1588,7219,1516,6230,1410,4253,1391xe" filled="true" fillcolor="#bd4a47" stroked="false">
                  <v:path arrowok="t"/>
                  <v:fill type="solid"/>
                </v:shape>
                <v:rect style="position:absolute;left:4180;top:1343;width:135;height:130" id="docshape145" filled="true" fillcolor="#bf4f4c" stroked="false">
                  <v:fill type="solid"/>
                </v:rect>
                <v:shape style="position:absolute;left:4176;top:1333;width:144;height:149" id="docshape146" coordorigin="4176,1334" coordsize="144,149" path="m4315,1334l4176,1334,4176,1482,4315,1482,4320,1478,4320,1473,4190,1473,4181,1468,4190,1468,4190,1348,4181,1348,4190,1343,4320,1343,4320,1338,4315,1334xm4190,1468l4181,1468,4190,1473,4190,1468xm4306,1468l4190,1468,4190,1473,4306,1473,4306,1468xm4306,1343l4306,1473,4315,1468,4320,1468,4320,1348,4315,1348,4306,1343xm4320,1468l4315,1468,4306,1473,4320,1473,4320,1468xm4190,1343l4181,1348,4190,1348,4190,1343xm4306,1343l4190,1343,4190,1348,4306,1348,4306,1343xm4320,1343l4306,1343,4315,1348,4320,1348,4320,1343xe" filled="true" fillcolor="#bd4a47" stroked="false">
                  <v:path arrowok="t"/>
                  <v:fill type="solid"/>
                </v:shape>
                <v:rect style="position:absolute;left:5169;top:1352;width:130;height:130" id="docshape147" filled="true" fillcolor="#bf4f4c" stroked="false">
                  <v:fill type="solid"/>
                </v:rect>
                <v:shape style="position:absolute;left:5164;top:1343;width:144;height:144" id="docshape148" coordorigin="5165,1343" coordsize="144,144" path="m5304,1343l5165,1343,5165,1487,5309,1487,5309,1482,5179,1482,5170,1473,5179,1473,5179,1358,5170,1358,5179,1353,5309,1353,5309,1348,5304,1343xm5179,1473l5170,1473,5179,1482,5179,1473xm5294,1473l5179,1473,5179,1482,5294,1482,5294,1473xm5294,1353l5294,1482,5299,1473,5309,1473,5309,1358,5299,1358,5294,1353xm5309,1473l5299,1473,5294,1482,5309,1482,5309,1473xm5179,1353l5170,1358,5179,1358,5179,1353xm5294,1353l5179,1353,5179,1358,5294,1358,5294,1353xm5309,1353l5294,1353,5299,1358,5309,1358,5309,1353xe" filled="true" fillcolor="#bd4a47" stroked="false">
                  <v:path arrowok="t"/>
                  <v:fill type="solid"/>
                </v:shape>
                <v:rect style="position:absolute;left:6158;top:1367;width:130;height:130" id="docshape149" filled="true" fillcolor="#bf4f4c" stroked="false">
                  <v:fill type="solid"/>
                </v:rect>
                <v:shape style="position:absolute;left:6148;top:1357;width:149;height:144" id="docshape150" coordorigin="6149,1358" coordsize="149,144" path="m6293,1358l6154,1358,6149,1362,6149,1502,6298,1502,6298,1497,6163,1497,6158,1487,6163,1487,6163,1372,6158,1372,6163,1367,6298,1367,6298,1362,6293,1358xm6163,1487l6158,1487,6163,1497,6163,1487xm6283,1487l6163,1487,6163,1497,6283,1497,6283,1487xm6283,1367l6283,1497,6288,1487,6298,1487,6298,1372,6288,1372,6283,1367xm6298,1487l6288,1487,6283,1497,6298,1497,6298,1487xm6163,1367l6158,1372,6163,1372,6163,1367xm6283,1367l6163,1367,6163,1372,6283,1372,6283,1367xm6298,1367l6283,1367,6288,1372,6298,1372,6298,1367xe" filled="true" fillcolor="#bd4a47" stroked="false">
                  <v:path arrowok="t"/>
                  <v:fill type="solid"/>
                </v:shape>
                <v:rect style="position:absolute;left:7147;top:1468;width:130;height:130" id="docshape151" filled="true" fillcolor="#bf4f4c" stroked="false">
                  <v:fill type="solid"/>
                </v:rect>
                <v:shape style="position:absolute;left:7137;top:1463;width:149;height:144" id="docshape152" coordorigin="7138,1463" coordsize="149,144" path="m7286,1463l7138,1463,7138,1602,7142,1607,7282,1607,7286,1602,7286,1598,7152,1598,7147,1593,7152,1593,7152,1478,7147,1478,7152,1468,7286,1468,7286,1463xm7152,1593l7147,1593,7152,1598,7152,1593xm7272,1593l7152,1593,7152,1598,7272,1598,7272,1593xm7272,1468l7272,1598,7277,1593,7286,1593,7286,1478,7277,1478,7272,1468xm7286,1593l7277,1593,7272,1598,7286,1598,7286,1593xm7152,1468l7147,1478,7152,1478,7152,1468xm7272,1468l7152,1468,7152,1478,7272,1478,7272,1468xm7286,1468l7272,1468,7277,1478,7286,1478,7286,1468xe" filled="true" fillcolor="#bd4a47" stroked="false">
                  <v:path arrowok="t"/>
                  <v:fill type="solid"/>
                </v:shape>
                <v:rect style="position:absolute;left:8136;top:1540;width:130;height:130" id="docshape153" filled="true" fillcolor="#bf4f4c" stroked="false">
                  <v:fill type="solid"/>
                </v:rect>
                <v:shape style="position:absolute;left:8126;top:1535;width:144;height:144" id="docshape154" coordorigin="8126,1535" coordsize="144,144" path="m8270,1535l8126,1535,8126,1674,8131,1679,8270,1679,8270,1670,8141,1670,8136,1665,8141,1665,8141,1550,8136,1550,8141,1540,8270,1540,8270,1535xm8141,1665l8136,1665,8141,1670,8141,1665xm8256,1665l8141,1665,8141,1670,8256,1670,8256,1665xm8256,1540l8256,1670,8266,1665,8270,1665,8270,1550,8266,1550,8256,1540xm8270,1665l8266,1665,8256,1670,8270,1670,8270,1665xm8141,1540l8136,1550,8141,1550,8141,1540xm8256,1540l8141,1540,8141,1550,8256,1550,8256,1540xm8270,1540l8256,1540,8266,1550,8270,1550,8270,1540xe" filled="true" fillcolor="#bd4a47" stroked="false">
                  <v:path arrowok="t"/>
                  <v:fill type="solid"/>
                </v:shape>
                <v:rect style="position:absolute;left:9124;top:2893;width:130;height:130" id="docshape155" filled="true" fillcolor="#bf4f4c" stroked="false">
                  <v:fill type="solid"/>
                </v:rect>
                <v:shape style="position:absolute;left:9115;top:2888;width:144;height:144" id="docshape156" coordorigin="9115,2889" coordsize="144,144" path="m9259,2889l9115,2889,9115,3028,9120,3033,9259,3033,9259,3023,9130,3023,9125,3018,9130,3018,9130,2903,9125,2903,9130,2894,9259,2894,9259,2889xm9130,3018l9125,3018,9130,3023,9130,3018xm9245,3018l9130,3018,9130,3023,9245,3023,9245,3018xm9245,2894l9245,3023,9254,3018,9259,3018,9259,2903,9254,2903,9245,2894xm9259,3018l9254,3018,9245,3023,9259,3023,9259,3018xm9130,2894l9125,2903,9130,2903,9130,2894xm9245,2894l9130,2894,9130,2903,9245,2903,9245,2894xm9259,2894l9245,2894,9254,2903,9259,2903,9259,2894xe" filled="true" fillcolor="#bd4a47" stroked="false">
                  <v:path arrowok="t"/>
                  <v:fill type="solid"/>
                </v:shape>
                <v:shape style="position:absolute;left:4233;top:1429;width:4983;height:1354" id="docshape157" coordorigin="4234,1430" coordsize="4983,1354" path="m4258,1430l4243,1430,4234,1439,4234,1463,4243,1473,4253,1473,5242,1535,6226,1732,6221,1732,7210,2294,7214,2298,7219,2298,8208,2332,8198,2332,9187,2778,9197,2783,9206,2778,9216,2759,9211,2745,9202,2740,8213,2294,8208,2294,7343,2260,7229,2260,7219,2255,7220,2255,6240,1694,6235,1694,5242,1492,4258,1430xm7219,2255l7229,2260,7221,2255,7219,2255xm7221,2255l7229,2260,7343,2260,7221,2255xm7220,2255l7219,2255,7221,2255,7220,2255xe" filled="true" fillcolor="#97b853" stroked="false">
                  <v:path arrowok="t"/>
                  <v:fill type="solid"/>
                </v:shape>
                <v:shape style="position:absolute;left:4171;top:1376;width:154;height:154" type="#_x0000_t75" id="docshape158" stroked="false">
                  <v:imagedata r:id="rId44" o:title=""/>
                </v:shape>
                <v:shape style="position:absolute;left:5160;top:1434;width:154;height:154" type="#_x0000_t75" id="docshape159" stroked="false">
                  <v:imagedata r:id="rId45" o:title=""/>
                </v:shape>
                <v:shape style="position:absolute;left:6148;top:1640;width:154;height:149" type="#_x0000_t75" id="docshape160" stroked="false">
                  <v:imagedata r:id="rId46" o:title=""/>
                </v:shape>
                <v:shape style="position:absolute;left:7137;top:2202;width:154;height:154" type="#_x0000_t75" id="docshape161" stroked="false">
                  <v:imagedata r:id="rId47" o:title=""/>
                </v:shape>
                <v:shape style="position:absolute;left:8126;top:2240;width:154;height:149" type="#_x0000_t75" id="docshape162" stroked="false">
                  <v:imagedata r:id="rId48" o:title=""/>
                </v:shape>
                <v:shape style="position:absolute;left:9115;top:2682;width:154;height:154" type="#_x0000_t75" id="docshape163" stroked="false">
                  <v:imagedata r:id="rId49" o:title=""/>
                </v:shape>
                <v:shape style="position:absolute;left:9528;top:3200;width:404;height:44" id="docshape164" coordorigin="9528,3201" coordsize="404,44" path="m9922,3201l9547,3201,9538,3201,9528,3210,9528,3234,9538,3244,9922,3244,9931,3234,9931,3210,9922,3201xe" filled="true" fillcolor="#497dba" stroked="false">
                  <v:path arrowok="t"/>
                  <v:fill type="solid"/>
                </v:shape>
                <v:shape style="position:absolute;left:9667;top:3162;width:125;height:125" type="#_x0000_t75" id="docshape165" stroked="false">
                  <v:imagedata r:id="rId50" o:title=""/>
                </v:shape>
                <v:shape style="position:absolute;left:9528;top:3546;width:404;height:39" id="docshape166" coordorigin="9528,3546" coordsize="404,39" path="m9922,3546l9547,3546,9538,3546,9528,3551,9528,3575,9538,3585,9922,3585,9931,3575,9931,3551,9922,3546xe" filled="true" fillcolor="#bd4a47" stroked="false">
                  <v:path arrowok="t"/>
                  <v:fill type="solid"/>
                </v:shape>
                <v:rect style="position:absolute;left:9676;top:3508;width:111;height:111" id="docshape167" filled="true" fillcolor="#bf4f4c" stroked="false">
                  <v:fill type="solid"/>
                </v:rect>
                <v:shape style="position:absolute;left:9667;top:3498;width:130;height:130" id="docshape168" coordorigin="9667,3498" coordsize="130,130" path="m9787,3498l9677,3498,9667,3508,9667,3618,9677,3628,9787,3628,9797,3618,9682,3618,9677,3614,9682,3614,9682,3513,9677,3513,9682,3508,9797,3508,9787,3498xm9682,3614l9677,3614,9682,3618,9682,3614xm9782,3614l9682,3614,9682,3618,9782,3618,9782,3614xm9782,3508l9782,3618,9787,3614,9797,3614,9797,3513,9787,3513,9782,3508xm9797,3614l9787,3614,9782,3618,9797,3618,9797,3614xm9682,3508l9677,3513,9682,3513,9682,3508xm9782,3508l9682,3508,9682,3513,9782,3513,9782,3508xm9797,3508l9782,3508,9787,3513,9797,3513,9797,3508xe" filled="true" fillcolor="#bd4a47" stroked="false">
                  <v:path arrowok="t"/>
                  <v:fill type="solid"/>
                </v:shape>
                <v:shape style="position:absolute;left:9528;top:3882;width:404;height:44" id="docshape169" coordorigin="9528,3882" coordsize="404,44" path="m9922,3882l9547,3882,9538,3882,9528,3892,9528,3916,9538,3926,9922,3926,9931,3916,9931,3892,9922,3882xe" filled="true" fillcolor="#97b853" stroked="false">
                  <v:path arrowok="t"/>
                  <v:fill type="solid"/>
                </v:shape>
                <v:shape style="position:absolute;left:9667;top:3839;width:125;height:130" type="#_x0000_t75" id="docshape170" stroked="false">
                  <v:imagedata r:id="rId51"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51"/>
        <w:rPr>
          <w:rFonts w:ascii="Calibri"/>
          <w:sz w:val="19"/>
        </w:rPr>
      </w:pPr>
    </w:p>
    <w:p>
      <w:pPr>
        <w:spacing w:before="0"/>
        <w:ind w:left="1577"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57"/>
        <w:rPr>
          <w:rFonts w:ascii="Calibri"/>
          <w:sz w:val="19"/>
        </w:rPr>
      </w:pPr>
    </w:p>
    <w:p>
      <w:pPr>
        <w:spacing w:before="0"/>
        <w:ind w:left="1673" w:right="0" w:firstLine="0"/>
        <w:jc w:val="left"/>
        <w:rPr>
          <w:rFonts w:ascii="Calibri"/>
          <w:sz w:val="19"/>
        </w:rPr>
      </w:pPr>
      <w:r>
        <w:rPr/>
        <mc:AlternateContent>
          <mc:Choice Requires="wps">
            <w:drawing>
              <wp:anchor distT="0" distB="0" distL="0" distR="0" allowOverlap="1" layoutInCell="1" locked="0" behindDoc="0" simplePos="0" relativeHeight="15760896">
                <wp:simplePos x="0" y="0"/>
                <wp:positionH relativeFrom="page">
                  <wp:posOffset>1923969</wp:posOffset>
                </wp:positionH>
                <wp:positionV relativeFrom="paragraph">
                  <wp:posOffset>50115</wp:posOffset>
                </wp:positionV>
                <wp:extent cx="146050" cy="130619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51.493683pt;margin-top:3.946103pt;width:11.5pt;height:102.85pt;mso-position-horizontal-relative:page;mso-position-vertical-relative:paragraph;z-index:15760896" type="#_x0000_t202" id="docshape171"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51"/>
        <w:rPr>
          <w:rFonts w:ascii="Calibri"/>
          <w:sz w:val="19"/>
        </w:rPr>
      </w:pPr>
    </w:p>
    <w:p>
      <w:pPr>
        <w:tabs>
          <w:tab w:pos="8225" w:val="left" w:leader="none"/>
        </w:tabs>
        <w:spacing w:before="0"/>
        <w:ind w:left="1673" w:right="0" w:firstLine="0"/>
        <w:jc w:val="left"/>
        <w:rPr>
          <w:rFonts w:ascii="Calibri"/>
          <w:sz w:val="19"/>
        </w:rPr>
      </w:pPr>
      <w:r>
        <w:rPr>
          <w:rFonts w:ascii="Calibri"/>
          <w:spacing w:val="-5"/>
          <w:sz w:val="19"/>
        </w:rPr>
        <w:t>60</w:t>
      </w:r>
      <w:r>
        <w:rPr>
          <w:rFonts w:ascii="Calibri"/>
          <w:sz w:val="19"/>
        </w:rPr>
        <w:tab/>
      </w:r>
      <w:r>
        <w:rPr>
          <w:rFonts w:ascii="Calibri"/>
          <w:spacing w:val="-5"/>
          <w:position w:val="-4"/>
          <w:sz w:val="19"/>
        </w:rPr>
        <w:t>DS</w:t>
      </w:r>
    </w:p>
    <w:p>
      <w:pPr>
        <w:spacing w:line="340" w:lineRule="atLeast" w:before="4"/>
        <w:ind w:left="8225" w:right="1175" w:firstLine="0"/>
        <w:jc w:val="left"/>
        <w:rPr>
          <w:rFonts w:ascii="Calibri"/>
          <w:sz w:val="19"/>
        </w:rPr>
      </w:pPr>
      <w:r>
        <w:rPr>
          <w:rFonts w:ascii="Calibri"/>
          <w:spacing w:val="-4"/>
          <w:sz w:val="19"/>
        </w:rPr>
        <w:t>MCS</w:t>
      </w:r>
      <w:r>
        <w:rPr>
          <w:rFonts w:ascii="Calibri"/>
          <w:sz w:val="19"/>
        </w:rPr>
        <w:t> </w:t>
      </w:r>
      <w:r>
        <w:rPr>
          <w:rFonts w:ascii="Calibri"/>
          <w:spacing w:val="-4"/>
          <w:sz w:val="19"/>
        </w:rPr>
        <w:t>GEL</w:t>
      </w:r>
    </w:p>
    <w:p>
      <w:pPr>
        <w:spacing w:before="13"/>
        <w:ind w:left="1673" w:right="0" w:firstLine="0"/>
        <w:jc w:val="left"/>
        <w:rPr>
          <w:rFonts w:ascii="Calibri"/>
          <w:sz w:val="19"/>
        </w:rPr>
      </w:pPr>
      <w:r>
        <w:rPr>
          <w:rFonts w:ascii="Calibri"/>
          <w:spacing w:val="-5"/>
          <w:sz w:val="19"/>
        </w:rPr>
        <w:t>40</w:t>
      </w:r>
    </w:p>
    <w:p>
      <w:pPr>
        <w:pStyle w:val="BodyText"/>
        <w:rPr>
          <w:rFonts w:ascii="Calibri"/>
          <w:sz w:val="19"/>
        </w:rPr>
      </w:pPr>
    </w:p>
    <w:p>
      <w:pPr>
        <w:pStyle w:val="BodyText"/>
        <w:rPr>
          <w:rFonts w:ascii="Calibri"/>
          <w:sz w:val="19"/>
        </w:rPr>
      </w:pPr>
    </w:p>
    <w:p>
      <w:pPr>
        <w:pStyle w:val="BodyText"/>
        <w:spacing w:before="57"/>
        <w:rPr>
          <w:rFonts w:ascii="Calibri"/>
          <w:sz w:val="19"/>
        </w:rPr>
      </w:pPr>
    </w:p>
    <w:p>
      <w:pPr>
        <w:spacing w:before="0"/>
        <w:ind w:left="1673"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51"/>
        <w:rPr>
          <w:rFonts w:ascii="Calibri"/>
          <w:sz w:val="19"/>
        </w:rPr>
      </w:pPr>
    </w:p>
    <w:p>
      <w:pPr>
        <w:spacing w:before="0"/>
        <w:ind w:left="1764" w:right="0" w:firstLine="0"/>
        <w:jc w:val="left"/>
        <w:rPr>
          <w:rFonts w:ascii="Calibri"/>
          <w:sz w:val="19"/>
        </w:rPr>
      </w:pPr>
      <w:r>
        <w:rPr>
          <w:rFonts w:ascii="Calibri"/>
          <w:spacing w:val="-10"/>
          <w:sz w:val="19"/>
        </w:rPr>
        <w:t>0</w:t>
      </w:r>
    </w:p>
    <w:p>
      <w:pPr>
        <w:tabs>
          <w:tab w:pos="3425" w:val="left" w:leader="none"/>
          <w:tab w:pos="4414" w:val="left" w:leader="none"/>
          <w:tab w:pos="5350" w:val="left" w:leader="none"/>
          <w:tab w:pos="6339" w:val="left" w:leader="none"/>
          <w:tab w:pos="7616" w:val="right" w:leader="none"/>
        </w:tabs>
        <w:spacing w:before="13"/>
        <w:ind w:left="2369" w:right="0" w:firstLine="0"/>
        <w:jc w:val="left"/>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162"/>
        <w:ind w:left="399" w:right="0"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6"/>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spacing w:before="219"/>
        <w:rPr>
          <w:rFonts w:ascii="Calibri"/>
          <w:b/>
        </w:rPr>
      </w:pPr>
    </w:p>
    <w:p>
      <w:pPr>
        <w:pStyle w:val="Heading2"/>
        <w:ind w:left="665" w:firstLine="0"/>
      </w:pPr>
      <w:r>
        <w:rPr/>
        <w:t>Figure</w:t>
      </w:r>
      <w:r>
        <w:rPr>
          <w:spacing w:val="16"/>
        </w:rPr>
        <w:t> </w:t>
      </w:r>
      <w:r>
        <w:rPr/>
        <w:t>A.</w:t>
      </w:r>
      <w:r>
        <w:rPr>
          <w:spacing w:val="6"/>
        </w:rPr>
        <w:t> </w:t>
      </w:r>
      <w:r>
        <w:rPr/>
        <w:t>4:</w:t>
      </w:r>
      <w:r>
        <w:rPr>
          <w:spacing w:val="12"/>
        </w:rPr>
        <w:t> </w:t>
      </w:r>
      <w:r>
        <w:rPr/>
        <w:t>Graph</w:t>
      </w:r>
      <w:r>
        <w:rPr>
          <w:spacing w:val="15"/>
        </w:rPr>
        <w:t> </w:t>
      </w:r>
      <w:r>
        <w:rPr/>
        <w:t>of</w:t>
      </w:r>
      <w:r>
        <w:rPr>
          <w:spacing w:val="18"/>
        </w:rPr>
        <w:t> </w:t>
      </w:r>
      <w:r>
        <w:rPr/>
        <w:t>Cumulative</w:t>
      </w:r>
      <w:r>
        <w:rPr>
          <w:spacing w:val="17"/>
        </w:rPr>
        <w:t> </w:t>
      </w:r>
      <w:r>
        <w:rPr/>
        <w:t>frequency</w:t>
      </w:r>
      <w:r>
        <w:rPr>
          <w:spacing w:val="13"/>
        </w:rPr>
        <w:t> </w:t>
      </w:r>
      <w:r>
        <w:rPr/>
        <w:t>(%)</w:t>
      </w:r>
      <w:r>
        <w:rPr>
          <w:spacing w:val="6"/>
        </w:rPr>
        <w:t> </w:t>
      </w:r>
      <w:r>
        <w:rPr/>
        <w:t>oversize</w:t>
      </w:r>
      <w:r>
        <w:rPr>
          <w:spacing w:val="10"/>
        </w:rPr>
        <w:t> </w:t>
      </w:r>
      <w:r>
        <w:rPr/>
        <w:t>distribution</w:t>
      </w:r>
      <w:r>
        <w:rPr>
          <w:spacing w:val="4"/>
        </w:rPr>
        <w:t> </w:t>
      </w:r>
      <w:r>
        <w:rPr>
          <w:spacing w:val="-2"/>
        </w:rPr>
        <w:t>against</w:t>
      </w:r>
    </w:p>
    <w:p>
      <w:pPr>
        <w:spacing w:before="6"/>
        <w:ind w:left="1851" w:right="0" w:firstLine="0"/>
        <w:jc w:val="left"/>
        <w:rPr>
          <w:b/>
          <w:sz w:val="22"/>
        </w:rPr>
      </w:pPr>
      <w:r>
        <w:rPr>
          <w:b/>
          <w:sz w:val="22"/>
        </w:rPr>
        <w:t>sieve</w:t>
      </w:r>
      <w:r>
        <w:rPr>
          <w:b/>
          <w:spacing w:val="11"/>
          <w:sz w:val="22"/>
        </w:rPr>
        <w:t> </w:t>
      </w:r>
      <w:r>
        <w:rPr>
          <w:b/>
          <w:sz w:val="22"/>
        </w:rPr>
        <w:t>size</w:t>
      </w:r>
      <w:r>
        <w:rPr>
          <w:b/>
          <w:spacing w:val="12"/>
          <w:sz w:val="22"/>
        </w:rPr>
        <w:t> </w:t>
      </w:r>
      <w:r>
        <w:rPr>
          <w:b/>
          <w:sz w:val="22"/>
        </w:rPr>
        <w:t>(µm)</w:t>
      </w:r>
      <w:r>
        <w:rPr>
          <w:b/>
          <w:spacing w:val="14"/>
          <w:sz w:val="22"/>
        </w:rPr>
        <w:t> </w:t>
      </w:r>
      <w:r>
        <w:rPr>
          <w:b/>
          <w:sz w:val="22"/>
        </w:rPr>
        <w:t>of</w:t>
      </w:r>
      <w:r>
        <w:rPr>
          <w:b/>
          <w:spacing w:val="7"/>
          <w:sz w:val="22"/>
        </w:rPr>
        <w:t> </w:t>
      </w:r>
      <w:r>
        <w:rPr>
          <w:b/>
          <w:sz w:val="22"/>
        </w:rPr>
        <w:t>metronidazole</w:t>
      </w:r>
      <w:r>
        <w:rPr>
          <w:b/>
          <w:spacing w:val="1"/>
          <w:sz w:val="22"/>
        </w:rPr>
        <w:t> </w:t>
      </w:r>
      <w:r>
        <w:rPr>
          <w:b/>
          <w:sz w:val="22"/>
        </w:rPr>
        <w:t>granules</w:t>
      </w:r>
      <w:r>
        <w:rPr>
          <w:b/>
          <w:spacing w:val="10"/>
          <w:sz w:val="22"/>
        </w:rPr>
        <w:t> </w:t>
      </w:r>
      <w:r>
        <w:rPr>
          <w:b/>
          <w:sz w:val="22"/>
        </w:rPr>
        <w:t>using</w:t>
      </w:r>
      <w:r>
        <w:rPr>
          <w:b/>
          <w:spacing w:val="9"/>
          <w:sz w:val="22"/>
        </w:rPr>
        <w:t> </w:t>
      </w:r>
      <w:r>
        <w:rPr>
          <w:b/>
          <w:sz w:val="22"/>
        </w:rPr>
        <w:t>10.0</w:t>
      </w:r>
      <w:r>
        <w:rPr>
          <w:b/>
          <w:spacing w:val="8"/>
          <w:sz w:val="22"/>
        </w:rPr>
        <w:t> </w:t>
      </w:r>
      <w:r>
        <w:rPr>
          <w:b/>
          <w:sz w:val="22"/>
        </w:rPr>
        <w:t>%</w:t>
      </w:r>
      <w:r>
        <w:rPr>
          <w:b/>
          <w:spacing w:val="17"/>
          <w:sz w:val="22"/>
        </w:rPr>
        <w:t> </w:t>
      </w:r>
      <w:r>
        <w:rPr>
          <w:b/>
          <w:sz w:val="22"/>
        </w:rPr>
        <w:t>w/v</w:t>
      </w:r>
      <w:r>
        <w:rPr>
          <w:b/>
          <w:spacing w:val="8"/>
          <w:sz w:val="22"/>
        </w:rPr>
        <w:t> </w:t>
      </w:r>
      <w:r>
        <w:rPr>
          <w:b/>
          <w:sz w:val="22"/>
        </w:rPr>
        <w:t>as</w:t>
      </w:r>
      <w:r>
        <w:rPr>
          <w:b/>
          <w:spacing w:val="10"/>
          <w:sz w:val="22"/>
        </w:rPr>
        <w:t> </w:t>
      </w:r>
      <w:r>
        <w:rPr>
          <w:b/>
          <w:spacing w:val="-2"/>
          <w:sz w:val="22"/>
        </w:rPr>
        <w:t>binder.</w:t>
      </w:r>
    </w:p>
    <w:p>
      <w:pPr>
        <w:spacing w:after="0"/>
        <w:jc w:val="left"/>
        <w:rPr>
          <w:sz w:val="22"/>
        </w:rPr>
        <w:sectPr>
          <w:pgSz w:w="12240" w:h="15840"/>
          <w:pgMar w:header="0" w:footer="999" w:top="1820" w:bottom="1180" w:left="1720" w:right="760"/>
        </w:sectPr>
      </w:pPr>
    </w:p>
    <w:p>
      <w:pPr>
        <w:spacing w:before="37"/>
        <w:ind w:left="1601" w:right="0" w:firstLine="0"/>
        <w:jc w:val="left"/>
        <w:rPr>
          <w:rFonts w:ascii="Calibri"/>
          <w:sz w:val="19"/>
        </w:rPr>
      </w:pPr>
      <w:r>
        <w:rPr/>
        <mc:AlternateContent>
          <mc:Choice Requires="wps">
            <w:drawing>
              <wp:anchor distT="0" distB="0" distL="0" distR="0" allowOverlap="1" layoutInCell="1" locked="0" behindDoc="1" simplePos="0" relativeHeight="482012160">
                <wp:simplePos x="0" y="0"/>
                <wp:positionH relativeFrom="page">
                  <wp:posOffset>2362200</wp:posOffset>
                </wp:positionH>
                <wp:positionV relativeFrom="paragraph">
                  <wp:posOffset>99060</wp:posOffset>
                </wp:positionV>
                <wp:extent cx="3944620" cy="356362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3944620" cy="3563620"/>
                          <a:chExt cx="3944620" cy="3563620"/>
                        </a:xfrm>
                      </wpg:grpSpPr>
                      <wps:wsp>
                        <wps:cNvPr id="185" name="Graphic 185"/>
                        <wps:cNvSpPr/>
                        <wps:spPr>
                          <a:xfrm>
                            <a:off x="0" y="0"/>
                            <a:ext cx="3807460" cy="3563620"/>
                          </a:xfrm>
                          <a:custGeom>
                            <a:avLst/>
                            <a:gdLst/>
                            <a:ahLst/>
                            <a:cxnLst/>
                            <a:rect l="l" t="t" r="r" b="b"/>
                            <a:pathLst>
                              <a:path w="3807460" h="3563620">
                                <a:moveTo>
                                  <a:pt x="3806952" y="3523488"/>
                                </a:moveTo>
                                <a:lnTo>
                                  <a:pt x="3803904" y="3523488"/>
                                </a:lnTo>
                                <a:lnTo>
                                  <a:pt x="3803904" y="3520440"/>
                                </a:lnTo>
                                <a:lnTo>
                                  <a:pt x="42672" y="3520440"/>
                                </a:lnTo>
                                <a:lnTo>
                                  <a:pt x="42672" y="3048"/>
                                </a:lnTo>
                                <a:lnTo>
                                  <a:pt x="39624" y="3048"/>
                                </a:lnTo>
                                <a:lnTo>
                                  <a:pt x="39624" y="0"/>
                                </a:lnTo>
                                <a:lnTo>
                                  <a:pt x="0" y="0"/>
                                </a:lnTo>
                                <a:lnTo>
                                  <a:pt x="0" y="9144"/>
                                </a:lnTo>
                                <a:lnTo>
                                  <a:pt x="36576" y="9144"/>
                                </a:lnTo>
                                <a:lnTo>
                                  <a:pt x="36576" y="588264"/>
                                </a:lnTo>
                                <a:lnTo>
                                  <a:pt x="0" y="588264"/>
                                </a:lnTo>
                                <a:lnTo>
                                  <a:pt x="0" y="594360"/>
                                </a:lnTo>
                                <a:lnTo>
                                  <a:pt x="36576" y="594360"/>
                                </a:lnTo>
                                <a:lnTo>
                                  <a:pt x="36576" y="1170432"/>
                                </a:lnTo>
                                <a:lnTo>
                                  <a:pt x="0" y="1170432"/>
                                </a:lnTo>
                                <a:lnTo>
                                  <a:pt x="0" y="1179576"/>
                                </a:lnTo>
                                <a:lnTo>
                                  <a:pt x="36576" y="1179576"/>
                                </a:lnTo>
                                <a:lnTo>
                                  <a:pt x="36576" y="1758696"/>
                                </a:lnTo>
                                <a:lnTo>
                                  <a:pt x="0" y="1758696"/>
                                </a:lnTo>
                                <a:lnTo>
                                  <a:pt x="0" y="1767840"/>
                                </a:lnTo>
                                <a:lnTo>
                                  <a:pt x="36576" y="1767840"/>
                                </a:lnTo>
                                <a:lnTo>
                                  <a:pt x="36576" y="2346960"/>
                                </a:lnTo>
                                <a:lnTo>
                                  <a:pt x="0" y="2346960"/>
                                </a:lnTo>
                                <a:lnTo>
                                  <a:pt x="0" y="2353068"/>
                                </a:lnTo>
                                <a:lnTo>
                                  <a:pt x="36576" y="2353068"/>
                                </a:lnTo>
                                <a:lnTo>
                                  <a:pt x="36576" y="2932176"/>
                                </a:lnTo>
                                <a:lnTo>
                                  <a:pt x="0" y="2932176"/>
                                </a:lnTo>
                                <a:lnTo>
                                  <a:pt x="0" y="2941320"/>
                                </a:lnTo>
                                <a:lnTo>
                                  <a:pt x="36576" y="2941320"/>
                                </a:lnTo>
                                <a:lnTo>
                                  <a:pt x="36576" y="3520440"/>
                                </a:lnTo>
                                <a:lnTo>
                                  <a:pt x="0" y="3520440"/>
                                </a:lnTo>
                                <a:lnTo>
                                  <a:pt x="0" y="3529584"/>
                                </a:lnTo>
                                <a:lnTo>
                                  <a:pt x="33528" y="3529584"/>
                                </a:lnTo>
                                <a:lnTo>
                                  <a:pt x="33528" y="3563112"/>
                                </a:lnTo>
                                <a:lnTo>
                                  <a:pt x="42672" y="3563112"/>
                                </a:lnTo>
                                <a:lnTo>
                                  <a:pt x="42672" y="3526536"/>
                                </a:lnTo>
                                <a:lnTo>
                                  <a:pt x="661416" y="3526536"/>
                                </a:lnTo>
                                <a:lnTo>
                                  <a:pt x="661416" y="3563112"/>
                                </a:lnTo>
                                <a:lnTo>
                                  <a:pt x="670560" y="3563112"/>
                                </a:lnTo>
                                <a:lnTo>
                                  <a:pt x="670560" y="3526536"/>
                                </a:lnTo>
                                <a:lnTo>
                                  <a:pt x="1289304" y="3526536"/>
                                </a:lnTo>
                                <a:lnTo>
                                  <a:pt x="1289304" y="3563112"/>
                                </a:lnTo>
                                <a:lnTo>
                                  <a:pt x="1298448" y="3563112"/>
                                </a:lnTo>
                                <a:lnTo>
                                  <a:pt x="1298448" y="3526536"/>
                                </a:lnTo>
                                <a:lnTo>
                                  <a:pt x="1917192" y="3526536"/>
                                </a:lnTo>
                                <a:lnTo>
                                  <a:pt x="1917192" y="3563112"/>
                                </a:lnTo>
                                <a:lnTo>
                                  <a:pt x="1926336" y="3563112"/>
                                </a:lnTo>
                                <a:lnTo>
                                  <a:pt x="1926336" y="3526536"/>
                                </a:lnTo>
                                <a:lnTo>
                                  <a:pt x="2545080" y="3526536"/>
                                </a:lnTo>
                                <a:lnTo>
                                  <a:pt x="2545080" y="3563112"/>
                                </a:lnTo>
                                <a:lnTo>
                                  <a:pt x="2551176" y="3563112"/>
                                </a:lnTo>
                                <a:lnTo>
                                  <a:pt x="2551176" y="3526536"/>
                                </a:lnTo>
                                <a:lnTo>
                                  <a:pt x="3169920" y="3526536"/>
                                </a:lnTo>
                                <a:lnTo>
                                  <a:pt x="3169920" y="3563112"/>
                                </a:lnTo>
                                <a:lnTo>
                                  <a:pt x="3179064" y="3563112"/>
                                </a:lnTo>
                                <a:lnTo>
                                  <a:pt x="3179064" y="3526536"/>
                                </a:lnTo>
                                <a:lnTo>
                                  <a:pt x="3797808" y="3526536"/>
                                </a:lnTo>
                                <a:lnTo>
                                  <a:pt x="3797808" y="3563112"/>
                                </a:lnTo>
                                <a:lnTo>
                                  <a:pt x="3806952" y="3563112"/>
                                </a:lnTo>
                                <a:lnTo>
                                  <a:pt x="3806952" y="3523488"/>
                                </a:lnTo>
                                <a:close/>
                              </a:path>
                            </a:pathLst>
                          </a:custGeom>
                          <a:solidFill>
                            <a:srgbClr val="858585"/>
                          </a:solidFill>
                        </wps:spPr>
                        <wps:bodyPr wrap="square" lIns="0" tIns="0" rIns="0" bIns="0" rtlCol="0">
                          <a:prstTxWarp prst="textNoShape">
                            <a:avLst/>
                          </a:prstTxWarp>
                          <a:noAutofit/>
                        </wps:bodyPr>
                      </wps:wsp>
                      <pic:pic>
                        <pic:nvPicPr>
                          <pic:cNvPr id="186" name="Image 186"/>
                          <pic:cNvPicPr/>
                        </pic:nvPicPr>
                        <pic:blipFill>
                          <a:blip r:embed="rId52" cstate="print"/>
                          <a:stretch>
                            <a:fillRect/>
                          </a:stretch>
                        </pic:blipFill>
                        <pic:spPr>
                          <a:xfrm>
                            <a:off x="301752" y="576072"/>
                            <a:ext cx="3233928" cy="600456"/>
                          </a:xfrm>
                          <a:prstGeom prst="rect">
                            <a:avLst/>
                          </a:prstGeom>
                        </pic:spPr>
                      </pic:pic>
                      <wps:wsp>
                        <wps:cNvPr id="187" name="Graphic 187"/>
                        <wps:cNvSpPr/>
                        <wps:spPr>
                          <a:xfrm>
                            <a:off x="341375" y="667512"/>
                            <a:ext cx="3164205" cy="113030"/>
                          </a:xfrm>
                          <a:custGeom>
                            <a:avLst/>
                            <a:gdLst/>
                            <a:ahLst/>
                            <a:cxnLst/>
                            <a:rect l="l" t="t" r="r" b="b"/>
                            <a:pathLst>
                              <a:path w="3164205" h="113030">
                                <a:moveTo>
                                  <a:pt x="12192" y="0"/>
                                </a:moveTo>
                                <a:lnTo>
                                  <a:pt x="6096" y="0"/>
                                </a:lnTo>
                                <a:lnTo>
                                  <a:pt x="0" y="6096"/>
                                </a:lnTo>
                                <a:lnTo>
                                  <a:pt x="0" y="18287"/>
                                </a:lnTo>
                                <a:lnTo>
                                  <a:pt x="6096" y="24383"/>
                                </a:lnTo>
                                <a:lnTo>
                                  <a:pt x="12192" y="24383"/>
                                </a:lnTo>
                                <a:lnTo>
                                  <a:pt x="640079" y="33527"/>
                                </a:lnTo>
                                <a:lnTo>
                                  <a:pt x="1264920" y="64007"/>
                                </a:lnTo>
                                <a:lnTo>
                                  <a:pt x="1892808" y="112775"/>
                                </a:lnTo>
                                <a:lnTo>
                                  <a:pt x="1895856" y="112775"/>
                                </a:lnTo>
                                <a:lnTo>
                                  <a:pt x="2209799" y="88392"/>
                                </a:lnTo>
                                <a:lnTo>
                                  <a:pt x="1892808" y="88392"/>
                                </a:lnTo>
                                <a:lnTo>
                                  <a:pt x="1894332" y="88266"/>
                                </a:lnTo>
                                <a:lnTo>
                                  <a:pt x="1267968" y="36575"/>
                                </a:lnTo>
                                <a:lnTo>
                                  <a:pt x="640079" y="9144"/>
                                </a:lnTo>
                                <a:lnTo>
                                  <a:pt x="12192" y="0"/>
                                </a:lnTo>
                                <a:close/>
                              </a:path>
                              <a:path w="3164205" h="113030">
                                <a:moveTo>
                                  <a:pt x="1894332" y="88266"/>
                                </a:moveTo>
                                <a:lnTo>
                                  <a:pt x="1892808" y="88392"/>
                                </a:lnTo>
                                <a:lnTo>
                                  <a:pt x="1895856" y="88392"/>
                                </a:lnTo>
                                <a:lnTo>
                                  <a:pt x="1894332" y="88266"/>
                                </a:lnTo>
                                <a:close/>
                              </a:path>
                              <a:path w="3164205" h="113030">
                                <a:moveTo>
                                  <a:pt x="3154679" y="0"/>
                                </a:moveTo>
                                <a:lnTo>
                                  <a:pt x="3148584" y="0"/>
                                </a:lnTo>
                                <a:lnTo>
                                  <a:pt x="2520696" y="36575"/>
                                </a:lnTo>
                                <a:lnTo>
                                  <a:pt x="1894332" y="88266"/>
                                </a:lnTo>
                                <a:lnTo>
                                  <a:pt x="1895856" y="88392"/>
                                </a:lnTo>
                                <a:lnTo>
                                  <a:pt x="2209799" y="88392"/>
                                </a:lnTo>
                                <a:lnTo>
                                  <a:pt x="2523744" y="64007"/>
                                </a:lnTo>
                                <a:lnTo>
                                  <a:pt x="3148584" y="24383"/>
                                </a:lnTo>
                                <a:lnTo>
                                  <a:pt x="3157728" y="24383"/>
                                </a:lnTo>
                                <a:lnTo>
                                  <a:pt x="3163824" y="18287"/>
                                </a:lnTo>
                                <a:lnTo>
                                  <a:pt x="3160776" y="12192"/>
                                </a:lnTo>
                                <a:lnTo>
                                  <a:pt x="3160776" y="6096"/>
                                </a:lnTo>
                                <a:lnTo>
                                  <a:pt x="3154679" y="0"/>
                                </a:lnTo>
                                <a:close/>
                              </a:path>
                            </a:pathLst>
                          </a:custGeom>
                          <a:solidFill>
                            <a:srgbClr val="97B853"/>
                          </a:solidFill>
                        </wps:spPr>
                        <wps:bodyPr wrap="square" lIns="0" tIns="0" rIns="0" bIns="0" rtlCol="0">
                          <a:prstTxWarp prst="textNoShape">
                            <a:avLst/>
                          </a:prstTxWarp>
                          <a:noAutofit/>
                        </wps:bodyPr>
                      </wps:wsp>
                      <pic:pic>
                        <pic:nvPicPr>
                          <pic:cNvPr id="188" name="Image 188"/>
                          <pic:cNvPicPr/>
                        </pic:nvPicPr>
                        <pic:blipFill>
                          <a:blip r:embed="rId53" cstate="print"/>
                          <a:stretch>
                            <a:fillRect/>
                          </a:stretch>
                        </pic:blipFill>
                        <pic:spPr>
                          <a:xfrm>
                            <a:off x="301752" y="630936"/>
                            <a:ext cx="97536" cy="97535"/>
                          </a:xfrm>
                          <a:prstGeom prst="rect">
                            <a:avLst/>
                          </a:prstGeom>
                        </pic:spPr>
                      </pic:pic>
                      <pic:pic>
                        <pic:nvPicPr>
                          <pic:cNvPr id="189" name="Image 189"/>
                          <pic:cNvPicPr/>
                        </pic:nvPicPr>
                        <pic:blipFill>
                          <a:blip r:embed="rId54" cstate="print"/>
                          <a:stretch>
                            <a:fillRect/>
                          </a:stretch>
                        </pic:blipFill>
                        <pic:spPr>
                          <a:xfrm>
                            <a:off x="929639" y="640080"/>
                            <a:ext cx="97536" cy="97535"/>
                          </a:xfrm>
                          <a:prstGeom prst="rect">
                            <a:avLst/>
                          </a:prstGeom>
                        </pic:spPr>
                      </pic:pic>
                      <pic:pic>
                        <pic:nvPicPr>
                          <pic:cNvPr id="190" name="Image 190"/>
                          <pic:cNvPicPr/>
                        </pic:nvPicPr>
                        <pic:blipFill>
                          <a:blip r:embed="rId55" cstate="print"/>
                          <a:stretch>
                            <a:fillRect/>
                          </a:stretch>
                        </pic:blipFill>
                        <pic:spPr>
                          <a:xfrm>
                            <a:off x="1557527" y="670559"/>
                            <a:ext cx="97536" cy="94487"/>
                          </a:xfrm>
                          <a:prstGeom prst="rect">
                            <a:avLst/>
                          </a:prstGeom>
                        </pic:spPr>
                      </pic:pic>
                      <pic:pic>
                        <pic:nvPicPr>
                          <pic:cNvPr id="191" name="Image 191"/>
                          <pic:cNvPicPr/>
                        </pic:nvPicPr>
                        <pic:blipFill>
                          <a:blip r:embed="rId56" cstate="print"/>
                          <a:stretch>
                            <a:fillRect/>
                          </a:stretch>
                        </pic:blipFill>
                        <pic:spPr>
                          <a:xfrm>
                            <a:off x="2185416" y="722376"/>
                            <a:ext cx="97536" cy="94488"/>
                          </a:xfrm>
                          <a:prstGeom prst="rect">
                            <a:avLst/>
                          </a:prstGeom>
                        </pic:spPr>
                      </pic:pic>
                      <pic:pic>
                        <pic:nvPicPr>
                          <pic:cNvPr id="192" name="Image 192"/>
                          <pic:cNvPicPr/>
                        </pic:nvPicPr>
                        <pic:blipFill>
                          <a:blip r:embed="rId57" cstate="print"/>
                          <a:stretch>
                            <a:fillRect/>
                          </a:stretch>
                        </pic:blipFill>
                        <pic:spPr>
                          <a:xfrm>
                            <a:off x="2810255" y="670559"/>
                            <a:ext cx="100584" cy="94487"/>
                          </a:xfrm>
                          <a:prstGeom prst="rect">
                            <a:avLst/>
                          </a:prstGeom>
                        </pic:spPr>
                      </pic:pic>
                      <pic:pic>
                        <pic:nvPicPr>
                          <pic:cNvPr id="193" name="Image 193"/>
                          <pic:cNvPicPr/>
                        </pic:nvPicPr>
                        <pic:blipFill>
                          <a:blip r:embed="rId58" cstate="print"/>
                          <a:stretch>
                            <a:fillRect/>
                          </a:stretch>
                        </pic:blipFill>
                        <pic:spPr>
                          <a:xfrm>
                            <a:off x="3438144" y="630936"/>
                            <a:ext cx="97535" cy="97535"/>
                          </a:xfrm>
                          <a:prstGeom prst="rect">
                            <a:avLst/>
                          </a:prstGeom>
                        </pic:spPr>
                      </pic:pic>
                      <wps:wsp>
                        <wps:cNvPr id="194" name="Graphic 194"/>
                        <wps:cNvSpPr/>
                        <wps:spPr>
                          <a:xfrm>
                            <a:off x="3688079" y="1767839"/>
                            <a:ext cx="256540" cy="27940"/>
                          </a:xfrm>
                          <a:custGeom>
                            <a:avLst/>
                            <a:gdLst/>
                            <a:ahLst/>
                            <a:cxnLst/>
                            <a:rect l="l" t="t" r="r" b="b"/>
                            <a:pathLst>
                              <a:path w="256540" h="27940">
                                <a:moveTo>
                                  <a:pt x="249936" y="0"/>
                                </a:moveTo>
                                <a:lnTo>
                                  <a:pt x="12192" y="0"/>
                                </a:lnTo>
                                <a:lnTo>
                                  <a:pt x="6096" y="0"/>
                                </a:lnTo>
                                <a:lnTo>
                                  <a:pt x="0" y="6096"/>
                                </a:lnTo>
                                <a:lnTo>
                                  <a:pt x="0" y="21335"/>
                                </a:lnTo>
                                <a:lnTo>
                                  <a:pt x="6096" y="27431"/>
                                </a:lnTo>
                                <a:lnTo>
                                  <a:pt x="249936" y="27431"/>
                                </a:lnTo>
                                <a:lnTo>
                                  <a:pt x="256032" y="21335"/>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195" name="Image 195"/>
                          <pic:cNvPicPr/>
                        </pic:nvPicPr>
                        <pic:blipFill>
                          <a:blip r:embed="rId50" cstate="print"/>
                          <a:stretch>
                            <a:fillRect/>
                          </a:stretch>
                        </pic:blipFill>
                        <pic:spPr>
                          <a:xfrm>
                            <a:off x="3776471" y="1743455"/>
                            <a:ext cx="79248" cy="79248"/>
                          </a:xfrm>
                          <a:prstGeom prst="rect">
                            <a:avLst/>
                          </a:prstGeom>
                        </pic:spPr>
                      </pic:pic>
                      <wps:wsp>
                        <wps:cNvPr id="196" name="Graphic 196"/>
                        <wps:cNvSpPr/>
                        <wps:spPr>
                          <a:xfrm>
                            <a:off x="3688079" y="1987295"/>
                            <a:ext cx="256540" cy="24765"/>
                          </a:xfrm>
                          <a:custGeom>
                            <a:avLst/>
                            <a:gdLst/>
                            <a:ahLst/>
                            <a:cxnLst/>
                            <a:rect l="l" t="t" r="r" b="b"/>
                            <a:pathLst>
                              <a:path w="256540" h="24765">
                                <a:moveTo>
                                  <a:pt x="249936" y="0"/>
                                </a:moveTo>
                                <a:lnTo>
                                  <a:pt x="12192" y="0"/>
                                </a:lnTo>
                                <a:lnTo>
                                  <a:pt x="6096" y="0"/>
                                </a:lnTo>
                                <a:lnTo>
                                  <a:pt x="0" y="6096"/>
                                </a:lnTo>
                                <a:lnTo>
                                  <a:pt x="0" y="18288"/>
                                </a:lnTo>
                                <a:lnTo>
                                  <a:pt x="6096" y="24384"/>
                                </a:lnTo>
                                <a:lnTo>
                                  <a:pt x="249936" y="24384"/>
                                </a:lnTo>
                                <a:lnTo>
                                  <a:pt x="256032" y="18288"/>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197" name="Graphic 197"/>
                        <wps:cNvSpPr/>
                        <wps:spPr>
                          <a:xfrm>
                            <a:off x="3782567" y="1962911"/>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BF4F4C"/>
                          </a:solidFill>
                        </wps:spPr>
                        <wps:bodyPr wrap="square" lIns="0" tIns="0" rIns="0" bIns="0" rtlCol="0">
                          <a:prstTxWarp prst="textNoShape">
                            <a:avLst/>
                          </a:prstTxWarp>
                          <a:noAutofit/>
                        </wps:bodyPr>
                      </wps:wsp>
                      <wps:wsp>
                        <wps:cNvPr id="198" name="Graphic 198"/>
                        <wps:cNvSpPr/>
                        <wps:spPr>
                          <a:xfrm>
                            <a:off x="3776471" y="1956816"/>
                            <a:ext cx="82550" cy="82550"/>
                          </a:xfrm>
                          <a:custGeom>
                            <a:avLst/>
                            <a:gdLst/>
                            <a:ahLst/>
                            <a:cxnLst/>
                            <a:rect l="l" t="t" r="r" b="b"/>
                            <a:pathLst>
                              <a:path w="82550" h="82550">
                                <a:moveTo>
                                  <a:pt x="76200" y="0"/>
                                </a:moveTo>
                                <a:lnTo>
                                  <a:pt x="6095" y="0"/>
                                </a:lnTo>
                                <a:lnTo>
                                  <a:pt x="0" y="6096"/>
                                </a:lnTo>
                                <a:lnTo>
                                  <a:pt x="0" y="76200"/>
                                </a:lnTo>
                                <a:lnTo>
                                  <a:pt x="6095" y="82296"/>
                                </a:lnTo>
                                <a:lnTo>
                                  <a:pt x="76200" y="82296"/>
                                </a:lnTo>
                                <a:lnTo>
                                  <a:pt x="82295" y="76200"/>
                                </a:lnTo>
                                <a:lnTo>
                                  <a:pt x="9143" y="76200"/>
                                </a:lnTo>
                                <a:lnTo>
                                  <a:pt x="6095" y="73151"/>
                                </a:lnTo>
                                <a:lnTo>
                                  <a:pt x="9143" y="73151"/>
                                </a:lnTo>
                                <a:lnTo>
                                  <a:pt x="9143" y="9144"/>
                                </a:lnTo>
                                <a:lnTo>
                                  <a:pt x="6095" y="9144"/>
                                </a:lnTo>
                                <a:lnTo>
                                  <a:pt x="9143" y="6096"/>
                                </a:lnTo>
                                <a:lnTo>
                                  <a:pt x="82295" y="6096"/>
                                </a:lnTo>
                                <a:lnTo>
                                  <a:pt x="76200" y="0"/>
                                </a:lnTo>
                                <a:close/>
                              </a:path>
                              <a:path w="82550" h="82550">
                                <a:moveTo>
                                  <a:pt x="9143" y="73151"/>
                                </a:moveTo>
                                <a:lnTo>
                                  <a:pt x="6095" y="73151"/>
                                </a:lnTo>
                                <a:lnTo>
                                  <a:pt x="9143" y="76200"/>
                                </a:lnTo>
                                <a:lnTo>
                                  <a:pt x="9143" y="73151"/>
                                </a:lnTo>
                                <a:close/>
                              </a:path>
                              <a:path w="82550" h="82550">
                                <a:moveTo>
                                  <a:pt x="73151" y="73151"/>
                                </a:moveTo>
                                <a:lnTo>
                                  <a:pt x="9143" y="73151"/>
                                </a:lnTo>
                                <a:lnTo>
                                  <a:pt x="9143" y="76200"/>
                                </a:lnTo>
                                <a:lnTo>
                                  <a:pt x="73151" y="76200"/>
                                </a:lnTo>
                                <a:lnTo>
                                  <a:pt x="73151" y="73151"/>
                                </a:lnTo>
                                <a:close/>
                              </a:path>
                              <a:path w="82550" h="82550">
                                <a:moveTo>
                                  <a:pt x="73151" y="6096"/>
                                </a:moveTo>
                                <a:lnTo>
                                  <a:pt x="73151" y="76200"/>
                                </a:lnTo>
                                <a:lnTo>
                                  <a:pt x="76200" y="73151"/>
                                </a:lnTo>
                                <a:lnTo>
                                  <a:pt x="82295" y="73151"/>
                                </a:lnTo>
                                <a:lnTo>
                                  <a:pt x="82295" y="9144"/>
                                </a:lnTo>
                                <a:lnTo>
                                  <a:pt x="76200" y="9144"/>
                                </a:lnTo>
                                <a:lnTo>
                                  <a:pt x="73151" y="6096"/>
                                </a:lnTo>
                                <a:close/>
                              </a:path>
                              <a:path w="82550" h="82550">
                                <a:moveTo>
                                  <a:pt x="82295" y="73151"/>
                                </a:moveTo>
                                <a:lnTo>
                                  <a:pt x="76200" y="73151"/>
                                </a:lnTo>
                                <a:lnTo>
                                  <a:pt x="73151" y="76200"/>
                                </a:lnTo>
                                <a:lnTo>
                                  <a:pt x="82295" y="76200"/>
                                </a:lnTo>
                                <a:lnTo>
                                  <a:pt x="82295" y="73151"/>
                                </a:lnTo>
                                <a:close/>
                              </a:path>
                              <a:path w="82550" h="82550">
                                <a:moveTo>
                                  <a:pt x="9143" y="6096"/>
                                </a:moveTo>
                                <a:lnTo>
                                  <a:pt x="6095" y="9144"/>
                                </a:lnTo>
                                <a:lnTo>
                                  <a:pt x="9143" y="9144"/>
                                </a:lnTo>
                                <a:lnTo>
                                  <a:pt x="9143" y="6096"/>
                                </a:lnTo>
                                <a:close/>
                              </a:path>
                              <a:path w="82550" h="82550">
                                <a:moveTo>
                                  <a:pt x="73151" y="6096"/>
                                </a:moveTo>
                                <a:lnTo>
                                  <a:pt x="9143" y="6096"/>
                                </a:lnTo>
                                <a:lnTo>
                                  <a:pt x="9143" y="9144"/>
                                </a:lnTo>
                                <a:lnTo>
                                  <a:pt x="73151" y="9144"/>
                                </a:lnTo>
                                <a:lnTo>
                                  <a:pt x="73151" y="6096"/>
                                </a:lnTo>
                                <a:close/>
                              </a:path>
                              <a:path w="82550" h="82550">
                                <a:moveTo>
                                  <a:pt x="82295" y="6096"/>
                                </a:moveTo>
                                <a:lnTo>
                                  <a:pt x="73151" y="6096"/>
                                </a:lnTo>
                                <a:lnTo>
                                  <a:pt x="76200" y="9144"/>
                                </a:lnTo>
                                <a:lnTo>
                                  <a:pt x="82295" y="9144"/>
                                </a:lnTo>
                                <a:lnTo>
                                  <a:pt x="82295" y="6096"/>
                                </a:lnTo>
                                <a:close/>
                              </a:path>
                            </a:pathLst>
                          </a:custGeom>
                          <a:solidFill>
                            <a:srgbClr val="BD4A47"/>
                          </a:solidFill>
                        </wps:spPr>
                        <wps:bodyPr wrap="square" lIns="0" tIns="0" rIns="0" bIns="0" rtlCol="0">
                          <a:prstTxWarp prst="textNoShape">
                            <a:avLst/>
                          </a:prstTxWarp>
                          <a:noAutofit/>
                        </wps:bodyPr>
                      </wps:wsp>
                      <wps:wsp>
                        <wps:cNvPr id="199" name="Graphic 199"/>
                        <wps:cNvSpPr/>
                        <wps:spPr>
                          <a:xfrm>
                            <a:off x="3688079" y="2200655"/>
                            <a:ext cx="256540" cy="27940"/>
                          </a:xfrm>
                          <a:custGeom>
                            <a:avLst/>
                            <a:gdLst/>
                            <a:ahLst/>
                            <a:cxnLst/>
                            <a:rect l="l" t="t" r="r" b="b"/>
                            <a:pathLst>
                              <a:path w="256540" h="27940">
                                <a:moveTo>
                                  <a:pt x="249936" y="0"/>
                                </a:moveTo>
                                <a:lnTo>
                                  <a:pt x="12192" y="0"/>
                                </a:lnTo>
                                <a:lnTo>
                                  <a:pt x="6096" y="0"/>
                                </a:lnTo>
                                <a:lnTo>
                                  <a:pt x="0" y="6095"/>
                                </a:lnTo>
                                <a:lnTo>
                                  <a:pt x="0" y="21335"/>
                                </a:lnTo>
                                <a:lnTo>
                                  <a:pt x="6096" y="27431"/>
                                </a:lnTo>
                                <a:lnTo>
                                  <a:pt x="249936" y="27431"/>
                                </a:lnTo>
                                <a:lnTo>
                                  <a:pt x="256032" y="21335"/>
                                </a:lnTo>
                                <a:lnTo>
                                  <a:pt x="256032" y="6095"/>
                                </a:lnTo>
                                <a:lnTo>
                                  <a:pt x="249936" y="0"/>
                                </a:lnTo>
                                <a:close/>
                              </a:path>
                            </a:pathLst>
                          </a:custGeom>
                          <a:solidFill>
                            <a:srgbClr val="97B853"/>
                          </a:solidFill>
                        </wps:spPr>
                        <wps:bodyPr wrap="square" lIns="0" tIns="0" rIns="0" bIns="0" rtlCol="0">
                          <a:prstTxWarp prst="textNoShape">
                            <a:avLst/>
                          </a:prstTxWarp>
                          <a:noAutofit/>
                        </wps:bodyPr>
                      </wps:wsp>
                      <pic:pic>
                        <pic:nvPicPr>
                          <pic:cNvPr id="200" name="Image 200"/>
                          <pic:cNvPicPr/>
                        </pic:nvPicPr>
                        <pic:blipFill>
                          <a:blip r:embed="rId51" cstate="print"/>
                          <a:stretch>
                            <a:fillRect/>
                          </a:stretch>
                        </pic:blipFill>
                        <pic:spPr>
                          <a:xfrm>
                            <a:off x="3776471" y="2173223"/>
                            <a:ext cx="79248" cy="82296"/>
                          </a:xfrm>
                          <a:prstGeom prst="rect">
                            <a:avLst/>
                          </a:prstGeom>
                        </pic:spPr>
                      </pic:pic>
                    </wpg:wgp>
                  </a:graphicData>
                </a:graphic>
              </wp:anchor>
            </w:drawing>
          </mc:Choice>
          <mc:Fallback>
            <w:pict>
              <v:group style="position:absolute;margin-left:186pt;margin-top:7.8pt;width:310.6pt;height:280.6pt;mso-position-horizontal-relative:page;mso-position-vertical-relative:paragraph;z-index:-21304320" id="docshapegroup172" coordorigin="3720,156" coordsize="6212,5612">
                <v:shape style="position:absolute;left:3720;top:156;width:5996;height:5612" id="docshape173" coordorigin="3720,156" coordsize="5996,5612" path="m9715,5705l9710,5705,9710,5700,3787,5700,3787,161,3782,161,3782,156,3720,156,3720,170,3778,170,3778,1082,3720,1082,3720,1092,3778,1092,3778,1999,3720,1999,3720,2014,3778,2014,3778,2926,3720,2926,3720,2940,3778,2940,3778,3852,3720,3852,3720,3862,3778,3862,3778,4774,3720,4774,3720,4788,3778,4788,3778,5700,3720,5700,3720,5714,3773,5714,3773,5767,3787,5767,3787,5710,4762,5710,4762,5767,4776,5767,4776,5710,5750,5710,5750,5767,5765,5767,5765,5710,6739,5710,6739,5767,6754,5767,6754,5710,7728,5710,7728,5767,7738,5767,7738,5710,8712,5710,8712,5767,8726,5767,8726,5710,9701,5710,9701,5767,9715,5767,9715,5705xe" filled="true" fillcolor="#858585" stroked="false">
                  <v:path arrowok="t"/>
                  <v:fill type="solid"/>
                </v:shape>
                <v:shape style="position:absolute;left:4195;top:1063;width:5093;height:946" type="#_x0000_t75" id="docshape174" stroked="false">
                  <v:imagedata r:id="rId52" o:title=""/>
                </v:shape>
                <v:shape style="position:absolute;left:4257;top:1207;width:4983;height:178" id="docshape175" coordorigin="4258,1207" coordsize="4983,178" path="m4277,1207l4267,1207,4258,1217,4258,1236,4267,1246,4277,1246,5266,1260,6250,1308,7238,1385,7243,1385,7738,1346,7238,1346,7241,1346,6254,1265,5266,1222,4277,1207xm7241,1346l7238,1346,7243,1346,7241,1346xm9226,1207l9216,1207,8227,1265,7241,1346,7243,1346,7738,1346,8232,1308,9216,1246,9230,1246,9240,1236,9235,1226,9235,1217,9226,1207xe" filled="true" fillcolor="#97b853" stroked="false">
                  <v:path arrowok="t"/>
                  <v:fill type="solid"/>
                </v:shape>
                <v:shape style="position:absolute;left:4195;top:1149;width:154;height:154" type="#_x0000_t75" id="docshape176" stroked="false">
                  <v:imagedata r:id="rId53" o:title=""/>
                </v:shape>
                <v:shape style="position:absolute;left:5184;top:1164;width:154;height:154" type="#_x0000_t75" id="docshape177" stroked="false">
                  <v:imagedata r:id="rId54" o:title=""/>
                </v:shape>
                <v:shape style="position:absolute;left:6172;top:1212;width:154;height:149" type="#_x0000_t75" id="docshape178" stroked="false">
                  <v:imagedata r:id="rId55" o:title=""/>
                </v:shape>
                <v:shape style="position:absolute;left:7161;top:1293;width:154;height:149" type="#_x0000_t75" id="docshape179" stroked="false">
                  <v:imagedata r:id="rId56" o:title=""/>
                </v:shape>
                <v:shape style="position:absolute;left:8145;top:1212;width:159;height:149" type="#_x0000_t75" id="docshape180" stroked="false">
                  <v:imagedata r:id="rId57" o:title=""/>
                </v:shape>
                <v:shape style="position:absolute;left:9134;top:1149;width:154;height:154" type="#_x0000_t75" id="docshape181" stroked="false">
                  <v:imagedata r:id="rId58" o:title=""/>
                </v:shape>
                <v:shape style="position:absolute;left:9528;top:2940;width:404;height:44" id="docshape182" coordorigin="9528,2940" coordsize="404,44" path="m9922,2940l9547,2940,9538,2940,9528,2950,9528,2974,9538,2983,9922,2983,9931,2974,9931,2950,9922,2940xe" filled="true" fillcolor="#497dba" stroked="false">
                  <v:path arrowok="t"/>
                  <v:fill type="solid"/>
                </v:shape>
                <v:shape style="position:absolute;left:9667;top:2901;width:125;height:125" type="#_x0000_t75" id="docshape183" stroked="false">
                  <v:imagedata r:id="rId50" o:title=""/>
                </v:shape>
                <v:shape style="position:absolute;left:9528;top:3285;width:404;height:39" id="docshape184" coordorigin="9528,3286" coordsize="404,39" path="m9922,3286l9547,3286,9538,3286,9528,3295,9528,3314,9538,3324,9922,3324,9931,3314,9931,3295,9922,3286xe" filled="true" fillcolor="#bd4a47" stroked="false">
                  <v:path arrowok="t"/>
                  <v:fill type="solid"/>
                </v:shape>
                <v:rect style="position:absolute;left:9676;top:3247;width:111;height:111" id="docshape185" filled="true" fillcolor="#bf4f4c" stroked="false">
                  <v:fill type="solid"/>
                </v:rect>
                <v:shape style="position:absolute;left:9667;top:3237;width:130;height:130" id="docshape186" coordorigin="9667,3238" coordsize="130,130" path="m9787,3238l9677,3238,9667,3247,9667,3358,9677,3367,9787,3367,9797,3358,9682,3358,9677,3353,9682,3353,9682,3252,9677,3252,9682,3247,9797,3247,9787,3238xm9682,3353l9677,3353,9682,3358,9682,3353xm9782,3353l9682,3353,9682,3358,9782,3358,9782,3353xm9782,3247l9782,3358,9787,3353,9797,3353,9797,3252,9787,3252,9782,3247xm9797,3353l9787,3353,9782,3358,9797,3358,9797,3353xm9682,3247l9677,3252,9682,3252,9682,3247xm9782,3247l9682,3247,9682,3252,9782,3252,9782,3247xm9797,3247l9782,3247,9787,3252,9797,3252,9797,3247xe" filled="true" fillcolor="#bd4a47" stroked="false">
                  <v:path arrowok="t"/>
                  <v:fill type="solid"/>
                </v:shape>
                <v:shape style="position:absolute;left:9528;top:3621;width:404;height:44" id="docshape187" coordorigin="9528,3622" coordsize="404,44" path="m9922,3622l9547,3622,9538,3622,9528,3631,9528,3655,9538,3665,9922,3665,9931,3655,9931,3631,9922,3622xe" filled="true" fillcolor="#97b853" stroked="false">
                  <v:path arrowok="t"/>
                  <v:fill type="solid"/>
                </v:shape>
                <v:shape style="position:absolute;left:9667;top:3578;width:125;height:130" type="#_x0000_t75" id="docshape188" stroked="false">
                  <v:imagedata r:id="rId51" o:title=""/>
                </v:shape>
                <w10:wrap type="none"/>
              </v:group>
            </w:pict>
          </mc:Fallback>
        </mc:AlternateContent>
      </w:r>
      <w:r>
        <w:rPr>
          <w:rFonts w:ascii="Calibri"/>
          <w:spacing w:val="-5"/>
          <w:sz w:val="19"/>
        </w:rPr>
        <w:t>120</w:t>
      </w:r>
    </w:p>
    <w:p>
      <w:pPr>
        <w:pStyle w:val="BodyText"/>
        <w:rPr>
          <w:rFonts w:ascii="Calibri"/>
          <w:sz w:val="19"/>
        </w:rPr>
      </w:pPr>
    </w:p>
    <w:p>
      <w:pPr>
        <w:pStyle w:val="BodyText"/>
        <w:spacing w:before="226"/>
        <w:rPr>
          <w:rFonts w:ascii="Calibri"/>
          <w:sz w:val="19"/>
        </w:rPr>
      </w:pPr>
    </w:p>
    <w:p>
      <w:pPr>
        <w:spacing w:before="0"/>
        <w:ind w:left="1601" w:right="0" w:firstLine="0"/>
        <w:jc w:val="left"/>
        <w:rPr>
          <w:rFonts w:ascii="Calibri"/>
          <w:sz w:val="19"/>
        </w:rPr>
      </w:pPr>
      <w:r>
        <w:rPr>
          <w:rFonts w:ascii="Calibri"/>
          <w:spacing w:val="-5"/>
          <w:sz w:val="19"/>
        </w:rPr>
        <w:t>100</w:t>
      </w:r>
    </w:p>
    <w:p>
      <w:pPr>
        <w:pStyle w:val="BodyText"/>
        <w:rPr>
          <w:rFonts w:ascii="Calibri"/>
          <w:sz w:val="19"/>
        </w:rPr>
      </w:pPr>
    </w:p>
    <w:p>
      <w:pPr>
        <w:pStyle w:val="BodyText"/>
        <w:spacing w:before="230"/>
        <w:rPr>
          <w:rFonts w:ascii="Calibri"/>
          <w:sz w:val="19"/>
        </w:rPr>
      </w:pPr>
    </w:p>
    <w:p>
      <w:pPr>
        <w:spacing w:before="1"/>
        <w:ind w:left="1697" w:right="0" w:firstLine="0"/>
        <w:jc w:val="left"/>
        <w:rPr>
          <w:rFonts w:ascii="Calibri"/>
          <w:sz w:val="19"/>
        </w:rPr>
      </w:pPr>
      <w:r>
        <w:rPr/>
        <mc:AlternateContent>
          <mc:Choice Requires="wps">
            <w:drawing>
              <wp:anchor distT="0" distB="0" distL="0" distR="0" allowOverlap="1" layoutInCell="1" locked="0" behindDoc="0" simplePos="0" relativeHeight="15761920">
                <wp:simplePos x="0" y="0"/>
                <wp:positionH relativeFrom="page">
                  <wp:posOffset>1939209</wp:posOffset>
                </wp:positionH>
                <wp:positionV relativeFrom="paragraph">
                  <wp:posOffset>14090</wp:posOffset>
                </wp:positionV>
                <wp:extent cx="146050" cy="130619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52.69368pt;margin-top:1.109463pt;width:11.5pt;height:102.85pt;mso-position-horizontal-relative:page;mso-position-vertical-relative:paragraph;z-index:15761920" type="#_x0000_t202" id="docshape189"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spacing w:before="225"/>
        <w:rPr>
          <w:rFonts w:ascii="Calibri"/>
          <w:sz w:val="19"/>
        </w:rPr>
      </w:pPr>
    </w:p>
    <w:p>
      <w:pPr>
        <w:tabs>
          <w:tab w:pos="8225" w:val="left" w:leader="none"/>
        </w:tabs>
        <w:spacing w:before="0"/>
        <w:ind w:left="1697" w:right="0" w:firstLine="0"/>
        <w:jc w:val="left"/>
        <w:rPr>
          <w:rFonts w:ascii="Calibri"/>
          <w:sz w:val="19"/>
        </w:rPr>
      </w:pPr>
      <w:r>
        <w:rPr>
          <w:rFonts w:ascii="Calibri"/>
          <w:spacing w:val="-5"/>
          <w:sz w:val="19"/>
        </w:rPr>
        <w:t>60</w:t>
      </w:r>
      <w:r>
        <w:rPr>
          <w:rFonts w:ascii="Calibri"/>
          <w:sz w:val="19"/>
        </w:rPr>
        <w:tab/>
      </w:r>
      <w:r>
        <w:rPr>
          <w:rFonts w:ascii="Calibri"/>
          <w:spacing w:val="-5"/>
          <w:position w:val="-2"/>
          <w:sz w:val="19"/>
        </w:rPr>
        <w:t>DS</w:t>
      </w:r>
    </w:p>
    <w:p>
      <w:pPr>
        <w:spacing w:line="340" w:lineRule="exact" w:before="17"/>
        <w:ind w:left="8225" w:right="1175" w:firstLine="0"/>
        <w:jc w:val="left"/>
        <w:rPr>
          <w:rFonts w:ascii="Calibri"/>
          <w:sz w:val="19"/>
        </w:rPr>
      </w:pPr>
      <w:r>
        <w:rPr>
          <w:rFonts w:ascii="Calibri"/>
          <w:spacing w:val="-4"/>
          <w:sz w:val="19"/>
        </w:rPr>
        <w:t>MCS</w:t>
      </w:r>
      <w:r>
        <w:rPr>
          <w:rFonts w:ascii="Calibri"/>
          <w:sz w:val="19"/>
        </w:rPr>
        <w:t> </w:t>
      </w:r>
      <w:r>
        <w:rPr>
          <w:rFonts w:ascii="Calibri"/>
          <w:spacing w:val="-4"/>
          <w:sz w:val="19"/>
        </w:rPr>
        <w:t>GEL</w:t>
      </w:r>
    </w:p>
    <w:p>
      <w:pPr>
        <w:spacing w:line="200" w:lineRule="exact" w:before="0"/>
        <w:ind w:left="1697" w:right="0" w:firstLine="0"/>
        <w:jc w:val="left"/>
        <w:rPr>
          <w:rFonts w:ascii="Calibri"/>
          <w:sz w:val="19"/>
        </w:rPr>
      </w:pPr>
      <w:r>
        <w:rPr>
          <w:rFonts w:ascii="Calibri"/>
          <w:spacing w:val="-5"/>
          <w:sz w:val="19"/>
        </w:rPr>
        <w:t>40</w:t>
      </w:r>
    </w:p>
    <w:p>
      <w:pPr>
        <w:pStyle w:val="BodyText"/>
        <w:rPr>
          <w:rFonts w:ascii="Calibri"/>
          <w:sz w:val="19"/>
        </w:rPr>
      </w:pPr>
    </w:p>
    <w:p>
      <w:pPr>
        <w:pStyle w:val="BodyText"/>
        <w:spacing w:before="226"/>
        <w:rPr>
          <w:rFonts w:ascii="Calibri"/>
          <w:sz w:val="19"/>
        </w:rPr>
      </w:pPr>
    </w:p>
    <w:p>
      <w:pPr>
        <w:spacing w:before="0"/>
        <w:ind w:left="1697" w:right="0" w:firstLine="0"/>
        <w:jc w:val="left"/>
        <w:rPr>
          <w:rFonts w:ascii="Calibri"/>
          <w:sz w:val="19"/>
        </w:rPr>
      </w:pPr>
      <w:r>
        <w:rPr>
          <w:rFonts w:ascii="Calibri"/>
          <w:spacing w:val="-5"/>
          <w:sz w:val="19"/>
        </w:rPr>
        <w:t>20</w:t>
      </w:r>
    </w:p>
    <w:p>
      <w:pPr>
        <w:pStyle w:val="BodyText"/>
        <w:rPr>
          <w:rFonts w:ascii="Calibri"/>
          <w:sz w:val="19"/>
        </w:rPr>
      </w:pPr>
    </w:p>
    <w:p>
      <w:pPr>
        <w:pStyle w:val="BodyText"/>
        <w:spacing w:before="230"/>
        <w:rPr>
          <w:rFonts w:ascii="Calibri"/>
          <w:sz w:val="19"/>
        </w:rPr>
      </w:pPr>
    </w:p>
    <w:p>
      <w:pPr>
        <w:spacing w:before="0"/>
        <w:ind w:left="0" w:right="6084" w:firstLine="0"/>
        <w:jc w:val="center"/>
        <w:rPr>
          <w:rFonts w:ascii="Calibri"/>
          <w:sz w:val="19"/>
        </w:rPr>
      </w:pPr>
      <w:r>
        <w:rPr>
          <w:rFonts w:ascii="Calibri"/>
          <w:spacing w:val="-10"/>
          <w:sz w:val="19"/>
        </w:rPr>
        <w:t>0</w:t>
      </w:r>
    </w:p>
    <w:p>
      <w:pPr>
        <w:tabs>
          <w:tab w:pos="1320" w:val="left" w:leader="none"/>
          <w:tab w:pos="2308" w:val="left" w:leader="none"/>
          <w:tab w:pos="3249" w:val="left" w:leader="none"/>
          <w:tab w:pos="4238" w:val="left" w:leader="none"/>
          <w:tab w:pos="5510" w:val="right" w:leader="none"/>
        </w:tabs>
        <w:spacing w:before="13"/>
        <w:ind w:left="264" w:right="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1"/>
        <w:ind w:left="288" w:right="0" w:firstLine="0"/>
        <w:jc w:val="center"/>
        <w:rPr>
          <w:rFonts w:ascii="Calibri" w:hAnsi="Calibri"/>
          <w:b/>
          <w:sz w:val="19"/>
        </w:rPr>
      </w:pPr>
      <w:r>
        <w:rPr>
          <w:rFonts w:ascii="Calibri" w:hAnsi="Calibri"/>
          <w:b/>
          <w:sz w:val="19"/>
        </w:rPr>
        <w:t>Sieve</w:t>
      </w:r>
      <w:r>
        <w:rPr>
          <w:rFonts w:ascii="Calibri" w:hAnsi="Calibri"/>
          <w:b/>
          <w:spacing w:val="-8"/>
          <w:sz w:val="19"/>
        </w:rPr>
        <w:t> </w:t>
      </w:r>
      <w:r>
        <w:rPr>
          <w:rFonts w:ascii="Calibri" w:hAnsi="Calibri"/>
          <w:b/>
          <w:sz w:val="19"/>
        </w:rPr>
        <w:t>size</w:t>
      </w:r>
      <w:r>
        <w:rPr>
          <w:rFonts w:ascii="Calibri" w:hAnsi="Calibri"/>
          <w:b/>
          <w:spacing w:val="-7"/>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rPr>
          <w:rFonts w:ascii="Calibri"/>
          <w:b/>
        </w:rPr>
      </w:pPr>
    </w:p>
    <w:p>
      <w:pPr>
        <w:pStyle w:val="BodyText"/>
        <w:spacing w:before="4"/>
        <w:rPr>
          <w:rFonts w:ascii="Calibri"/>
          <w:b/>
        </w:rPr>
      </w:pPr>
    </w:p>
    <w:p>
      <w:pPr>
        <w:pStyle w:val="Heading2"/>
        <w:spacing w:line="244" w:lineRule="auto"/>
        <w:ind w:left="1798" w:right="1550" w:hanging="1133"/>
      </w:pPr>
      <w:r>
        <w:rPr/>
        <w:t>Figure A. 5: Graph of Cumulative frequency (%) oversize distribution against sieve size (µm) of metronidazole granules using 12.5 % w/v as </w:t>
      </w:r>
      <w:r>
        <w:rPr>
          <w:spacing w:val="-2"/>
        </w:rPr>
        <w:t>binder.</w:t>
      </w:r>
    </w:p>
    <w:p>
      <w:pPr>
        <w:spacing w:after="0" w:line="244" w:lineRule="auto"/>
        <w:sectPr>
          <w:pgSz w:w="12240" w:h="15840"/>
          <w:pgMar w:header="0" w:footer="999" w:top="1620" w:bottom="1180" w:left="1720" w:right="760"/>
        </w:sectPr>
      </w:pPr>
    </w:p>
    <w:p>
      <w:pPr>
        <w:spacing w:before="43"/>
        <w:ind w:left="1577" w:right="0" w:firstLine="0"/>
        <w:jc w:val="left"/>
        <w:rPr>
          <w:rFonts w:ascii="Calibri"/>
          <w:sz w:val="19"/>
        </w:rPr>
      </w:pPr>
      <w:r>
        <w:rPr/>
        <mc:AlternateContent>
          <mc:Choice Requires="wps">
            <w:drawing>
              <wp:anchor distT="0" distB="0" distL="0" distR="0" allowOverlap="1" layoutInCell="1" locked="0" behindDoc="1" simplePos="0" relativeHeight="482013184">
                <wp:simplePos x="0" y="0"/>
                <wp:positionH relativeFrom="page">
                  <wp:posOffset>2350007</wp:posOffset>
                </wp:positionH>
                <wp:positionV relativeFrom="paragraph">
                  <wp:posOffset>102615</wp:posOffset>
                </wp:positionV>
                <wp:extent cx="3874135" cy="373380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3874135" cy="3733800"/>
                          <a:chExt cx="3874135" cy="3733800"/>
                        </a:xfrm>
                      </wpg:grpSpPr>
                      <wps:wsp>
                        <wps:cNvPr id="203" name="Graphic 203"/>
                        <wps:cNvSpPr/>
                        <wps:spPr>
                          <a:xfrm>
                            <a:off x="0" y="0"/>
                            <a:ext cx="3746500" cy="3733800"/>
                          </a:xfrm>
                          <a:custGeom>
                            <a:avLst/>
                            <a:gdLst/>
                            <a:ahLst/>
                            <a:cxnLst/>
                            <a:rect l="l" t="t" r="r" b="b"/>
                            <a:pathLst>
                              <a:path w="3746500" h="3733800">
                                <a:moveTo>
                                  <a:pt x="3745992" y="3694176"/>
                                </a:moveTo>
                                <a:lnTo>
                                  <a:pt x="3742944" y="3694176"/>
                                </a:lnTo>
                                <a:lnTo>
                                  <a:pt x="3742944" y="3691128"/>
                                </a:lnTo>
                                <a:lnTo>
                                  <a:pt x="42672" y="3691128"/>
                                </a:lnTo>
                                <a:lnTo>
                                  <a:pt x="42672" y="3048"/>
                                </a:lnTo>
                                <a:lnTo>
                                  <a:pt x="36576" y="3048"/>
                                </a:lnTo>
                                <a:lnTo>
                                  <a:pt x="36576" y="0"/>
                                </a:lnTo>
                                <a:lnTo>
                                  <a:pt x="0" y="0"/>
                                </a:lnTo>
                                <a:lnTo>
                                  <a:pt x="0" y="9144"/>
                                </a:lnTo>
                                <a:lnTo>
                                  <a:pt x="33528" y="9144"/>
                                </a:lnTo>
                                <a:lnTo>
                                  <a:pt x="33528" y="615696"/>
                                </a:lnTo>
                                <a:lnTo>
                                  <a:pt x="0" y="615696"/>
                                </a:lnTo>
                                <a:lnTo>
                                  <a:pt x="0" y="624840"/>
                                </a:lnTo>
                                <a:lnTo>
                                  <a:pt x="33528" y="624840"/>
                                </a:lnTo>
                                <a:lnTo>
                                  <a:pt x="33528" y="1228344"/>
                                </a:lnTo>
                                <a:lnTo>
                                  <a:pt x="0" y="1228344"/>
                                </a:lnTo>
                                <a:lnTo>
                                  <a:pt x="0" y="1237488"/>
                                </a:lnTo>
                                <a:lnTo>
                                  <a:pt x="33528" y="1237488"/>
                                </a:lnTo>
                                <a:lnTo>
                                  <a:pt x="33528" y="1847088"/>
                                </a:lnTo>
                                <a:lnTo>
                                  <a:pt x="0" y="1847088"/>
                                </a:lnTo>
                                <a:lnTo>
                                  <a:pt x="0" y="1853184"/>
                                </a:lnTo>
                                <a:lnTo>
                                  <a:pt x="33528" y="1853184"/>
                                </a:lnTo>
                                <a:lnTo>
                                  <a:pt x="33528" y="2462784"/>
                                </a:lnTo>
                                <a:lnTo>
                                  <a:pt x="0" y="2462784"/>
                                </a:lnTo>
                                <a:lnTo>
                                  <a:pt x="0" y="2468880"/>
                                </a:lnTo>
                                <a:lnTo>
                                  <a:pt x="33528" y="2468880"/>
                                </a:lnTo>
                                <a:lnTo>
                                  <a:pt x="33528" y="3078480"/>
                                </a:lnTo>
                                <a:lnTo>
                                  <a:pt x="0" y="3078480"/>
                                </a:lnTo>
                                <a:lnTo>
                                  <a:pt x="0" y="3087624"/>
                                </a:lnTo>
                                <a:lnTo>
                                  <a:pt x="33528" y="3087624"/>
                                </a:lnTo>
                                <a:lnTo>
                                  <a:pt x="33528" y="3691128"/>
                                </a:lnTo>
                                <a:lnTo>
                                  <a:pt x="0" y="3691128"/>
                                </a:lnTo>
                                <a:lnTo>
                                  <a:pt x="0" y="3700272"/>
                                </a:lnTo>
                                <a:lnTo>
                                  <a:pt x="30480" y="3700272"/>
                                </a:lnTo>
                                <a:lnTo>
                                  <a:pt x="30480" y="3733800"/>
                                </a:lnTo>
                                <a:lnTo>
                                  <a:pt x="39624" y="3733800"/>
                                </a:lnTo>
                                <a:lnTo>
                                  <a:pt x="39624" y="3700272"/>
                                </a:lnTo>
                                <a:lnTo>
                                  <a:pt x="649224" y="3700272"/>
                                </a:lnTo>
                                <a:lnTo>
                                  <a:pt x="649224" y="3733800"/>
                                </a:lnTo>
                                <a:lnTo>
                                  <a:pt x="658368" y="3733800"/>
                                </a:lnTo>
                                <a:lnTo>
                                  <a:pt x="658368" y="3700272"/>
                                </a:lnTo>
                                <a:lnTo>
                                  <a:pt x="1267968" y="3700272"/>
                                </a:lnTo>
                                <a:lnTo>
                                  <a:pt x="1267968" y="3733800"/>
                                </a:lnTo>
                                <a:lnTo>
                                  <a:pt x="1274064" y="3733800"/>
                                </a:lnTo>
                                <a:lnTo>
                                  <a:pt x="1274064" y="3700272"/>
                                </a:lnTo>
                                <a:lnTo>
                                  <a:pt x="1886712" y="3700272"/>
                                </a:lnTo>
                                <a:lnTo>
                                  <a:pt x="1886712" y="3733800"/>
                                </a:lnTo>
                                <a:lnTo>
                                  <a:pt x="1892808" y="3733800"/>
                                </a:lnTo>
                                <a:lnTo>
                                  <a:pt x="1892808" y="3700272"/>
                                </a:lnTo>
                                <a:lnTo>
                                  <a:pt x="2502408" y="3700272"/>
                                </a:lnTo>
                                <a:lnTo>
                                  <a:pt x="2502408" y="3733800"/>
                                </a:lnTo>
                                <a:lnTo>
                                  <a:pt x="2511552" y="3733800"/>
                                </a:lnTo>
                                <a:lnTo>
                                  <a:pt x="2511552" y="3700272"/>
                                </a:lnTo>
                                <a:lnTo>
                                  <a:pt x="3121152" y="3700272"/>
                                </a:lnTo>
                                <a:lnTo>
                                  <a:pt x="3121152" y="3733800"/>
                                </a:lnTo>
                                <a:lnTo>
                                  <a:pt x="3130296" y="3733800"/>
                                </a:lnTo>
                                <a:lnTo>
                                  <a:pt x="3130296" y="3700272"/>
                                </a:lnTo>
                                <a:lnTo>
                                  <a:pt x="3736848" y="3700272"/>
                                </a:lnTo>
                                <a:lnTo>
                                  <a:pt x="3736848" y="3733800"/>
                                </a:lnTo>
                                <a:lnTo>
                                  <a:pt x="3745992" y="3733800"/>
                                </a:lnTo>
                                <a:lnTo>
                                  <a:pt x="3745992" y="3694176"/>
                                </a:lnTo>
                                <a:close/>
                              </a:path>
                            </a:pathLst>
                          </a:custGeom>
                          <a:solidFill>
                            <a:srgbClr val="858585"/>
                          </a:solidFill>
                        </wps:spPr>
                        <wps:bodyPr wrap="square" lIns="0" tIns="0" rIns="0" bIns="0" rtlCol="0">
                          <a:prstTxWarp prst="textNoShape">
                            <a:avLst/>
                          </a:prstTxWarp>
                          <a:noAutofit/>
                        </wps:bodyPr>
                      </wps:wsp>
                      <wps:wsp>
                        <wps:cNvPr id="204" name="Graphic 204"/>
                        <wps:cNvSpPr/>
                        <wps:spPr>
                          <a:xfrm>
                            <a:off x="332231" y="722376"/>
                            <a:ext cx="3115310" cy="771525"/>
                          </a:xfrm>
                          <a:custGeom>
                            <a:avLst/>
                            <a:gdLst/>
                            <a:ahLst/>
                            <a:cxnLst/>
                            <a:rect l="l" t="t" r="r" b="b"/>
                            <a:pathLst>
                              <a:path w="3115310" h="771525">
                                <a:moveTo>
                                  <a:pt x="2478358" y="261845"/>
                                </a:moveTo>
                                <a:lnTo>
                                  <a:pt x="3093720" y="765048"/>
                                </a:lnTo>
                                <a:lnTo>
                                  <a:pt x="3099816" y="771143"/>
                                </a:lnTo>
                                <a:lnTo>
                                  <a:pt x="3105912" y="768096"/>
                                </a:lnTo>
                                <a:lnTo>
                                  <a:pt x="3115056" y="758951"/>
                                </a:lnTo>
                                <a:lnTo>
                                  <a:pt x="3115056" y="749807"/>
                                </a:lnTo>
                                <a:lnTo>
                                  <a:pt x="3108960" y="743711"/>
                                </a:lnTo>
                                <a:lnTo>
                                  <a:pt x="2520034" y="262127"/>
                                </a:lnTo>
                                <a:lnTo>
                                  <a:pt x="2481072" y="262127"/>
                                </a:lnTo>
                                <a:lnTo>
                                  <a:pt x="2478358" y="261845"/>
                                </a:lnTo>
                                <a:close/>
                              </a:path>
                              <a:path w="3115310" h="771525">
                                <a:moveTo>
                                  <a:pt x="2474976" y="259079"/>
                                </a:moveTo>
                                <a:lnTo>
                                  <a:pt x="2478358" y="261845"/>
                                </a:lnTo>
                                <a:lnTo>
                                  <a:pt x="2481072" y="262127"/>
                                </a:lnTo>
                                <a:lnTo>
                                  <a:pt x="2474976" y="259079"/>
                                </a:lnTo>
                                <a:close/>
                              </a:path>
                              <a:path w="3115310" h="771525">
                                <a:moveTo>
                                  <a:pt x="2516307" y="259079"/>
                                </a:moveTo>
                                <a:lnTo>
                                  <a:pt x="2474976" y="259079"/>
                                </a:lnTo>
                                <a:lnTo>
                                  <a:pt x="2481072" y="262127"/>
                                </a:lnTo>
                                <a:lnTo>
                                  <a:pt x="2520034" y="262127"/>
                                </a:lnTo>
                                <a:lnTo>
                                  <a:pt x="2516307" y="259079"/>
                                </a:lnTo>
                                <a:close/>
                              </a:path>
                              <a:path w="3115310" h="771525">
                                <a:moveTo>
                                  <a:pt x="15240" y="0"/>
                                </a:moveTo>
                                <a:lnTo>
                                  <a:pt x="6096" y="0"/>
                                </a:lnTo>
                                <a:lnTo>
                                  <a:pt x="0" y="6096"/>
                                </a:lnTo>
                                <a:lnTo>
                                  <a:pt x="0" y="21335"/>
                                </a:lnTo>
                                <a:lnTo>
                                  <a:pt x="12192" y="27431"/>
                                </a:lnTo>
                                <a:lnTo>
                                  <a:pt x="627888" y="45719"/>
                                </a:lnTo>
                                <a:lnTo>
                                  <a:pt x="1246632" y="140207"/>
                                </a:lnTo>
                                <a:lnTo>
                                  <a:pt x="1865376" y="198119"/>
                                </a:lnTo>
                                <a:lnTo>
                                  <a:pt x="2478358" y="261845"/>
                                </a:lnTo>
                                <a:lnTo>
                                  <a:pt x="2474976" y="259079"/>
                                </a:lnTo>
                                <a:lnTo>
                                  <a:pt x="2516307" y="259079"/>
                                </a:lnTo>
                                <a:lnTo>
                                  <a:pt x="2490216" y="237743"/>
                                </a:lnTo>
                                <a:lnTo>
                                  <a:pt x="2487168" y="234696"/>
                                </a:lnTo>
                                <a:lnTo>
                                  <a:pt x="2484120" y="234696"/>
                                </a:lnTo>
                                <a:lnTo>
                                  <a:pt x="1249680" y="115824"/>
                                </a:lnTo>
                                <a:lnTo>
                                  <a:pt x="630936" y="21335"/>
                                </a:lnTo>
                                <a:lnTo>
                                  <a:pt x="15240" y="0"/>
                                </a:lnTo>
                                <a:close/>
                              </a:path>
                            </a:pathLst>
                          </a:custGeom>
                          <a:solidFill>
                            <a:srgbClr val="497DBA"/>
                          </a:solidFill>
                        </wps:spPr>
                        <wps:bodyPr wrap="square" lIns="0" tIns="0" rIns="0" bIns="0" rtlCol="0">
                          <a:prstTxWarp prst="textNoShape">
                            <a:avLst/>
                          </a:prstTxWarp>
                          <a:noAutofit/>
                        </wps:bodyPr>
                      </wps:wsp>
                      <pic:pic>
                        <pic:nvPicPr>
                          <pic:cNvPr id="205" name="Image 205"/>
                          <pic:cNvPicPr/>
                        </pic:nvPicPr>
                        <pic:blipFill>
                          <a:blip r:embed="rId59" cstate="print"/>
                          <a:stretch>
                            <a:fillRect/>
                          </a:stretch>
                        </pic:blipFill>
                        <pic:spPr>
                          <a:xfrm>
                            <a:off x="292608" y="685800"/>
                            <a:ext cx="97535" cy="97535"/>
                          </a:xfrm>
                          <a:prstGeom prst="rect">
                            <a:avLst/>
                          </a:prstGeom>
                        </pic:spPr>
                      </pic:pic>
                      <pic:pic>
                        <pic:nvPicPr>
                          <pic:cNvPr id="206" name="Image 206"/>
                          <pic:cNvPicPr/>
                        </pic:nvPicPr>
                        <pic:blipFill>
                          <a:blip r:embed="rId60" cstate="print"/>
                          <a:stretch>
                            <a:fillRect/>
                          </a:stretch>
                        </pic:blipFill>
                        <pic:spPr>
                          <a:xfrm>
                            <a:off x="911352" y="710183"/>
                            <a:ext cx="97536" cy="97535"/>
                          </a:xfrm>
                          <a:prstGeom prst="rect">
                            <a:avLst/>
                          </a:prstGeom>
                        </pic:spPr>
                      </pic:pic>
                      <pic:pic>
                        <pic:nvPicPr>
                          <pic:cNvPr id="207" name="Image 207"/>
                          <pic:cNvPicPr/>
                        </pic:nvPicPr>
                        <pic:blipFill>
                          <a:blip r:embed="rId61" cstate="print"/>
                          <a:stretch>
                            <a:fillRect/>
                          </a:stretch>
                        </pic:blipFill>
                        <pic:spPr>
                          <a:xfrm>
                            <a:off x="1530096" y="804672"/>
                            <a:ext cx="97536" cy="94487"/>
                          </a:xfrm>
                          <a:prstGeom prst="rect">
                            <a:avLst/>
                          </a:prstGeom>
                        </pic:spPr>
                      </pic:pic>
                      <pic:pic>
                        <pic:nvPicPr>
                          <pic:cNvPr id="208" name="Image 208"/>
                          <pic:cNvPicPr/>
                        </pic:nvPicPr>
                        <pic:blipFill>
                          <a:blip r:embed="rId62" cstate="print"/>
                          <a:stretch>
                            <a:fillRect/>
                          </a:stretch>
                        </pic:blipFill>
                        <pic:spPr>
                          <a:xfrm>
                            <a:off x="2148839" y="859536"/>
                            <a:ext cx="94487" cy="94488"/>
                          </a:xfrm>
                          <a:prstGeom prst="rect">
                            <a:avLst/>
                          </a:prstGeom>
                        </pic:spPr>
                      </pic:pic>
                      <pic:pic>
                        <pic:nvPicPr>
                          <pic:cNvPr id="209" name="Image 209"/>
                          <pic:cNvPicPr/>
                        </pic:nvPicPr>
                        <pic:blipFill>
                          <a:blip r:embed="rId63" cstate="print"/>
                          <a:stretch>
                            <a:fillRect/>
                          </a:stretch>
                        </pic:blipFill>
                        <pic:spPr>
                          <a:xfrm>
                            <a:off x="2767583" y="920496"/>
                            <a:ext cx="94487" cy="97536"/>
                          </a:xfrm>
                          <a:prstGeom prst="rect">
                            <a:avLst/>
                          </a:prstGeom>
                        </pic:spPr>
                      </pic:pic>
                      <pic:pic>
                        <pic:nvPicPr>
                          <pic:cNvPr id="210" name="Image 210"/>
                          <pic:cNvPicPr/>
                        </pic:nvPicPr>
                        <pic:blipFill>
                          <a:blip r:embed="rId64" cstate="print"/>
                          <a:stretch>
                            <a:fillRect/>
                          </a:stretch>
                        </pic:blipFill>
                        <pic:spPr>
                          <a:xfrm>
                            <a:off x="3383279" y="1429511"/>
                            <a:ext cx="94487" cy="94488"/>
                          </a:xfrm>
                          <a:prstGeom prst="rect">
                            <a:avLst/>
                          </a:prstGeom>
                        </pic:spPr>
                      </pic:pic>
                      <wps:wsp>
                        <wps:cNvPr id="211" name="Graphic 211"/>
                        <wps:cNvSpPr/>
                        <wps:spPr>
                          <a:xfrm>
                            <a:off x="332231" y="719327"/>
                            <a:ext cx="3115310" cy="658495"/>
                          </a:xfrm>
                          <a:custGeom>
                            <a:avLst/>
                            <a:gdLst/>
                            <a:ahLst/>
                            <a:cxnLst/>
                            <a:rect l="l" t="t" r="r" b="b"/>
                            <a:pathLst>
                              <a:path w="3115310" h="658495">
                                <a:moveTo>
                                  <a:pt x="2478753" y="203940"/>
                                </a:moveTo>
                                <a:lnTo>
                                  <a:pt x="3093720" y="655320"/>
                                </a:lnTo>
                                <a:lnTo>
                                  <a:pt x="3099816" y="658367"/>
                                </a:lnTo>
                                <a:lnTo>
                                  <a:pt x="3108960" y="658367"/>
                                </a:lnTo>
                                <a:lnTo>
                                  <a:pt x="3115056" y="646176"/>
                                </a:lnTo>
                                <a:lnTo>
                                  <a:pt x="3115056" y="637031"/>
                                </a:lnTo>
                                <a:lnTo>
                                  <a:pt x="3108960" y="633983"/>
                                </a:lnTo>
                                <a:lnTo>
                                  <a:pt x="2523437" y="204215"/>
                                </a:lnTo>
                                <a:lnTo>
                                  <a:pt x="2481072" y="204215"/>
                                </a:lnTo>
                                <a:lnTo>
                                  <a:pt x="2478753" y="203940"/>
                                </a:lnTo>
                                <a:close/>
                              </a:path>
                              <a:path w="3115310" h="658495">
                                <a:moveTo>
                                  <a:pt x="2474976" y="201167"/>
                                </a:moveTo>
                                <a:lnTo>
                                  <a:pt x="2478753" y="203940"/>
                                </a:lnTo>
                                <a:lnTo>
                                  <a:pt x="2481072" y="204215"/>
                                </a:lnTo>
                                <a:lnTo>
                                  <a:pt x="2474976" y="201167"/>
                                </a:lnTo>
                                <a:close/>
                              </a:path>
                              <a:path w="3115310" h="658495">
                                <a:moveTo>
                                  <a:pt x="2519284" y="201167"/>
                                </a:moveTo>
                                <a:lnTo>
                                  <a:pt x="2474976" y="201167"/>
                                </a:lnTo>
                                <a:lnTo>
                                  <a:pt x="2481072" y="204215"/>
                                </a:lnTo>
                                <a:lnTo>
                                  <a:pt x="2523437" y="204215"/>
                                </a:lnTo>
                                <a:lnTo>
                                  <a:pt x="2519284" y="201167"/>
                                </a:lnTo>
                                <a:close/>
                              </a:path>
                              <a:path w="3115310" h="658495">
                                <a:moveTo>
                                  <a:pt x="12192" y="0"/>
                                </a:moveTo>
                                <a:lnTo>
                                  <a:pt x="6096" y="0"/>
                                </a:lnTo>
                                <a:lnTo>
                                  <a:pt x="0" y="6096"/>
                                </a:lnTo>
                                <a:lnTo>
                                  <a:pt x="0" y="21335"/>
                                </a:lnTo>
                                <a:lnTo>
                                  <a:pt x="6096" y="27431"/>
                                </a:lnTo>
                                <a:lnTo>
                                  <a:pt x="627888" y="30479"/>
                                </a:lnTo>
                                <a:lnTo>
                                  <a:pt x="1246632" y="70103"/>
                                </a:lnTo>
                                <a:lnTo>
                                  <a:pt x="1865376" y="131063"/>
                                </a:lnTo>
                                <a:lnTo>
                                  <a:pt x="2478753" y="203940"/>
                                </a:lnTo>
                                <a:lnTo>
                                  <a:pt x="2474976" y="201167"/>
                                </a:lnTo>
                                <a:lnTo>
                                  <a:pt x="2519284" y="201167"/>
                                </a:lnTo>
                                <a:lnTo>
                                  <a:pt x="2490216" y="179831"/>
                                </a:lnTo>
                                <a:lnTo>
                                  <a:pt x="2487168" y="179831"/>
                                </a:lnTo>
                                <a:lnTo>
                                  <a:pt x="2484120" y="176783"/>
                                </a:lnTo>
                                <a:lnTo>
                                  <a:pt x="1868424" y="106679"/>
                                </a:lnTo>
                                <a:lnTo>
                                  <a:pt x="1249680" y="42672"/>
                                </a:lnTo>
                                <a:lnTo>
                                  <a:pt x="627888" y="3048"/>
                                </a:lnTo>
                                <a:lnTo>
                                  <a:pt x="12192" y="0"/>
                                </a:lnTo>
                                <a:close/>
                              </a:path>
                            </a:pathLst>
                          </a:custGeom>
                          <a:solidFill>
                            <a:srgbClr val="BD4A47"/>
                          </a:solidFill>
                        </wps:spPr>
                        <wps:bodyPr wrap="square" lIns="0" tIns="0" rIns="0" bIns="0" rtlCol="0">
                          <a:prstTxWarp prst="textNoShape">
                            <a:avLst/>
                          </a:prstTxWarp>
                          <a:noAutofit/>
                        </wps:bodyPr>
                      </wps:wsp>
                      <wps:wsp>
                        <wps:cNvPr id="212" name="Graphic 212"/>
                        <wps:cNvSpPr/>
                        <wps:spPr>
                          <a:xfrm>
                            <a:off x="298704" y="691895"/>
                            <a:ext cx="85725" cy="82550"/>
                          </a:xfrm>
                          <a:custGeom>
                            <a:avLst/>
                            <a:gdLst/>
                            <a:ahLst/>
                            <a:cxnLst/>
                            <a:rect l="l" t="t" r="r" b="b"/>
                            <a:pathLst>
                              <a:path w="85725" h="82550">
                                <a:moveTo>
                                  <a:pt x="85343" y="0"/>
                                </a:moveTo>
                                <a:lnTo>
                                  <a:pt x="0" y="0"/>
                                </a:lnTo>
                                <a:lnTo>
                                  <a:pt x="0" y="82296"/>
                                </a:lnTo>
                                <a:lnTo>
                                  <a:pt x="85343" y="82296"/>
                                </a:lnTo>
                                <a:lnTo>
                                  <a:pt x="85343" y="0"/>
                                </a:lnTo>
                                <a:close/>
                              </a:path>
                            </a:pathLst>
                          </a:custGeom>
                          <a:solidFill>
                            <a:srgbClr val="BF4F4C"/>
                          </a:solidFill>
                        </wps:spPr>
                        <wps:bodyPr wrap="square" lIns="0" tIns="0" rIns="0" bIns="0" rtlCol="0">
                          <a:prstTxWarp prst="textNoShape">
                            <a:avLst/>
                          </a:prstTxWarp>
                          <a:noAutofit/>
                        </wps:bodyPr>
                      </wps:wsp>
                      <wps:wsp>
                        <wps:cNvPr id="213" name="Graphic 213"/>
                        <wps:cNvSpPr/>
                        <wps:spPr>
                          <a:xfrm>
                            <a:off x="295656" y="688848"/>
                            <a:ext cx="91440" cy="91440"/>
                          </a:xfrm>
                          <a:custGeom>
                            <a:avLst/>
                            <a:gdLst/>
                            <a:ahLst/>
                            <a:cxnLst/>
                            <a:rect l="l" t="t" r="r" b="b"/>
                            <a:pathLst>
                              <a:path w="91440" h="91440">
                                <a:moveTo>
                                  <a:pt x="91440" y="0"/>
                                </a:moveTo>
                                <a:lnTo>
                                  <a:pt x="0" y="0"/>
                                </a:lnTo>
                                <a:lnTo>
                                  <a:pt x="0" y="88391"/>
                                </a:lnTo>
                                <a:lnTo>
                                  <a:pt x="3048" y="91439"/>
                                </a:lnTo>
                                <a:lnTo>
                                  <a:pt x="88392" y="91439"/>
                                </a:lnTo>
                                <a:lnTo>
                                  <a:pt x="91440" y="88391"/>
                                </a:lnTo>
                                <a:lnTo>
                                  <a:pt x="91440" y="85343"/>
                                </a:lnTo>
                                <a:lnTo>
                                  <a:pt x="9143" y="85343"/>
                                </a:lnTo>
                                <a:lnTo>
                                  <a:pt x="3048" y="82295"/>
                                </a:lnTo>
                                <a:lnTo>
                                  <a:pt x="9143" y="82295"/>
                                </a:lnTo>
                                <a:lnTo>
                                  <a:pt x="9143" y="9143"/>
                                </a:lnTo>
                                <a:lnTo>
                                  <a:pt x="3048" y="9143"/>
                                </a:lnTo>
                                <a:lnTo>
                                  <a:pt x="9143" y="3047"/>
                                </a:lnTo>
                                <a:lnTo>
                                  <a:pt x="91440" y="3047"/>
                                </a:lnTo>
                                <a:lnTo>
                                  <a:pt x="91440" y="0"/>
                                </a:lnTo>
                                <a:close/>
                              </a:path>
                              <a:path w="91440" h="91440">
                                <a:moveTo>
                                  <a:pt x="9143" y="82295"/>
                                </a:moveTo>
                                <a:lnTo>
                                  <a:pt x="3048" y="82295"/>
                                </a:lnTo>
                                <a:lnTo>
                                  <a:pt x="9143" y="85343"/>
                                </a:lnTo>
                                <a:lnTo>
                                  <a:pt x="9143" y="82295"/>
                                </a:lnTo>
                                <a:close/>
                              </a:path>
                              <a:path w="91440" h="91440">
                                <a:moveTo>
                                  <a:pt x="82296" y="82295"/>
                                </a:moveTo>
                                <a:lnTo>
                                  <a:pt x="9143" y="82295"/>
                                </a:lnTo>
                                <a:lnTo>
                                  <a:pt x="9143" y="85343"/>
                                </a:lnTo>
                                <a:lnTo>
                                  <a:pt x="82296" y="85343"/>
                                </a:lnTo>
                                <a:lnTo>
                                  <a:pt x="82296" y="82295"/>
                                </a:lnTo>
                                <a:close/>
                              </a:path>
                              <a:path w="91440" h="91440">
                                <a:moveTo>
                                  <a:pt x="82296" y="3047"/>
                                </a:moveTo>
                                <a:lnTo>
                                  <a:pt x="82296" y="85343"/>
                                </a:lnTo>
                                <a:lnTo>
                                  <a:pt x="88392" y="82295"/>
                                </a:lnTo>
                                <a:lnTo>
                                  <a:pt x="91440" y="82295"/>
                                </a:lnTo>
                                <a:lnTo>
                                  <a:pt x="91440" y="9143"/>
                                </a:lnTo>
                                <a:lnTo>
                                  <a:pt x="88392" y="9143"/>
                                </a:lnTo>
                                <a:lnTo>
                                  <a:pt x="82296" y="3047"/>
                                </a:lnTo>
                                <a:close/>
                              </a:path>
                              <a:path w="91440" h="91440">
                                <a:moveTo>
                                  <a:pt x="91440" y="82295"/>
                                </a:moveTo>
                                <a:lnTo>
                                  <a:pt x="88392" y="82295"/>
                                </a:lnTo>
                                <a:lnTo>
                                  <a:pt x="82296" y="85343"/>
                                </a:lnTo>
                                <a:lnTo>
                                  <a:pt x="91440" y="85343"/>
                                </a:lnTo>
                                <a:lnTo>
                                  <a:pt x="91440" y="82295"/>
                                </a:lnTo>
                                <a:close/>
                              </a:path>
                              <a:path w="91440" h="91440">
                                <a:moveTo>
                                  <a:pt x="9143" y="3047"/>
                                </a:moveTo>
                                <a:lnTo>
                                  <a:pt x="3048" y="9143"/>
                                </a:lnTo>
                                <a:lnTo>
                                  <a:pt x="9143" y="9143"/>
                                </a:lnTo>
                                <a:lnTo>
                                  <a:pt x="9143" y="3047"/>
                                </a:lnTo>
                                <a:close/>
                              </a:path>
                              <a:path w="91440" h="91440">
                                <a:moveTo>
                                  <a:pt x="82296" y="3047"/>
                                </a:moveTo>
                                <a:lnTo>
                                  <a:pt x="9143" y="3047"/>
                                </a:lnTo>
                                <a:lnTo>
                                  <a:pt x="9143" y="9143"/>
                                </a:lnTo>
                                <a:lnTo>
                                  <a:pt x="82296" y="9143"/>
                                </a:lnTo>
                                <a:lnTo>
                                  <a:pt x="82296" y="3047"/>
                                </a:lnTo>
                                <a:close/>
                              </a:path>
                              <a:path w="91440" h="91440">
                                <a:moveTo>
                                  <a:pt x="91440" y="3047"/>
                                </a:moveTo>
                                <a:lnTo>
                                  <a:pt x="82296" y="3047"/>
                                </a:lnTo>
                                <a:lnTo>
                                  <a:pt x="88392" y="9143"/>
                                </a:lnTo>
                                <a:lnTo>
                                  <a:pt x="91440" y="9143"/>
                                </a:lnTo>
                                <a:lnTo>
                                  <a:pt x="91440" y="3047"/>
                                </a:lnTo>
                                <a:close/>
                              </a:path>
                            </a:pathLst>
                          </a:custGeom>
                          <a:solidFill>
                            <a:srgbClr val="BD4A47"/>
                          </a:solidFill>
                        </wps:spPr>
                        <wps:bodyPr wrap="square" lIns="0" tIns="0" rIns="0" bIns="0" rtlCol="0">
                          <a:prstTxWarp prst="textNoShape">
                            <a:avLst/>
                          </a:prstTxWarp>
                          <a:noAutofit/>
                        </wps:bodyPr>
                      </wps:wsp>
                      <wps:wsp>
                        <wps:cNvPr id="214" name="Graphic 214"/>
                        <wps:cNvSpPr/>
                        <wps:spPr>
                          <a:xfrm>
                            <a:off x="917447" y="694944"/>
                            <a:ext cx="85725" cy="82550"/>
                          </a:xfrm>
                          <a:custGeom>
                            <a:avLst/>
                            <a:gdLst/>
                            <a:ahLst/>
                            <a:cxnLst/>
                            <a:rect l="l" t="t" r="r" b="b"/>
                            <a:pathLst>
                              <a:path w="85725" h="82550">
                                <a:moveTo>
                                  <a:pt x="85344" y="0"/>
                                </a:moveTo>
                                <a:lnTo>
                                  <a:pt x="0" y="0"/>
                                </a:lnTo>
                                <a:lnTo>
                                  <a:pt x="0" y="82296"/>
                                </a:lnTo>
                                <a:lnTo>
                                  <a:pt x="85344" y="82296"/>
                                </a:lnTo>
                                <a:lnTo>
                                  <a:pt x="85344" y="0"/>
                                </a:lnTo>
                                <a:close/>
                              </a:path>
                            </a:pathLst>
                          </a:custGeom>
                          <a:solidFill>
                            <a:srgbClr val="BF4F4C"/>
                          </a:solidFill>
                        </wps:spPr>
                        <wps:bodyPr wrap="square" lIns="0" tIns="0" rIns="0" bIns="0" rtlCol="0">
                          <a:prstTxWarp prst="textNoShape">
                            <a:avLst/>
                          </a:prstTxWarp>
                          <a:noAutofit/>
                        </wps:bodyPr>
                      </wps:wsp>
                      <wps:wsp>
                        <wps:cNvPr id="215" name="Graphic 215"/>
                        <wps:cNvSpPr/>
                        <wps:spPr>
                          <a:xfrm>
                            <a:off x="914400" y="691895"/>
                            <a:ext cx="91440" cy="91440"/>
                          </a:xfrm>
                          <a:custGeom>
                            <a:avLst/>
                            <a:gdLst/>
                            <a:ahLst/>
                            <a:cxnLst/>
                            <a:rect l="l" t="t" r="r" b="b"/>
                            <a:pathLst>
                              <a:path w="91440" h="91440">
                                <a:moveTo>
                                  <a:pt x="91439" y="0"/>
                                </a:moveTo>
                                <a:lnTo>
                                  <a:pt x="0" y="0"/>
                                </a:lnTo>
                                <a:lnTo>
                                  <a:pt x="0" y="88392"/>
                                </a:lnTo>
                                <a:lnTo>
                                  <a:pt x="3047" y="91440"/>
                                </a:lnTo>
                                <a:lnTo>
                                  <a:pt x="88391" y="91440"/>
                                </a:lnTo>
                                <a:lnTo>
                                  <a:pt x="91439" y="88392"/>
                                </a:lnTo>
                                <a:lnTo>
                                  <a:pt x="91439" y="85344"/>
                                </a:lnTo>
                                <a:lnTo>
                                  <a:pt x="9143" y="85344"/>
                                </a:lnTo>
                                <a:lnTo>
                                  <a:pt x="3047" y="82296"/>
                                </a:lnTo>
                                <a:lnTo>
                                  <a:pt x="9143" y="82296"/>
                                </a:lnTo>
                                <a:lnTo>
                                  <a:pt x="9143" y="9144"/>
                                </a:lnTo>
                                <a:lnTo>
                                  <a:pt x="3047" y="9144"/>
                                </a:lnTo>
                                <a:lnTo>
                                  <a:pt x="9143" y="3048"/>
                                </a:lnTo>
                                <a:lnTo>
                                  <a:pt x="91439" y="3048"/>
                                </a:lnTo>
                                <a:lnTo>
                                  <a:pt x="91439" y="0"/>
                                </a:lnTo>
                                <a:close/>
                              </a:path>
                              <a:path w="91440" h="91440">
                                <a:moveTo>
                                  <a:pt x="9143" y="82296"/>
                                </a:moveTo>
                                <a:lnTo>
                                  <a:pt x="3047" y="82296"/>
                                </a:lnTo>
                                <a:lnTo>
                                  <a:pt x="9143" y="85344"/>
                                </a:lnTo>
                                <a:lnTo>
                                  <a:pt x="9143" y="82296"/>
                                </a:lnTo>
                                <a:close/>
                              </a:path>
                              <a:path w="91440" h="91440">
                                <a:moveTo>
                                  <a:pt x="82295" y="82296"/>
                                </a:moveTo>
                                <a:lnTo>
                                  <a:pt x="9143" y="82296"/>
                                </a:lnTo>
                                <a:lnTo>
                                  <a:pt x="9143" y="85344"/>
                                </a:lnTo>
                                <a:lnTo>
                                  <a:pt x="82295" y="85344"/>
                                </a:lnTo>
                                <a:lnTo>
                                  <a:pt x="82295" y="82296"/>
                                </a:lnTo>
                                <a:close/>
                              </a:path>
                              <a:path w="91440" h="91440">
                                <a:moveTo>
                                  <a:pt x="82295" y="3048"/>
                                </a:moveTo>
                                <a:lnTo>
                                  <a:pt x="82295" y="85344"/>
                                </a:lnTo>
                                <a:lnTo>
                                  <a:pt x="88391" y="82296"/>
                                </a:lnTo>
                                <a:lnTo>
                                  <a:pt x="91439" y="82296"/>
                                </a:lnTo>
                                <a:lnTo>
                                  <a:pt x="91439" y="9144"/>
                                </a:lnTo>
                                <a:lnTo>
                                  <a:pt x="88391" y="9144"/>
                                </a:lnTo>
                                <a:lnTo>
                                  <a:pt x="82295" y="3048"/>
                                </a:lnTo>
                                <a:close/>
                              </a:path>
                              <a:path w="91440" h="91440">
                                <a:moveTo>
                                  <a:pt x="91439" y="82296"/>
                                </a:moveTo>
                                <a:lnTo>
                                  <a:pt x="88391" y="82296"/>
                                </a:lnTo>
                                <a:lnTo>
                                  <a:pt x="82295" y="85344"/>
                                </a:lnTo>
                                <a:lnTo>
                                  <a:pt x="91439" y="85344"/>
                                </a:lnTo>
                                <a:lnTo>
                                  <a:pt x="91439" y="82296"/>
                                </a:lnTo>
                                <a:close/>
                              </a:path>
                              <a:path w="91440" h="91440">
                                <a:moveTo>
                                  <a:pt x="9143" y="3048"/>
                                </a:moveTo>
                                <a:lnTo>
                                  <a:pt x="3047" y="9144"/>
                                </a:lnTo>
                                <a:lnTo>
                                  <a:pt x="9143" y="9144"/>
                                </a:lnTo>
                                <a:lnTo>
                                  <a:pt x="9143" y="3048"/>
                                </a:lnTo>
                                <a:close/>
                              </a:path>
                              <a:path w="91440" h="91440">
                                <a:moveTo>
                                  <a:pt x="82295" y="3048"/>
                                </a:moveTo>
                                <a:lnTo>
                                  <a:pt x="9143" y="3048"/>
                                </a:lnTo>
                                <a:lnTo>
                                  <a:pt x="9143" y="9144"/>
                                </a:lnTo>
                                <a:lnTo>
                                  <a:pt x="82295" y="9144"/>
                                </a:lnTo>
                                <a:lnTo>
                                  <a:pt x="82295" y="3048"/>
                                </a:lnTo>
                                <a:close/>
                              </a:path>
                              <a:path w="91440" h="91440">
                                <a:moveTo>
                                  <a:pt x="91439" y="3048"/>
                                </a:moveTo>
                                <a:lnTo>
                                  <a:pt x="82295" y="3048"/>
                                </a:lnTo>
                                <a:lnTo>
                                  <a:pt x="88391"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pic:pic>
                        <pic:nvPicPr>
                          <pic:cNvPr id="216" name="Image 216"/>
                          <pic:cNvPicPr/>
                        </pic:nvPicPr>
                        <pic:blipFill>
                          <a:blip r:embed="rId65" cstate="print"/>
                          <a:stretch>
                            <a:fillRect/>
                          </a:stretch>
                        </pic:blipFill>
                        <pic:spPr>
                          <a:xfrm>
                            <a:off x="1533144" y="728472"/>
                            <a:ext cx="91439" cy="91439"/>
                          </a:xfrm>
                          <a:prstGeom prst="rect">
                            <a:avLst/>
                          </a:prstGeom>
                        </pic:spPr>
                      </pic:pic>
                      <pic:pic>
                        <pic:nvPicPr>
                          <pic:cNvPr id="217" name="Image 217"/>
                          <pic:cNvPicPr/>
                        </pic:nvPicPr>
                        <pic:blipFill>
                          <a:blip r:embed="rId66" cstate="print"/>
                          <a:stretch>
                            <a:fillRect/>
                          </a:stretch>
                        </pic:blipFill>
                        <pic:spPr>
                          <a:xfrm>
                            <a:off x="2148839" y="792480"/>
                            <a:ext cx="91439" cy="91439"/>
                          </a:xfrm>
                          <a:prstGeom prst="rect">
                            <a:avLst/>
                          </a:prstGeom>
                        </pic:spPr>
                      </pic:pic>
                      <pic:pic>
                        <pic:nvPicPr>
                          <pic:cNvPr id="218" name="Image 218"/>
                          <pic:cNvPicPr/>
                        </pic:nvPicPr>
                        <pic:blipFill>
                          <a:blip r:embed="rId67" cstate="print"/>
                          <a:stretch>
                            <a:fillRect/>
                          </a:stretch>
                        </pic:blipFill>
                        <pic:spPr>
                          <a:xfrm>
                            <a:off x="2767583" y="865632"/>
                            <a:ext cx="91440" cy="91440"/>
                          </a:xfrm>
                          <a:prstGeom prst="rect">
                            <a:avLst/>
                          </a:prstGeom>
                        </pic:spPr>
                      </pic:pic>
                      <wps:wsp>
                        <wps:cNvPr id="219" name="Graphic 219"/>
                        <wps:cNvSpPr/>
                        <wps:spPr>
                          <a:xfrm>
                            <a:off x="3389376" y="1322832"/>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220" name="Graphic 220"/>
                        <wps:cNvSpPr/>
                        <wps:spPr>
                          <a:xfrm>
                            <a:off x="3383279" y="1316736"/>
                            <a:ext cx="91440" cy="94615"/>
                          </a:xfrm>
                          <a:custGeom>
                            <a:avLst/>
                            <a:gdLst/>
                            <a:ahLst/>
                            <a:cxnLst/>
                            <a:rect l="l" t="t" r="r" b="b"/>
                            <a:pathLst>
                              <a:path w="91440" h="94615">
                                <a:moveTo>
                                  <a:pt x="91439" y="0"/>
                                </a:moveTo>
                                <a:lnTo>
                                  <a:pt x="3048" y="0"/>
                                </a:lnTo>
                                <a:lnTo>
                                  <a:pt x="0" y="3048"/>
                                </a:lnTo>
                                <a:lnTo>
                                  <a:pt x="0" y="91440"/>
                                </a:lnTo>
                                <a:lnTo>
                                  <a:pt x="3048" y="94488"/>
                                </a:lnTo>
                                <a:lnTo>
                                  <a:pt x="91439" y="94488"/>
                                </a:lnTo>
                                <a:lnTo>
                                  <a:pt x="91439" y="88392"/>
                                </a:lnTo>
                                <a:lnTo>
                                  <a:pt x="9144" y="88392"/>
                                </a:lnTo>
                                <a:lnTo>
                                  <a:pt x="6096" y="85344"/>
                                </a:lnTo>
                                <a:lnTo>
                                  <a:pt x="9144" y="85344"/>
                                </a:lnTo>
                                <a:lnTo>
                                  <a:pt x="9144" y="9144"/>
                                </a:lnTo>
                                <a:lnTo>
                                  <a:pt x="6096" y="9144"/>
                                </a:lnTo>
                                <a:lnTo>
                                  <a:pt x="9144" y="6096"/>
                                </a:lnTo>
                                <a:lnTo>
                                  <a:pt x="91439" y="6096"/>
                                </a:lnTo>
                                <a:lnTo>
                                  <a:pt x="91439" y="0"/>
                                </a:lnTo>
                                <a:close/>
                              </a:path>
                              <a:path w="91440" h="94615">
                                <a:moveTo>
                                  <a:pt x="9144" y="85344"/>
                                </a:moveTo>
                                <a:lnTo>
                                  <a:pt x="6096" y="85344"/>
                                </a:lnTo>
                                <a:lnTo>
                                  <a:pt x="9144" y="88392"/>
                                </a:lnTo>
                                <a:lnTo>
                                  <a:pt x="9144" y="85344"/>
                                </a:lnTo>
                                <a:close/>
                              </a:path>
                              <a:path w="91440" h="94615">
                                <a:moveTo>
                                  <a:pt x="82296" y="85344"/>
                                </a:moveTo>
                                <a:lnTo>
                                  <a:pt x="9144" y="85344"/>
                                </a:lnTo>
                                <a:lnTo>
                                  <a:pt x="9144" y="88392"/>
                                </a:lnTo>
                                <a:lnTo>
                                  <a:pt x="82296" y="88392"/>
                                </a:lnTo>
                                <a:lnTo>
                                  <a:pt x="82296" y="85344"/>
                                </a:lnTo>
                                <a:close/>
                              </a:path>
                              <a:path w="91440" h="94615">
                                <a:moveTo>
                                  <a:pt x="82296" y="6096"/>
                                </a:moveTo>
                                <a:lnTo>
                                  <a:pt x="82296" y="88392"/>
                                </a:lnTo>
                                <a:lnTo>
                                  <a:pt x="88391" y="85344"/>
                                </a:lnTo>
                                <a:lnTo>
                                  <a:pt x="91439" y="85344"/>
                                </a:lnTo>
                                <a:lnTo>
                                  <a:pt x="91439" y="9144"/>
                                </a:lnTo>
                                <a:lnTo>
                                  <a:pt x="88391" y="9144"/>
                                </a:lnTo>
                                <a:lnTo>
                                  <a:pt x="82296" y="6096"/>
                                </a:lnTo>
                                <a:close/>
                              </a:path>
                              <a:path w="91440" h="94615">
                                <a:moveTo>
                                  <a:pt x="91439" y="85344"/>
                                </a:moveTo>
                                <a:lnTo>
                                  <a:pt x="88391" y="85344"/>
                                </a:lnTo>
                                <a:lnTo>
                                  <a:pt x="82296" y="88392"/>
                                </a:lnTo>
                                <a:lnTo>
                                  <a:pt x="91439" y="88392"/>
                                </a:lnTo>
                                <a:lnTo>
                                  <a:pt x="91439" y="85344"/>
                                </a:lnTo>
                                <a:close/>
                              </a:path>
                              <a:path w="91440" h="94615">
                                <a:moveTo>
                                  <a:pt x="9144" y="6096"/>
                                </a:moveTo>
                                <a:lnTo>
                                  <a:pt x="6096" y="9144"/>
                                </a:lnTo>
                                <a:lnTo>
                                  <a:pt x="9144" y="9144"/>
                                </a:lnTo>
                                <a:lnTo>
                                  <a:pt x="9144" y="6096"/>
                                </a:lnTo>
                                <a:close/>
                              </a:path>
                              <a:path w="91440" h="94615">
                                <a:moveTo>
                                  <a:pt x="82296" y="6096"/>
                                </a:moveTo>
                                <a:lnTo>
                                  <a:pt x="9144" y="6096"/>
                                </a:lnTo>
                                <a:lnTo>
                                  <a:pt x="9144" y="9144"/>
                                </a:lnTo>
                                <a:lnTo>
                                  <a:pt x="82296" y="9144"/>
                                </a:lnTo>
                                <a:lnTo>
                                  <a:pt x="82296" y="6096"/>
                                </a:lnTo>
                                <a:close/>
                              </a:path>
                              <a:path w="91440" h="94615">
                                <a:moveTo>
                                  <a:pt x="91439" y="6096"/>
                                </a:moveTo>
                                <a:lnTo>
                                  <a:pt x="82296" y="6096"/>
                                </a:lnTo>
                                <a:lnTo>
                                  <a:pt x="88391"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221" name="Graphic 221"/>
                        <wps:cNvSpPr/>
                        <wps:spPr>
                          <a:xfrm>
                            <a:off x="332231" y="630936"/>
                            <a:ext cx="3115310" cy="902335"/>
                          </a:xfrm>
                          <a:custGeom>
                            <a:avLst/>
                            <a:gdLst/>
                            <a:ahLst/>
                            <a:cxnLst/>
                            <a:rect l="l" t="t" r="r" b="b"/>
                            <a:pathLst>
                              <a:path w="3115310" h="902335">
                                <a:moveTo>
                                  <a:pt x="2477326" y="300973"/>
                                </a:moveTo>
                                <a:lnTo>
                                  <a:pt x="3093720" y="896112"/>
                                </a:lnTo>
                                <a:lnTo>
                                  <a:pt x="3096768" y="902207"/>
                                </a:lnTo>
                                <a:lnTo>
                                  <a:pt x="3105912" y="902207"/>
                                </a:lnTo>
                                <a:lnTo>
                                  <a:pt x="3112008" y="896112"/>
                                </a:lnTo>
                                <a:lnTo>
                                  <a:pt x="3115056" y="890016"/>
                                </a:lnTo>
                                <a:lnTo>
                                  <a:pt x="3115056" y="883920"/>
                                </a:lnTo>
                                <a:lnTo>
                                  <a:pt x="3112008" y="877824"/>
                                </a:lnTo>
                                <a:lnTo>
                                  <a:pt x="2518390" y="301751"/>
                                </a:lnTo>
                                <a:lnTo>
                                  <a:pt x="2481072" y="301751"/>
                                </a:lnTo>
                                <a:lnTo>
                                  <a:pt x="2477326" y="300973"/>
                                </a:lnTo>
                                <a:close/>
                              </a:path>
                              <a:path w="3115310" h="902335">
                                <a:moveTo>
                                  <a:pt x="2474976" y="298703"/>
                                </a:moveTo>
                                <a:lnTo>
                                  <a:pt x="2477326" y="300973"/>
                                </a:lnTo>
                                <a:lnTo>
                                  <a:pt x="2481072" y="301751"/>
                                </a:lnTo>
                                <a:lnTo>
                                  <a:pt x="2474976" y="298703"/>
                                </a:lnTo>
                                <a:close/>
                              </a:path>
                              <a:path w="3115310" h="902335">
                                <a:moveTo>
                                  <a:pt x="2515249" y="298703"/>
                                </a:moveTo>
                                <a:lnTo>
                                  <a:pt x="2474976" y="298703"/>
                                </a:lnTo>
                                <a:lnTo>
                                  <a:pt x="2481072" y="301751"/>
                                </a:lnTo>
                                <a:lnTo>
                                  <a:pt x="2518390" y="301751"/>
                                </a:lnTo>
                                <a:lnTo>
                                  <a:pt x="2515249" y="298703"/>
                                </a:lnTo>
                                <a:close/>
                              </a:path>
                              <a:path w="3115310" h="902335">
                                <a:moveTo>
                                  <a:pt x="12192" y="0"/>
                                </a:moveTo>
                                <a:lnTo>
                                  <a:pt x="6096" y="0"/>
                                </a:lnTo>
                                <a:lnTo>
                                  <a:pt x="0" y="6096"/>
                                </a:lnTo>
                                <a:lnTo>
                                  <a:pt x="0" y="21336"/>
                                </a:lnTo>
                                <a:lnTo>
                                  <a:pt x="6096" y="24383"/>
                                </a:lnTo>
                                <a:lnTo>
                                  <a:pt x="12192" y="24383"/>
                                </a:lnTo>
                                <a:lnTo>
                                  <a:pt x="627888" y="36575"/>
                                </a:lnTo>
                                <a:lnTo>
                                  <a:pt x="1246632" y="112775"/>
                                </a:lnTo>
                                <a:lnTo>
                                  <a:pt x="1865376" y="173736"/>
                                </a:lnTo>
                                <a:lnTo>
                                  <a:pt x="2477326" y="300973"/>
                                </a:lnTo>
                                <a:lnTo>
                                  <a:pt x="2474976" y="298703"/>
                                </a:lnTo>
                                <a:lnTo>
                                  <a:pt x="2515249" y="298703"/>
                                </a:lnTo>
                                <a:lnTo>
                                  <a:pt x="2493264" y="277368"/>
                                </a:lnTo>
                                <a:lnTo>
                                  <a:pt x="2490216" y="277368"/>
                                </a:lnTo>
                                <a:lnTo>
                                  <a:pt x="2487168" y="274320"/>
                                </a:lnTo>
                                <a:lnTo>
                                  <a:pt x="2484120" y="274320"/>
                                </a:lnTo>
                                <a:lnTo>
                                  <a:pt x="1868424" y="149351"/>
                                </a:lnTo>
                                <a:lnTo>
                                  <a:pt x="1249680" y="85344"/>
                                </a:lnTo>
                                <a:lnTo>
                                  <a:pt x="630936" y="12192"/>
                                </a:lnTo>
                                <a:lnTo>
                                  <a:pt x="12192" y="0"/>
                                </a:lnTo>
                                <a:close/>
                              </a:path>
                            </a:pathLst>
                          </a:custGeom>
                          <a:solidFill>
                            <a:srgbClr val="97B853"/>
                          </a:solidFill>
                        </wps:spPr>
                        <wps:bodyPr wrap="square" lIns="0" tIns="0" rIns="0" bIns="0" rtlCol="0">
                          <a:prstTxWarp prst="textNoShape">
                            <a:avLst/>
                          </a:prstTxWarp>
                          <a:noAutofit/>
                        </wps:bodyPr>
                      </wps:wsp>
                      <pic:pic>
                        <pic:nvPicPr>
                          <pic:cNvPr id="222" name="Image 222"/>
                          <pic:cNvPicPr/>
                        </pic:nvPicPr>
                        <pic:blipFill>
                          <a:blip r:embed="rId68" cstate="print"/>
                          <a:stretch>
                            <a:fillRect/>
                          </a:stretch>
                        </pic:blipFill>
                        <pic:spPr>
                          <a:xfrm>
                            <a:off x="292608" y="594359"/>
                            <a:ext cx="100583" cy="97535"/>
                          </a:xfrm>
                          <a:prstGeom prst="rect">
                            <a:avLst/>
                          </a:prstGeom>
                        </pic:spPr>
                      </pic:pic>
                      <pic:pic>
                        <pic:nvPicPr>
                          <pic:cNvPr id="223" name="Image 223"/>
                          <pic:cNvPicPr/>
                        </pic:nvPicPr>
                        <pic:blipFill>
                          <a:blip r:embed="rId69" cstate="print"/>
                          <a:stretch>
                            <a:fillRect/>
                          </a:stretch>
                        </pic:blipFill>
                        <pic:spPr>
                          <a:xfrm>
                            <a:off x="911352" y="609600"/>
                            <a:ext cx="100584" cy="94487"/>
                          </a:xfrm>
                          <a:prstGeom prst="rect">
                            <a:avLst/>
                          </a:prstGeom>
                        </pic:spPr>
                      </pic:pic>
                      <pic:pic>
                        <pic:nvPicPr>
                          <pic:cNvPr id="224" name="Image 224"/>
                          <pic:cNvPicPr/>
                        </pic:nvPicPr>
                        <pic:blipFill>
                          <a:blip r:embed="rId70" cstate="print"/>
                          <a:stretch>
                            <a:fillRect/>
                          </a:stretch>
                        </pic:blipFill>
                        <pic:spPr>
                          <a:xfrm>
                            <a:off x="1530096" y="679704"/>
                            <a:ext cx="100584" cy="97535"/>
                          </a:xfrm>
                          <a:prstGeom prst="rect">
                            <a:avLst/>
                          </a:prstGeom>
                        </pic:spPr>
                      </pic:pic>
                      <pic:pic>
                        <pic:nvPicPr>
                          <pic:cNvPr id="225" name="Image 225"/>
                          <pic:cNvPicPr/>
                        </pic:nvPicPr>
                        <pic:blipFill>
                          <a:blip r:embed="rId71" cstate="print"/>
                          <a:stretch>
                            <a:fillRect/>
                          </a:stretch>
                        </pic:blipFill>
                        <pic:spPr>
                          <a:xfrm>
                            <a:off x="2148839" y="746759"/>
                            <a:ext cx="97536" cy="97535"/>
                          </a:xfrm>
                          <a:prstGeom prst="rect">
                            <a:avLst/>
                          </a:prstGeom>
                        </pic:spPr>
                      </pic:pic>
                      <pic:pic>
                        <pic:nvPicPr>
                          <pic:cNvPr id="226" name="Image 226"/>
                          <pic:cNvPicPr/>
                        </pic:nvPicPr>
                        <pic:blipFill>
                          <a:blip r:embed="rId72" cstate="print"/>
                          <a:stretch>
                            <a:fillRect/>
                          </a:stretch>
                        </pic:blipFill>
                        <pic:spPr>
                          <a:xfrm>
                            <a:off x="2767583" y="871727"/>
                            <a:ext cx="97536" cy="97535"/>
                          </a:xfrm>
                          <a:prstGeom prst="rect">
                            <a:avLst/>
                          </a:prstGeom>
                        </pic:spPr>
                      </pic:pic>
                      <pic:pic>
                        <pic:nvPicPr>
                          <pic:cNvPr id="227" name="Image 227"/>
                          <pic:cNvPicPr/>
                        </pic:nvPicPr>
                        <pic:blipFill>
                          <a:blip r:embed="rId48" cstate="print"/>
                          <a:stretch>
                            <a:fillRect/>
                          </a:stretch>
                        </pic:blipFill>
                        <pic:spPr>
                          <a:xfrm>
                            <a:off x="3383279" y="1469136"/>
                            <a:ext cx="97536" cy="94488"/>
                          </a:xfrm>
                          <a:prstGeom prst="rect">
                            <a:avLst/>
                          </a:prstGeom>
                        </pic:spPr>
                      </pic:pic>
                      <pic:pic>
                        <pic:nvPicPr>
                          <pic:cNvPr id="228" name="Image 228"/>
                          <pic:cNvPicPr/>
                        </pic:nvPicPr>
                        <pic:blipFill>
                          <a:blip r:embed="rId73" cstate="print"/>
                          <a:stretch>
                            <a:fillRect/>
                          </a:stretch>
                        </pic:blipFill>
                        <pic:spPr>
                          <a:xfrm>
                            <a:off x="3621023" y="1840992"/>
                            <a:ext cx="252983" cy="79248"/>
                          </a:xfrm>
                          <a:prstGeom prst="rect">
                            <a:avLst/>
                          </a:prstGeom>
                        </pic:spPr>
                      </pic:pic>
                      <pic:pic>
                        <pic:nvPicPr>
                          <pic:cNvPr id="229" name="Image 229"/>
                          <pic:cNvPicPr/>
                        </pic:nvPicPr>
                        <pic:blipFill>
                          <a:blip r:embed="rId74" cstate="print"/>
                          <a:stretch>
                            <a:fillRect/>
                          </a:stretch>
                        </pic:blipFill>
                        <pic:spPr>
                          <a:xfrm>
                            <a:off x="3621023" y="2057400"/>
                            <a:ext cx="252983" cy="79248"/>
                          </a:xfrm>
                          <a:prstGeom prst="rect">
                            <a:avLst/>
                          </a:prstGeom>
                        </pic:spPr>
                      </pic:pic>
                      <pic:pic>
                        <pic:nvPicPr>
                          <pic:cNvPr id="230" name="Image 230"/>
                          <pic:cNvPicPr/>
                        </pic:nvPicPr>
                        <pic:blipFill>
                          <a:blip r:embed="rId75" cstate="print"/>
                          <a:stretch>
                            <a:fillRect/>
                          </a:stretch>
                        </pic:blipFill>
                        <pic:spPr>
                          <a:xfrm>
                            <a:off x="3621023" y="2270760"/>
                            <a:ext cx="252983" cy="82296"/>
                          </a:xfrm>
                          <a:prstGeom prst="rect">
                            <a:avLst/>
                          </a:prstGeom>
                        </pic:spPr>
                      </pic:pic>
                    </wpg:wgp>
                  </a:graphicData>
                </a:graphic>
              </wp:anchor>
            </w:drawing>
          </mc:Choice>
          <mc:Fallback>
            <w:pict>
              <v:group style="position:absolute;margin-left:185.039993pt;margin-top:8.08pt;width:305.05pt;height:294pt;mso-position-horizontal-relative:page;mso-position-vertical-relative:paragraph;z-index:-21303296" id="docshapegroup190" coordorigin="3701,162" coordsize="6101,5880">
                <v:shape style="position:absolute;left:3700;top:161;width:5900;height:5880" id="docshape191" coordorigin="3701,162" coordsize="5900,5880" path="m9600,5979l9595,5979,9595,5974,3768,5974,3768,166,3758,166,3758,162,3701,162,3701,176,3754,176,3754,1131,3701,1131,3701,1146,3754,1146,3754,2096,3701,2096,3701,2110,3754,2110,3754,3070,3701,3070,3701,3080,3754,3080,3754,4040,3701,4040,3701,4050,3754,4050,3754,5010,3701,5010,3701,5024,3754,5024,3754,5974,3701,5974,3701,5989,3749,5989,3749,6042,3763,6042,3763,5989,4723,5989,4723,6042,4738,6042,4738,5989,5698,5989,5698,6042,5707,6042,5707,5989,6672,5989,6672,6042,6682,6042,6682,5989,7642,5989,7642,6042,7656,6042,7656,5989,8616,5989,8616,6042,8630,6042,8630,5989,9586,5989,9586,6042,9600,6042,9600,5979xe" filled="true" fillcolor="#858585" stroked="false">
                  <v:path arrowok="t"/>
                  <v:fill type="solid"/>
                </v:shape>
                <v:shape style="position:absolute;left:4224;top:1299;width:4906;height:1215" id="docshape192" coordorigin="4224,1299" coordsize="4906,1215" path="m8127,1712l9096,2504,9106,2514,9115,2509,9130,2494,9130,2480,9120,2470,8193,1712,8131,1712,8127,1712xm8122,1707l8127,1712,8131,1712,8122,1707xm8187,1707l8122,1707,8131,1712,8193,1712,8187,1707xm4248,1299l4234,1299,4224,1309,4224,1333,4243,1342,5213,1371,6187,1520,7162,1611,8127,1712,8122,1707,8187,1707,8146,1674,8141,1669,8136,1669,6192,1482,5218,1333,4248,1299xe" filled="true" fillcolor="#497dba" stroked="false">
                  <v:path arrowok="t"/>
                  <v:fill type="solid"/>
                </v:shape>
                <v:shape style="position:absolute;left:4161;top:1241;width:154;height:154" type="#_x0000_t75" id="docshape193" stroked="false">
                  <v:imagedata r:id="rId59" o:title=""/>
                </v:shape>
                <v:shape style="position:absolute;left:5136;top:1280;width:154;height:154" type="#_x0000_t75" id="docshape194" stroked="false">
                  <v:imagedata r:id="rId60" o:title=""/>
                </v:shape>
                <v:shape style="position:absolute;left:6110;top:1428;width:154;height:149" type="#_x0000_t75" id="docshape195" stroked="false">
                  <v:imagedata r:id="rId61" o:title=""/>
                </v:shape>
                <v:shape style="position:absolute;left:7084;top:1515;width:149;height:149" type="#_x0000_t75" id="docshape196" stroked="false">
                  <v:imagedata r:id="rId62" o:title=""/>
                </v:shape>
                <v:shape style="position:absolute;left:8059;top:1611;width:149;height:154" type="#_x0000_t75" id="docshape197" stroked="false">
                  <v:imagedata r:id="rId63" o:title=""/>
                </v:shape>
                <v:shape style="position:absolute;left:9028;top:2412;width:149;height:149" type="#_x0000_t75" id="docshape198" stroked="false">
                  <v:imagedata r:id="rId64" o:title=""/>
                </v:shape>
                <v:shape style="position:absolute;left:4224;top:1294;width:4906;height:1037" id="docshape199" coordorigin="4224,1294" coordsize="4906,1037" path="m8128,1616l9096,2326,9106,2331,9120,2331,9130,2312,9130,2298,9120,2293,8198,1616,8131,1616,8128,1616xm8122,1611l8128,1616,8131,1616,8122,1611xm8191,1611l8122,1611,8131,1616,8198,1616,8191,1611xm4243,1294l4234,1294,4224,1304,4224,1328,4234,1338,5213,1342,6187,1405,7162,1501,8128,1616,8122,1611,8191,1611,8146,1578,8141,1578,8136,1573,7166,1462,6192,1362,5213,1299,4243,1294xe" filled="true" fillcolor="#bd4a47" stroked="false">
                  <v:path arrowok="t"/>
                  <v:fill type="solid"/>
                </v:shape>
                <v:rect style="position:absolute;left:4171;top:1251;width:135;height:130" id="docshape200" filled="true" fillcolor="#bf4f4c" stroked="false">
                  <v:fill type="solid"/>
                </v:rect>
                <v:shape style="position:absolute;left:4166;top:1246;width:144;height:144" id="docshape201" coordorigin="4166,1246" coordsize="144,144" path="m4310,1246l4166,1246,4166,1386,4171,1390,4306,1390,4310,1386,4310,1381,4181,1381,4171,1376,4181,1376,4181,1261,4171,1261,4181,1251,4310,1251,4310,1246xm4181,1376l4171,1376,4181,1381,4181,1376xm4296,1376l4181,1376,4181,1381,4296,1381,4296,1376xm4296,1251l4296,1381,4306,1376,4310,1376,4310,1261,4306,1261,4296,1251xm4310,1376l4306,1376,4296,1381,4310,1381,4310,1376xm4181,1251l4171,1261,4181,1261,4181,1251xm4296,1251l4181,1251,4181,1261,4296,1261,4296,1251xm4310,1251l4296,1251,4306,1261,4310,1261,4310,1251xe" filled="true" fillcolor="#bd4a47" stroked="false">
                  <v:path arrowok="t"/>
                  <v:fill type="solid"/>
                </v:shape>
                <v:rect style="position:absolute;left:5145;top:1256;width:135;height:130" id="docshape202" filled="true" fillcolor="#bf4f4c" stroked="false">
                  <v:fill type="solid"/>
                </v:rect>
                <v:shape style="position:absolute;left:5140;top:1251;width:144;height:144" id="docshape203" coordorigin="5141,1251" coordsize="144,144" path="m5285,1251l5141,1251,5141,1390,5146,1395,5280,1395,5285,1390,5285,1386,5155,1386,5146,1381,5155,1381,5155,1266,5146,1266,5155,1256,5285,1256,5285,1251xm5155,1381l5146,1381,5155,1386,5155,1381xm5270,1381l5155,1381,5155,1386,5270,1386,5270,1381xm5270,1256l5270,1386,5280,1381,5285,1381,5285,1266,5280,1266,5270,1256xm5285,1381l5280,1381,5270,1386,5285,1386,5285,1381xm5155,1256l5146,1266,5155,1266,5155,1256xm5270,1256l5155,1256,5155,1266,5270,1266,5270,1256xm5285,1256l5270,1256,5280,1266,5285,1266,5285,1256xe" filled="true" fillcolor="#bd4a47" stroked="false">
                  <v:path arrowok="t"/>
                  <v:fill type="solid"/>
                </v:shape>
                <v:shape style="position:absolute;left:6115;top:1308;width:144;height:144" type="#_x0000_t75" id="docshape204" stroked="false">
                  <v:imagedata r:id="rId65" o:title=""/>
                </v:shape>
                <v:shape style="position:absolute;left:7084;top:1409;width:144;height:144" type="#_x0000_t75" id="docshape205" stroked="false">
                  <v:imagedata r:id="rId66" o:title=""/>
                </v:shape>
                <v:shape style="position:absolute;left:8059;top:1524;width:144;height:144" type="#_x0000_t75" id="docshape206" stroked="false">
                  <v:imagedata r:id="rId67" o:title=""/>
                </v:shape>
                <v:rect style="position:absolute;left:9038;top:2244;width:130;height:130" id="docshape207" filled="true" fillcolor="#bf4f4c" stroked="false">
                  <v:fill type="solid"/>
                </v:rect>
                <v:shape style="position:absolute;left:9028;top:2235;width:144;height:149" id="docshape208" coordorigin="9029,2235" coordsize="144,149" path="m9173,2235l9034,2235,9029,2240,9029,2379,9034,2384,9173,2384,9173,2374,9043,2374,9038,2370,9043,2370,9043,2250,9038,2250,9043,2245,9173,2245,9173,2235xm9043,2370l9038,2370,9043,2374,9043,2370xm9158,2370l9043,2370,9043,2374,9158,2374,9158,2370xm9158,2245l9158,2374,9168,2370,9173,2370,9173,2250,9168,2250,9158,2245xm9173,2370l9168,2370,9158,2374,9173,2374,9173,2370xm9043,2245l9038,2250,9043,2250,9043,2245xm9158,2245l9043,2245,9043,2250,9158,2250,9158,2245xm9173,2245l9158,2245,9168,2250,9173,2250,9173,2245xe" filled="true" fillcolor="#bd4a47" stroked="false">
                  <v:path arrowok="t"/>
                  <v:fill type="solid"/>
                </v:shape>
                <v:shape style="position:absolute;left:4224;top:1155;width:4906;height:1421" id="docshape209" coordorigin="4224,1155" coordsize="4906,1421" path="m8125,1629l9096,2566,9101,2576,9115,2576,9125,2566,9130,2557,9130,2547,9125,2538,8190,1630,8131,1630,8125,1629xm8122,1626l8125,1629,8131,1630,8122,1626xm8185,1626l8122,1626,8131,1630,8190,1630,8185,1626xm4243,1155l4234,1155,4224,1165,4224,1189,4234,1194,4243,1194,5213,1213,6187,1333,7162,1429,8125,1629,8122,1626,8185,1626,8150,1592,8146,1592,8141,1587,8136,1587,7166,1390,6192,1290,5218,1174,4243,1155xe" filled="true" fillcolor="#97b853" stroked="false">
                  <v:path arrowok="t"/>
                  <v:fill type="solid"/>
                </v:shape>
                <v:shape style="position:absolute;left:4161;top:1097;width:159;height:154" type="#_x0000_t75" id="docshape210" stroked="false">
                  <v:imagedata r:id="rId68" o:title=""/>
                </v:shape>
                <v:shape style="position:absolute;left:5136;top:1121;width:159;height:149" type="#_x0000_t75" id="docshape211" stroked="false">
                  <v:imagedata r:id="rId69" o:title=""/>
                </v:shape>
                <v:shape style="position:absolute;left:6110;top:1232;width:159;height:154" type="#_x0000_t75" id="docshape212" stroked="false">
                  <v:imagedata r:id="rId70" o:title=""/>
                </v:shape>
                <v:shape style="position:absolute;left:7084;top:1337;width:154;height:154" type="#_x0000_t75" id="docshape213" stroked="false">
                  <v:imagedata r:id="rId71" o:title=""/>
                </v:shape>
                <v:shape style="position:absolute;left:8059;top:1534;width:154;height:154" type="#_x0000_t75" id="docshape214" stroked="false">
                  <v:imagedata r:id="rId72" o:title=""/>
                </v:shape>
                <v:shape style="position:absolute;left:9028;top:2475;width:154;height:149" type="#_x0000_t75" id="docshape215" stroked="false">
                  <v:imagedata r:id="rId48" o:title=""/>
                </v:shape>
                <v:shape style="position:absolute;left:9403;top:3060;width:399;height:125" type="#_x0000_t75" id="docshape216" stroked="false">
                  <v:imagedata r:id="rId73" o:title=""/>
                </v:shape>
                <v:shape style="position:absolute;left:9403;top:3401;width:399;height:125" type="#_x0000_t75" id="docshape217" stroked="false">
                  <v:imagedata r:id="rId74" o:title=""/>
                </v:shape>
                <v:shape style="position:absolute;left:9403;top:3737;width:399;height:130" type="#_x0000_t75" id="docshape218" stroked="false">
                  <v:imagedata r:id="rId75"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41"/>
        <w:rPr>
          <w:rFonts w:ascii="Calibri"/>
          <w:sz w:val="19"/>
        </w:rPr>
      </w:pPr>
    </w:p>
    <w:p>
      <w:pPr>
        <w:spacing w:before="1"/>
        <w:ind w:left="1577"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41"/>
        <w:rPr>
          <w:rFonts w:ascii="Calibri"/>
          <w:sz w:val="19"/>
        </w:rPr>
      </w:pPr>
    </w:p>
    <w:p>
      <w:pPr>
        <w:spacing w:before="1"/>
        <w:ind w:left="1673" w:right="0" w:firstLine="0"/>
        <w:jc w:val="left"/>
        <w:rPr>
          <w:rFonts w:ascii="Calibri"/>
          <w:sz w:val="19"/>
        </w:rPr>
      </w:pPr>
      <w:r>
        <w:rPr/>
        <mc:AlternateContent>
          <mc:Choice Requires="wps">
            <w:drawing>
              <wp:anchor distT="0" distB="0" distL="0" distR="0" allowOverlap="1" layoutInCell="1" locked="0" behindDoc="0" simplePos="0" relativeHeight="15762944">
                <wp:simplePos x="0" y="0"/>
                <wp:positionH relativeFrom="page">
                  <wp:posOffset>1923969</wp:posOffset>
                </wp:positionH>
                <wp:positionV relativeFrom="paragraph">
                  <wp:posOffset>44046</wp:posOffset>
                </wp:positionV>
                <wp:extent cx="146050" cy="130683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46050" cy="130683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51.493683pt;margin-top:3.468203pt;width:11.5pt;height:102.9pt;mso-position-horizontal-relative:page;mso-position-vertical-relative:paragraph;z-index:15762944" type="#_x0000_t202" id="docshape219"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41"/>
        <w:rPr>
          <w:rFonts w:ascii="Calibri"/>
          <w:sz w:val="19"/>
        </w:rPr>
      </w:pPr>
    </w:p>
    <w:p>
      <w:pPr>
        <w:tabs>
          <w:tab w:pos="8095" w:val="left" w:leader="none"/>
        </w:tabs>
        <w:spacing w:before="0"/>
        <w:ind w:left="1673" w:right="0" w:firstLine="0"/>
        <w:jc w:val="left"/>
        <w:rPr>
          <w:rFonts w:ascii="Calibri"/>
          <w:sz w:val="19"/>
        </w:rPr>
      </w:pPr>
      <w:r>
        <w:rPr>
          <w:rFonts w:ascii="Calibri"/>
          <w:spacing w:val="-5"/>
          <w:sz w:val="19"/>
        </w:rPr>
        <w:t>60</w:t>
      </w:r>
      <w:r>
        <w:rPr>
          <w:rFonts w:ascii="Calibri"/>
          <w:sz w:val="19"/>
        </w:rPr>
        <w:tab/>
      </w:r>
      <w:r>
        <w:rPr>
          <w:rFonts w:ascii="Calibri"/>
          <w:spacing w:val="-5"/>
          <w:position w:val="-4"/>
          <w:sz w:val="19"/>
        </w:rPr>
        <w:t>DS</w:t>
      </w:r>
    </w:p>
    <w:p>
      <w:pPr>
        <w:spacing w:line="340" w:lineRule="exact" w:before="16"/>
        <w:ind w:left="8096" w:right="1304" w:firstLine="0"/>
        <w:jc w:val="left"/>
        <w:rPr>
          <w:rFonts w:ascii="Calibri"/>
          <w:sz w:val="19"/>
        </w:rPr>
      </w:pPr>
      <w:r>
        <w:rPr>
          <w:rFonts w:ascii="Calibri"/>
          <w:spacing w:val="-4"/>
          <w:sz w:val="19"/>
        </w:rPr>
        <w:t>MCS</w:t>
      </w:r>
      <w:r>
        <w:rPr>
          <w:rFonts w:ascii="Calibri"/>
          <w:sz w:val="19"/>
        </w:rPr>
        <w:t> </w:t>
      </w:r>
      <w:r>
        <w:rPr>
          <w:rFonts w:ascii="Calibri"/>
          <w:spacing w:val="-6"/>
          <w:sz w:val="19"/>
        </w:rPr>
        <w:t>MS</w:t>
      </w:r>
    </w:p>
    <w:p>
      <w:pPr>
        <w:spacing w:line="224" w:lineRule="exact" w:before="0"/>
        <w:ind w:left="1673" w:right="0" w:firstLine="0"/>
        <w:jc w:val="left"/>
        <w:rPr>
          <w:rFonts w:ascii="Calibri"/>
          <w:sz w:val="19"/>
        </w:rPr>
      </w:pPr>
      <w:r>
        <w:rPr>
          <w:rFonts w:ascii="Calibri"/>
          <w:spacing w:val="-5"/>
          <w:sz w:val="19"/>
        </w:rPr>
        <w:t>40</w:t>
      </w:r>
    </w:p>
    <w:p>
      <w:pPr>
        <w:pStyle w:val="BodyText"/>
        <w:rPr>
          <w:rFonts w:ascii="Calibri"/>
          <w:sz w:val="19"/>
        </w:rPr>
      </w:pPr>
    </w:p>
    <w:p>
      <w:pPr>
        <w:pStyle w:val="BodyText"/>
        <w:rPr>
          <w:rFonts w:ascii="Calibri"/>
          <w:sz w:val="19"/>
        </w:rPr>
      </w:pPr>
    </w:p>
    <w:p>
      <w:pPr>
        <w:pStyle w:val="BodyText"/>
        <w:spacing w:before="42"/>
        <w:rPr>
          <w:rFonts w:ascii="Calibri"/>
          <w:sz w:val="19"/>
        </w:rPr>
      </w:pPr>
    </w:p>
    <w:p>
      <w:pPr>
        <w:spacing w:before="0"/>
        <w:ind w:left="1673"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42"/>
        <w:rPr>
          <w:rFonts w:ascii="Calibri"/>
          <w:sz w:val="19"/>
        </w:rPr>
      </w:pPr>
    </w:p>
    <w:p>
      <w:pPr>
        <w:spacing w:before="0"/>
        <w:ind w:left="0" w:right="6132" w:firstLine="0"/>
        <w:jc w:val="center"/>
        <w:rPr>
          <w:rFonts w:ascii="Calibri"/>
          <w:sz w:val="19"/>
        </w:rPr>
      </w:pPr>
      <w:r>
        <w:rPr>
          <w:rFonts w:ascii="Calibri"/>
          <w:spacing w:val="-10"/>
          <w:sz w:val="19"/>
        </w:rPr>
        <w:t>0</w:t>
      </w:r>
    </w:p>
    <w:p>
      <w:pPr>
        <w:tabs>
          <w:tab w:pos="1171" w:val="left" w:leader="none"/>
          <w:tab w:pos="2140" w:val="left" w:leader="none"/>
          <w:tab w:pos="3067" w:val="left" w:leader="none"/>
          <w:tab w:pos="4041" w:val="left" w:leader="none"/>
          <w:tab w:pos="5299" w:val="right" w:leader="none"/>
        </w:tabs>
        <w:spacing w:before="13"/>
        <w:ind w:left="129" w:right="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1"/>
        <w:ind w:left="140" w:right="0" w:firstLine="0"/>
        <w:jc w:val="center"/>
        <w:rPr>
          <w:rFonts w:ascii="Calibri" w:hAnsi="Calibri"/>
          <w:b/>
          <w:sz w:val="19"/>
        </w:rPr>
      </w:pPr>
      <w:r>
        <w:rPr>
          <w:rFonts w:ascii="Calibri" w:hAnsi="Calibri"/>
          <w:b/>
          <w:sz w:val="19"/>
        </w:rPr>
        <w:t>Sieve</w:t>
      </w:r>
      <w:r>
        <w:rPr>
          <w:rFonts w:ascii="Calibri" w:hAnsi="Calibri"/>
          <w:b/>
          <w:spacing w:val="-8"/>
          <w:sz w:val="19"/>
        </w:rPr>
        <w:t> </w:t>
      </w:r>
      <w:r>
        <w:rPr>
          <w:rFonts w:ascii="Calibri" w:hAnsi="Calibri"/>
          <w:b/>
          <w:sz w:val="19"/>
        </w:rPr>
        <w:t>size</w:t>
      </w:r>
      <w:r>
        <w:rPr>
          <w:rFonts w:ascii="Calibri" w:hAnsi="Calibri"/>
          <w:b/>
          <w:spacing w:val="-7"/>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rPr>
          <w:rFonts w:ascii="Calibri"/>
          <w:b/>
        </w:rPr>
      </w:pPr>
    </w:p>
    <w:p>
      <w:pPr>
        <w:pStyle w:val="BodyText"/>
        <w:spacing w:before="47"/>
        <w:rPr>
          <w:rFonts w:ascii="Calibri"/>
          <w:b/>
        </w:rPr>
      </w:pPr>
    </w:p>
    <w:p>
      <w:pPr>
        <w:pStyle w:val="Heading2"/>
        <w:spacing w:line="244" w:lineRule="auto"/>
        <w:ind w:left="1913" w:right="1550" w:hanging="1248"/>
      </w:pPr>
      <w:r>
        <w:rPr/>
        <w:t>Figure A. 6: Graph of Cumulative frequency (%) oversize distribution against sieve size (µm) of metronidazole granules using 2.5 % w/w as </w:t>
      </w:r>
      <w:r>
        <w:rPr>
          <w:spacing w:val="-2"/>
        </w:rPr>
        <w:t>disintegrant.</w:t>
      </w:r>
    </w:p>
    <w:p>
      <w:pPr>
        <w:spacing w:after="0" w:line="244" w:lineRule="auto"/>
        <w:sectPr>
          <w:pgSz w:w="12240" w:h="15840"/>
          <w:pgMar w:header="0" w:footer="999" w:top="1360" w:bottom="1180" w:left="1720" w:right="760"/>
        </w:sectPr>
      </w:pPr>
    </w:p>
    <w:p>
      <w:pPr>
        <w:pStyle w:val="BodyText"/>
        <w:spacing w:before="151"/>
        <w:rPr>
          <w:b/>
          <w:sz w:val="19"/>
        </w:rPr>
      </w:pPr>
    </w:p>
    <w:p>
      <w:pPr>
        <w:spacing w:before="1"/>
        <w:ind w:left="1193" w:right="0" w:firstLine="0"/>
        <w:jc w:val="left"/>
        <w:rPr>
          <w:rFonts w:ascii="Calibri"/>
          <w:sz w:val="19"/>
        </w:rPr>
      </w:pPr>
      <w:r>
        <w:rPr/>
        <mc:AlternateContent>
          <mc:Choice Requires="wps">
            <w:drawing>
              <wp:anchor distT="0" distB="0" distL="0" distR="0" allowOverlap="1" layoutInCell="1" locked="0" behindDoc="1" simplePos="0" relativeHeight="482014208">
                <wp:simplePos x="0" y="0"/>
                <wp:positionH relativeFrom="page">
                  <wp:posOffset>2106167</wp:posOffset>
                </wp:positionH>
                <wp:positionV relativeFrom="paragraph">
                  <wp:posOffset>75767</wp:posOffset>
                </wp:positionV>
                <wp:extent cx="4075429" cy="3846829"/>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4075429" cy="3846829"/>
                          <a:chExt cx="4075429" cy="3846829"/>
                        </a:xfrm>
                      </wpg:grpSpPr>
                      <wps:wsp>
                        <wps:cNvPr id="233" name="Graphic 233"/>
                        <wps:cNvSpPr/>
                        <wps:spPr>
                          <a:xfrm>
                            <a:off x="0" y="0"/>
                            <a:ext cx="3926204" cy="3846829"/>
                          </a:xfrm>
                          <a:custGeom>
                            <a:avLst/>
                            <a:gdLst/>
                            <a:ahLst/>
                            <a:cxnLst/>
                            <a:rect l="l" t="t" r="r" b="b"/>
                            <a:pathLst>
                              <a:path w="3926204" h="3846829">
                                <a:moveTo>
                                  <a:pt x="3925824" y="3806952"/>
                                </a:moveTo>
                                <a:lnTo>
                                  <a:pt x="3919728" y="3806952"/>
                                </a:lnTo>
                                <a:lnTo>
                                  <a:pt x="3919728" y="3803904"/>
                                </a:lnTo>
                                <a:lnTo>
                                  <a:pt x="39624" y="3803904"/>
                                </a:lnTo>
                                <a:lnTo>
                                  <a:pt x="39624" y="6096"/>
                                </a:lnTo>
                                <a:lnTo>
                                  <a:pt x="36576" y="6096"/>
                                </a:lnTo>
                                <a:lnTo>
                                  <a:pt x="36576" y="0"/>
                                </a:lnTo>
                                <a:lnTo>
                                  <a:pt x="0" y="0"/>
                                </a:lnTo>
                                <a:lnTo>
                                  <a:pt x="0" y="9144"/>
                                </a:lnTo>
                                <a:lnTo>
                                  <a:pt x="30480" y="9144"/>
                                </a:lnTo>
                                <a:lnTo>
                                  <a:pt x="30480" y="633984"/>
                                </a:lnTo>
                                <a:lnTo>
                                  <a:pt x="0" y="633984"/>
                                </a:lnTo>
                                <a:lnTo>
                                  <a:pt x="0" y="640080"/>
                                </a:lnTo>
                                <a:lnTo>
                                  <a:pt x="30480" y="640080"/>
                                </a:lnTo>
                                <a:lnTo>
                                  <a:pt x="30480" y="1267968"/>
                                </a:lnTo>
                                <a:lnTo>
                                  <a:pt x="0" y="1267968"/>
                                </a:lnTo>
                                <a:lnTo>
                                  <a:pt x="0" y="1277112"/>
                                </a:lnTo>
                                <a:lnTo>
                                  <a:pt x="30480" y="1277112"/>
                                </a:lnTo>
                                <a:lnTo>
                                  <a:pt x="30480" y="1901952"/>
                                </a:lnTo>
                                <a:lnTo>
                                  <a:pt x="0" y="1901952"/>
                                </a:lnTo>
                                <a:lnTo>
                                  <a:pt x="0" y="1911096"/>
                                </a:lnTo>
                                <a:lnTo>
                                  <a:pt x="30480" y="1911096"/>
                                </a:lnTo>
                                <a:lnTo>
                                  <a:pt x="30480" y="2538984"/>
                                </a:lnTo>
                                <a:lnTo>
                                  <a:pt x="0" y="2538984"/>
                                </a:lnTo>
                                <a:lnTo>
                                  <a:pt x="0" y="2545080"/>
                                </a:lnTo>
                                <a:lnTo>
                                  <a:pt x="30480" y="2545080"/>
                                </a:lnTo>
                                <a:lnTo>
                                  <a:pt x="30480" y="3169920"/>
                                </a:lnTo>
                                <a:lnTo>
                                  <a:pt x="0" y="3169920"/>
                                </a:lnTo>
                                <a:lnTo>
                                  <a:pt x="0" y="3179064"/>
                                </a:lnTo>
                                <a:lnTo>
                                  <a:pt x="30480" y="3179064"/>
                                </a:lnTo>
                                <a:lnTo>
                                  <a:pt x="30480" y="3803904"/>
                                </a:lnTo>
                                <a:lnTo>
                                  <a:pt x="0" y="3803904"/>
                                </a:lnTo>
                                <a:lnTo>
                                  <a:pt x="0" y="3813048"/>
                                </a:lnTo>
                                <a:lnTo>
                                  <a:pt x="33528" y="3813048"/>
                                </a:lnTo>
                                <a:lnTo>
                                  <a:pt x="33528" y="3846576"/>
                                </a:lnTo>
                                <a:lnTo>
                                  <a:pt x="39624" y="3846576"/>
                                </a:lnTo>
                                <a:lnTo>
                                  <a:pt x="39624" y="3813048"/>
                                </a:lnTo>
                                <a:lnTo>
                                  <a:pt x="679704" y="3813048"/>
                                </a:lnTo>
                                <a:lnTo>
                                  <a:pt x="679704" y="3846576"/>
                                </a:lnTo>
                                <a:lnTo>
                                  <a:pt x="688848" y="3846576"/>
                                </a:lnTo>
                                <a:lnTo>
                                  <a:pt x="688848" y="3813048"/>
                                </a:lnTo>
                                <a:lnTo>
                                  <a:pt x="1325880" y="3813048"/>
                                </a:lnTo>
                                <a:lnTo>
                                  <a:pt x="1325880" y="3846576"/>
                                </a:lnTo>
                                <a:lnTo>
                                  <a:pt x="1335024" y="3846576"/>
                                </a:lnTo>
                                <a:lnTo>
                                  <a:pt x="1335024" y="3813048"/>
                                </a:lnTo>
                                <a:lnTo>
                                  <a:pt x="1975104" y="3813048"/>
                                </a:lnTo>
                                <a:lnTo>
                                  <a:pt x="1975104" y="3846576"/>
                                </a:lnTo>
                                <a:lnTo>
                                  <a:pt x="1984248" y="3846576"/>
                                </a:lnTo>
                                <a:lnTo>
                                  <a:pt x="1984248" y="3813048"/>
                                </a:lnTo>
                                <a:lnTo>
                                  <a:pt x="2621280" y="3813048"/>
                                </a:lnTo>
                                <a:lnTo>
                                  <a:pt x="2621280" y="3846576"/>
                                </a:lnTo>
                                <a:lnTo>
                                  <a:pt x="2630424" y="3846576"/>
                                </a:lnTo>
                                <a:lnTo>
                                  <a:pt x="2630424" y="3813048"/>
                                </a:lnTo>
                                <a:lnTo>
                                  <a:pt x="3270504" y="3813048"/>
                                </a:lnTo>
                                <a:lnTo>
                                  <a:pt x="3270504" y="3846576"/>
                                </a:lnTo>
                                <a:lnTo>
                                  <a:pt x="3279648" y="3846576"/>
                                </a:lnTo>
                                <a:lnTo>
                                  <a:pt x="3279648" y="3813048"/>
                                </a:lnTo>
                                <a:lnTo>
                                  <a:pt x="3916680" y="3813048"/>
                                </a:lnTo>
                                <a:lnTo>
                                  <a:pt x="3916680" y="3846576"/>
                                </a:lnTo>
                                <a:lnTo>
                                  <a:pt x="3925824" y="3846576"/>
                                </a:lnTo>
                                <a:lnTo>
                                  <a:pt x="3925824" y="3806952"/>
                                </a:lnTo>
                                <a:close/>
                              </a:path>
                            </a:pathLst>
                          </a:custGeom>
                          <a:solidFill>
                            <a:srgbClr val="858585"/>
                          </a:solidFill>
                        </wps:spPr>
                        <wps:bodyPr wrap="square" lIns="0" tIns="0" rIns="0" bIns="0" rtlCol="0">
                          <a:prstTxWarp prst="textNoShape">
                            <a:avLst/>
                          </a:prstTxWarp>
                          <a:noAutofit/>
                        </wps:bodyPr>
                      </wps:wsp>
                      <wps:wsp>
                        <wps:cNvPr id="234" name="Graphic 234"/>
                        <wps:cNvSpPr/>
                        <wps:spPr>
                          <a:xfrm>
                            <a:off x="347472" y="646176"/>
                            <a:ext cx="3264535" cy="1097280"/>
                          </a:xfrm>
                          <a:custGeom>
                            <a:avLst/>
                            <a:gdLst/>
                            <a:ahLst/>
                            <a:cxnLst/>
                            <a:rect l="l" t="t" r="r" b="b"/>
                            <a:pathLst>
                              <a:path w="3264535" h="1097280">
                                <a:moveTo>
                                  <a:pt x="2595456" y="285474"/>
                                </a:moveTo>
                                <a:lnTo>
                                  <a:pt x="3240024" y="1091183"/>
                                </a:lnTo>
                                <a:lnTo>
                                  <a:pt x="3243072" y="1097279"/>
                                </a:lnTo>
                                <a:lnTo>
                                  <a:pt x="3252216" y="1097279"/>
                                </a:lnTo>
                                <a:lnTo>
                                  <a:pt x="3258312" y="1091183"/>
                                </a:lnTo>
                                <a:lnTo>
                                  <a:pt x="3264408" y="1088135"/>
                                </a:lnTo>
                                <a:lnTo>
                                  <a:pt x="3264408" y="1078991"/>
                                </a:lnTo>
                                <a:lnTo>
                                  <a:pt x="3261360" y="1072895"/>
                                </a:lnTo>
                                <a:lnTo>
                                  <a:pt x="2629285" y="286511"/>
                                </a:lnTo>
                                <a:lnTo>
                                  <a:pt x="2599944" y="286511"/>
                                </a:lnTo>
                                <a:lnTo>
                                  <a:pt x="2595456" y="285474"/>
                                </a:lnTo>
                                <a:close/>
                              </a:path>
                              <a:path w="3264535" h="1097280">
                                <a:moveTo>
                                  <a:pt x="2593848" y="283463"/>
                                </a:moveTo>
                                <a:lnTo>
                                  <a:pt x="2595456" y="285474"/>
                                </a:lnTo>
                                <a:lnTo>
                                  <a:pt x="2599944" y="286511"/>
                                </a:lnTo>
                                <a:lnTo>
                                  <a:pt x="2593848" y="283463"/>
                                </a:lnTo>
                                <a:close/>
                              </a:path>
                              <a:path w="3264535" h="1097280">
                                <a:moveTo>
                                  <a:pt x="2626835" y="283463"/>
                                </a:moveTo>
                                <a:lnTo>
                                  <a:pt x="2593848" y="283463"/>
                                </a:lnTo>
                                <a:lnTo>
                                  <a:pt x="2599944" y="286511"/>
                                </a:lnTo>
                                <a:lnTo>
                                  <a:pt x="2629285" y="286511"/>
                                </a:lnTo>
                                <a:lnTo>
                                  <a:pt x="2626835" y="283463"/>
                                </a:lnTo>
                                <a:close/>
                              </a:path>
                              <a:path w="3264535" h="1097280">
                                <a:moveTo>
                                  <a:pt x="12192" y="0"/>
                                </a:moveTo>
                                <a:lnTo>
                                  <a:pt x="6096" y="0"/>
                                </a:lnTo>
                                <a:lnTo>
                                  <a:pt x="0" y="6095"/>
                                </a:lnTo>
                                <a:lnTo>
                                  <a:pt x="0" y="21335"/>
                                </a:lnTo>
                                <a:lnTo>
                                  <a:pt x="6096" y="27431"/>
                                </a:lnTo>
                                <a:lnTo>
                                  <a:pt x="12192" y="27431"/>
                                </a:lnTo>
                                <a:lnTo>
                                  <a:pt x="661416" y="36575"/>
                                </a:lnTo>
                                <a:lnTo>
                                  <a:pt x="1307592" y="106679"/>
                                </a:lnTo>
                                <a:lnTo>
                                  <a:pt x="1953768" y="137159"/>
                                </a:lnTo>
                                <a:lnTo>
                                  <a:pt x="2595456" y="285474"/>
                                </a:lnTo>
                                <a:lnTo>
                                  <a:pt x="2593848" y="283463"/>
                                </a:lnTo>
                                <a:lnTo>
                                  <a:pt x="2626835" y="283463"/>
                                </a:lnTo>
                                <a:lnTo>
                                  <a:pt x="2612136" y="265175"/>
                                </a:lnTo>
                                <a:lnTo>
                                  <a:pt x="2609088" y="262127"/>
                                </a:lnTo>
                                <a:lnTo>
                                  <a:pt x="2606040" y="262127"/>
                                </a:lnTo>
                                <a:lnTo>
                                  <a:pt x="1956815" y="112775"/>
                                </a:lnTo>
                                <a:lnTo>
                                  <a:pt x="1307592" y="82295"/>
                                </a:lnTo>
                                <a:lnTo>
                                  <a:pt x="661416" y="12191"/>
                                </a:lnTo>
                                <a:lnTo>
                                  <a:pt x="12192" y="0"/>
                                </a:lnTo>
                                <a:close/>
                              </a:path>
                            </a:pathLst>
                          </a:custGeom>
                          <a:solidFill>
                            <a:srgbClr val="497DBA"/>
                          </a:solidFill>
                        </wps:spPr>
                        <wps:bodyPr wrap="square" lIns="0" tIns="0" rIns="0" bIns="0" rtlCol="0">
                          <a:prstTxWarp prst="textNoShape">
                            <a:avLst/>
                          </a:prstTxWarp>
                          <a:noAutofit/>
                        </wps:bodyPr>
                      </wps:wsp>
                      <pic:pic>
                        <pic:nvPicPr>
                          <pic:cNvPr id="235" name="Image 235"/>
                          <pic:cNvPicPr/>
                        </pic:nvPicPr>
                        <pic:blipFill>
                          <a:blip r:embed="rId76" cstate="print"/>
                          <a:stretch>
                            <a:fillRect/>
                          </a:stretch>
                        </pic:blipFill>
                        <pic:spPr>
                          <a:xfrm>
                            <a:off x="307847" y="609600"/>
                            <a:ext cx="97535" cy="94487"/>
                          </a:xfrm>
                          <a:prstGeom prst="rect">
                            <a:avLst/>
                          </a:prstGeom>
                        </pic:spPr>
                      </pic:pic>
                      <pic:pic>
                        <pic:nvPicPr>
                          <pic:cNvPr id="236" name="Image 236"/>
                          <pic:cNvPicPr/>
                        </pic:nvPicPr>
                        <pic:blipFill>
                          <a:blip r:embed="rId64" cstate="print"/>
                          <a:stretch>
                            <a:fillRect/>
                          </a:stretch>
                        </pic:blipFill>
                        <pic:spPr>
                          <a:xfrm>
                            <a:off x="957072" y="621791"/>
                            <a:ext cx="94487" cy="94488"/>
                          </a:xfrm>
                          <a:prstGeom prst="rect">
                            <a:avLst/>
                          </a:prstGeom>
                        </pic:spPr>
                      </pic:pic>
                      <pic:pic>
                        <pic:nvPicPr>
                          <pic:cNvPr id="237" name="Image 237"/>
                          <pic:cNvPicPr/>
                        </pic:nvPicPr>
                        <pic:blipFill>
                          <a:blip r:embed="rId77" cstate="print"/>
                          <a:stretch>
                            <a:fillRect/>
                          </a:stretch>
                        </pic:blipFill>
                        <pic:spPr>
                          <a:xfrm>
                            <a:off x="1603247" y="688848"/>
                            <a:ext cx="97536" cy="97536"/>
                          </a:xfrm>
                          <a:prstGeom prst="rect">
                            <a:avLst/>
                          </a:prstGeom>
                        </pic:spPr>
                      </pic:pic>
                      <pic:pic>
                        <pic:nvPicPr>
                          <pic:cNvPr id="238" name="Image 238"/>
                          <pic:cNvPicPr/>
                        </pic:nvPicPr>
                        <pic:blipFill>
                          <a:blip r:embed="rId78" cstate="print"/>
                          <a:stretch>
                            <a:fillRect/>
                          </a:stretch>
                        </pic:blipFill>
                        <pic:spPr>
                          <a:xfrm>
                            <a:off x="2252472" y="719327"/>
                            <a:ext cx="94487" cy="97535"/>
                          </a:xfrm>
                          <a:prstGeom prst="rect">
                            <a:avLst/>
                          </a:prstGeom>
                        </pic:spPr>
                      </pic:pic>
                      <pic:pic>
                        <pic:nvPicPr>
                          <pic:cNvPr id="239" name="Image 239"/>
                          <pic:cNvPicPr/>
                        </pic:nvPicPr>
                        <pic:blipFill>
                          <a:blip r:embed="rId79" cstate="print"/>
                          <a:stretch>
                            <a:fillRect/>
                          </a:stretch>
                        </pic:blipFill>
                        <pic:spPr>
                          <a:xfrm>
                            <a:off x="2898648" y="868680"/>
                            <a:ext cx="97536" cy="97535"/>
                          </a:xfrm>
                          <a:prstGeom prst="rect">
                            <a:avLst/>
                          </a:prstGeom>
                        </pic:spPr>
                      </pic:pic>
                      <pic:pic>
                        <pic:nvPicPr>
                          <pic:cNvPr id="240" name="Image 240"/>
                          <pic:cNvPicPr/>
                        </pic:nvPicPr>
                        <pic:blipFill>
                          <a:blip r:embed="rId80" cstate="print"/>
                          <a:stretch>
                            <a:fillRect/>
                          </a:stretch>
                        </pic:blipFill>
                        <pic:spPr>
                          <a:xfrm>
                            <a:off x="3544823" y="1676400"/>
                            <a:ext cx="97536" cy="97535"/>
                          </a:xfrm>
                          <a:prstGeom prst="rect">
                            <a:avLst/>
                          </a:prstGeom>
                        </pic:spPr>
                      </pic:pic>
                      <wps:wsp>
                        <wps:cNvPr id="241" name="Graphic 241"/>
                        <wps:cNvSpPr/>
                        <wps:spPr>
                          <a:xfrm>
                            <a:off x="347472" y="710183"/>
                            <a:ext cx="3264535" cy="741045"/>
                          </a:xfrm>
                          <a:custGeom>
                            <a:avLst/>
                            <a:gdLst/>
                            <a:ahLst/>
                            <a:cxnLst/>
                            <a:rect l="l" t="t" r="r" b="b"/>
                            <a:pathLst>
                              <a:path w="3264535" h="741045">
                                <a:moveTo>
                                  <a:pt x="2634546" y="207263"/>
                                </a:moveTo>
                                <a:lnTo>
                                  <a:pt x="2593848" y="207263"/>
                                </a:lnTo>
                                <a:lnTo>
                                  <a:pt x="2602992" y="210311"/>
                                </a:lnTo>
                                <a:lnTo>
                                  <a:pt x="2597600" y="210311"/>
                                </a:lnTo>
                                <a:lnTo>
                                  <a:pt x="3243072" y="734568"/>
                                </a:lnTo>
                                <a:lnTo>
                                  <a:pt x="3246120" y="740663"/>
                                </a:lnTo>
                                <a:lnTo>
                                  <a:pt x="3255264" y="740663"/>
                                </a:lnTo>
                                <a:lnTo>
                                  <a:pt x="3261360" y="734568"/>
                                </a:lnTo>
                                <a:lnTo>
                                  <a:pt x="3264408" y="728472"/>
                                </a:lnTo>
                                <a:lnTo>
                                  <a:pt x="3264408" y="719327"/>
                                </a:lnTo>
                                <a:lnTo>
                                  <a:pt x="3258312" y="716279"/>
                                </a:lnTo>
                                <a:lnTo>
                                  <a:pt x="2638281" y="210311"/>
                                </a:lnTo>
                                <a:lnTo>
                                  <a:pt x="2602992" y="210311"/>
                                </a:lnTo>
                                <a:lnTo>
                                  <a:pt x="2638250" y="210286"/>
                                </a:lnTo>
                                <a:lnTo>
                                  <a:pt x="2634546" y="207263"/>
                                </a:lnTo>
                                <a:close/>
                              </a:path>
                              <a:path w="3264535" h="741045">
                                <a:moveTo>
                                  <a:pt x="2593848" y="207263"/>
                                </a:moveTo>
                                <a:lnTo>
                                  <a:pt x="2597569" y="210286"/>
                                </a:lnTo>
                                <a:lnTo>
                                  <a:pt x="2602992" y="210311"/>
                                </a:lnTo>
                                <a:lnTo>
                                  <a:pt x="2593848" y="207263"/>
                                </a:lnTo>
                                <a:close/>
                              </a:path>
                              <a:path w="3264535" h="741045">
                                <a:moveTo>
                                  <a:pt x="12192" y="0"/>
                                </a:moveTo>
                                <a:lnTo>
                                  <a:pt x="6096" y="0"/>
                                </a:lnTo>
                                <a:lnTo>
                                  <a:pt x="0" y="6096"/>
                                </a:lnTo>
                                <a:lnTo>
                                  <a:pt x="0" y="18287"/>
                                </a:lnTo>
                                <a:lnTo>
                                  <a:pt x="6096" y="24383"/>
                                </a:lnTo>
                                <a:lnTo>
                                  <a:pt x="12192" y="24383"/>
                                </a:lnTo>
                                <a:lnTo>
                                  <a:pt x="661416" y="42672"/>
                                </a:lnTo>
                                <a:lnTo>
                                  <a:pt x="1307592" y="109727"/>
                                </a:lnTo>
                                <a:lnTo>
                                  <a:pt x="1953768" y="207263"/>
                                </a:lnTo>
                                <a:lnTo>
                                  <a:pt x="2597569" y="210286"/>
                                </a:lnTo>
                                <a:lnTo>
                                  <a:pt x="2593848" y="207263"/>
                                </a:lnTo>
                                <a:lnTo>
                                  <a:pt x="2634546" y="207263"/>
                                </a:lnTo>
                                <a:lnTo>
                                  <a:pt x="2612136" y="188975"/>
                                </a:lnTo>
                                <a:lnTo>
                                  <a:pt x="2609088" y="185927"/>
                                </a:lnTo>
                                <a:lnTo>
                                  <a:pt x="2602992" y="185927"/>
                                </a:lnTo>
                                <a:lnTo>
                                  <a:pt x="1956815" y="179831"/>
                                </a:lnTo>
                                <a:lnTo>
                                  <a:pt x="1307592" y="82296"/>
                                </a:lnTo>
                                <a:lnTo>
                                  <a:pt x="661416" y="18287"/>
                                </a:lnTo>
                                <a:lnTo>
                                  <a:pt x="12192" y="0"/>
                                </a:lnTo>
                                <a:close/>
                              </a:path>
                            </a:pathLst>
                          </a:custGeom>
                          <a:solidFill>
                            <a:srgbClr val="BD4A47"/>
                          </a:solidFill>
                        </wps:spPr>
                        <wps:bodyPr wrap="square" lIns="0" tIns="0" rIns="0" bIns="0" rtlCol="0">
                          <a:prstTxWarp prst="textNoShape">
                            <a:avLst/>
                          </a:prstTxWarp>
                          <a:noAutofit/>
                        </wps:bodyPr>
                      </wps:wsp>
                      <pic:pic>
                        <pic:nvPicPr>
                          <pic:cNvPr id="242" name="Image 242"/>
                          <pic:cNvPicPr/>
                        </pic:nvPicPr>
                        <pic:blipFill>
                          <a:blip r:embed="rId81" cstate="print"/>
                          <a:stretch>
                            <a:fillRect/>
                          </a:stretch>
                        </pic:blipFill>
                        <pic:spPr>
                          <a:xfrm>
                            <a:off x="310895" y="673608"/>
                            <a:ext cx="91440" cy="91439"/>
                          </a:xfrm>
                          <a:prstGeom prst="rect">
                            <a:avLst/>
                          </a:prstGeom>
                        </pic:spPr>
                      </pic:pic>
                      <wps:wsp>
                        <wps:cNvPr id="243" name="Graphic 243"/>
                        <wps:cNvSpPr/>
                        <wps:spPr>
                          <a:xfrm>
                            <a:off x="963167" y="694944"/>
                            <a:ext cx="82550" cy="82550"/>
                          </a:xfrm>
                          <a:custGeom>
                            <a:avLst/>
                            <a:gdLst/>
                            <a:ahLst/>
                            <a:cxnLst/>
                            <a:rect l="l" t="t" r="r" b="b"/>
                            <a:pathLst>
                              <a:path w="82550" h="82550">
                                <a:moveTo>
                                  <a:pt x="82295" y="0"/>
                                </a:moveTo>
                                <a:lnTo>
                                  <a:pt x="0" y="0"/>
                                </a:lnTo>
                                <a:lnTo>
                                  <a:pt x="0" y="82296"/>
                                </a:lnTo>
                                <a:lnTo>
                                  <a:pt x="82295" y="82296"/>
                                </a:lnTo>
                                <a:lnTo>
                                  <a:pt x="82295" y="0"/>
                                </a:lnTo>
                                <a:close/>
                              </a:path>
                            </a:pathLst>
                          </a:custGeom>
                          <a:solidFill>
                            <a:srgbClr val="BF4F4C"/>
                          </a:solidFill>
                        </wps:spPr>
                        <wps:bodyPr wrap="square" lIns="0" tIns="0" rIns="0" bIns="0" rtlCol="0">
                          <a:prstTxWarp prst="textNoShape">
                            <a:avLst/>
                          </a:prstTxWarp>
                          <a:noAutofit/>
                        </wps:bodyPr>
                      </wps:wsp>
                      <wps:wsp>
                        <wps:cNvPr id="244" name="Graphic 244"/>
                        <wps:cNvSpPr/>
                        <wps:spPr>
                          <a:xfrm>
                            <a:off x="957072" y="691895"/>
                            <a:ext cx="91440" cy="91440"/>
                          </a:xfrm>
                          <a:custGeom>
                            <a:avLst/>
                            <a:gdLst/>
                            <a:ahLst/>
                            <a:cxnLst/>
                            <a:rect l="l" t="t" r="r" b="b"/>
                            <a:pathLst>
                              <a:path w="91440" h="91440">
                                <a:moveTo>
                                  <a:pt x="91440" y="0"/>
                                </a:moveTo>
                                <a:lnTo>
                                  <a:pt x="0" y="0"/>
                                </a:lnTo>
                                <a:lnTo>
                                  <a:pt x="0" y="88392"/>
                                </a:lnTo>
                                <a:lnTo>
                                  <a:pt x="3048" y="91440"/>
                                </a:lnTo>
                                <a:lnTo>
                                  <a:pt x="91440" y="91440"/>
                                </a:lnTo>
                                <a:lnTo>
                                  <a:pt x="91440" y="85344"/>
                                </a:lnTo>
                                <a:lnTo>
                                  <a:pt x="9143" y="85344"/>
                                </a:lnTo>
                                <a:lnTo>
                                  <a:pt x="6096" y="82296"/>
                                </a:lnTo>
                                <a:lnTo>
                                  <a:pt x="9143" y="82296"/>
                                </a:lnTo>
                                <a:lnTo>
                                  <a:pt x="9143" y="9144"/>
                                </a:lnTo>
                                <a:lnTo>
                                  <a:pt x="6096" y="9144"/>
                                </a:lnTo>
                                <a:lnTo>
                                  <a:pt x="9143" y="3048"/>
                                </a:lnTo>
                                <a:lnTo>
                                  <a:pt x="91440" y="3048"/>
                                </a:lnTo>
                                <a:lnTo>
                                  <a:pt x="91440" y="0"/>
                                </a:lnTo>
                                <a:close/>
                              </a:path>
                              <a:path w="91440" h="91440">
                                <a:moveTo>
                                  <a:pt x="9143" y="82296"/>
                                </a:moveTo>
                                <a:lnTo>
                                  <a:pt x="6096" y="82296"/>
                                </a:lnTo>
                                <a:lnTo>
                                  <a:pt x="9143" y="85344"/>
                                </a:lnTo>
                                <a:lnTo>
                                  <a:pt x="9143" y="82296"/>
                                </a:lnTo>
                                <a:close/>
                              </a:path>
                              <a:path w="91440" h="91440">
                                <a:moveTo>
                                  <a:pt x="82296" y="82296"/>
                                </a:moveTo>
                                <a:lnTo>
                                  <a:pt x="9143" y="82296"/>
                                </a:lnTo>
                                <a:lnTo>
                                  <a:pt x="9143" y="85344"/>
                                </a:lnTo>
                                <a:lnTo>
                                  <a:pt x="82296" y="85344"/>
                                </a:lnTo>
                                <a:lnTo>
                                  <a:pt x="82296" y="82296"/>
                                </a:lnTo>
                                <a:close/>
                              </a:path>
                              <a:path w="91440" h="91440">
                                <a:moveTo>
                                  <a:pt x="82296" y="3048"/>
                                </a:moveTo>
                                <a:lnTo>
                                  <a:pt x="82296" y="85344"/>
                                </a:lnTo>
                                <a:lnTo>
                                  <a:pt x="88392" y="82296"/>
                                </a:lnTo>
                                <a:lnTo>
                                  <a:pt x="91440" y="82296"/>
                                </a:lnTo>
                                <a:lnTo>
                                  <a:pt x="91440" y="9144"/>
                                </a:lnTo>
                                <a:lnTo>
                                  <a:pt x="88392" y="9144"/>
                                </a:lnTo>
                                <a:lnTo>
                                  <a:pt x="82296" y="3048"/>
                                </a:lnTo>
                                <a:close/>
                              </a:path>
                              <a:path w="91440" h="91440">
                                <a:moveTo>
                                  <a:pt x="91440" y="82296"/>
                                </a:moveTo>
                                <a:lnTo>
                                  <a:pt x="88392" y="82296"/>
                                </a:lnTo>
                                <a:lnTo>
                                  <a:pt x="82296" y="85344"/>
                                </a:lnTo>
                                <a:lnTo>
                                  <a:pt x="91440" y="85344"/>
                                </a:lnTo>
                                <a:lnTo>
                                  <a:pt x="91440" y="82296"/>
                                </a:lnTo>
                                <a:close/>
                              </a:path>
                              <a:path w="91440" h="91440">
                                <a:moveTo>
                                  <a:pt x="9143" y="3048"/>
                                </a:moveTo>
                                <a:lnTo>
                                  <a:pt x="6096" y="9144"/>
                                </a:lnTo>
                                <a:lnTo>
                                  <a:pt x="9143" y="9144"/>
                                </a:lnTo>
                                <a:lnTo>
                                  <a:pt x="9143" y="3048"/>
                                </a:lnTo>
                                <a:close/>
                              </a:path>
                              <a:path w="91440" h="91440">
                                <a:moveTo>
                                  <a:pt x="82296" y="3048"/>
                                </a:moveTo>
                                <a:lnTo>
                                  <a:pt x="9143" y="3048"/>
                                </a:lnTo>
                                <a:lnTo>
                                  <a:pt x="9143" y="9144"/>
                                </a:lnTo>
                                <a:lnTo>
                                  <a:pt x="82296" y="9144"/>
                                </a:lnTo>
                                <a:lnTo>
                                  <a:pt x="82296" y="3048"/>
                                </a:lnTo>
                                <a:close/>
                              </a:path>
                              <a:path w="91440" h="91440">
                                <a:moveTo>
                                  <a:pt x="91440" y="3048"/>
                                </a:moveTo>
                                <a:lnTo>
                                  <a:pt x="82296" y="3048"/>
                                </a:lnTo>
                                <a:lnTo>
                                  <a:pt x="88392" y="9144"/>
                                </a:lnTo>
                                <a:lnTo>
                                  <a:pt x="91440" y="9144"/>
                                </a:lnTo>
                                <a:lnTo>
                                  <a:pt x="91440" y="3048"/>
                                </a:lnTo>
                                <a:close/>
                              </a:path>
                            </a:pathLst>
                          </a:custGeom>
                          <a:solidFill>
                            <a:srgbClr val="BD4A47"/>
                          </a:solidFill>
                        </wps:spPr>
                        <wps:bodyPr wrap="square" lIns="0" tIns="0" rIns="0" bIns="0" rtlCol="0">
                          <a:prstTxWarp prst="textNoShape">
                            <a:avLst/>
                          </a:prstTxWarp>
                          <a:noAutofit/>
                        </wps:bodyPr>
                      </wps:wsp>
                      <wps:wsp>
                        <wps:cNvPr id="245" name="Graphic 245"/>
                        <wps:cNvSpPr/>
                        <wps:spPr>
                          <a:xfrm>
                            <a:off x="1609344" y="765048"/>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246" name="Graphic 246"/>
                        <wps:cNvSpPr/>
                        <wps:spPr>
                          <a:xfrm>
                            <a:off x="1606296" y="758951"/>
                            <a:ext cx="91440" cy="91440"/>
                          </a:xfrm>
                          <a:custGeom>
                            <a:avLst/>
                            <a:gdLst/>
                            <a:ahLst/>
                            <a:cxnLst/>
                            <a:rect l="l" t="t" r="r" b="b"/>
                            <a:pathLst>
                              <a:path w="91440" h="91440">
                                <a:moveTo>
                                  <a:pt x="88391" y="0"/>
                                </a:moveTo>
                                <a:lnTo>
                                  <a:pt x="0" y="0"/>
                                </a:lnTo>
                                <a:lnTo>
                                  <a:pt x="0" y="91439"/>
                                </a:lnTo>
                                <a:lnTo>
                                  <a:pt x="91439" y="91439"/>
                                </a:lnTo>
                                <a:lnTo>
                                  <a:pt x="91439" y="88391"/>
                                </a:lnTo>
                                <a:lnTo>
                                  <a:pt x="9144" y="88391"/>
                                </a:lnTo>
                                <a:lnTo>
                                  <a:pt x="3048" y="82295"/>
                                </a:lnTo>
                                <a:lnTo>
                                  <a:pt x="9144" y="82295"/>
                                </a:lnTo>
                                <a:lnTo>
                                  <a:pt x="9144" y="9143"/>
                                </a:lnTo>
                                <a:lnTo>
                                  <a:pt x="3048" y="9143"/>
                                </a:lnTo>
                                <a:lnTo>
                                  <a:pt x="9144" y="6095"/>
                                </a:lnTo>
                                <a:lnTo>
                                  <a:pt x="91439" y="6095"/>
                                </a:lnTo>
                                <a:lnTo>
                                  <a:pt x="91439" y="3048"/>
                                </a:lnTo>
                                <a:lnTo>
                                  <a:pt x="88391" y="0"/>
                                </a:lnTo>
                                <a:close/>
                              </a:path>
                              <a:path w="91440" h="91440">
                                <a:moveTo>
                                  <a:pt x="9144" y="82295"/>
                                </a:moveTo>
                                <a:lnTo>
                                  <a:pt x="3048" y="82295"/>
                                </a:lnTo>
                                <a:lnTo>
                                  <a:pt x="9144" y="88391"/>
                                </a:lnTo>
                                <a:lnTo>
                                  <a:pt x="9144" y="82295"/>
                                </a:lnTo>
                                <a:close/>
                              </a:path>
                              <a:path w="91440" h="91440">
                                <a:moveTo>
                                  <a:pt x="82296" y="82295"/>
                                </a:moveTo>
                                <a:lnTo>
                                  <a:pt x="9144" y="82295"/>
                                </a:lnTo>
                                <a:lnTo>
                                  <a:pt x="9144" y="88391"/>
                                </a:lnTo>
                                <a:lnTo>
                                  <a:pt x="82296" y="88391"/>
                                </a:lnTo>
                                <a:lnTo>
                                  <a:pt x="82296" y="82295"/>
                                </a:lnTo>
                                <a:close/>
                              </a:path>
                              <a:path w="91440" h="91440">
                                <a:moveTo>
                                  <a:pt x="82296" y="6095"/>
                                </a:moveTo>
                                <a:lnTo>
                                  <a:pt x="82296" y="88391"/>
                                </a:lnTo>
                                <a:lnTo>
                                  <a:pt x="85344" y="82295"/>
                                </a:lnTo>
                                <a:lnTo>
                                  <a:pt x="91439" y="82295"/>
                                </a:lnTo>
                                <a:lnTo>
                                  <a:pt x="91439" y="9143"/>
                                </a:lnTo>
                                <a:lnTo>
                                  <a:pt x="85344" y="9143"/>
                                </a:lnTo>
                                <a:lnTo>
                                  <a:pt x="82296" y="6095"/>
                                </a:lnTo>
                                <a:close/>
                              </a:path>
                              <a:path w="91440" h="91440">
                                <a:moveTo>
                                  <a:pt x="91439" y="82295"/>
                                </a:moveTo>
                                <a:lnTo>
                                  <a:pt x="85344" y="82295"/>
                                </a:lnTo>
                                <a:lnTo>
                                  <a:pt x="82296" y="88391"/>
                                </a:lnTo>
                                <a:lnTo>
                                  <a:pt x="91439" y="88391"/>
                                </a:lnTo>
                                <a:lnTo>
                                  <a:pt x="91439" y="82295"/>
                                </a:lnTo>
                                <a:close/>
                              </a:path>
                              <a:path w="91440" h="91440">
                                <a:moveTo>
                                  <a:pt x="9144" y="6095"/>
                                </a:moveTo>
                                <a:lnTo>
                                  <a:pt x="3048" y="9143"/>
                                </a:lnTo>
                                <a:lnTo>
                                  <a:pt x="9144" y="9143"/>
                                </a:lnTo>
                                <a:lnTo>
                                  <a:pt x="9144" y="6095"/>
                                </a:lnTo>
                                <a:close/>
                              </a:path>
                              <a:path w="91440" h="91440">
                                <a:moveTo>
                                  <a:pt x="82296" y="6095"/>
                                </a:moveTo>
                                <a:lnTo>
                                  <a:pt x="9144" y="6095"/>
                                </a:lnTo>
                                <a:lnTo>
                                  <a:pt x="9144" y="9143"/>
                                </a:lnTo>
                                <a:lnTo>
                                  <a:pt x="82296" y="9143"/>
                                </a:lnTo>
                                <a:lnTo>
                                  <a:pt x="82296" y="6095"/>
                                </a:lnTo>
                                <a:close/>
                              </a:path>
                              <a:path w="91440" h="91440">
                                <a:moveTo>
                                  <a:pt x="91439" y="6095"/>
                                </a:moveTo>
                                <a:lnTo>
                                  <a:pt x="82296" y="6095"/>
                                </a:lnTo>
                                <a:lnTo>
                                  <a:pt x="85344" y="9143"/>
                                </a:lnTo>
                                <a:lnTo>
                                  <a:pt x="91439" y="9143"/>
                                </a:lnTo>
                                <a:lnTo>
                                  <a:pt x="91439" y="6095"/>
                                </a:lnTo>
                                <a:close/>
                              </a:path>
                            </a:pathLst>
                          </a:custGeom>
                          <a:solidFill>
                            <a:srgbClr val="BD4A47"/>
                          </a:solidFill>
                        </wps:spPr>
                        <wps:bodyPr wrap="square" lIns="0" tIns="0" rIns="0" bIns="0" rtlCol="0">
                          <a:prstTxWarp prst="textNoShape">
                            <a:avLst/>
                          </a:prstTxWarp>
                          <a:noAutofit/>
                        </wps:bodyPr>
                      </wps:wsp>
                      <wps:wsp>
                        <wps:cNvPr id="247" name="Graphic 247"/>
                        <wps:cNvSpPr/>
                        <wps:spPr>
                          <a:xfrm>
                            <a:off x="2255520" y="859536"/>
                            <a:ext cx="85725" cy="82550"/>
                          </a:xfrm>
                          <a:custGeom>
                            <a:avLst/>
                            <a:gdLst/>
                            <a:ahLst/>
                            <a:cxnLst/>
                            <a:rect l="l" t="t" r="r" b="b"/>
                            <a:pathLst>
                              <a:path w="85725" h="82550">
                                <a:moveTo>
                                  <a:pt x="85344" y="0"/>
                                </a:moveTo>
                                <a:lnTo>
                                  <a:pt x="0" y="0"/>
                                </a:lnTo>
                                <a:lnTo>
                                  <a:pt x="0" y="82296"/>
                                </a:lnTo>
                                <a:lnTo>
                                  <a:pt x="85344" y="82296"/>
                                </a:lnTo>
                                <a:lnTo>
                                  <a:pt x="85344" y="0"/>
                                </a:lnTo>
                                <a:close/>
                              </a:path>
                            </a:pathLst>
                          </a:custGeom>
                          <a:solidFill>
                            <a:srgbClr val="BF4F4C"/>
                          </a:solidFill>
                        </wps:spPr>
                        <wps:bodyPr wrap="square" lIns="0" tIns="0" rIns="0" bIns="0" rtlCol="0">
                          <a:prstTxWarp prst="textNoShape">
                            <a:avLst/>
                          </a:prstTxWarp>
                          <a:noAutofit/>
                        </wps:bodyPr>
                      </wps:wsp>
                      <wps:wsp>
                        <wps:cNvPr id="248" name="Graphic 248"/>
                        <wps:cNvSpPr/>
                        <wps:spPr>
                          <a:xfrm>
                            <a:off x="2252472" y="853439"/>
                            <a:ext cx="91440" cy="91440"/>
                          </a:xfrm>
                          <a:custGeom>
                            <a:avLst/>
                            <a:gdLst/>
                            <a:ahLst/>
                            <a:cxnLst/>
                            <a:rect l="l" t="t" r="r" b="b"/>
                            <a:pathLst>
                              <a:path w="91440" h="91440">
                                <a:moveTo>
                                  <a:pt x="91439" y="0"/>
                                </a:moveTo>
                                <a:lnTo>
                                  <a:pt x="3048" y="0"/>
                                </a:lnTo>
                                <a:lnTo>
                                  <a:pt x="0" y="3048"/>
                                </a:lnTo>
                                <a:lnTo>
                                  <a:pt x="0" y="91440"/>
                                </a:lnTo>
                                <a:lnTo>
                                  <a:pt x="91439" y="91440"/>
                                </a:lnTo>
                                <a:lnTo>
                                  <a:pt x="91439" y="88392"/>
                                </a:lnTo>
                                <a:lnTo>
                                  <a:pt x="9144" y="88392"/>
                                </a:lnTo>
                                <a:lnTo>
                                  <a:pt x="3048" y="82296"/>
                                </a:lnTo>
                                <a:lnTo>
                                  <a:pt x="9144" y="82296"/>
                                </a:lnTo>
                                <a:lnTo>
                                  <a:pt x="9144" y="9144"/>
                                </a:lnTo>
                                <a:lnTo>
                                  <a:pt x="3048" y="9144"/>
                                </a:lnTo>
                                <a:lnTo>
                                  <a:pt x="9144" y="6096"/>
                                </a:lnTo>
                                <a:lnTo>
                                  <a:pt x="91439" y="6096"/>
                                </a:lnTo>
                                <a:lnTo>
                                  <a:pt x="91439" y="0"/>
                                </a:lnTo>
                                <a:close/>
                              </a:path>
                              <a:path w="91440" h="91440">
                                <a:moveTo>
                                  <a:pt x="9144" y="82296"/>
                                </a:moveTo>
                                <a:lnTo>
                                  <a:pt x="3048" y="82296"/>
                                </a:lnTo>
                                <a:lnTo>
                                  <a:pt x="9144" y="88392"/>
                                </a:lnTo>
                                <a:lnTo>
                                  <a:pt x="9144" y="82296"/>
                                </a:lnTo>
                                <a:close/>
                              </a:path>
                              <a:path w="91440" h="91440">
                                <a:moveTo>
                                  <a:pt x="82296" y="82296"/>
                                </a:moveTo>
                                <a:lnTo>
                                  <a:pt x="9144" y="82296"/>
                                </a:lnTo>
                                <a:lnTo>
                                  <a:pt x="9144" y="88392"/>
                                </a:lnTo>
                                <a:lnTo>
                                  <a:pt x="82296" y="88392"/>
                                </a:lnTo>
                                <a:lnTo>
                                  <a:pt x="82296" y="82296"/>
                                </a:lnTo>
                                <a:close/>
                              </a:path>
                              <a:path w="91440" h="91440">
                                <a:moveTo>
                                  <a:pt x="82296" y="6096"/>
                                </a:moveTo>
                                <a:lnTo>
                                  <a:pt x="82296" y="88392"/>
                                </a:lnTo>
                                <a:lnTo>
                                  <a:pt x="88392" y="82296"/>
                                </a:lnTo>
                                <a:lnTo>
                                  <a:pt x="91439" y="82296"/>
                                </a:lnTo>
                                <a:lnTo>
                                  <a:pt x="91439" y="9144"/>
                                </a:lnTo>
                                <a:lnTo>
                                  <a:pt x="88392" y="9144"/>
                                </a:lnTo>
                                <a:lnTo>
                                  <a:pt x="82296" y="6096"/>
                                </a:lnTo>
                                <a:close/>
                              </a:path>
                              <a:path w="91440" h="91440">
                                <a:moveTo>
                                  <a:pt x="91439" y="82296"/>
                                </a:moveTo>
                                <a:lnTo>
                                  <a:pt x="88392" y="82296"/>
                                </a:lnTo>
                                <a:lnTo>
                                  <a:pt x="82296" y="88392"/>
                                </a:lnTo>
                                <a:lnTo>
                                  <a:pt x="91439" y="88392"/>
                                </a:lnTo>
                                <a:lnTo>
                                  <a:pt x="91439" y="82296"/>
                                </a:lnTo>
                                <a:close/>
                              </a:path>
                              <a:path w="91440" h="91440">
                                <a:moveTo>
                                  <a:pt x="9144" y="6096"/>
                                </a:moveTo>
                                <a:lnTo>
                                  <a:pt x="3048" y="9144"/>
                                </a:lnTo>
                                <a:lnTo>
                                  <a:pt x="9144" y="9144"/>
                                </a:lnTo>
                                <a:lnTo>
                                  <a:pt x="9144" y="6096"/>
                                </a:lnTo>
                                <a:close/>
                              </a:path>
                              <a:path w="91440" h="91440">
                                <a:moveTo>
                                  <a:pt x="82296" y="6096"/>
                                </a:moveTo>
                                <a:lnTo>
                                  <a:pt x="9144" y="6096"/>
                                </a:lnTo>
                                <a:lnTo>
                                  <a:pt x="9144" y="9144"/>
                                </a:lnTo>
                                <a:lnTo>
                                  <a:pt x="82296" y="9144"/>
                                </a:lnTo>
                                <a:lnTo>
                                  <a:pt x="82296" y="6096"/>
                                </a:lnTo>
                                <a:close/>
                              </a:path>
                              <a:path w="91440" h="91440">
                                <a:moveTo>
                                  <a:pt x="91439" y="6096"/>
                                </a:moveTo>
                                <a:lnTo>
                                  <a:pt x="82296" y="6096"/>
                                </a:lnTo>
                                <a:lnTo>
                                  <a:pt x="88392"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249" name="Graphic 249"/>
                        <wps:cNvSpPr/>
                        <wps:spPr>
                          <a:xfrm>
                            <a:off x="2904744" y="865632"/>
                            <a:ext cx="82550" cy="85725"/>
                          </a:xfrm>
                          <a:custGeom>
                            <a:avLst/>
                            <a:gdLst/>
                            <a:ahLst/>
                            <a:cxnLst/>
                            <a:rect l="l" t="t" r="r" b="b"/>
                            <a:pathLst>
                              <a:path w="82550" h="85725">
                                <a:moveTo>
                                  <a:pt x="82296" y="0"/>
                                </a:moveTo>
                                <a:lnTo>
                                  <a:pt x="0" y="0"/>
                                </a:lnTo>
                                <a:lnTo>
                                  <a:pt x="0" y="85344"/>
                                </a:lnTo>
                                <a:lnTo>
                                  <a:pt x="82296" y="85344"/>
                                </a:lnTo>
                                <a:lnTo>
                                  <a:pt x="82296" y="0"/>
                                </a:lnTo>
                                <a:close/>
                              </a:path>
                            </a:pathLst>
                          </a:custGeom>
                          <a:solidFill>
                            <a:srgbClr val="BF4F4C"/>
                          </a:solidFill>
                        </wps:spPr>
                        <wps:bodyPr wrap="square" lIns="0" tIns="0" rIns="0" bIns="0" rtlCol="0">
                          <a:prstTxWarp prst="textNoShape">
                            <a:avLst/>
                          </a:prstTxWarp>
                          <a:noAutofit/>
                        </wps:bodyPr>
                      </wps:wsp>
                      <wps:wsp>
                        <wps:cNvPr id="250" name="Graphic 250"/>
                        <wps:cNvSpPr/>
                        <wps:spPr>
                          <a:xfrm>
                            <a:off x="2898648" y="862583"/>
                            <a:ext cx="94615" cy="91440"/>
                          </a:xfrm>
                          <a:custGeom>
                            <a:avLst/>
                            <a:gdLst/>
                            <a:ahLst/>
                            <a:cxnLst/>
                            <a:rect l="l" t="t" r="r" b="b"/>
                            <a:pathLst>
                              <a:path w="94615" h="91440">
                                <a:moveTo>
                                  <a:pt x="91439" y="0"/>
                                </a:moveTo>
                                <a:lnTo>
                                  <a:pt x="3048" y="0"/>
                                </a:lnTo>
                                <a:lnTo>
                                  <a:pt x="0" y="3048"/>
                                </a:lnTo>
                                <a:lnTo>
                                  <a:pt x="0" y="91439"/>
                                </a:lnTo>
                                <a:lnTo>
                                  <a:pt x="94487" y="91439"/>
                                </a:lnTo>
                                <a:lnTo>
                                  <a:pt x="94487" y="88392"/>
                                </a:lnTo>
                                <a:lnTo>
                                  <a:pt x="9144" y="88392"/>
                                </a:lnTo>
                                <a:lnTo>
                                  <a:pt x="6096" y="82296"/>
                                </a:lnTo>
                                <a:lnTo>
                                  <a:pt x="9144" y="82296"/>
                                </a:lnTo>
                                <a:lnTo>
                                  <a:pt x="9144" y="9144"/>
                                </a:lnTo>
                                <a:lnTo>
                                  <a:pt x="6096" y="9144"/>
                                </a:lnTo>
                                <a:lnTo>
                                  <a:pt x="9144" y="3048"/>
                                </a:lnTo>
                                <a:lnTo>
                                  <a:pt x="94487" y="3048"/>
                                </a:lnTo>
                                <a:lnTo>
                                  <a:pt x="91439" y="0"/>
                                </a:lnTo>
                                <a:close/>
                              </a:path>
                              <a:path w="94615" h="91440">
                                <a:moveTo>
                                  <a:pt x="9144" y="82296"/>
                                </a:moveTo>
                                <a:lnTo>
                                  <a:pt x="6096" y="82296"/>
                                </a:lnTo>
                                <a:lnTo>
                                  <a:pt x="9144" y="88392"/>
                                </a:lnTo>
                                <a:lnTo>
                                  <a:pt x="9144" y="82296"/>
                                </a:lnTo>
                                <a:close/>
                              </a:path>
                              <a:path w="94615" h="91440">
                                <a:moveTo>
                                  <a:pt x="85344" y="82296"/>
                                </a:moveTo>
                                <a:lnTo>
                                  <a:pt x="9144" y="82296"/>
                                </a:lnTo>
                                <a:lnTo>
                                  <a:pt x="9144" y="88392"/>
                                </a:lnTo>
                                <a:lnTo>
                                  <a:pt x="85344" y="88392"/>
                                </a:lnTo>
                                <a:lnTo>
                                  <a:pt x="85344" y="82296"/>
                                </a:lnTo>
                                <a:close/>
                              </a:path>
                              <a:path w="94615" h="91440">
                                <a:moveTo>
                                  <a:pt x="85344" y="3048"/>
                                </a:moveTo>
                                <a:lnTo>
                                  <a:pt x="85344" y="88392"/>
                                </a:lnTo>
                                <a:lnTo>
                                  <a:pt x="88392" y="82296"/>
                                </a:lnTo>
                                <a:lnTo>
                                  <a:pt x="94487" y="82296"/>
                                </a:lnTo>
                                <a:lnTo>
                                  <a:pt x="94487" y="9144"/>
                                </a:lnTo>
                                <a:lnTo>
                                  <a:pt x="88392" y="9144"/>
                                </a:lnTo>
                                <a:lnTo>
                                  <a:pt x="85344" y="3048"/>
                                </a:lnTo>
                                <a:close/>
                              </a:path>
                              <a:path w="94615" h="91440">
                                <a:moveTo>
                                  <a:pt x="94487" y="82296"/>
                                </a:moveTo>
                                <a:lnTo>
                                  <a:pt x="88392" y="82296"/>
                                </a:lnTo>
                                <a:lnTo>
                                  <a:pt x="85344" y="88392"/>
                                </a:lnTo>
                                <a:lnTo>
                                  <a:pt x="94487" y="88392"/>
                                </a:lnTo>
                                <a:lnTo>
                                  <a:pt x="94487" y="82296"/>
                                </a:lnTo>
                                <a:close/>
                              </a:path>
                              <a:path w="94615" h="91440">
                                <a:moveTo>
                                  <a:pt x="9144" y="3048"/>
                                </a:moveTo>
                                <a:lnTo>
                                  <a:pt x="6096" y="9144"/>
                                </a:lnTo>
                                <a:lnTo>
                                  <a:pt x="9144" y="9144"/>
                                </a:lnTo>
                                <a:lnTo>
                                  <a:pt x="9144" y="3048"/>
                                </a:lnTo>
                                <a:close/>
                              </a:path>
                              <a:path w="94615" h="91440">
                                <a:moveTo>
                                  <a:pt x="85344" y="3048"/>
                                </a:moveTo>
                                <a:lnTo>
                                  <a:pt x="9144" y="3048"/>
                                </a:lnTo>
                                <a:lnTo>
                                  <a:pt x="9144" y="9144"/>
                                </a:lnTo>
                                <a:lnTo>
                                  <a:pt x="85344" y="9144"/>
                                </a:lnTo>
                                <a:lnTo>
                                  <a:pt x="85344" y="3048"/>
                                </a:lnTo>
                                <a:close/>
                              </a:path>
                              <a:path w="94615" h="91440">
                                <a:moveTo>
                                  <a:pt x="94487" y="3048"/>
                                </a:moveTo>
                                <a:lnTo>
                                  <a:pt x="85344" y="3048"/>
                                </a:lnTo>
                                <a:lnTo>
                                  <a:pt x="88392" y="9144"/>
                                </a:lnTo>
                                <a:lnTo>
                                  <a:pt x="94487" y="9144"/>
                                </a:lnTo>
                                <a:lnTo>
                                  <a:pt x="94487" y="3048"/>
                                </a:lnTo>
                                <a:close/>
                              </a:path>
                            </a:pathLst>
                          </a:custGeom>
                          <a:solidFill>
                            <a:srgbClr val="BD4A47"/>
                          </a:solidFill>
                        </wps:spPr>
                        <wps:bodyPr wrap="square" lIns="0" tIns="0" rIns="0" bIns="0" rtlCol="0">
                          <a:prstTxWarp prst="textNoShape">
                            <a:avLst/>
                          </a:prstTxWarp>
                          <a:noAutofit/>
                        </wps:bodyPr>
                      </wps:wsp>
                      <wps:wsp>
                        <wps:cNvPr id="251" name="Graphic 251"/>
                        <wps:cNvSpPr/>
                        <wps:spPr>
                          <a:xfrm>
                            <a:off x="3550920" y="1389888"/>
                            <a:ext cx="85725" cy="85725"/>
                          </a:xfrm>
                          <a:custGeom>
                            <a:avLst/>
                            <a:gdLst/>
                            <a:ahLst/>
                            <a:cxnLst/>
                            <a:rect l="l" t="t" r="r" b="b"/>
                            <a:pathLst>
                              <a:path w="85725" h="85725">
                                <a:moveTo>
                                  <a:pt x="85344" y="0"/>
                                </a:moveTo>
                                <a:lnTo>
                                  <a:pt x="0" y="0"/>
                                </a:lnTo>
                                <a:lnTo>
                                  <a:pt x="0" y="85344"/>
                                </a:lnTo>
                                <a:lnTo>
                                  <a:pt x="85344" y="85344"/>
                                </a:lnTo>
                                <a:lnTo>
                                  <a:pt x="85344" y="0"/>
                                </a:lnTo>
                                <a:close/>
                              </a:path>
                            </a:pathLst>
                          </a:custGeom>
                          <a:solidFill>
                            <a:srgbClr val="BF4F4C"/>
                          </a:solidFill>
                        </wps:spPr>
                        <wps:bodyPr wrap="square" lIns="0" tIns="0" rIns="0" bIns="0" rtlCol="0">
                          <a:prstTxWarp prst="textNoShape">
                            <a:avLst/>
                          </a:prstTxWarp>
                          <a:noAutofit/>
                        </wps:bodyPr>
                      </wps:wsp>
                      <wps:wsp>
                        <wps:cNvPr id="252" name="Graphic 252"/>
                        <wps:cNvSpPr/>
                        <wps:spPr>
                          <a:xfrm>
                            <a:off x="3547871" y="1386839"/>
                            <a:ext cx="91440" cy="91440"/>
                          </a:xfrm>
                          <a:custGeom>
                            <a:avLst/>
                            <a:gdLst/>
                            <a:ahLst/>
                            <a:cxnLst/>
                            <a:rect l="l" t="t" r="r" b="b"/>
                            <a:pathLst>
                              <a:path w="91440" h="91440">
                                <a:moveTo>
                                  <a:pt x="88392" y="0"/>
                                </a:moveTo>
                                <a:lnTo>
                                  <a:pt x="3048" y="0"/>
                                </a:lnTo>
                                <a:lnTo>
                                  <a:pt x="0" y="3048"/>
                                </a:lnTo>
                                <a:lnTo>
                                  <a:pt x="0" y="91440"/>
                                </a:lnTo>
                                <a:lnTo>
                                  <a:pt x="91439" y="91440"/>
                                </a:lnTo>
                                <a:lnTo>
                                  <a:pt x="91439" y="88392"/>
                                </a:lnTo>
                                <a:lnTo>
                                  <a:pt x="9144" y="88392"/>
                                </a:lnTo>
                                <a:lnTo>
                                  <a:pt x="3048" y="82296"/>
                                </a:lnTo>
                                <a:lnTo>
                                  <a:pt x="9144" y="82296"/>
                                </a:lnTo>
                                <a:lnTo>
                                  <a:pt x="9144" y="9144"/>
                                </a:lnTo>
                                <a:lnTo>
                                  <a:pt x="3048" y="9144"/>
                                </a:lnTo>
                                <a:lnTo>
                                  <a:pt x="9144" y="3048"/>
                                </a:lnTo>
                                <a:lnTo>
                                  <a:pt x="91439" y="3048"/>
                                </a:lnTo>
                                <a:lnTo>
                                  <a:pt x="88392" y="0"/>
                                </a:lnTo>
                                <a:close/>
                              </a:path>
                              <a:path w="91440" h="91440">
                                <a:moveTo>
                                  <a:pt x="9144" y="82296"/>
                                </a:moveTo>
                                <a:lnTo>
                                  <a:pt x="3048" y="82296"/>
                                </a:lnTo>
                                <a:lnTo>
                                  <a:pt x="9144" y="88392"/>
                                </a:lnTo>
                                <a:lnTo>
                                  <a:pt x="9144" y="82296"/>
                                </a:lnTo>
                                <a:close/>
                              </a:path>
                              <a:path w="91440" h="91440">
                                <a:moveTo>
                                  <a:pt x="82296" y="82296"/>
                                </a:moveTo>
                                <a:lnTo>
                                  <a:pt x="9144" y="82296"/>
                                </a:lnTo>
                                <a:lnTo>
                                  <a:pt x="9144" y="88392"/>
                                </a:lnTo>
                                <a:lnTo>
                                  <a:pt x="82296" y="88392"/>
                                </a:lnTo>
                                <a:lnTo>
                                  <a:pt x="82296" y="82296"/>
                                </a:lnTo>
                                <a:close/>
                              </a:path>
                              <a:path w="91440" h="91440">
                                <a:moveTo>
                                  <a:pt x="82296" y="3048"/>
                                </a:moveTo>
                                <a:lnTo>
                                  <a:pt x="82296" y="88392"/>
                                </a:lnTo>
                                <a:lnTo>
                                  <a:pt x="88392" y="82296"/>
                                </a:lnTo>
                                <a:lnTo>
                                  <a:pt x="91439" y="82296"/>
                                </a:lnTo>
                                <a:lnTo>
                                  <a:pt x="91439" y="9144"/>
                                </a:lnTo>
                                <a:lnTo>
                                  <a:pt x="88392" y="9144"/>
                                </a:lnTo>
                                <a:lnTo>
                                  <a:pt x="82296" y="3048"/>
                                </a:lnTo>
                                <a:close/>
                              </a:path>
                              <a:path w="91440" h="91440">
                                <a:moveTo>
                                  <a:pt x="91439" y="82296"/>
                                </a:moveTo>
                                <a:lnTo>
                                  <a:pt x="88392" y="82296"/>
                                </a:lnTo>
                                <a:lnTo>
                                  <a:pt x="82296" y="88392"/>
                                </a:lnTo>
                                <a:lnTo>
                                  <a:pt x="91439" y="88392"/>
                                </a:lnTo>
                                <a:lnTo>
                                  <a:pt x="91439" y="82296"/>
                                </a:lnTo>
                                <a:close/>
                              </a:path>
                              <a:path w="91440" h="91440">
                                <a:moveTo>
                                  <a:pt x="9144" y="3048"/>
                                </a:moveTo>
                                <a:lnTo>
                                  <a:pt x="3048" y="9144"/>
                                </a:lnTo>
                                <a:lnTo>
                                  <a:pt x="9144" y="9144"/>
                                </a:lnTo>
                                <a:lnTo>
                                  <a:pt x="9144" y="3048"/>
                                </a:lnTo>
                                <a:close/>
                              </a:path>
                              <a:path w="91440" h="91440">
                                <a:moveTo>
                                  <a:pt x="82296" y="3048"/>
                                </a:moveTo>
                                <a:lnTo>
                                  <a:pt x="9144" y="3048"/>
                                </a:lnTo>
                                <a:lnTo>
                                  <a:pt x="9144" y="9144"/>
                                </a:lnTo>
                                <a:lnTo>
                                  <a:pt x="82296" y="9144"/>
                                </a:lnTo>
                                <a:lnTo>
                                  <a:pt x="82296" y="3048"/>
                                </a:lnTo>
                                <a:close/>
                              </a:path>
                              <a:path w="91440" h="91440">
                                <a:moveTo>
                                  <a:pt x="91439" y="3048"/>
                                </a:moveTo>
                                <a:lnTo>
                                  <a:pt x="82296" y="3048"/>
                                </a:lnTo>
                                <a:lnTo>
                                  <a:pt x="88392"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wps:wsp>
                        <wps:cNvPr id="253" name="Graphic 253"/>
                        <wps:cNvSpPr/>
                        <wps:spPr>
                          <a:xfrm>
                            <a:off x="347472" y="655319"/>
                            <a:ext cx="3264535" cy="546100"/>
                          </a:xfrm>
                          <a:custGeom>
                            <a:avLst/>
                            <a:gdLst/>
                            <a:ahLst/>
                            <a:cxnLst/>
                            <a:rect l="l" t="t" r="r" b="b"/>
                            <a:pathLst>
                              <a:path w="3264535" h="546100">
                                <a:moveTo>
                                  <a:pt x="2644046" y="146303"/>
                                </a:moveTo>
                                <a:lnTo>
                                  <a:pt x="2596896" y="146303"/>
                                </a:lnTo>
                                <a:lnTo>
                                  <a:pt x="2602992" y="149351"/>
                                </a:lnTo>
                                <a:lnTo>
                                  <a:pt x="2601866" y="149351"/>
                                </a:lnTo>
                                <a:lnTo>
                                  <a:pt x="3243072" y="542544"/>
                                </a:lnTo>
                                <a:lnTo>
                                  <a:pt x="3249168" y="545592"/>
                                </a:lnTo>
                                <a:lnTo>
                                  <a:pt x="3258312" y="545592"/>
                                </a:lnTo>
                                <a:lnTo>
                                  <a:pt x="3264408" y="533400"/>
                                </a:lnTo>
                                <a:lnTo>
                                  <a:pt x="3264408" y="524256"/>
                                </a:lnTo>
                                <a:lnTo>
                                  <a:pt x="3258312" y="521208"/>
                                </a:lnTo>
                                <a:lnTo>
                                  <a:pt x="2649040" y="149351"/>
                                </a:lnTo>
                                <a:lnTo>
                                  <a:pt x="2602992" y="149351"/>
                                </a:lnTo>
                                <a:lnTo>
                                  <a:pt x="2601793" y="149306"/>
                                </a:lnTo>
                                <a:lnTo>
                                  <a:pt x="2648966" y="149306"/>
                                </a:lnTo>
                                <a:lnTo>
                                  <a:pt x="2644046" y="146303"/>
                                </a:lnTo>
                                <a:close/>
                              </a:path>
                              <a:path w="3264535" h="546100">
                                <a:moveTo>
                                  <a:pt x="2596896" y="146303"/>
                                </a:moveTo>
                                <a:lnTo>
                                  <a:pt x="2601793" y="149306"/>
                                </a:lnTo>
                                <a:lnTo>
                                  <a:pt x="2602992" y="149351"/>
                                </a:lnTo>
                                <a:lnTo>
                                  <a:pt x="2596896" y="146303"/>
                                </a:lnTo>
                                <a:close/>
                              </a:path>
                              <a:path w="3264535" h="546100">
                                <a:moveTo>
                                  <a:pt x="12192" y="0"/>
                                </a:moveTo>
                                <a:lnTo>
                                  <a:pt x="6096" y="0"/>
                                </a:lnTo>
                                <a:lnTo>
                                  <a:pt x="0" y="6096"/>
                                </a:lnTo>
                                <a:lnTo>
                                  <a:pt x="0" y="21336"/>
                                </a:lnTo>
                                <a:lnTo>
                                  <a:pt x="6096" y="24384"/>
                                </a:lnTo>
                                <a:lnTo>
                                  <a:pt x="12192" y="24384"/>
                                </a:lnTo>
                                <a:lnTo>
                                  <a:pt x="661416" y="33527"/>
                                </a:lnTo>
                                <a:lnTo>
                                  <a:pt x="1307592" y="94488"/>
                                </a:lnTo>
                                <a:lnTo>
                                  <a:pt x="2601793" y="149306"/>
                                </a:lnTo>
                                <a:lnTo>
                                  <a:pt x="2596896" y="146303"/>
                                </a:lnTo>
                                <a:lnTo>
                                  <a:pt x="2644046" y="146303"/>
                                </a:lnTo>
                                <a:lnTo>
                                  <a:pt x="2609088" y="124968"/>
                                </a:lnTo>
                                <a:lnTo>
                                  <a:pt x="2606040" y="124968"/>
                                </a:lnTo>
                                <a:lnTo>
                                  <a:pt x="2606040" y="121920"/>
                                </a:lnTo>
                                <a:lnTo>
                                  <a:pt x="2602992" y="121920"/>
                                </a:lnTo>
                                <a:lnTo>
                                  <a:pt x="1956815" y="100584"/>
                                </a:lnTo>
                                <a:lnTo>
                                  <a:pt x="1307592" y="70103"/>
                                </a:lnTo>
                                <a:lnTo>
                                  <a:pt x="661416" y="9144"/>
                                </a:lnTo>
                                <a:lnTo>
                                  <a:pt x="12192" y="0"/>
                                </a:lnTo>
                                <a:close/>
                              </a:path>
                            </a:pathLst>
                          </a:custGeom>
                          <a:solidFill>
                            <a:srgbClr val="97B853"/>
                          </a:solidFill>
                        </wps:spPr>
                        <wps:bodyPr wrap="square" lIns="0" tIns="0" rIns="0" bIns="0" rtlCol="0">
                          <a:prstTxWarp prst="textNoShape">
                            <a:avLst/>
                          </a:prstTxWarp>
                          <a:noAutofit/>
                        </wps:bodyPr>
                      </wps:wsp>
                      <pic:pic>
                        <pic:nvPicPr>
                          <pic:cNvPr id="254" name="Image 254"/>
                          <pic:cNvPicPr/>
                        </pic:nvPicPr>
                        <pic:blipFill>
                          <a:blip r:embed="rId82" cstate="print"/>
                          <a:stretch>
                            <a:fillRect/>
                          </a:stretch>
                        </pic:blipFill>
                        <pic:spPr>
                          <a:xfrm>
                            <a:off x="307847" y="618744"/>
                            <a:ext cx="97535" cy="94488"/>
                          </a:xfrm>
                          <a:prstGeom prst="rect">
                            <a:avLst/>
                          </a:prstGeom>
                        </pic:spPr>
                      </pic:pic>
                      <pic:pic>
                        <pic:nvPicPr>
                          <pic:cNvPr id="255" name="Image 255"/>
                          <pic:cNvPicPr/>
                        </pic:nvPicPr>
                        <pic:blipFill>
                          <a:blip r:embed="rId83" cstate="print"/>
                          <a:stretch>
                            <a:fillRect/>
                          </a:stretch>
                        </pic:blipFill>
                        <pic:spPr>
                          <a:xfrm>
                            <a:off x="957072" y="624840"/>
                            <a:ext cx="97536" cy="97536"/>
                          </a:xfrm>
                          <a:prstGeom prst="rect">
                            <a:avLst/>
                          </a:prstGeom>
                        </pic:spPr>
                      </pic:pic>
                      <pic:pic>
                        <pic:nvPicPr>
                          <pic:cNvPr id="256" name="Image 256"/>
                          <pic:cNvPicPr/>
                        </pic:nvPicPr>
                        <pic:blipFill>
                          <a:blip r:embed="rId84" cstate="print"/>
                          <a:stretch>
                            <a:fillRect/>
                          </a:stretch>
                        </pic:blipFill>
                        <pic:spPr>
                          <a:xfrm>
                            <a:off x="1603247" y="688848"/>
                            <a:ext cx="97536" cy="97536"/>
                          </a:xfrm>
                          <a:prstGeom prst="rect">
                            <a:avLst/>
                          </a:prstGeom>
                        </pic:spPr>
                      </pic:pic>
                      <pic:pic>
                        <pic:nvPicPr>
                          <pic:cNvPr id="257" name="Image 257"/>
                          <pic:cNvPicPr/>
                        </pic:nvPicPr>
                        <pic:blipFill>
                          <a:blip r:embed="rId85" cstate="print"/>
                          <a:stretch>
                            <a:fillRect/>
                          </a:stretch>
                        </pic:blipFill>
                        <pic:spPr>
                          <a:xfrm>
                            <a:off x="2252472" y="719327"/>
                            <a:ext cx="97536" cy="94487"/>
                          </a:xfrm>
                          <a:prstGeom prst="rect">
                            <a:avLst/>
                          </a:prstGeom>
                        </pic:spPr>
                      </pic:pic>
                      <pic:pic>
                        <pic:nvPicPr>
                          <pic:cNvPr id="258" name="Image 258"/>
                          <pic:cNvPicPr/>
                        </pic:nvPicPr>
                        <pic:blipFill>
                          <a:blip r:embed="rId86" cstate="print"/>
                          <a:stretch>
                            <a:fillRect/>
                          </a:stretch>
                        </pic:blipFill>
                        <pic:spPr>
                          <a:xfrm>
                            <a:off x="2898648" y="743712"/>
                            <a:ext cx="97536" cy="97535"/>
                          </a:xfrm>
                          <a:prstGeom prst="rect">
                            <a:avLst/>
                          </a:prstGeom>
                        </pic:spPr>
                      </pic:pic>
                      <pic:pic>
                        <pic:nvPicPr>
                          <pic:cNvPr id="259" name="Image 259"/>
                          <pic:cNvPicPr/>
                        </pic:nvPicPr>
                        <pic:blipFill>
                          <a:blip r:embed="rId87" cstate="print"/>
                          <a:stretch>
                            <a:fillRect/>
                          </a:stretch>
                        </pic:blipFill>
                        <pic:spPr>
                          <a:xfrm>
                            <a:off x="3544823" y="1139952"/>
                            <a:ext cx="97536" cy="94487"/>
                          </a:xfrm>
                          <a:prstGeom prst="rect">
                            <a:avLst/>
                          </a:prstGeom>
                        </pic:spPr>
                      </pic:pic>
                      <pic:pic>
                        <pic:nvPicPr>
                          <pic:cNvPr id="260" name="Image 260"/>
                          <pic:cNvPicPr/>
                        </pic:nvPicPr>
                        <pic:blipFill>
                          <a:blip r:embed="rId88" cstate="print"/>
                          <a:stretch>
                            <a:fillRect/>
                          </a:stretch>
                        </pic:blipFill>
                        <pic:spPr>
                          <a:xfrm>
                            <a:off x="3822191" y="2478023"/>
                            <a:ext cx="252984" cy="79248"/>
                          </a:xfrm>
                          <a:prstGeom prst="rect">
                            <a:avLst/>
                          </a:prstGeom>
                        </pic:spPr>
                      </pic:pic>
                      <pic:pic>
                        <pic:nvPicPr>
                          <pic:cNvPr id="261" name="Image 261"/>
                          <pic:cNvPicPr/>
                        </pic:nvPicPr>
                        <pic:blipFill>
                          <a:blip r:embed="rId89" cstate="print"/>
                          <a:stretch>
                            <a:fillRect/>
                          </a:stretch>
                        </pic:blipFill>
                        <pic:spPr>
                          <a:xfrm>
                            <a:off x="3822191" y="2859023"/>
                            <a:ext cx="252984" cy="82296"/>
                          </a:xfrm>
                          <a:prstGeom prst="rect">
                            <a:avLst/>
                          </a:prstGeom>
                        </pic:spPr>
                      </pic:pic>
                      <pic:pic>
                        <pic:nvPicPr>
                          <pic:cNvPr id="262" name="Image 262"/>
                          <pic:cNvPicPr/>
                        </pic:nvPicPr>
                        <pic:blipFill>
                          <a:blip r:embed="rId90" cstate="print"/>
                          <a:stretch>
                            <a:fillRect/>
                          </a:stretch>
                        </pic:blipFill>
                        <pic:spPr>
                          <a:xfrm>
                            <a:off x="3822191" y="3243072"/>
                            <a:ext cx="252984" cy="79248"/>
                          </a:xfrm>
                          <a:prstGeom prst="rect">
                            <a:avLst/>
                          </a:prstGeom>
                        </pic:spPr>
                      </pic:pic>
                    </wpg:wgp>
                  </a:graphicData>
                </a:graphic>
              </wp:anchor>
            </w:drawing>
          </mc:Choice>
          <mc:Fallback>
            <w:pict>
              <v:group style="position:absolute;margin-left:165.839996pt;margin-top:5.965928pt;width:320.9pt;height:302.9pt;mso-position-horizontal-relative:page;mso-position-vertical-relative:paragraph;z-index:-21302272" id="docshapegroup220" coordorigin="3317,119" coordsize="6418,6058">
                <v:shape style="position:absolute;left:3316;top:119;width:6183;height:6058" id="docshape221" coordorigin="3317,119" coordsize="6183,6058" path="m9499,6115l9490,6115,9490,6110,3379,6110,3379,129,3374,129,3374,119,3317,119,3317,134,3365,134,3365,1118,3317,1118,3317,1127,3365,1127,3365,2116,3317,2116,3317,2131,3365,2131,3365,3115,3317,3115,3317,3129,3365,3129,3365,4118,3317,4118,3317,4127,3365,4127,3365,5111,3317,5111,3317,5126,3365,5126,3365,6110,3317,6110,3317,6124,3370,6124,3370,6177,3379,6177,3379,6124,4387,6124,4387,6177,4402,6177,4402,6124,5405,6124,5405,6177,5419,6177,5419,6124,6427,6124,6427,6177,6442,6177,6442,6124,7445,6124,7445,6177,7459,6177,7459,6124,8467,6124,8467,6177,8482,6177,8482,6124,9485,6124,9485,6177,9499,6177,9499,6115xe" filled="true" fillcolor="#858585" stroked="false">
                  <v:path arrowok="t"/>
                  <v:fill type="solid"/>
                </v:shape>
                <v:shape style="position:absolute;left:3864;top:1136;width:5141;height:1728" id="docshape222" coordorigin="3864,1137" coordsize="5141,1728" path="m7951,1586l8966,2855,8971,2865,8986,2865,8995,2855,9005,2851,9005,2836,9000,2827,8005,1588,7958,1588,7951,1586xm7949,1583l7951,1586,7958,1588,7949,1583xm8001,1583l7949,1583,7958,1588,8005,1588,8001,1583xm3883,1137l3874,1137,3864,1147,3864,1171,3874,1180,3883,1180,4906,1195,5923,1305,6941,1353,7951,1586,7949,1583,8001,1583,7978,1555,7973,1550,7968,1550,6946,1315,5923,1267,4906,1156,3883,1137xe" filled="true" fillcolor="#497dba" stroked="false">
                  <v:path arrowok="t"/>
                  <v:fill type="solid"/>
                </v:shape>
                <v:shape style="position:absolute;left:3801;top:1079;width:154;height:149" type="#_x0000_t75" id="docshape223" stroked="false">
                  <v:imagedata r:id="rId76" o:title=""/>
                </v:shape>
                <v:shape style="position:absolute;left:4824;top:1098;width:149;height:149" type="#_x0000_t75" id="docshape224" stroked="false">
                  <v:imagedata r:id="rId64" o:title=""/>
                </v:shape>
                <v:shape style="position:absolute;left:5841;top:1204;width:154;height:154" type="#_x0000_t75" id="docshape225" stroked="false">
                  <v:imagedata r:id="rId77" o:title=""/>
                </v:shape>
                <v:shape style="position:absolute;left:6864;top:1252;width:149;height:154" type="#_x0000_t75" id="docshape226" stroked="false">
                  <v:imagedata r:id="rId78" o:title=""/>
                </v:shape>
                <v:shape style="position:absolute;left:7881;top:1487;width:154;height:154" type="#_x0000_t75" id="docshape227" stroked="false">
                  <v:imagedata r:id="rId79" o:title=""/>
                </v:shape>
                <v:shape style="position:absolute;left:8899;top:2759;width:154;height:154" type="#_x0000_t75" id="docshape228" stroked="false">
                  <v:imagedata r:id="rId80" o:title=""/>
                </v:shape>
                <v:shape style="position:absolute;left:3864;top:1237;width:5141;height:1167" id="docshape229" coordorigin="3864,1238" coordsize="5141,1167" path="m8013,1564l7949,1564,7963,1569,7955,1569,8971,2395,8976,2404,8990,2404,9000,2395,9005,2385,9005,2371,8995,2366,8019,1569,7963,1569,8019,1569,8013,1564xm7949,1564l7955,1569,7963,1569,7949,1564xm3883,1238l3874,1238,3864,1247,3864,1267,3874,1276,3883,1276,4906,1305,5923,1411,6941,1564,7955,1569,7949,1564,8013,1564,7978,1535,7973,1531,7963,1531,6946,1521,5923,1367,4906,1267,3883,1238xe" filled="true" fillcolor="#bd4a47" stroked="false">
                  <v:path arrowok="t"/>
                  <v:fill type="solid"/>
                </v:shape>
                <v:shape style="position:absolute;left:3806;top:1180;width:144;height:144" type="#_x0000_t75" id="docshape230" stroked="false">
                  <v:imagedata r:id="rId81" o:title=""/>
                </v:shape>
                <v:rect style="position:absolute;left:4833;top:1213;width:130;height:130" id="docshape231" filled="true" fillcolor="#bf4f4c" stroked="false">
                  <v:fill type="solid"/>
                </v:rect>
                <v:shape style="position:absolute;left:4824;top:1208;width:144;height:144" id="docshape232" coordorigin="4824,1209" coordsize="144,144" path="m4968,1209l4824,1209,4824,1348,4829,1353,4968,1353,4968,1343,4838,1343,4834,1339,4838,1339,4838,1223,4834,1223,4838,1214,4968,1214,4968,1209xm4838,1339l4834,1339,4838,1343,4838,1339xm4954,1339l4838,1339,4838,1343,4954,1343,4954,1339xm4954,1214l4954,1343,4963,1339,4968,1339,4968,1223,4963,1223,4954,1214xm4968,1339l4963,1339,4954,1343,4968,1343,4968,1339xm4838,1214l4834,1223,4838,1223,4838,1214xm4954,1214l4838,1214,4838,1223,4954,1223,4954,1214xm4968,1214l4954,1214,4963,1223,4968,1223,4968,1214xe" filled="true" fillcolor="#bd4a47" stroked="false">
                  <v:path arrowok="t"/>
                  <v:fill type="solid"/>
                </v:shape>
                <v:rect style="position:absolute;left:5851;top:1324;width:130;height:130" id="docshape233" filled="true" fillcolor="#bf4f4c" stroked="false">
                  <v:fill type="solid"/>
                </v:rect>
                <v:shape style="position:absolute;left:5846;top:1314;width:144;height:144" id="docshape234" coordorigin="5846,1315" coordsize="144,144" path="m5986,1315l5846,1315,5846,1459,5990,1459,5990,1454,5861,1454,5851,1444,5861,1444,5861,1329,5851,1329,5861,1324,5990,1324,5990,1319,5986,1315xm5861,1444l5851,1444,5861,1454,5861,1444xm5976,1444l5861,1444,5861,1454,5976,1454,5976,1444xm5976,1324l5976,1454,5981,1444,5990,1444,5990,1329,5981,1329,5976,1324xm5990,1444l5981,1444,5976,1454,5990,1454,5990,1444xm5861,1324l5851,1329,5861,1329,5861,1324xm5976,1324l5861,1324,5861,1329,5976,1329,5976,1324xm5990,1324l5976,1324,5981,1329,5990,1329,5990,1324xe" filled="true" fillcolor="#bd4a47" stroked="false">
                  <v:path arrowok="t"/>
                  <v:fill type="solid"/>
                </v:shape>
                <v:rect style="position:absolute;left:6868;top:1472;width:135;height:130" id="docshape235" filled="true" fillcolor="#bf4f4c" stroked="false">
                  <v:fill type="solid"/>
                </v:rect>
                <v:shape style="position:absolute;left:6864;top:1463;width:144;height:144" id="docshape236" coordorigin="6864,1463" coordsize="144,144" path="m7008,1463l6869,1463,6864,1468,6864,1607,7008,1607,7008,1603,6878,1603,6869,1593,6878,1593,6878,1478,6869,1478,6878,1473,7008,1473,7008,1463xm6878,1593l6869,1593,6878,1603,6878,1593xm6994,1593l6878,1593,6878,1603,6994,1603,6994,1593xm6994,1473l6994,1603,7003,1593,7008,1593,7008,1478,7003,1478,6994,1473xm7008,1593l7003,1593,6994,1603,7008,1603,7008,1593xm6878,1473l6869,1478,6878,1478,6878,1473xm6994,1473l6878,1473,6878,1478,6994,1478,6994,1473xm7008,1473l6994,1473,7003,1478,7008,1478,7008,1473xe" filled="true" fillcolor="#bd4a47" stroked="false">
                  <v:path arrowok="t"/>
                  <v:fill type="solid"/>
                </v:shape>
                <v:rect style="position:absolute;left:7891;top:1482;width:130;height:135" id="docshape237" filled="true" fillcolor="#bf4f4c" stroked="false">
                  <v:fill type="solid"/>
                </v:rect>
                <v:shape style="position:absolute;left:7881;top:1477;width:149;height:144" id="docshape238" coordorigin="7882,1478" coordsize="149,144" path="m8026,1478l7886,1478,7882,1483,7882,1622,8030,1622,8030,1617,7896,1617,7891,1607,7896,1607,7896,1492,7891,1492,7896,1483,8030,1483,8026,1478xm7896,1607l7891,1607,7896,1617,7896,1607xm8016,1607l7896,1607,7896,1617,8016,1617,8016,1607xm8016,1483l8016,1617,8021,1607,8030,1607,8030,1492,8021,1492,8016,1483xm8030,1607l8021,1607,8016,1617,8030,1617,8030,1607xm7896,1483l7891,1492,7896,1492,7896,1483xm8016,1483l7896,1483,7896,1492,8016,1492,8016,1483xm8030,1483l8016,1483,8021,1492,8030,1492,8030,1483xe" filled="true" fillcolor="#bd4a47" stroked="false">
                  <v:path arrowok="t"/>
                  <v:fill type="solid"/>
                </v:shape>
                <v:rect style="position:absolute;left:8908;top:2308;width:135;height:135" id="docshape239" filled="true" fillcolor="#bf4f4c" stroked="false">
                  <v:fill type="solid"/>
                </v:rect>
                <v:shape style="position:absolute;left:8904;top:2303;width:144;height:144" id="docshape240" coordorigin="8904,2303" coordsize="144,144" path="m9043,2303l8909,2303,8904,2308,8904,2447,9048,2447,9048,2443,8918,2443,8909,2433,8918,2433,8918,2318,8909,2318,8918,2308,9048,2308,9043,2303xm8918,2433l8909,2433,8918,2443,8918,2433xm9034,2433l8918,2433,8918,2443,9034,2443,9034,2433xm9034,2308l9034,2443,9043,2433,9048,2433,9048,2318,9043,2318,9034,2308xm9048,2433l9043,2433,9034,2443,9048,2443,9048,2433xm8918,2308l8909,2318,8918,2318,8918,2308xm9034,2308l8918,2308,8918,2318,9034,2318,9034,2308xm9048,2308l9034,2308,9043,2318,9048,2318,9048,2308xe" filled="true" fillcolor="#bd4a47" stroked="false">
                  <v:path arrowok="t"/>
                  <v:fill type="solid"/>
                </v:shape>
                <v:shape style="position:absolute;left:3864;top:1151;width:5141;height:860" id="docshape241" coordorigin="3864,1151" coordsize="5141,860" path="m8028,1382l7954,1382,7963,1387,7961,1387,8971,2006,8981,2011,8995,2011,9005,1991,9005,1977,8995,1972,8036,1387,7963,1387,7961,1386,8036,1386,8028,1382xm7954,1382l7961,1386,7963,1387,7954,1382xm3883,1151l3874,1151,3864,1161,3864,1185,3874,1190,3883,1190,4906,1204,5923,1300,7961,1386,7954,1382,8028,1382,7973,1348,7968,1348,7968,1343,7963,1343,6946,1310,5923,1262,4906,1166,3883,1151xe" filled="true" fillcolor="#97b853" stroked="false">
                  <v:path arrowok="t"/>
                  <v:fill type="solid"/>
                </v:shape>
                <v:shape style="position:absolute;left:3801;top:1093;width:154;height:149" type="#_x0000_t75" id="docshape242" stroked="false">
                  <v:imagedata r:id="rId82" o:title=""/>
                </v:shape>
                <v:shape style="position:absolute;left:4824;top:1103;width:154;height:154" type="#_x0000_t75" id="docshape243" stroked="false">
                  <v:imagedata r:id="rId83" o:title=""/>
                </v:shape>
                <v:shape style="position:absolute;left:5841;top:1204;width:154;height:154" type="#_x0000_t75" id="docshape244" stroked="false">
                  <v:imagedata r:id="rId84" o:title=""/>
                </v:shape>
                <v:shape style="position:absolute;left:6864;top:1252;width:154;height:149" type="#_x0000_t75" id="docshape245" stroked="false">
                  <v:imagedata r:id="rId85" o:title=""/>
                </v:shape>
                <v:shape style="position:absolute;left:7881;top:1290;width:154;height:154" type="#_x0000_t75" id="docshape246" stroked="false">
                  <v:imagedata r:id="rId86" o:title=""/>
                </v:shape>
                <v:shape style="position:absolute;left:8899;top:1914;width:154;height:149" type="#_x0000_t75" id="docshape247" stroked="false">
                  <v:imagedata r:id="rId87" o:title=""/>
                </v:shape>
                <v:shape style="position:absolute;left:9336;top:4021;width:399;height:125" type="#_x0000_t75" id="docshape248" stroked="false">
                  <v:imagedata r:id="rId88" o:title=""/>
                </v:shape>
                <v:shape style="position:absolute;left:9336;top:4621;width:399;height:130" type="#_x0000_t75" id="docshape249" stroked="false">
                  <v:imagedata r:id="rId89" o:title=""/>
                </v:shape>
                <v:shape style="position:absolute;left:9336;top:5226;width:399;height:125" type="#_x0000_t75" id="docshape250" stroked="false">
                  <v:imagedata r:id="rId90"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70"/>
        <w:rPr>
          <w:rFonts w:ascii="Calibri"/>
          <w:sz w:val="19"/>
        </w:rPr>
      </w:pPr>
    </w:p>
    <w:p>
      <w:pPr>
        <w:spacing w:before="0"/>
        <w:ind w:left="1193"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71"/>
        <w:rPr>
          <w:rFonts w:ascii="Calibri"/>
          <w:sz w:val="19"/>
        </w:rPr>
      </w:pPr>
    </w:p>
    <w:p>
      <w:pPr>
        <w:spacing w:before="0"/>
        <w:ind w:left="1284" w:right="0" w:firstLine="0"/>
        <w:jc w:val="left"/>
        <w:rPr>
          <w:rFonts w:ascii="Calibri"/>
          <w:sz w:val="19"/>
        </w:rPr>
      </w:pPr>
      <w:r>
        <w:rPr/>
        <mc:AlternateContent>
          <mc:Choice Requires="wps">
            <w:drawing>
              <wp:anchor distT="0" distB="0" distL="0" distR="0" allowOverlap="1" layoutInCell="1" locked="0" behindDoc="0" simplePos="0" relativeHeight="15763968">
                <wp:simplePos x="0" y="0"/>
                <wp:positionH relativeFrom="page">
                  <wp:posOffset>1680129</wp:posOffset>
                </wp:positionH>
                <wp:positionV relativeFrom="paragraph">
                  <wp:posOffset>61901</wp:posOffset>
                </wp:positionV>
                <wp:extent cx="146050" cy="130683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46050" cy="130683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32.293686pt;margin-top:4.874131pt;width:11.5pt;height:102.9pt;mso-position-horizontal-relative:page;mso-position-vertical-relative:paragraph;z-index:15763968" type="#_x0000_t202" id="docshape251"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70"/>
        <w:rPr>
          <w:rFonts w:ascii="Calibri"/>
          <w:sz w:val="19"/>
        </w:rPr>
      </w:pPr>
    </w:p>
    <w:p>
      <w:pPr>
        <w:spacing w:before="1"/>
        <w:ind w:left="1284" w:right="0" w:firstLine="0"/>
        <w:jc w:val="left"/>
        <w:rPr>
          <w:rFonts w:ascii="Calibri"/>
          <w:sz w:val="19"/>
        </w:rPr>
      </w:pPr>
      <w:r>
        <w:rPr>
          <w:rFonts w:ascii="Calibri"/>
          <w:spacing w:val="-5"/>
          <w:sz w:val="19"/>
        </w:rPr>
        <w:t>60</w:t>
      </w:r>
    </w:p>
    <w:p>
      <w:pPr>
        <w:pStyle w:val="BodyText"/>
        <w:rPr>
          <w:rFonts w:ascii="Calibri"/>
          <w:sz w:val="19"/>
        </w:rPr>
      </w:pPr>
    </w:p>
    <w:p>
      <w:pPr>
        <w:pStyle w:val="BodyText"/>
        <w:rPr>
          <w:rFonts w:ascii="Calibri"/>
          <w:sz w:val="19"/>
        </w:rPr>
      </w:pPr>
    </w:p>
    <w:p>
      <w:pPr>
        <w:pStyle w:val="BodyText"/>
        <w:spacing w:before="36"/>
        <w:rPr>
          <w:rFonts w:ascii="Calibri"/>
          <w:sz w:val="19"/>
        </w:rPr>
      </w:pPr>
    </w:p>
    <w:p>
      <w:pPr>
        <w:tabs>
          <w:tab w:pos="8033" w:val="left" w:leader="none"/>
        </w:tabs>
        <w:spacing w:before="1"/>
        <w:ind w:left="1284" w:right="0" w:firstLine="0"/>
        <w:jc w:val="left"/>
        <w:rPr>
          <w:rFonts w:ascii="Calibri"/>
          <w:sz w:val="19"/>
        </w:rPr>
      </w:pPr>
      <w:r>
        <w:rPr>
          <w:rFonts w:ascii="Calibri"/>
          <w:spacing w:val="-5"/>
          <w:position w:val="-2"/>
          <w:sz w:val="19"/>
        </w:rPr>
        <w:t>40</w:t>
      </w:r>
      <w:r>
        <w:rPr>
          <w:rFonts w:ascii="Calibri"/>
          <w:position w:val="-2"/>
          <w:sz w:val="19"/>
        </w:rPr>
        <w:tab/>
      </w:r>
      <w:r>
        <w:rPr>
          <w:rFonts w:ascii="Calibri"/>
          <w:spacing w:val="-5"/>
          <w:sz w:val="19"/>
        </w:rPr>
        <w:t>DS</w:t>
      </w:r>
    </w:p>
    <w:p>
      <w:pPr>
        <w:pStyle w:val="BodyText"/>
        <w:spacing w:before="106"/>
        <w:rPr>
          <w:rFonts w:ascii="Calibri"/>
          <w:sz w:val="19"/>
        </w:rPr>
      </w:pPr>
    </w:p>
    <w:p>
      <w:pPr>
        <w:spacing w:before="0"/>
        <w:ind w:left="0" w:right="1378" w:firstLine="0"/>
        <w:jc w:val="right"/>
        <w:rPr>
          <w:rFonts w:ascii="Calibri"/>
          <w:sz w:val="19"/>
        </w:rPr>
      </w:pPr>
      <w:r>
        <w:rPr>
          <w:rFonts w:ascii="Calibri"/>
          <w:spacing w:val="-5"/>
          <w:sz w:val="19"/>
        </w:rPr>
        <w:t>MCS</w:t>
      </w:r>
    </w:p>
    <w:p>
      <w:pPr>
        <w:spacing w:line="202" w:lineRule="exact" w:before="200"/>
        <w:ind w:left="1284" w:right="0" w:firstLine="0"/>
        <w:jc w:val="left"/>
        <w:rPr>
          <w:rFonts w:ascii="Calibri"/>
          <w:sz w:val="19"/>
        </w:rPr>
      </w:pPr>
      <w:r>
        <w:rPr>
          <w:rFonts w:ascii="Calibri"/>
          <w:spacing w:val="-5"/>
          <w:sz w:val="19"/>
        </w:rPr>
        <w:t>20</w:t>
      </w:r>
    </w:p>
    <w:p>
      <w:pPr>
        <w:spacing w:line="202" w:lineRule="exact" w:before="0"/>
        <w:ind w:left="0" w:right="1474" w:firstLine="0"/>
        <w:jc w:val="right"/>
        <w:rPr>
          <w:rFonts w:ascii="Calibri"/>
          <w:sz w:val="19"/>
        </w:rPr>
      </w:pPr>
      <w:r>
        <w:rPr>
          <w:rFonts w:ascii="Calibri"/>
          <w:spacing w:val="-5"/>
          <w:sz w:val="19"/>
        </w:rPr>
        <w:t>MS</w:t>
      </w:r>
    </w:p>
    <w:p>
      <w:pPr>
        <w:pStyle w:val="BodyText"/>
        <w:rPr>
          <w:rFonts w:ascii="Calibri"/>
          <w:sz w:val="19"/>
        </w:rPr>
      </w:pPr>
    </w:p>
    <w:p>
      <w:pPr>
        <w:pStyle w:val="BodyText"/>
        <w:spacing w:before="129"/>
        <w:rPr>
          <w:rFonts w:ascii="Calibri"/>
          <w:sz w:val="19"/>
        </w:rPr>
      </w:pPr>
    </w:p>
    <w:p>
      <w:pPr>
        <w:spacing w:before="1"/>
        <w:ind w:left="0" w:right="6900" w:firstLine="0"/>
        <w:jc w:val="center"/>
        <w:rPr>
          <w:rFonts w:ascii="Calibri"/>
          <w:sz w:val="19"/>
        </w:rPr>
      </w:pPr>
      <w:r>
        <w:rPr>
          <w:rFonts w:ascii="Calibri"/>
          <w:spacing w:val="-10"/>
          <w:sz w:val="19"/>
        </w:rPr>
        <w:t>0</w:t>
      </w:r>
    </w:p>
    <w:p>
      <w:pPr>
        <w:tabs>
          <w:tab w:pos="1084" w:val="left" w:leader="none"/>
          <w:tab w:pos="2107" w:val="left" w:leader="none"/>
          <w:tab w:pos="3076" w:val="left" w:leader="none"/>
          <w:tab w:pos="4099" w:val="left" w:leader="none"/>
          <w:tab w:pos="5404" w:val="right" w:leader="none"/>
        </w:tabs>
        <w:spacing w:before="12"/>
        <w:ind w:left="0" w:right="352"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7"/>
        <w:ind w:left="0" w:right="342" w:firstLine="0"/>
        <w:jc w:val="center"/>
        <w:rPr>
          <w:rFonts w:ascii="Calibri" w:hAnsi="Calibri"/>
          <w:b/>
          <w:sz w:val="19"/>
        </w:rPr>
      </w:pPr>
      <w:r>
        <w:rPr>
          <w:rFonts w:ascii="Calibri" w:hAnsi="Calibri"/>
          <w:b/>
          <w:sz w:val="19"/>
        </w:rPr>
        <w:t>Sieve</w:t>
      </w:r>
      <w:r>
        <w:rPr>
          <w:rFonts w:ascii="Calibri" w:hAnsi="Calibri"/>
          <w:b/>
          <w:spacing w:val="-8"/>
          <w:sz w:val="19"/>
        </w:rPr>
        <w:t> </w:t>
      </w:r>
      <w:r>
        <w:rPr>
          <w:rFonts w:ascii="Calibri" w:hAnsi="Calibri"/>
          <w:b/>
          <w:sz w:val="19"/>
        </w:rPr>
        <w:t>size</w:t>
      </w:r>
      <w:r>
        <w:rPr>
          <w:rFonts w:ascii="Calibri" w:hAnsi="Calibri"/>
          <w:b/>
          <w:spacing w:val="-7"/>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rPr>
          <w:rFonts w:ascii="Calibri"/>
          <w:b/>
        </w:rPr>
      </w:pPr>
    </w:p>
    <w:p>
      <w:pPr>
        <w:pStyle w:val="BodyText"/>
        <w:spacing w:before="75"/>
        <w:rPr>
          <w:rFonts w:ascii="Calibri"/>
          <w:b/>
        </w:rPr>
      </w:pPr>
    </w:p>
    <w:p>
      <w:pPr>
        <w:pStyle w:val="Heading2"/>
        <w:spacing w:line="244" w:lineRule="auto"/>
        <w:ind w:left="1913" w:right="1550" w:hanging="1248"/>
      </w:pPr>
      <w:r>
        <w:rPr/>
        <w:t>Figure A. 7: Graph of Cumulative frequency (%) oversize distribution against sieve size (µm) of metronidazole granules using 5.0 % w/w as </w:t>
      </w:r>
      <w:r>
        <w:rPr>
          <w:spacing w:val="-2"/>
        </w:rPr>
        <w:t>disintegrant.</w:t>
      </w:r>
    </w:p>
    <w:p>
      <w:pPr>
        <w:spacing w:after="0" w:line="244" w:lineRule="auto"/>
        <w:sectPr>
          <w:pgSz w:w="12240" w:h="15840"/>
          <w:pgMar w:header="0" w:footer="999" w:top="1820" w:bottom="1180" w:left="1720" w:right="760"/>
        </w:sectPr>
      </w:pPr>
    </w:p>
    <w:p>
      <w:pPr>
        <w:pStyle w:val="BodyText"/>
        <w:spacing w:before="147"/>
        <w:rPr>
          <w:b/>
          <w:sz w:val="19"/>
        </w:rPr>
      </w:pPr>
    </w:p>
    <w:p>
      <w:pPr>
        <w:spacing w:before="0"/>
        <w:ind w:left="943" w:right="0" w:firstLine="0"/>
        <w:jc w:val="left"/>
        <w:rPr>
          <w:rFonts w:ascii="Calibri"/>
          <w:sz w:val="19"/>
        </w:rPr>
      </w:pPr>
      <w:r>
        <w:rPr/>
        <mc:AlternateContent>
          <mc:Choice Requires="wps">
            <w:drawing>
              <wp:anchor distT="0" distB="0" distL="0" distR="0" allowOverlap="1" layoutInCell="1" locked="0" behindDoc="1" simplePos="0" relativeHeight="482015232">
                <wp:simplePos x="0" y="0"/>
                <wp:positionH relativeFrom="page">
                  <wp:posOffset>1947672</wp:posOffset>
                </wp:positionH>
                <wp:positionV relativeFrom="paragraph">
                  <wp:posOffset>75259</wp:posOffset>
                </wp:positionV>
                <wp:extent cx="4276725" cy="3767454"/>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276725" cy="3767454"/>
                          <a:chExt cx="4276725" cy="3767454"/>
                        </a:xfrm>
                      </wpg:grpSpPr>
                      <wps:wsp>
                        <wps:cNvPr id="265" name="Graphic 265"/>
                        <wps:cNvSpPr/>
                        <wps:spPr>
                          <a:xfrm>
                            <a:off x="0" y="0"/>
                            <a:ext cx="4020820" cy="3767454"/>
                          </a:xfrm>
                          <a:custGeom>
                            <a:avLst/>
                            <a:gdLst/>
                            <a:ahLst/>
                            <a:cxnLst/>
                            <a:rect l="l" t="t" r="r" b="b"/>
                            <a:pathLst>
                              <a:path w="4020820" h="3767454">
                                <a:moveTo>
                                  <a:pt x="4020312" y="3727704"/>
                                </a:moveTo>
                                <a:lnTo>
                                  <a:pt x="4017264" y="3727704"/>
                                </a:lnTo>
                                <a:lnTo>
                                  <a:pt x="4017264" y="3724656"/>
                                </a:lnTo>
                                <a:lnTo>
                                  <a:pt x="42672" y="3724656"/>
                                </a:lnTo>
                                <a:lnTo>
                                  <a:pt x="42672" y="6096"/>
                                </a:lnTo>
                                <a:lnTo>
                                  <a:pt x="36576" y="6096"/>
                                </a:lnTo>
                                <a:lnTo>
                                  <a:pt x="36576" y="0"/>
                                </a:lnTo>
                                <a:lnTo>
                                  <a:pt x="0" y="0"/>
                                </a:lnTo>
                                <a:lnTo>
                                  <a:pt x="0" y="9144"/>
                                </a:lnTo>
                                <a:lnTo>
                                  <a:pt x="33528" y="9144"/>
                                </a:lnTo>
                                <a:lnTo>
                                  <a:pt x="33528" y="621792"/>
                                </a:lnTo>
                                <a:lnTo>
                                  <a:pt x="0" y="621792"/>
                                </a:lnTo>
                                <a:lnTo>
                                  <a:pt x="0" y="630936"/>
                                </a:lnTo>
                                <a:lnTo>
                                  <a:pt x="33528" y="630936"/>
                                </a:lnTo>
                                <a:lnTo>
                                  <a:pt x="33528" y="1243584"/>
                                </a:lnTo>
                                <a:lnTo>
                                  <a:pt x="0" y="1243584"/>
                                </a:lnTo>
                                <a:lnTo>
                                  <a:pt x="0" y="1252728"/>
                                </a:lnTo>
                                <a:lnTo>
                                  <a:pt x="33528" y="1252728"/>
                                </a:lnTo>
                                <a:lnTo>
                                  <a:pt x="33528" y="1862328"/>
                                </a:lnTo>
                                <a:lnTo>
                                  <a:pt x="0" y="1862328"/>
                                </a:lnTo>
                                <a:lnTo>
                                  <a:pt x="0" y="1871472"/>
                                </a:lnTo>
                                <a:lnTo>
                                  <a:pt x="33528" y="1871472"/>
                                </a:lnTo>
                                <a:lnTo>
                                  <a:pt x="33528" y="2484120"/>
                                </a:lnTo>
                                <a:lnTo>
                                  <a:pt x="0" y="2484120"/>
                                </a:lnTo>
                                <a:lnTo>
                                  <a:pt x="0" y="2493264"/>
                                </a:lnTo>
                                <a:lnTo>
                                  <a:pt x="33528" y="2493264"/>
                                </a:lnTo>
                                <a:lnTo>
                                  <a:pt x="33528" y="3105912"/>
                                </a:lnTo>
                                <a:lnTo>
                                  <a:pt x="0" y="3105912"/>
                                </a:lnTo>
                                <a:lnTo>
                                  <a:pt x="0" y="3115056"/>
                                </a:lnTo>
                                <a:lnTo>
                                  <a:pt x="33528" y="3115056"/>
                                </a:lnTo>
                                <a:lnTo>
                                  <a:pt x="33528" y="3724656"/>
                                </a:lnTo>
                                <a:lnTo>
                                  <a:pt x="0" y="3724656"/>
                                </a:lnTo>
                                <a:lnTo>
                                  <a:pt x="0" y="3733800"/>
                                </a:lnTo>
                                <a:lnTo>
                                  <a:pt x="33528" y="3733800"/>
                                </a:lnTo>
                                <a:lnTo>
                                  <a:pt x="33528" y="3767328"/>
                                </a:lnTo>
                                <a:lnTo>
                                  <a:pt x="42672" y="3767328"/>
                                </a:lnTo>
                                <a:lnTo>
                                  <a:pt x="42672" y="3733800"/>
                                </a:lnTo>
                                <a:lnTo>
                                  <a:pt x="697992" y="3733800"/>
                                </a:lnTo>
                                <a:lnTo>
                                  <a:pt x="697992" y="3767328"/>
                                </a:lnTo>
                                <a:lnTo>
                                  <a:pt x="707136" y="3767328"/>
                                </a:lnTo>
                                <a:lnTo>
                                  <a:pt x="707136" y="3733800"/>
                                </a:lnTo>
                                <a:lnTo>
                                  <a:pt x="1359395" y="3733800"/>
                                </a:lnTo>
                                <a:lnTo>
                                  <a:pt x="1359395" y="3767328"/>
                                </a:lnTo>
                                <a:lnTo>
                                  <a:pt x="1368552" y="3767328"/>
                                </a:lnTo>
                                <a:lnTo>
                                  <a:pt x="1368552" y="3733800"/>
                                </a:lnTo>
                                <a:lnTo>
                                  <a:pt x="2023872" y="3733800"/>
                                </a:lnTo>
                                <a:lnTo>
                                  <a:pt x="2023872" y="3767328"/>
                                </a:lnTo>
                                <a:lnTo>
                                  <a:pt x="2033016" y="3767328"/>
                                </a:lnTo>
                                <a:lnTo>
                                  <a:pt x="2033016" y="3733800"/>
                                </a:lnTo>
                                <a:lnTo>
                                  <a:pt x="2685288" y="3733800"/>
                                </a:lnTo>
                                <a:lnTo>
                                  <a:pt x="2685288" y="3767328"/>
                                </a:lnTo>
                                <a:lnTo>
                                  <a:pt x="2694432" y="3767328"/>
                                </a:lnTo>
                                <a:lnTo>
                                  <a:pt x="2694432" y="3733800"/>
                                </a:lnTo>
                                <a:lnTo>
                                  <a:pt x="3349752" y="3733800"/>
                                </a:lnTo>
                                <a:lnTo>
                                  <a:pt x="3349752" y="3767328"/>
                                </a:lnTo>
                                <a:lnTo>
                                  <a:pt x="3358896" y="3767328"/>
                                </a:lnTo>
                                <a:lnTo>
                                  <a:pt x="3358896" y="3733800"/>
                                </a:lnTo>
                                <a:lnTo>
                                  <a:pt x="4011168" y="3733800"/>
                                </a:lnTo>
                                <a:lnTo>
                                  <a:pt x="4011168" y="3767328"/>
                                </a:lnTo>
                                <a:lnTo>
                                  <a:pt x="4020312" y="3767328"/>
                                </a:lnTo>
                                <a:lnTo>
                                  <a:pt x="4020312" y="3727704"/>
                                </a:lnTo>
                                <a:close/>
                              </a:path>
                            </a:pathLst>
                          </a:custGeom>
                          <a:solidFill>
                            <a:srgbClr val="858585"/>
                          </a:solidFill>
                        </wps:spPr>
                        <wps:bodyPr wrap="square" lIns="0" tIns="0" rIns="0" bIns="0" rtlCol="0">
                          <a:prstTxWarp prst="textNoShape">
                            <a:avLst/>
                          </a:prstTxWarp>
                          <a:noAutofit/>
                        </wps:bodyPr>
                      </wps:wsp>
                      <pic:pic>
                        <pic:nvPicPr>
                          <pic:cNvPr id="266" name="Image 266"/>
                          <pic:cNvPicPr/>
                        </pic:nvPicPr>
                        <pic:blipFill>
                          <a:blip r:embed="rId91" cstate="print"/>
                          <a:stretch>
                            <a:fillRect/>
                          </a:stretch>
                        </pic:blipFill>
                        <pic:spPr>
                          <a:xfrm>
                            <a:off x="316991" y="579119"/>
                            <a:ext cx="3413760" cy="1749552"/>
                          </a:xfrm>
                          <a:prstGeom prst="rect">
                            <a:avLst/>
                          </a:prstGeom>
                        </pic:spPr>
                      </pic:pic>
                      <wps:wsp>
                        <wps:cNvPr id="267" name="Graphic 267"/>
                        <wps:cNvSpPr/>
                        <wps:spPr>
                          <a:xfrm>
                            <a:off x="356615" y="627887"/>
                            <a:ext cx="3343910" cy="890269"/>
                          </a:xfrm>
                          <a:custGeom>
                            <a:avLst/>
                            <a:gdLst/>
                            <a:ahLst/>
                            <a:cxnLst/>
                            <a:rect l="l" t="t" r="r" b="b"/>
                            <a:pathLst>
                              <a:path w="3343910" h="890269">
                                <a:moveTo>
                                  <a:pt x="2660554" y="231273"/>
                                </a:moveTo>
                                <a:lnTo>
                                  <a:pt x="3325367" y="890016"/>
                                </a:lnTo>
                                <a:lnTo>
                                  <a:pt x="3334512" y="890016"/>
                                </a:lnTo>
                                <a:lnTo>
                                  <a:pt x="3340608" y="886968"/>
                                </a:lnTo>
                                <a:lnTo>
                                  <a:pt x="3343656" y="880872"/>
                                </a:lnTo>
                                <a:lnTo>
                                  <a:pt x="3343656" y="871727"/>
                                </a:lnTo>
                                <a:lnTo>
                                  <a:pt x="2697677" y="231648"/>
                                </a:lnTo>
                                <a:lnTo>
                                  <a:pt x="2663952" y="231648"/>
                                </a:lnTo>
                                <a:lnTo>
                                  <a:pt x="2660554" y="231273"/>
                                </a:lnTo>
                                <a:close/>
                              </a:path>
                              <a:path w="3343910" h="890269">
                                <a:moveTo>
                                  <a:pt x="2657856" y="228600"/>
                                </a:moveTo>
                                <a:lnTo>
                                  <a:pt x="2660554" y="231273"/>
                                </a:lnTo>
                                <a:lnTo>
                                  <a:pt x="2663952" y="231648"/>
                                </a:lnTo>
                                <a:lnTo>
                                  <a:pt x="2657856" y="228600"/>
                                </a:lnTo>
                                <a:close/>
                              </a:path>
                              <a:path w="3343910" h="890269">
                                <a:moveTo>
                                  <a:pt x="2694601" y="228600"/>
                                </a:moveTo>
                                <a:lnTo>
                                  <a:pt x="2657856" y="228600"/>
                                </a:lnTo>
                                <a:lnTo>
                                  <a:pt x="2663952" y="231648"/>
                                </a:lnTo>
                                <a:lnTo>
                                  <a:pt x="2697677" y="231648"/>
                                </a:lnTo>
                                <a:lnTo>
                                  <a:pt x="2694601" y="228600"/>
                                </a:lnTo>
                                <a:close/>
                              </a:path>
                              <a:path w="3343910" h="890269">
                                <a:moveTo>
                                  <a:pt x="12192" y="0"/>
                                </a:moveTo>
                                <a:lnTo>
                                  <a:pt x="6095" y="0"/>
                                </a:lnTo>
                                <a:lnTo>
                                  <a:pt x="0" y="6096"/>
                                </a:lnTo>
                                <a:lnTo>
                                  <a:pt x="0" y="18288"/>
                                </a:lnTo>
                                <a:lnTo>
                                  <a:pt x="6095" y="24383"/>
                                </a:lnTo>
                                <a:lnTo>
                                  <a:pt x="673607" y="30479"/>
                                </a:lnTo>
                                <a:lnTo>
                                  <a:pt x="1338072" y="54864"/>
                                </a:lnTo>
                                <a:lnTo>
                                  <a:pt x="1999488" y="158496"/>
                                </a:lnTo>
                                <a:lnTo>
                                  <a:pt x="2660554" y="231273"/>
                                </a:lnTo>
                                <a:lnTo>
                                  <a:pt x="2657856" y="228600"/>
                                </a:lnTo>
                                <a:lnTo>
                                  <a:pt x="2694601" y="228600"/>
                                </a:lnTo>
                                <a:lnTo>
                                  <a:pt x="2670048" y="204216"/>
                                </a:lnTo>
                                <a:lnTo>
                                  <a:pt x="2667000" y="204216"/>
                                </a:lnTo>
                                <a:lnTo>
                                  <a:pt x="2002536" y="134112"/>
                                </a:lnTo>
                                <a:lnTo>
                                  <a:pt x="1341120" y="27431"/>
                                </a:lnTo>
                                <a:lnTo>
                                  <a:pt x="673607" y="6096"/>
                                </a:lnTo>
                                <a:lnTo>
                                  <a:pt x="12192" y="0"/>
                                </a:lnTo>
                                <a:close/>
                              </a:path>
                            </a:pathLst>
                          </a:custGeom>
                          <a:solidFill>
                            <a:srgbClr val="97B853"/>
                          </a:solidFill>
                        </wps:spPr>
                        <wps:bodyPr wrap="square" lIns="0" tIns="0" rIns="0" bIns="0" rtlCol="0">
                          <a:prstTxWarp prst="textNoShape">
                            <a:avLst/>
                          </a:prstTxWarp>
                          <a:noAutofit/>
                        </wps:bodyPr>
                      </wps:wsp>
                      <pic:pic>
                        <pic:nvPicPr>
                          <pic:cNvPr id="268" name="Image 268"/>
                          <pic:cNvPicPr/>
                        </pic:nvPicPr>
                        <pic:blipFill>
                          <a:blip r:embed="rId92" cstate="print"/>
                          <a:stretch>
                            <a:fillRect/>
                          </a:stretch>
                        </pic:blipFill>
                        <pic:spPr>
                          <a:xfrm>
                            <a:off x="316991" y="591312"/>
                            <a:ext cx="97536" cy="97536"/>
                          </a:xfrm>
                          <a:prstGeom prst="rect">
                            <a:avLst/>
                          </a:prstGeom>
                        </pic:spPr>
                      </pic:pic>
                      <pic:pic>
                        <pic:nvPicPr>
                          <pic:cNvPr id="269" name="Image 269"/>
                          <pic:cNvPicPr/>
                        </pic:nvPicPr>
                        <pic:blipFill>
                          <a:blip r:embed="rId68" cstate="print"/>
                          <a:stretch>
                            <a:fillRect/>
                          </a:stretch>
                        </pic:blipFill>
                        <pic:spPr>
                          <a:xfrm>
                            <a:off x="981455" y="597408"/>
                            <a:ext cx="100584" cy="97535"/>
                          </a:xfrm>
                          <a:prstGeom prst="rect">
                            <a:avLst/>
                          </a:prstGeom>
                        </pic:spPr>
                      </pic:pic>
                      <pic:pic>
                        <pic:nvPicPr>
                          <pic:cNvPr id="270" name="Image 270"/>
                          <pic:cNvPicPr/>
                        </pic:nvPicPr>
                        <pic:blipFill>
                          <a:blip r:embed="rId56" cstate="print"/>
                          <a:stretch>
                            <a:fillRect/>
                          </a:stretch>
                        </pic:blipFill>
                        <pic:spPr>
                          <a:xfrm>
                            <a:off x="1645920" y="621791"/>
                            <a:ext cx="97536" cy="94488"/>
                          </a:xfrm>
                          <a:prstGeom prst="rect">
                            <a:avLst/>
                          </a:prstGeom>
                        </pic:spPr>
                      </pic:pic>
                      <pic:pic>
                        <pic:nvPicPr>
                          <pic:cNvPr id="271" name="Image 271"/>
                          <pic:cNvPicPr/>
                        </pic:nvPicPr>
                        <pic:blipFill>
                          <a:blip r:embed="rId93" cstate="print"/>
                          <a:stretch>
                            <a:fillRect/>
                          </a:stretch>
                        </pic:blipFill>
                        <pic:spPr>
                          <a:xfrm>
                            <a:off x="2310383" y="722376"/>
                            <a:ext cx="97536" cy="97535"/>
                          </a:xfrm>
                          <a:prstGeom prst="rect">
                            <a:avLst/>
                          </a:prstGeom>
                        </pic:spPr>
                      </pic:pic>
                      <pic:pic>
                        <pic:nvPicPr>
                          <pic:cNvPr id="272" name="Image 272"/>
                          <pic:cNvPicPr/>
                        </pic:nvPicPr>
                        <pic:blipFill>
                          <a:blip r:embed="rId94" cstate="print"/>
                          <a:stretch>
                            <a:fillRect/>
                          </a:stretch>
                        </pic:blipFill>
                        <pic:spPr>
                          <a:xfrm>
                            <a:off x="2974848" y="795527"/>
                            <a:ext cx="97535" cy="97535"/>
                          </a:xfrm>
                          <a:prstGeom prst="rect">
                            <a:avLst/>
                          </a:prstGeom>
                        </pic:spPr>
                      </pic:pic>
                      <pic:pic>
                        <pic:nvPicPr>
                          <pic:cNvPr id="273" name="Image 273"/>
                          <pic:cNvPicPr/>
                        </pic:nvPicPr>
                        <pic:blipFill>
                          <a:blip r:embed="rId95" cstate="print"/>
                          <a:stretch>
                            <a:fillRect/>
                          </a:stretch>
                        </pic:blipFill>
                        <pic:spPr>
                          <a:xfrm>
                            <a:off x="3636264" y="1453896"/>
                            <a:ext cx="97536" cy="97536"/>
                          </a:xfrm>
                          <a:prstGeom prst="rect">
                            <a:avLst/>
                          </a:prstGeom>
                        </pic:spPr>
                      </pic:pic>
                      <pic:pic>
                        <pic:nvPicPr>
                          <pic:cNvPr id="274" name="Image 274"/>
                          <pic:cNvPicPr/>
                        </pic:nvPicPr>
                        <pic:blipFill>
                          <a:blip r:embed="rId96" cstate="print"/>
                          <a:stretch>
                            <a:fillRect/>
                          </a:stretch>
                        </pic:blipFill>
                        <pic:spPr>
                          <a:xfrm>
                            <a:off x="4023359" y="1859279"/>
                            <a:ext cx="252983" cy="79248"/>
                          </a:xfrm>
                          <a:prstGeom prst="rect">
                            <a:avLst/>
                          </a:prstGeom>
                        </pic:spPr>
                      </pic:pic>
                      <pic:pic>
                        <pic:nvPicPr>
                          <pic:cNvPr id="275" name="Image 275"/>
                          <pic:cNvPicPr/>
                        </pic:nvPicPr>
                        <pic:blipFill>
                          <a:blip r:embed="rId97" cstate="print"/>
                          <a:stretch>
                            <a:fillRect/>
                          </a:stretch>
                        </pic:blipFill>
                        <pic:spPr>
                          <a:xfrm>
                            <a:off x="4023359" y="2075688"/>
                            <a:ext cx="252983" cy="79248"/>
                          </a:xfrm>
                          <a:prstGeom prst="rect">
                            <a:avLst/>
                          </a:prstGeom>
                        </pic:spPr>
                      </pic:pic>
                      <pic:pic>
                        <pic:nvPicPr>
                          <pic:cNvPr id="276" name="Image 276"/>
                          <pic:cNvPicPr/>
                        </pic:nvPicPr>
                        <pic:blipFill>
                          <a:blip r:embed="rId98" cstate="print"/>
                          <a:stretch>
                            <a:fillRect/>
                          </a:stretch>
                        </pic:blipFill>
                        <pic:spPr>
                          <a:xfrm>
                            <a:off x="4023359" y="2292095"/>
                            <a:ext cx="252983" cy="79248"/>
                          </a:xfrm>
                          <a:prstGeom prst="rect">
                            <a:avLst/>
                          </a:prstGeom>
                        </pic:spPr>
                      </pic:pic>
                    </wpg:wgp>
                  </a:graphicData>
                </a:graphic>
              </wp:anchor>
            </w:drawing>
          </mc:Choice>
          <mc:Fallback>
            <w:pict>
              <v:group style="position:absolute;margin-left:153.360001pt;margin-top:5.925928pt;width:336.75pt;height:296.650pt;mso-position-horizontal-relative:page;mso-position-vertical-relative:paragraph;z-index:-21301248" id="docshapegroup252" coordorigin="3067,119" coordsize="6735,5933">
                <v:shape style="position:absolute;left:3067;top:118;width:6332;height:5933" id="docshape253" coordorigin="3067,119" coordsize="6332,5933" path="m9398,5989l9394,5989,9394,5984,3134,5984,3134,128,3125,128,3125,119,3067,119,3067,133,3120,133,3120,1098,3067,1098,3067,1112,3120,1112,3120,2077,3067,2077,3067,2091,3120,2091,3120,3051,3067,3051,3067,3066,3120,3066,3120,4031,3067,4031,3067,4045,3120,4045,3120,5010,3067,5010,3067,5024,3120,5024,3120,5984,3067,5984,3067,5999,3120,5999,3120,6051,3134,6051,3134,5999,4166,5999,4166,6051,4181,6051,4181,5999,5208,5999,5208,6051,5222,6051,5222,5999,6254,5999,6254,6051,6269,6051,6269,5999,7296,5999,7296,6051,7310,6051,7310,5999,8342,5999,8342,6051,8357,6051,8357,5999,9384,5999,9384,6051,9398,6051,9398,5989xe" filled="true" fillcolor="#858585" stroked="false">
                  <v:path arrowok="t"/>
                  <v:fill type="solid"/>
                </v:shape>
                <v:shape style="position:absolute;left:3566;top:1030;width:5376;height:2756" type="#_x0000_t75" id="docshape254" stroked="false">
                  <v:imagedata r:id="rId91" o:title=""/>
                </v:shape>
                <v:shape style="position:absolute;left:3628;top:1107;width:5266;height:1402" id="docshape255" coordorigin="3629,1107" coordsize="5266,1402" path="m7819,1472l8866,2509,8880,2509,8890,2504,8894,2495,8894,2480,7877,1472,7824,1472,7819,1472xm7814,1467l7819,1472,7824,1472,7814,1467xm7872,1467l7814,1467,7824,1472,7877,1472,7872,1467xm3648,1107l3638,1107,3629,1117,3629,1136,3638,1146,4690,1155,5736,1194,6778,1357,7819,1472,7814,1467,7872,1467,7834,1429,7829,1429,6782,1319,5741,1151,4690,1117,3648,1107xe" filled="true" fillcolor="#97b853" stroked="false">
                  <v:path arrowok="t"/>
                  <v:fill type="solid"/>
                </v:shape>
                <v:shape style="position:absolute;left:3566;top:1049;width:154;height:154" type="#_x0000_t75" id="docshape256" stroked="false">
                  <v:imagedata r:id="rId92" o:title=""/>
                </v:shape>
                <v:shape style="position:absolute;left:4612;top:1059;width:159;height:154" type="#_x0000_t75" id="docshape257" stroked="false">
                  <v:imagedata r:id="rId68" o:title=""/>
                </v:shape>
                <v:shape style="position:absolute;left:5659;top:1097;width:154;height:149" type="#_x0000_t75" id="docshape258" stroked="false">
                  <v:imagedata r:id="rId56" o:title=""/>
                </v:shape>
                <v:shape style="position:absolute;left:6705;top:1256;width:154;height:154" type="#_x0000_t75" id="docshape259" stroked="false">
                  <v:imagedata r:id="rId93" o:title=""/>
                </v:shape>
                <v:shape style="position:absolute;left:7752;top:1371;width:154;height:154" type="#_x0000_t75" id="docshape260" stroked="false">
                  <v:imagedata r:id="rId94" o:title=""/>
                </v:shape>
                <v:shape style="position:absolute;left:8793;top:2408;width:154;height:154" type="#_x0000_t75" id="docshape261" stroked="false">
                  <v:imagedata r:id="rId95" o:title=""/>
                </v:shape>
                <v:shape style="position:absolute;left:9403;top:3046;width:399;height:125" type="#_x0000_t75" id="docshape262" stroked="false">
                  <v:imagedata r:id="rId96" o:title=""/>
                </v:shape>
                <v:shape style="position:absolute;left:9403;top:3387;width:399;height:125" type="#_x0000_t75" id="docshape263" stroked="false">
                  <v:imagedata r:id="rId97" o:title=""/>
                </v:shape>
                <v:shape style="position:absolute;left:9403;top:3728;width:399;height:125" type="#_x0000_t75" id="docshape264" stroked="false">
                  <v:imagedata r:id="rId98"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51"/>
        <w:rPr>
          <w:rFonts w:ascii="Calibri"/>
          <w:sz w:val="19"/>
        </w:rPr>
      </w:pPr>
    </w:p>
    <w:p>
      <w:pPr>
        <w:spacing w:before="0"/>
        <w:ind w:left="943"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47"/>
        <w:rPr>
          <w:rFonts w:ascii="Calibri"/>
          <w:sz w:val="19"/>
        </w:rPr>
      </w:pPr>
    </w:p>
    <w:p>
      <w:pPr>
        <w:spacing w:before="0"/>
        <w:ind w:left="1040" w:right="0" w:firstLine="0"/>
        <w:jc w:val="left"/>
        <w:rPr>
          <w:rFonts w:ascii="Calibri"/>
          <w:sz w:val="19"/>
        </w:rPr>
      </w:pPr>
      <w:r>
        <w:rPr/>
        <mc:AlternateContent>
          <mc:Choice Requires="wps">
            <w:drawing>
              <wp:anchor distT="0" distB="0" distL="0" distR="0" allowOverlap="1" layoutInCell="1" locked="0" behindDoc="0" simplePos="0" relativeHeight="15764992">
                <wp:simplePos x="0" y="0"/>
                <wp:positionH relativeFrom="page">
                  <wp:posOffset>1542969</wp:posOffset>
                </wp:positionH>
                <wp:positionV relativeFrom="paragraph">
                  <wp:posOffset>49829</wp:posOffset>
                </wp:positionV>
                <wp:extent cx="146050" cy="130619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5"/>
                                <w:sz w:val="19"/>
                              </w:rPr>
                              <w:t> </w:t>
                            </w:r>
                            <w:r>
                              <w:rPr>
                                <w:rFonts w:ascii="Calibri"/>
                                <w:b/>
                                <w:spacing w:val="-2"/>
                                <w:sz w:val="19"/>
                              </w:rPr>
                              <w:t>frequency</w:t>
                            </w:r>
                            <w:r>
                              <w:rPr>
                                <w:rFonts w:ascii="Calibri"/>
                                <w:b/>
                                <w:spacing w:val="-3"/>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21.493675pt;margin-top:3.923606pt;width:11.5pt;height:102.85pt;mso-position-horizontal-relative:page;mso-position-vertical-relative:paragraph;z-index:15764992" type="#_x0000_t202" id="docshape265"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5"/>
                          <w:sz w:val="19"/>
                        </w:rPr>
                        <w:t> </w:t>
                      </w:r>
                      <w:r>
                        <w:rPr>
                          <w:rFonts w:ascii="Calibri"/>
                          <w:b/>
                          <w:spacing w:val="-2"/>
                          <w:sz w:val="19"/>
                        </w:rPr>
                        <w:t>frequency</w:t>
                      </w:r>
                      <w:r>
                        <w:rPr>
                          <w:rFonts w:ascii="Calibri"/>
                          <w:b/>
                          <w:spacing w:val="-3"/>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51"/>
        <w:rPr>
          <w:rFonts w:ascii="Calibri"/>
          <w:sz w:val="19"/>
        </w:rPr>
      </w:pPr>
    </w:p>
    <w:p>
      <w:pPr>
        <w:tabs>
          <w:tab w:pos="8095" w:val="left" w:leader="none"/>
        </w:tabs>
        <w:spacing w:before="0"/>
        <w:ind w:left="1040" w:right="0" w:firstLine="0"/>
        <w:jc w:val="left"/>
        <w:rPr>
          <w:rFonts w:ascii="Calibri"/>
          <w:sz w:val="19"/>
        </w:rPr>
      </w:pPr>
      <w:r>
        <w:rPr>
          <w:rFonts w:ascii="Calibri"/>
          <w:spacing w:val="-5"/>
          <w:sz w:val="19"/>
        </w:rPr>
        <w:t>60</w:t>
      </w:r>
      <w:r>
        <w:rPr>
          <w:rFonts w:ascii="Calibri"/>
          <w:sz w:val="19"/>
        </w:rPr>
        <w:tab/>
      </w:r>
      <w:r>
        <w:rPr>
          <w:rFonts w:ascii="Calibri"/>
          <w:spacing w:val="-5"/>
          <w:position w:val="-4"/>
          <w:sz w:val="19"/>
        </w:rPr>
        <w:t>DS</w:t>
      </w:r>
    </w:p>
    <w:p>
      <w:pPr>
        <w:spacing w:line="330" w:lineRule="atLeast" w:before="14"/>
        <w:ind w:left="8096" w:right="1304" w:firstLine="0"/>
        <w:jc w:val="left"/>
        <w:rPr>
          <w:rFonts w:ascii="Calibri"/>
          <w:sz w:val="19"/>
        </w:rPr>
      </w:pPr>
      <w:r>
        <w:rPr>
          <w:rFonts w:ascii="Calibri"/>
          <w:spacing w:val="-4"/>
          <w:sz w:val="19"/>
        </w:rPr>
        <w:t>MCS</w:t>
      </w:r>
      <w:r>
        <w:rPr>
          <w:rFonts w:ascii="Calibri"/>
          <w:sz w:val="19"/>
        </w:rPr>
        <w:t> </w:t>
      </w:r>
      <w:r>
        <w:rPr>
          <w:rFonts w:ascii="Calibri"/>
          <w:spacing w:val="-6"/>
          <w:sz w:val="19"/>
        </w:rPr>
        <w:t>MS</w:t>
      </w:r>
    </w:p>
    <w:p>
      <w:pPr>
        <w:spacing w:before="24"/>
        <w:ind w:left="1040" w:right="0" w:firstLine="0"/>
        <w:jc w:val="left"/>
        <w:rPr>
          <w:rFonts w:ascii="Calibri"/>
          <w:sz w:val="19"/>
        </w:rPr>
      </w:pPr>
      <w:r>
        <w:rPr>
          <w:rFonts w:ascii="Calibri"/>
          <w:spacing w:val="-5"/>
          <w:sz w:val="19"/>
        </w:rPr>
        <w:t>40</w:t>
      </w:r>
    </w:p>
    <w:p>
      <w:pPr>
        <w:pStyle w:val="BodyText"/>
        <w:rPr>
          <w:rFonts w:ascii="Calibri"/>
          <w:sz w:val="19"/>
        </w:rPr>
      </w:pPr>
    </w:p>
    <w:p>
      <w:pPr>
        <w:pStyle w:val="BodyText"/>
        <w:rPr>
          <w:rFonts w:ascii="Calibri"/>
          <w:sz w:val="19"/>
        </w:rPr>
      </w:pPr>
    </w:p>
    <w:p>
      <w:pPr>
        <w:pStyle w:val="BodyText"/>
        <w:spacing w:before="46"/>
        <w:rPr>
          <w:rFonts w:ascii="Calibri"/>
          <w:sz w:val="19"/>
        </w:rPr>
      </w:pPr>
    </w:p>
    <w:p>
      <w:pPr>
        <w:spacing w:before="0"/>
        <w:ind w:left="1040"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52"/>
        <w:rPr>
          <w:rFonts w:ascii="Calibri"/>
          <w:sz w:val="19"/>
        </w:rPr>
      </w:pPr>
    </w:p>
    <w:p>
      <w:pPr>
        <w:spacing w:before="0"/>
        <w:ind w:left="446" w:right="7835" w:firstLine="0"/>
        <w:jc w:val="center"/>
        <w:rPr>
          <w:rFonts w:ascii="Calibri"/>
          <w:sz w:val="19"/>
        </w:rPr>
      </w:pPr>
      <w:r>
        <w:rPr>
          <w:rFonts w:ascii="Calibri"/>
          <w:spacing w:val="-10"/>
          <w:sz w:val="19"/>
        </w:rPr>
        <w:t>0</w:t>
      </w:r>
    </w:p>
    <w:p>
      <w:pPr>
        <w:tabs>
          <w:tab w:pos="1113" w:val="left" w:leader="none"/>
          <w:tab w:pos="2155" w:val="left" w:leader="none"/>
          <w:tab w:pos="3153" w:val="left" w:leader="none"/>
          <w:tab w:pos="4199" w:val="left" w:leader="none"/>
          <w:tab w:pos="5529" w:val="right" w:leader="none"/>
        </w:tabs>
        <w:spacing w:before="13"/>
        <w:ind w:left="0" w:right="698"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6"/>
        <w:ind w:left="0" w:right="683"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11"/>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47"/>
        <w:rPr>
          <w:rFonts w:ascii="Calibri"/>
          <w:b/>
        </w:rPr>
      </w:pPr>
    </w:p>
    <w:p>
      <w:pPr>
        <w:pStyle w:val="Heading2"/>
        <w:spacing w:line="244" w:lineRule="auto"/>
        <w:ind w:left="1913" w:right="1550" w:hanging="1248"/>
      </w:pPr>
      <w:r>
        <w:rPr/>
        <w:t>Figure A. 8: Graph of Cumulative frequency (%) oversize distribution against sieve size (µm) of metronidazole granules using 7.5 % w/w as </w:t>
      </w:r>
      <w:r>
        <w:rPr>
          <w:spacing w:val="-2"/>
        </w:rPr>
        <w:t>disintegrant.</w:t>
      </w:r>
    </w:p>
    <w:p>
      <w:pPr>
        <w:spacing w:after="0" w:line="244" w:lineRule="auto"/>
        <w:sectPr>
          <w:pgSz w:w="12240" w:h="15840"/>
          <w:pgMar w:header="0" w:footer="999" w:top="1820" w:bottom="1180" w:left="1720" w:right="760"/>
        </w:sectPr>
      </w:pPr>
    </w:p>
    <w:p>
      <w:pPr>
        <w:spacing w:before="32"/>
        <w:ind w:left="987" w:right="0" w:firstLine="0"/>
        <w:jc w:val="left"/>
        <w:rPr>
          <w:rFonts w:ascii="Calibri"/>
          <w:sz w:val="19"/>
        </w:rPr>
      </w:pPr>
      <w:r>
        <w:rPr/>
        <mc:AlternateContent>
          <mc:Choice Requires="wps">
            <w:drawing>
              <wp:anchor distT="0" distB="0" distL="0" distR="0" allowOverlap="1" layoutInCell="1" locked="0" behindDoc="1" simplePos="0" relativeHeight="482016256">
                <wp:simplePos x="0" y="0"/>
                <wp:positionH relativeFrom="page">
                  <wp:posOffset>1975104</wp:posOffset>
                </wp:positionH>
                <wp:positionV relativeFrom="paragraph">
                  <wp:posOffset>92964</wp:posOffset>
                </wp:positionV>
                <wp:extent cx="4166870" cy="351472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4166870" cy="3514725"/>
                          <a:chExt cx="4166870" cy="3514725"/>
                        </a:xfrm>
                      </wpg:grpSpPr>
                      <wps:wsp>
                        <wps:cNvPr id="279" name="Graphic 279"/>
                        <wps:cNvSpPr/>
                        <wps:spPr>
                          <a:xfrm>
                            <a:off x="0" y="0"/>
                            <a:ext cx="4154804" cy="3514725"/>
                          </a:xfrm>
                          <a:custGeom>
                            <a:avLst/>
                            <a:gdLst/>
                            <a:ahLst/>
                            <a:cxnLst/>
                            <a:rect l="l" t="t" r="r" b="b"/>
                            <a:pathLst>
                              <a:path w="4154804" h="3514725">
                                <a:moveTo>
                                  <a:pt x="4154424" y="3474720"/>
                                </a:moveTo>
                                <a:lnTo>
                                  <a:pt x="4148328" y="3474720"/>
                                </a:lnTo>
                                <a:lnTo>
                                  <a:pt x="4148328" y="3471672"/>
                                </a:lnTo>
                                <a:lnTo>
                                  <a:pt x="42672" y="3471672"/>
                                </a:lnTo>
                                <a:lnTo>
                                  <a:pt x="42672" y="6096"/>
                                </a:lnTo>
                                <a:lnTo>
                                  <a:pt x="39624" y="6096"/>
                                </a:lnTo>
                                <a:lnTo>
                                  <a:pt x="39624" y="0"/>
                                </a:lnTo>
                                <a:lnTo>
                                  <a:pt x="0" y="0"/>
                                </a:lnTo>
                                <a:lnTo>
                                  <a:pt x="0" y="9144"/>
                                </a:lnTo>
                                <a:lnTo>
                                  <a:pt x="33528" y="9144"/>
                                </a:lnTo>
                                <a:lnTo>
                                  <a:pt x="33528" y="579120"/>
                                </a:lnTo>
                                <a:lnTo>
                                  <a:pt x="0" y="579120"/>
                                </a:lnTo>
                                <a:lnTo>
                                  <a:pt x="0" y="588264"/>
                                </a:lnTo>
                                <a:lnTo>
                                  <a:pt x="33528" y="588264"/>
                                </a:lnTo>
                                <a:lnTo>
                                  <a:pt x="33528" y="1158240"/>
                                </a:lnTo>
                                <a:lnTo>
                                  <a:pt x="0" y="1158240"/>
                                </a:lnTo>
                                <a:lnTo>
                                  <a:pt x="0" y="1167384"/>
                                </a:lnTo>
                                <a:lnTo>
                                  <a:pt x="33528" y="1167384"/>
                                </a:lnTo>
                                <a:lnTo>
                                  <a:pt x="33528" y="1737360"/>
                                </a:lnTo>
                                <a:lnTo>
                                  <a:pt x="0" y="1737360"/>
                                </a:lnTo>
                                <a:lnTo>
                                  <a:pt x="0" y="1746504"/>
                                </a:lnTo>
                                <a:lnTo>
                                  <a:pt x="33528" y="1746504"/>
                                </a:lnTo>
                                <a:lnTo>
                                  <a:pt x="33528" y="2316480"/>
                                </a:lnTo>
                                <a:lnTo>
                                  <a:pt x="0" y="2316480"/>
                                </a:lnTo>
                                <a:lnTo>
                                  <a:pt x="0" y="2322576"/>
                                </a:lnTo>
                                <a:lnTo>
                                  <a:pt x="33528" y="2322576"/>
                                </a:lnTo>
                                <a:lnTo>
                                  <a:pt x="33528" y="2895600"/>
                                </a:lnTo>
                                <a:lnTo>
                                  <a:pt x="0" y="2895600"/>
                                </a:lnTo>
                                <a:lnTo>
                                  <a:pt x="0" y="2901696"/>
                                </a:lnTo>
                                <a:lnTo>
                                  <a:pt x="33528" y="2901696"/>
                                </a:lnTo>
                                <a:lnTo>
                                  <a:pt x="33528" y="3468624"/>
                                </a:lnTo>
                                <a:lnTo>
                                  <a:pt x="0" y="3468624"/>
                                </a:lnTo>
                                <a:lnTo>
                                  <a:pt x="0" y="3477768"/>
                                </a:lnTo>
                                <a:lnTo>
                                  <a:pt x="33528" y="3477768"/>
                                </a:lnTo>
                                <a:lnTo>
                                  <a:pt x="33528" y="3514344"/>
                                </a:lnTo>
                                <a:lnTo>
                                  <a:pt x="42672" y="3514344"/>
                                </a:lnTo>
                                <a:lnTo>
                                  <a:pt x="42672" y="3480816"/>
                                </a:lnTo>
                                <a:lnTo>
                                  <a:pt x="719328" y="3480816"/>
                                </a:lnTo>
                                <a:lnTo>
                                  <a:pt x="719328" y="3514344"/>
                                </a:lnTo>
                                <a:lnTo>
                                  <a:pt x="728472" y="3514344"/>
                                </a:lnTo>
                                <a:lnTo>
                                  <a:pt x="728472" y="3480816"/>
                                </a:lnTo>
                                <a:lnTo>
                                  <a:pt x="1405128" y="3480816"/>
                                </a:lnTo>
                                <a:lnTo>
                                  <a:pt x="1405128" y="3514344"/>
                                </a:lnTo>
                                <a:lnTo>
                                  <a:pt x="1411224" y="3514344"/>
                                </a:lnTo>
                                <a:lnTo>
                                  <a:pt x="1411224" y="3480816"/>
                                </a:lnTo>
                                <a:lnTo>
                                  <a:pt x="2087880" y="3480816"/>
                                </a:lnTo>
                                <a:lnTo>
                                  <a:pt x="2087880" y="3514344"/>
                                </a:lnTo>
                                <a:lnTo>
                                  <a:pt x="2097024" y="3514344"/>
                                </a:lnTo>
                                <a:lnTo>
                                  <a:pt x="2097024" y="3480816"/>
                                </a:lnTo>
                                <a:lnTo>
                                  <a:pt x="2773680" y="3480816"/>
                                </a:lnTo>
                                <a:lnTo>
                                  <a:pt x="2773680" y="3514344"/>
                                </a:lnTo>
                                <a:lnTo>
                                  <a:pt x="2782824" y="3514344"/>
                                </a:lnTo>
                                <a:lnTo>
                                  <a:pt x="2782824" y="3480816"/>
                                </a:lnTo>
                                <a:lnTo>
                                  <a:pt x="3459480" y="3480816"/>
                                </a:lnTo>
                                <a:lnTo>
                                  <a:pt x="3459480" y="3514344"/>
                                </a:lnTo>
                                <a:lnTo>
                                  <a:pt x="3468624" y="3514344"/>
                                </a:lnTo>
                                <a:lnTo>
                                  <a:pt x="3468624" y="3480816"/>
                                </a:lnTo>
                                <a:lnTo>
                                  <a:pt x="4145280" y="3480816"/>
                                </a:lnTo>
                                <a:lnTo>
                                  <a:pt x="4145280" y="3514344"/>
                                </a:lnTo>
                                <a:lnTo>
                                  <a:pt x="4154424" y="3514344"/>
                                </a:lnTo>
                                <a:lnTo>
                                  <a:pt x="4154424" y="3474720"/>
                                </a:lnTo>
                                <a:close/>
                              </a:path>
                            </a:pathLst>
                          </a:custGeom>
                          <a:solidFill>
                            <a:srgbClr val="858585"/>
                          </a:solidFill>
                        </wps:spPr>
                        <wps:bodyPr wrap="square" lIns="0" tIns="0" rIns="0" bIns="0" rtlCol="0">
                          <a:prstTxWarp prst="textNoShape">
                            <a:avLst/>
                          </a:prstTxWarp>
                          <a:noAutofit/>
                        </wps:bodyPr>
                      </wps:wsp>
                      <wps:wsp>
                        <wps:cNvPr id="280" name="Graphic 280"/>
                        <wps:cNvSpPr/>
                        <wps:spPr>
                          <a:xfrm>
                            <a:off x="365759" y="582168"/>
                            <a:ext cx="3453765" cy="756285"/>
                          </a:xfrm>
                          <a:custGeom>
                            <a:avLst/>
                            <a:gdLst/>
                            <a:ahLst/>
                            <a:cxnLst/>
                            <a:rect l="l" t="t" r="r" b="b"/>
                            <a:pathLst>
                              <a:path w="3453765" h="756285">
                                <a:moveTo>
                                  <a:pt x="2784805" y="131064"/>
                                </a:moveTo>
                                <a:lnTo>
                                  <a:pt x="2746248" y="131064"/>
                                </a:lnTo>
                                <a:lnTo>
                                  <a:pt x="2755391" y="134112"/>
                                </a:lnTo>
                                <a:lnTo>
                                  <a:pt x="2749626" y="134112"/>
                                </a:lnTo>
                                <a:lnTo>
                                  <a:pt x="3432048" y="749808"/>
                                </a:lnTo>
                                <a:lnTo>
                                  <a:pt x="3438144" y="755903"/>
                                </a:lnTo>
                                <a:lnTo>
                                  <a:pt x="3444240" y="755903"/>
                                </a:lnTo>
                                <a:lnTo>
                                  <a:pt x="3450336" y="749808"/>
                                </a:lnTo>
                                <a:lnTo>
                                  <a:pt x="3453384" y="743712"/>
                                </a:lnTo>
                                <a:lnTo>
                                  <a:pt x="3453384" y="734568"/>
                                </a:lnTo>
                                <a:lnTo>
                                  <a:pt x="3450336" y="731520"/>
                                </a:lnTo>
                                <a:lnTo>
                                  <a:pt x="2788184" y="134112"/>
                                </a:lnTo>
                                <a:lnTo>
                                  <a:pt x="2755391" y="134112"/>
                                </a:lnTo>
                                <a:lnTo>
                                  <a:pt x="2788126" y="134060"/>
                                </a:lnTo>
                                <a:lnTo>
                                  <a:pt x="2784805" y="131064"/>
                                </a:lnTo>
                                <a:close/>
                              </a:path>
                              <a:path w="3453765" h="756285">
                                <a:moveTo>
                                  <a:pt x="2746248" y="131064"/>
                                </a:moveTo>
                                <a:lnTo>
                                  <a:pt x="2749568" y="134060"/>
                                </a:lnTo>
                                <a:lnTo>
                                  <a:pt x="2755391" y="134112"/>
                                </a:lnTo>
                                <a:lnTo>
                                  <a:pt x="2746248" y="131064"/>
                                </a:lnTo>
                                <a:close/>
                              </a:path>
                              <a:path w="3453765" h="756285">
                                <a:moveTo>
                                  <a:pt x="15240" y="0"/>
                                </a:moveTo>
                                <a:lnTo>
                                  <a:pt x="6096" y="0"/>
                                </a:lnTo>
                                <a:lnTo>
                                  <a:pt x="0" y="6096"/>
                                </a:lnTo>
                                <a:lnTo>
                                  <a:pt x="0" y="21336"/>
                                </a:lnTo>
                                <a:lnTo>
                                  <a:pt x="6096" y="24384"/>
                                </a:lnTo>
                                <a:lnTo>
                                  <a:pt x="1386839" y="33527"/>
                                </a:lnTo>
                                <a:lnTo>
                                  <a:pt x="2069591" y="128016"/>
                                </a:lnTo>
                                <a:lnTo>
                                  <a:pt x="2749568" y="134060"/>
                                </a:lnTo>
                                <a:lnTo>
                                  <a:pt x="2746248" y="131064"/>
                                </a:lnTo>
                                <a:lnTo>
                                  <a:pt x="2784805" y="131064"/>
                                </a:lnTo>
                                <a:lnTo>
                                  <a:pt x="2764536" y="112775"/>
                                </a:lnTo>
                                <a:lnTo>
                                  <a:pt x="2761488" y="109727"/>
                                </a:lnTo>
                                <a:lnTo>
                                  <a:pt x="2755391" y="109727"/>
                                </a:lnTo>
                                <a:lnTo>
                                  <a:pt x="2072639" y="103632"/>
                                </a:lnTo>
                                <a:lnTo>
                                  <a:pt x="1386839" y="9144"/>
                                </a:lnTo>
                                <a:lnTo>
                                  <a:pt x="15240" y="0"/>
                                </a:lnTo>
                                <a:close/>
                              </a:path>
                            </a:pathLst>
                          </a:custGeom>
                          <a:solidFill>
                            <a:srgbClr val="497DBA"/>
                          </a:solidFill>
                        </wps:spPr>
                        <wps:bodyPr wrap="square" lIns="0" tIns="0" rIns="0" bIns="0" rtlCol="0">
                          <a:prstTxWarp prst="textNoShape">
                            <a:avLst/>
                          </a:prstTxWarp>
                          <a:noAutofit/>
                        </wps:bodyPr>
                      </wps:wsp>
                      <pic:pic>
                        <pic:nvPicPr>
                          <pic:cNvPr id="281" name="Image 281"/>
                          <pic:cNvPicPr/>
                        </pic:nvPicPr>
                        <pic:blipFill>
                          <a:blip r:embed="rId99" cstate="print"/>
                          <a:stretch>
                            <a:fillRect/>
                          </a:stretch>
                        </pic:blipFill>
                        <pic:spPr>
                          <a:xfrm>
                            <a:off x="332231" y="545591"/>
                            <a:ext cx="94487" cy="97536"/>
                          </a:xfrm>
                          <a:prstGeom prst="rect">
                            <a:avLst/>
                          </a:prstGeom>
                        </pic:spPr>
                      </pic:pic>
                      <pic:pic>
                        <pic:nvPicPr>
                          <pic:cNvPr id="282" name="Image 282"/>
                          <pic:cNvPicPr/>
                        </pic:nvPicPr>
                        <pic:blipFill>
                          <a:blip r:embed="rId100" cstate="print"/>
                          <a:stretch>
                            <a:fillRect/>
                          </a:stretch>
                        </pic:blipFill>
                        <pic:spPr>
                          <a:xfrm>
                            <a:off x="1014983" y="551687"/>
                            <a:ext cx="97536" cy="97536"/>
                          </a:xfrm>
                          <a:prstGeom prst="rect">
                            <a:avLst/>
                          </a:prstGeom>
                        </pic:spPr>
                      </pic:pic>
                      <pic:pic>
                        <pic:nvPicPr>
                          <pic:cNvPr id="283" name="Image 283"/>
                          <pic:cNvPicPr/>
                        </pic:nvPicPr>
                        <pic:blipFill>
                          <a:blip r:embed="rId101" cstate="print"/>
                          <a:stretch>
                            <a:fillRect/>
                          </a:stretch>
                        </pic:blipFill>
                        <pic:spPr>
                          <a:xfrm>
                            <a:off x="1700783" y="557783"/>
                            <a:ext cx="94487" cy="94487"/>
                          </a:xfrm>
                          <a:prstGeom prst="rect">
                            <a:avLst/>
                          </a:prstGeom>
                        </pic:spPr>
                      </pic:pic>
                      <pic:pic>
                        <pic:nvPicPr>
                          <pic:cNvPr id="284" name="Image 284"/>
                          <pic:cNvPicPr/>
                        </pic:nvPicPr>
                        <pic:blipFill>
                          <a:blip r:embed="rId102" cstate="print"/>
                          <a:stretch>
                            <a:fillRect/>
                          </a:stretch>
                        </pic:blipFill>
                        <pic:spPr>
                          <a:xfrm>
                            <a:off x="2383535" y="649223"/>
                            <a:ext cx="97536" cy="97535"/>
                          </a:xfrm>
                          <a:prstGeom prst="rect">
                            <a:avLst/>
                          </a:prstGeom>
                        </pic:spPr>
                      </pic:pic>
                      <pic:pic>
                        <pic:nvPicPr>
                          <pic:cNvPr id="285" name="Image 285"/>
                          <pic:cNvPicPr/>
                        </pic:nvPicPr>
                        <pic:blipFill>
                          <a:blip r:embed="rId103" cstate="print"/>
                          <a:stretch>
                            <a:fillRect/>
                          </a:stretch>
                        </pic:blipFill>
                        <pic:spPr>
                          <a:xfrm>
                            <a:off x="3072383" y="658368"/>
                            <a:ext cx="97536" cy="94488"/>
                          </a:xfrm>
                          <a:prstGeom prst="rect">
                            <a:avLst/>
                          </a:prstGeom>
                        </pic:spPr>
                      </pic:pic>
                      <pic:pic>
                        <pic:nvPicPr>
                          <pic:cNvPr id="286" name="Image 286"/>
                          <pic:cNvPicPr/>
                        </pic:nvPicPr>
                        <pic:blipFill>
                          <a:blip r:embed="rId64" cstate="print"/>
                          <a:stretch>
                            <a:fillRect/>
                          </a:stretch>
                        </pic:blipFill>
                        <pic:spPr>
                          <a:xfrm>
                            <a:off x="3758184" y="1277111"/>
                            <a:ext cx="94487" cy="94488"/>
                          </a:xfrm>
                          <a:prstGeom prst="rect">
                            <a:avLst/>
                          </a:prstGeom>
                        </pic:spPr>
                      </pic:pic>
                      <wps:wsp>
                        <wps:cNvPr id="287" name="Graphic 287"/>
                        <wps:cNvSpPr/>
                        <wps:spPr>
                          <a:xfrm>
                            <a:off x="365759" y="621791"/>
                            <a:ext cx="3453765" cy="1146175"/>
                          </a:xfrm>
                          <a:custGeom>
                            <a:avLst/>
                            <a:gdLst/>
                            <a:ahLst/>
                            <a:cxnLst/>
                            <a:rect l="l" t="t" r="r" b="b"/>
                            <a:pathLst>
                              <a:path w="3453765" h="1146175">
                                <a:moveTo>
                                  <a:pt x="2750605" y="246531"/>
                                </a:moveTo>
                                <a:lnTo>
                                  <a:pt x="3429000" y="1139952"/>
                                </a:lnTo>
                                <a:lnTo>
                                  <a:pt x="3441191" y="1146048"/>
                                </a:lnTo>
                                <a:lnTo>
                                  <a:pt x="3447288" y="1139952"/>
                                </a:lnTo>
                                <a:lnTo>
                                  <a:pt x="3453384" y="1136903"/>
                                </a:lnTo>
                                <a:lnTo>
                                  <a:pt x="3453384" y="1127760"/>
                                </a:lnTo>
                                <a:lnTo>
                                  <a:pt x="3450336" y="1121664"/>
                                </a:lnTo>
                                <a:lnTo>
                                  <a:pt x="2780864" y="246888"/>
                                </a:lnTo>
                                <a:lnTo>
                                  <a:pt x="2752344" y="246888"/>
                                </a:lnTo>
                                <a:lnTo>
                                  <a:pt x="2750605" y="246531"/>
                                </a:lnTo>
                                <a:close/>
                              </a:path>
                              <a:path w="3453765" h="1146175">
                                <a:moveTo>
                                  <a:pt x="2746248" y="240792"/>
                                </a:moveTo>
                                <a:lnTo>
                                  <a:pt x="2750605" y="246531"/>
                                </a:lnTo>
                                <a:lnTo>
                                  <a:pt x="2752344" y="246888"/>
                                </a:lnTo>
                                <a:lnTo>
                                  <a:pt x="2746248" y="240792"/>
                                </a:lnTo>
                                <a:close/>
                              </a:path>
                              <a:path w="3453765" h="1146175">
                                <a:moveTo>
                                  <a:pt x="2776199" y="240792"/>
                                </a:moveTo>
                                <a:lnTo>
                                  <a:pt x="2746248" y="240792"/>
                                </a:lnTo>
                                <a:lnTo>
                                  <a:pt x="2752344" y="246888"/>
                                </a:lnTo>
                                <a:lnTo>
                                  <a:pt x="2780864" y="246888"/>
                                </a:lnTo>
                                <a:lnTo>
                                  <a:pt x="2776199" y="240792"/>
                                </a:lnTo>
                                <a:close/>
                              </a:path>
                              <a:path w="3453765" h="1146175">
                                <a:moveTo>
                                  <a:pt x="15240" y="0"/>
                                </a:moveTo>
                                <a:lnTo>
                                  <a:pt x="6096" y="0"/>
                                </a:lnTo>
                                <a:lnTo>
                                  <a:pt x="0" y="6096"/>
                                </a:lnTo>
                                <a:lnTo>
                                  <a:pt x="0" y="21336"/>
                                </a:lnTo>
                                <a:lnTo>
                                  <a:pt x="6096" y="27432"/>
                                </a:lnTo>
                                <a:lnTo>
                                  <a:pt x="697992" y="33527"/>
                                </a:lnTo>
                                <a:lnTo>
                                  <a:pt x="1386839" y="79248"/>
                                </a:lnTo>
                                <a:lnTo>
                                  <a:pt x="2069591" y="106679"/>
                                </a:lnTo>
                                <a:lnTo>
                                  <a:pt x="2750605" y="246531"/>
                                </a:lnTo>
                                <a:lnTo>
                                  <a:pt x="2746248" y="240792"/>
                                </a:lnTo>
                                <a:lnTo>
                                  <a:pt x="2776199" y="240792"/>
                                </a:lnTo>
                                <a:lnTo>
                                  <a:pt x="2764536" y="225551"/>
                                </a:lnTo>
                                <a:lnTo>
                                  <a:pt x="2764536" y="222503"/>
                                </a:lnTo>
                                <a:lnTo>
                                  <a:pt x="2758440" y="222503"/>
                                </a:lnTo>
                                <a:lnTo>
                                  <a:pt x="2072639" y="82296"/>
                                </a:lnTo>
                                <a:lnTo>
                                  <a:pt x="2072639" y="79248"/>
                                </a:lnTo>
                                <a:lnTo>
                                  <a:pt x="1386839" y="51816"/>
                                </a:lnTo>
                                <a:lnTo>
                                  <a:pt x="697992" y="9144"/>
                                </a:lnTo>
                                <a:lnTo>
                                  <a:pt x="15240" y="0"/>
                                </a:lnTo>
                                <a:close/>
                              </a:path>
                            </a:pathLst>
                          </a:custGeom>
                          <a:solidFill>
                            <a:srgbClr val="BD4A47"/>
                          </a:solidFill>
                        </wps:spPr>
                        <wps:bodyPr wrap="square" lIns="0" tIns="0" rIns="0" bIns="0" rtlCol="0">
                          <a:prstTxWarp prst="textNoShape">
                            <a:avLst/>
                          </a:prstTxWarp>
                          <a:noAutofit/>
                        </wps:bodyPr>
                      </wps:wsp>
                      <wps:wsp>
                        <wps:cNvPr id="288" name="Graphic 288"/>
                        <wps:cNvSpPr/>
                        <wps:spPr>
                          <a:xfrm>
                            <a:off x="335279" y="594359"/>
                            <a:ext cx="85725" cy="82550"/>
                          </a:xfrm>
                          <a:custGeom>
                            <a:avLst/>
                            <a:gdLst/>
                            <a:ahLst/>
                            <a:cxnLst/>
                            <a:rect l="l" t="t" r="r" b="b"/>
                            <a:pathLst>
                              <a:path w="85725" h="82550">
                                <a:moveTo>
                                  <a:pt x="85343" y="0"/>
                                </a:moveTo>
                                <a:lnTo>
                                  <a:pt x="0" y="0"/>
                                </a:lnTo>
                                <a:lnTo>
                                  <a:pt x="0" y="82296"/>
                                </a:lnTo>
                                <a:lnTo>
                                  <a:pt x="85343" y="82296"/>
                                </a:lnTo>
                                <a:lnTo>
                                  <a:pt x="85343" y="0"/>
                                </a:lnTo>
                                <a:close/>
                              </a:path>
                            </a:pathLst>
                          </a:custGeom>
                          <a:solidFill>
                            <a:srgbClr val="BF4F4C"/>
                          </a:solidFill>
                        </wps:spPr>
                        <wps:bodyPr wrap="square" lIns="0" tIns="0" rIns="0" bIns="0" rtlCol="0">
                          <a:prstTxWarp prst="textNoShape">
                            <a:avLst/>
                          </a:prstTxWarp>
                          <a:noAutofit/>
                        </wps:bodyPr>
                      </wps:wsp>
                      <wps:wsp>
                        <wps:cNvPr id="289" name="Graphic 289"/>
                        <wps:cNvSpPr/>
                        <wps:spPr>
                          <a:xfrm>
                            <a:off x="332231" y="591312"/>
                            <a:ext cx="91440" cy="91440"/>
                          </a:xfrm>
                          <a:custGeom>
                            <a:avLst/>
                            <a:gdLst/>
                            <a:ahLst/>
                            <a:cxnLst/>
                            <a:rect l="l" t="t" r="r" b="b"/>
                            <a:pathLst>
                              <a:path w="91440" h="91440">
                                <a:moveTo>
                                  <a:pt x="91439" y="0"/>
                                </a:moveTo>
                                <a:lnTo>
                                  <a:pt x="0" y="0"/>
                                </a:lnTo>
                                <a:lnTo>
                                  <a:pt x="0" y="88392"/>
                                </a:lnTo>
                                <a:lnTo>
                                  <a:pt x="3047" y="91440"/>
                                </a:lnTo>
                                <a:lnTo>
                                  <a:pt x="91439" y="91440"/>
                                </a:lnTo>
                                <a:lnTo>
                                  <a:pt x="91439" y="85344"/>
                                </a:lnTo>
                                <a:lnTo>
                                  <a:pt x="9143" y="85344"/>
                                </a:lnTo>
                                <a:lnTo>
                                  <a:pt x="3047" y="82296"/>
                                </a:lnTo>
                                <a:lnTo>
                                  <a:pt x="9143" y="82296"/>
                                </a:lnTo>
                                <a:lnTo>
                                  <a:pt x="9143" y="9144"/>
                                </a:lnTo>
                                <a:lnTo>
                                  <a:pt x="3047" y="9144"/>
                                </a:lnTo>
                                <a:lnTo>
                                  <a:pt x="9143" y="3048"/>
                                </a:lnTo>
                                <a:lnTo>
                                  <a:pt x="91439" y="3048"/>
                                </a:lnTo>
                                <a:lnTo>
                                  <a:pt x="91439" y="0"/>
                                </a:lnTo>
                                <a:close/>
                              </a:path>
                              <a:path w="91440" h="91440">
                                <a:moveTo>
                                  <a:pt x="9143" y="82296"/>
                                </a:moveTo>
                                <a:lnTo>
                                  <a:pt x="3047" y="82296"/>
                                </a:lnTo>
                                <a:lnTo>
                                  <a:pt x="9143" y="85344"/>
                                </a:lnTo>
                                <a:lnTo>
                                  <a:pt x="9143" y="82296"/>
                                </a:lnTo>
                                <a:close/>
                              </a:path>
                              <a:path w="91440" h="91440">
                                <a:moveTo>
                                  <a:pt x="82295" y="82296"/>
                                </a:moveTo>
                                <a:lnTo>
                                  <a:pt x="9143" y="82296"/>
                                </a:lnTo>
                                <a:lnTo>
                                  <a:pt x="9143" y="85344"/>
                                </a:lnTo>
                                <a:lnTo>
                                  <a:pt x="82295" y="85344"/>
                                </a:lnTo>
                                <a:lnTo>
                                  <a:pt x="82295" y="82296"/>
                                </a:lnTo>
                                <a:close/>
                              </a:path>
                              <a:path w="91440" h="91440">
                                <a:moveTo>
                                  <a:pt x="82295" y="3048"/>
                                </a:moveTo>
                                <a:lnTo>
                                  <a:pt x="82295" y="85344"/>
                                </a:lnTo>
                                <a:lnTo>
                                  <a:pt x="88391" y="82296"/>
                                </a:lnTo>
                                <a:lnTo>
                                  <a:pt x="91439" y="82296"/>
                                </a:lnTo>
                                <a:lnTo>
                                  <a:pt x="91439" y="9144"/>
                                </a:lnTo>
                                <a:lnTo>
                                  <a:pt x="88391" y="9144"/>
                                </a:lnTo>
                                <a:lnTo>
                                  <a:pt x="82295" y="3048"/>
                                </a:lnTo>
                                <a:close/>
                              </a:path>
                              <a:path w="91440" h="91440">
                                <a:moveTo>
                                  <a:pt x="91439" y="82296"/>
                                </a:moveTo>
                                <a:lnTo>
                                  <a:pt x="88391" y="82296"/>
                                </a:lnTo>
                                <a:lnTo>
                                  <a:pt x="82295" y="85344"/>
                                </a:lnTo>
                                <a:lnTo>
                                  <a:pt x="91439" y="85344"/>
                                </a:lnTo>
                                <a:lnTo>
                                  <a:pt x="91439" y="82296"/>
                                </a:lnTo>
                                <a:close/>
                              </a:path>
                              <a:path w="91440" h="91440">
                                <a:moveTo>
                                  <a:pt x="9143" y="3048"/>
                                </a:moveTo>
                                <a:lnTo>
                                  <a:pt x="3047" y="9144"/>
                                </a:lnTo>
                                <a:lnTo>
                                  <a:pt x="9143" y="9144"/>
                                </a:lnTo>
                                <a:lnTo>
                                  <a:pt x="9143" y="3048"/>
                                </a:lnTo>
                                <a:close/>
                              </a:path>
                              <a:path w="91440" h="91440">
                                <a:moveTo>
                                  <a:pt x="82295" y="3048"/>
                                </a:moveTo>
                                <a:lnTo>
                                  <a:pt x="9143" y="3048"/>
                                </a:lnTo>
                                <a:lnTo>
                                  <a:pt x="9143" y="9144"/>
                                </a:lnTo>
                                <a:lnTo>
                                  <a:pt x="82295" y="9144"/>
                                </a:lnTo>
                                <a:lnTo>
                                  <a:pt x="82295" y="3048"/>
                                </a:lnTo>
                                <a:close/>
                              </a:path>
                              <a:path w="91440" h="91440">
                                <a:moveTo>
                                  <a:pt x="91439" y="3048"/>
                                </a:moveTo>
                                <a:lnTo>
                                  <a:pt x="82295" y="3048"/>
                                </a:lnTo>
                                <a:lnTo>
                                  <a:pt x="88391"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wps:wsp>
                        <wps:cNvPr id="290" name="Graphic 290"/>
                        <wps:cNvSpPr/>
                        <wps:spPr>
                          <a:xfrm>
                            <a:off x="1021080" y="603504"/>
                            <a:ext cx="82550" cy="82550"/>
                          </a:xfrm>
                          <a:custGeom>
                            <a:avLst/>
                            <a:gdLst/>
                            <a:ahLst/>
                            <a:cxnLst/>
                            <a:rect l="l" t="t" r="r" b="b"/>
                            <a:pathLst>
                              <a:path w="82550" h="82550">
                                <a:moveTo>
                                  <a:pt x="82295" y="0"/>
                                </a:moveTo>
                                <a:lnTo>
                                  <a:pt x="0" y="0"/>
                                </a:lnTo>
                                <a:lnTo>
                                  <a:pt x="0" y="82296"/>
                                </a:lnTo>
                                <a:lnTo>
                                  <a:pt x="82295" y="82296"/>
                                </a:lnTo>
                                <a:lnTo>
                                  <a:pt x="82295" y="0"/>
                                </a:lnTo>
                                <a:close/>
                              </a:path>
                            </a:pathLst>
                          </a:custGeom>
                          <a:solidFill>
                            <a:srgbClr val="BF4F4C"/>
                          </a:solidFill>
                        </wps:spPr>
                        <wps:bodyPr wrap="square" lIns="0" tIns="0" rIns="0" bIns="0" rtlCol="0">
                          <a:prstTxWarp prst="textNoShape">
                            <a:avLst/>
                          </a:prstTxWarp>
                          <a:noAutofit/>
                        </wps:bodyPr>
                      </wps:wsp>
                      <wps:wsp>
                        <wps:cNvPr id="291" name="Graphic 291"/>
                        <wps:cNvSpPr/>
                        <wps:spPr>
                          <a:xfrm>
                            <a:off x="1018032" y="597408"/>
                            <a:ext cx="91440" cy="94615"/>
                          </a:xfrm>
                          <a:custGeom>
                            <a:avLst/>
                            <a:gdLst/>
                            <a:ahLst/>
                            <a:cxnLst/>
                            <a:rect l="l" t="t" r="r" b="b"/>
                            <a:pathLst>
                              <a:path w="91440" h="94615">
                                <a:moveTo>
                                  <a:pt x="88391" y="0"/>
                                </a:moveTo>
                                <a:lnTo>
                                  <a:pt x="0" y="0"/>
                                </a:lnTo>
                                <a:lnTo>
                                  <a:pt x="0" y="94487"/>
                                </a:lnTo>
                                <a:lnTo>
                                  <a:pt x="88391" y="94487"/>
                                </a:lnTo>
                                <a:lnTo>
                                  <a:pt x="91439" y="91439"/>
                                </a:lnTo>
                                <a:lnTo>
                                  <a:pt x="91439" y="88392"/>
                                </a:lnTo>
                                <a:lnTo>
                                  <a:pt x="9143" y="88392"/>
                                </a:lnTo>
                                <a:lnTo>
                                  <a:pt x="3047" y="85344"/>
                                </a:lnTo>
                                <a:lnTo>
                                  <a:pt x="9143" y="85344"/>
                                </a:lnTo>
                                <a:lnTo>
                                  <a:pt x="9143" y="9144"/>
                                </a:lnTo>
                                <a:lnTo>
                                  <a:pt x="3047" y="9144"/>
                                </a:lnTo>
                                <a:lnTo>
                                  <a:pt x="9143" y="6096"/>
                                </a:lnTo>
                                <a:lnTo>
                                  <a:pt x="91439" y="6096"/>
                                </a:lnTo>
                                <a:lnTo>
                                  <a:pt x="91439" y="3048"/>
                                </a:lnTo>
                                <a:lnTo>
                                  <a:pt x="88391" y="0"/>
                                </a:lnTo>
                                <a:close/>
                              </a:path>
                              <a:path w="91440" h="94615">
                                <a:moveTo>
                                  <a:pt x="9143" y="85344"/>
                                </a:moveTo>
                                <a:lnTo>
                                  <a:pt x="3047" y="85344"/>
                                </a:lnTo>
                                <a:lnTo>
                                  <a:pt x="9143" y="88392"/>
                                </a:lnTo>
                                <a:lnTo>
                                  <a:pt x="9143" y="85344"/>
                                </a:lnTo>
                                <a:close/>
                              </a:path>
                              <a:path w="91440" h="94615">
                                <a:moveTo>
                                  <a:pt x="82295" y="85344"/>
                                </a:moveTo>
                                <a:lnTo>
                                  <a:pt x="9143" y="85344"/>
                                </a:lnTo>
                                <a:lnTo>
                                  <a:pt x="9143" y="88392"/>
                                </a:lnTo>
                                <a:lnTo>
                                  <a:pt x="82295" y="88392"/>
                                </a:lnTo>
                                <a:lnTo>
                                  <a:pt x="82295" y="85344"/>
                                </a:lnTo>
                                <a:close/>
                              </a:path>
                              <a:path w="91440" h="94615">
                                <a:moveTo>
                                  <a:pt x="82295" y="6096"/>
                                </a:moveTo>
                                <a:lnTo>
                                  <a:pt x="82295" y="88392"/>
                                </a:lnTo>
                                <a:lnTo>
                                  <a:pt x="85343" y="85344"/>
                                </a:lnTo>
                                <a:lnTo>
                                  <a:pt x="91439" y="85344"/>
                                </a:lnTo>
                                <a:lnTo>
                                  <a:pt x="91439" y="9144"/>
                                </a:lnTo>
                                <a:lnTo>
                                  <a:pt x="85343" y="9144"/>
                                </a:lnTo>
                                <a:lnTo>
                                  <a:pt x="82295" y="6096"/>
                                </a:lnTo>
                                <a:close/>
                              </a:path>
                              <a:path w="91440" h="94615">
                                <a:moveTo>
                                  <a:pt x="91439" y="85344"/>
                                </a:moveTo>
                                <a:lnTo>
                                  <a:pt x="85343" y="85344"/>
                                </a:lnTo>
                                <a:lnTo>
                                  <a:pt x="82295" y="88392"/>
                                </a:lnTo>
                                <a:lnTo>
                                  <a:pt x="91439" y="88392"/>
                                </a:lnTo>
                                <a:lnTo>
                                  <a:pt x="91439" y="85344"/>
                                </a:lnTo>
                                <a:close/>
                              </a:path>
                              <a:path w="91440" h="94615">
                                <a:moveTo>
                                  <a:pt x="9143" y="6096"/>
                                </a:moveTo>
                                <a:lnTo>
                                  <a:pt x="3047" y="9144"/>
                                </a:lnTo>
                                <a:lnTo>
                                  <a:pt x="9143" y="9144"/>
                                </a:lnTo>
                                <a:lnTo>
                                  <a:pt x="9143" y="6096"/>
                                </a:lnTo>
                                <a:close/>
                              </a:path>
                              <a:path w="91440" h="94615">
                                <a:moveTo>
                                  <a:pt x="82295" y="6096"/>
                                </a:moveTo>
                                <a:lnTo>
                                  <a:pt x="9143" y="6096"/>
                                </a:lnTo>
                                <a:lnTo>
                                  <a:pt x="9143" y="9144"/>
                                </a:lnTo>
                                <a:lnTo>
                                  <a:pt x="82295" y="9144"/>
                                </a:lnTo>
                                <a:lnTo>
                                  <a:pt x="82295" y="6096"/>
                                </a:lnTo>
                                <a:close/>
                              </a:path>
                              <a:path w="91440" h="94615">
                                <a:moveTo>
                                  <a:pt x="91439" y="6096"/>
                                </a:moveTo>
                                <a:lnTo>
                                  <a:pt x="82295" y="6096"/>
                                </a:lnTo>
                                <a:lnTo>
                                  <a:pt x="85343"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pic:pic>
                        <pic:nvPicPr>
                          <pic:cNvPr id="292" name="Image 292"/>
                          <pic:cNvPicPr/>
                        </pic:nvPicPr>
                        <pic:blipFill>
                          <a:blip r:embed="rId104" cstate="print"/>
                          <a:stretch>
                            <a:fillRect/>
                          </a:stretch>
                        </pic:blipFill>
                        <pic:spPr>
                          <a:xfrm>
                            <a:off x="1700783" y="643127"/>
                            <a:ext cx="91439" cy="91439"/>
                          </a:xfrm>
                          <a:prstGeom prst="rect">
                            <a:avLst/>
                          </a:prstGeom>
                        </pic:spPr>
                      </pic:pic>
                      <pic:pic>
                        <pic:nvPicPr>
                          <pic:cNvPr id="293" name="Image 293"/>
                          <pic:cNvPicPr/>
                        </pic:nvPicPr>
                        <pic:blipFill>
                          <a:blip r:embed="rId105" cstate="print"/>
                          <a:stretch>
                            <a:fillRect/>
                          </a:stretch>
                        </pic:blipFill>
                        <pic:spPr>
                          <a:xfrm>
                            <a:off x="2386583" y="667512"/>
                            <a:ext cx="91439" cy="91440"/>
                          </a:xfrm>
                          <a:prstGeom prst="rect">
                            <a:avLst/>
                          </a:prstGeom>
                        </pic:spPr>
                      </pic:pic>
                      <wps:wsp>
                        <wps:cNvPr id="294" name="Graphic 294"/>
                        <wps:cNvSpPr/>
                        <wps:spPr>
                          <a:xfrm>
                            <a:off x="3078479" y="813816"/>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295" name="Graphic 295"/>
                        <wps:cNvSpPr/>
                        <wps:spPr>
                          <a:xfrm>
                            <a:off x="3075432" y="807719"/>
                            <a:ext cx="91440" cy="91440"/>
                          </a:xfrm>
                          <a:custGeom>
                            <a:avLst/>
                            <a:gdLst/>
                            <a:ahLst/>
                            <a:cxnLst/>
                            <a:rect l="l" t="t" r="r" b="b"/>
                            <a:pathLst>
                              <a:path w="91440" h="91440">
                                <a:moveTo>
                                  <a:pt x="88391" y="0"/>
                                </a:moveTo>
                                <a:lnTo>
                                  <a:pt x="0" y="0"/>
                                </a:lnTo>
                                <a:lnTo>
                                  <a:pt x="0" y="91440"/>
                                </a:lnTo>
                                <a:lnTo>
                                  <a:pt x="91439" y="91440"/>
                                </a:lnTo>
                                <a:lnTo>
                                  <a:pt x="91439" y="88392"/>
                                </a:lnTo>
                                <a:lnTo>
                                  <a:pt x="6096" y="88392"/>
                                </a:lnTo>
                                <a:lnTo>
                                  <a:pt x="3048" y="82296"/>
                                </a:lnTo>
                                <a:lnTo>
                                  <a:pt x="6096" y="82296"/>
                                </a:lnTo>
                                <a:lnTo>
                                  <a:pt x="6096" y="9144"/>
                                </a:lnTo>
                                <a:lnTo>
                                  <a:pt x="3048" y="9144"/>
                                </a:lnTo>
                                <a:lnTo>
                                  <a:pt x="6096" y="6096"/>
                                </a:lnTo>
                                <a:lnTo>
                                  <a:pt x="91439" y="6096"/>
                                </a:lnTo>
                                <a:lnTo>
                                  <a:pt x="91439" y="3048"/>
                                </a:lnTo>
                                <a:lnTo>
                                  <a:pt x="88391" y="0"/>
                                </a:lnTo>
                                <a:close/>
                              </a:path>
                              <a:path w="91440" h="91440">
                                <a:moveTo>
                                  <a:pt x="6096" y="82296"/>
                                </a:moveTo>
                                <a:lnTo>
                                  <a:pt x="3048" y="82296"/>
                                </a:lnTo>
                                <a:lnTo>
                                  <a:pt x="6096" y="88392"/>
                                </a:lnTo>
                                <a:lnTo>
                                  <a:pt x="6096" y="82296"/>
                                </a:lnTo>
                                <a:close/>
                              </a:path>
                              <a:path w="91440" h="91440">
                                <a:moveTo>
                                  <a:pt x="82296" y="82296"/>
                                </a:moveTo>
                                <a:lnTo>
                                  <a:pt x="6096" y="82296"/>
                                </a:lnTo>
                                <a:lnTo>
                                  <a:pt x="6096" y="88392"/>
                                </a:lnTo>
                                <a:lnTo>
                                  <a:pt x="82296" y="88392"/>
                                </a:lnTo>
                                <a:lnTo>
                                  <a:pt x="82296" y="82296"/>
                                </a:lnTo>
                                <a:close/>
                              </a:path>
                              <a:path w="91440" h="91440">
                                <a:moveTo>
                                  <a:pt x="82296" y="6096"/>
                                </a:moveTo>
                                <a:lnTo>
                                  <a:pt x="82296" y="88392"/>
                                </a:lnTo>
                                <a:lnTo>
                                  <a:pt x="85343" y="82296"/>
                                </a:lnTo>
                                <a:lnTo>
                                  <a:pt x="91439" y="82296"/>
                                </a:lnTo>
                                <a:lnTo>
                                  <a:pt x="91439" y="9144"/>
                                </a:lnTo>
                                <a:lnTo>
                                  <a:pt x="85343" y="9144"/>
                                </a:lnTo>
                                <a:lnTo>
                                  <a:pt x="82296" y="6096"/>
                                </a:lnTo>
                                <a:close/>
                              </a:path>
                              <a:path w="91440" h="91440">
                                <a:moveTo>
                                  <a:pt x="91439" y="82296"/>
                                </a:moveTo>
                                <a:lnTo>
                                  <a:pt x="85343" y="82296"/>
                                </a:lnTo>
                                <a:lnTo>
                                  <a:pt x="82296" y="88392"/>
                                </a:lnTo>
                                <a:lnTo>
                                  <a:pt x="91439" y="88392"/>
                                </a:lnTo>
                                <a:lnTo>
                                  <a:pt x="91439" y="82296"/>
                                </a:lnTo>
                                <a:close/>
                              </a:path>
                              <a:path w="91440" h="91440">
                                <a:moveTo>
                                  <a:pt x="6096" y="6096"/>
                                </a:moveTo>
                                <a:lnTo>
                                  <a:pt x="3048" y="9144"/>
                                </a:lnTo>
                                <a:lnTo>
                                  <a:pt x="6096" y="9144"/>
                                </a:lnTo>
                                <a:lnTo>
                                  <a:pt x="6096" y="6096"/>
                                </a:lnTo>
                                <a:close/>
                              </a:path>
                              <a:path w="91440" h="91440">
                                <a:moveTo>
                                  <a:pt x="82296" y="6096"/>
                                </a:moveTo>
                                <a:lnTo>
                                  <a:pt x="6096" y="6096"/>
                                </a:lnTo>
                                <a:lnTo>
                                  <a:pt x="6096" y="9144"/>
                                </a:lnTo>
                                <a:lnTo>
                                  <a:pt x="82296" y="9144"/>
                                </a:lnTo>
                                <a:lnTo>
                                  <a:pt x="82296" y="6096"/>
                                </a:lnTo>
                                <a:close/>
                              </a:path>
                              <a:path w="91440" h="91440">
                                <a:moveTo>
                                  <a:pt x="91439" y="6096"/>
                                </a:moveTo>
                                <a:lnTo>
                                  <a:pt x="82296" y="6096"/>
                                </a:lnTo>
                                <a:lnTo>
                                  <a:pt x="85343"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296" name="Graphic 296"/>
                        <wps:cNvSpPr/>
                        <wps:spPr>
                          <a:xfrm>
                            <a:off x="3764279" y="1709927"/>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297" name="Graphic 297"/>
                        <wps:cNvSpPr/>
                        <wps:spPr>
                          <a:xfrm>
                            <a:off x="3758184" y="1703832"/>
                            <a:ext cx="91440" cy="91440"/>
                          </a:xfrm>
                          <a:custGeom>
                            <a:avLst/>
                            <a:gdLst/>
                            <a:ahLst/>
                            <a:cxnLst/>
                            <a:rect l="l" t="t" r="r" b="b"/>
                            <a:pathLst>
                              <a:path w="91440" h="91440">
                                <a:moveTo>
                                  <a:pt x="91439" y="0"/>
                                </a:moveTo>
                                <a:lnTo>
                                  <a:pt x="3048" y="0"/>
                                </a:lnTo>
                                <a:lnTo>
                                  <a:pt x="0" y="3048"/>
                                </a:lnTo>
                                <a:lnTo>
                                  <a:pt x="0" y="91439"/>
                                </a:lnTo>
                                <a:lnTo>
                                  <a:pt x="91439" y="91439"/>
                                </a:lnTo>
                                <a:lnTo>
                                  <a:pt x="91439" y="88392"/>
                                </a:lnTo>
                                <a:lnTo>
                                  <a:pt x="9144" y="88392"/>
                                </a:lnTo>
                                <a:lnTo>
                                  <a:pt x="6096" y="85344"/>
                                </a:lnTo>
                                <a:lnTo>
                                  <a:pt x="9144" y="85344"/>
                                </a:lnTo>
                                <a:lnTo>
                                  <a:pt x="9144" y="9144"/>
                                </a:lnTo>
                                <a:lnTo>
                                  <a:pt x="6096" y="9144"/>
                                </a:lnTo>
                                <a:lnTo>
                                  <a:pt x="9144" y="6096"/>
                                </a:lnTo>
                                <a:lnTo>
                                  <a:pt x="91439" y="6096"/>
                                </a:lnTo>
                                <a:lnTo>
                                  <a:pt x="91439" y="0"/>
                                </a:lnTo>
                                <a:close/>
                              </a:path>
                              <a:path w="91440" h="91440">
                                <a:moveTo>
                                  <a:pt x="9144" y="85344"/>
                                </a:moveTo>
                                <a:lnTo>
                                  <a:pt x="6096" y="85344"/>
                                </a:lnTo>
                                <a:lnTo>
                                  <a:pt x="9144" y="88392"/>
                                </a:lnTo>
                                <a:lnTo>
                                  <a:pt x="9144" y="85344"/>
                                </a:lnTo>
                                <a:close/>
                              </a:path>
                              <a:path w="91440" h="91440">
                                <a:moveTo>
                                  <a:pt x="82296" y="85344"/>
                                </a:moveTo>
                                <a:lnTo>
                                  <a:pt x="9144" y="85344"/>
                                </a:lnTo>
                                <a:lnTo>
                                  <a:pt x="9144" y="88392"/>
                                </a:lnTo>
                                <a:lnTo>
                                  <a:pt x="82296" y="88392"/>
                                </a:lnTo>
                                <a:lnTo>
                                  <a:pt x="82296" y="85344"/>
                                </a:lnTo>
                                <a:close/>
                              </a:path>
                              <a:path w="91440" h="91440">
                                <a:moveTo>
                                  <a:pt x="82296" y="6096"/>
                                </a:moveTo>
                                <a:lnTo>
                                  <a:pt x="82296" y="88392"/>
                                </a:lnTo>
                                <a:lnTo>
                                  <a:pt x="88391" y="85344"/>
                                </a:lnTo>
                                <a:lnTo>
                                  <a:pt x="91439" y="85344"/>
                                </a:lnTo>
                                <a:lnTo>
                                  <a:pt x="91439" y="9144"/>
                                </a:lnTo>
                                <a:lnTo>
                                  <a:pt x="88391" y="9144"/>
                                </a:lnTo>
                                <a:lnTo>
                                  <a:pt x="82296" y="6096"/>
                                </a:lnTo>
                                <a:close/>
                              </a:path>
                              <a:path w="91440" h="91440">
                                <a:moveTo>
                                  <a:pt x="91439" y="85344"/>
                                </a:moveTo>
                                <a:lnTo>
                                  <a:pt x="88391" y="85344"/>
                                </a:lnTo>
                                <a:lnTo>
                                  <a:pt x="82296" y="88392"/>
                                </a:lnTo>
                                <a:lnTo>
                                  <a:pt x="91439" y="88392"/>
                                </a:lnTo>
                                <a:lnTo>
                                  <a:pt x="91439" y="85344"/>
                                </a:lnTo>
                                <a:close/>
                              </a:path>
                              <a:path w="91440" h="91440">
                                <a:moveTo>
                                  <a:pt x="9144" y="6096"/>
                                </a:moveTo>
                                <a:lnTo>
                                  <a:pt x="6096" y="9144"/>
                                </a:lnTo>
                                <a:lnTo>
                                  <a:pt x="9144" y="9144"/>
                                </a:lnTo>
                                <a:lnTo>
                                  <a:pt x="9144" y="6096"/>
                                </a:lnTo>
                                <a:close/>
                              </a:path>
                              <a:path w="91440" h="91440">
                                <a:moveTo>
                                  <a:pt x="82296" y="6096"/>
                                </a:moveTo>
                                <a:lnTo>
                                  <a:pt x="9144" y="6096"/>
                                </a:lnTo>
                                <a:lnTo>
                                  <a:pt x="9144" y="9144"/>
                                </a:lnTo>
                                <a:lnTo>
                                  <a:pt x="82296" y="9144"/>
                                </a:lnTo>
                                <a:lnTo>
                                  <a:pt x="82296" y="6096"/>
                                </a:lnTo>
                                <a:close/>
                              </a:path>
                              <a:path w="91440" h="91440">
                                <a:moveTo>
                                  <a:pt x="91439" y="6096"/>
                                </a:moveTo>
                                <a:lnTo>
                                  <a:pt x="82296" y="6096"/>
                                </a:lnTo>
                                <a:lnTo>
                                  <a:pt x="88391" y="9144"/>
                                </a:lnTo>
                                <a:lnTo>
                                  <a:pt x="91439" y="9144"/>
                                </a:lnTo>
                                <a:lnTo>
                                  <a:pt x="91439" y="6096"/>
                                </a:lnTo>
                                <a:close/>
                              </a:path>
                            </a:pathLst>
                          </a:custGeom>
                          <a:solidFill>
                            <a:srgbClr val="BD4A47"/>
                          </a:solidFill>
                        </wps:spPr>
                        <wps:bodyPr wrap="square" lIns="0" tIns="0" rIns="0" bIns="0" rtlCol="0">
                          <a:prstTxWarp prst="textNoShape">
                            <a:avLst/>
                          </a:prstTxWarp>
                          <a:noAutofit/>
                        </wps:bodyPr>
                      </wps:wsp>
                      <wps:wsp>
                        <wps:cNvPr id="298" name="Graphic 298"/>
                        <wps:cNvSpPr/>
                        <wps:spPr>
                          <a:xfrm>
                            <a:off x="365759" y="652272"/>
                            <a:ext cx="3453765" cy="368935"/>
                          </a:xfrm>
                          <a:custGeom>
                            <a:avLst/>
                            <a:gdLst/>
                            <a:ahLst/>
                            <a:cxnLst/>
                            <a:rect l="l" t="t" r="r" b="b"/>
                            <a:pathLst>
                              <a:path w="3453765" h="368935">
                                <a:moveTo>
                                  <a:pt x="15240" y="0"/>
                                </a:moveTo>
                                <a:lnTo>
                                  <a:pt x="6096" y="0"/>
                                </a:lnTo>
                                <a:lnTo>
                                  <a:pt x="0" y="6096"/>
                                </a:lnTo>
                                <a:lnTo>
                                  <a:pt x="0" y="21336"/>
                                </a:lnTo>
                                <a:lnTo>
                                  <a:pt x="6096" y="27432"/>
                                </a:lnTo>
                                <a:lnTo>
                                  <a:pt x="12192" y="27432"/>
                                </a:lnTo>
                                <a:lnTo>
                                  <a:pt x="697992" y="54864"/>
                                </a:lnTo>
                                <a:lnTo>
                                  <a:pt x="1386839" y="97536"/>
                                </a:lnTo>
                                <a:lnTo>
                                  <a:pt x="2069591" y="112775"/>
                                </a:lnTo>
                                <a:lnTo>
                                  <a:pt x="2755391" y="143256"/>
                                </a:lnTo>
                                <a:lnTo>
                                  <a:pt x="2752344" y="143256"/>
                                </a:lnTo>
                                <a:lnTo>
                                  <a:pt x="3435096" y="368808"/>
                                </a:lnTo>
                                <a:lnTo>
                                  <a:pt x="3444240" y="368808"/>
                                </a:lnTo>
                                <a:lnTo>
                                  <a:pt x="3450336" y="365760"/>
                                </a:lnTo>
                                <a:lnTo>
                                  <a:pt x="3453384" y="359664"/>
                                </a:lnTo>
                                <a:lnTo>
                                  <a:pt x="3453384" y="353568"/>
                                </a:lnTo>
                                <a:lnTo>
                                  <a:pt x="3450336" y="344424"/>
                                </a:lnTo>
                                <a:lnTo>
                                  <a:pt x="3444240" y="344424"/>
                                </a:lnTo>
                                <a:lnTo>
                                  <a:pt x="2758440" y="118872"/>
                                </a:lnTo>
                                <a:lnTo>
                                  <a:pt x="2755391" y="118872"/>
                                </a:lnTo>
                                <a:lnTo>
                                  <a:pt x="2072639" y="88392"/>
                                </a:lnTo>
                                <a:lnTo>
                                  <a:pt x="1386839" y="73152"/>
                                </a:lnTo>
                                <a:lnTo>
                                  <a:pt x="697992" y="30480"/>
                                </a:lnTo>
                                <a:lnTo>
                                  <a:pt x="15240" y="0"/>
                                </a:lnTo>
                                <a:close/>
                              </a:path>
                            </a:pathLst>
                          </a:custGeom>
                          <a:solidFill>
                            <a:srgbClr val="97B853"/>
                          </a:solidFill>
                        </wps:spPr>
                        <wps:bodyPr wrap="square" lIns="0" tIns="0" rIns="0" bIns="0" rtlCol="0">
                          <a:prstTxWarp prst="textNoShape">
                            <a:avLst/>
                          </a:prstTxWarp>
                          <a:noAutofit/>
                        </wps:bodyPr>
                      </wps:wsp>
                      <pic:pic>
                        <pic:nvPicPr>
                          <pic:cNvPr id="299" name="Image 299"/>
                          <pic:cNvPicPr/>
                        </pic:nvPicPr>
                        <pic:blipFill>
                          <a:blip r:embed="rId85" cstate="print"/>
                          <a:stretch>
                            <a:fillRect/>
                          </a:stretch>
                        </pic:blipFill>
                        <pic:spPr>
                          <a:xfrm>
                            <a:off x="332231" y="621791"/>
                            <a:ext cx="97536" cy="94488"/>
                          </a:xfrm>
                          <a:prstGeom prst="rect">
                            <a:avLst/>
                          </a:prstGeom>
                        </pic:spPr>
                      </pic:pic>
                      <pic:pic>
                        <pic:nvPicPr>
                          <pic:cNvPr id="300" name="Image 300"/>
                          <pic:cNvPicPr/>
                        </pic:nvPicPr>
                        <pic:blipFill>
                          <a:blip r:embed="rId106" cstate="print"/>
                          <a:stretch>
                            <a:fillRect/>
                          </a:stretch>
                        </pic:blipFill>
                        <pic:spPr>
                          <a:xfrm>
                            <a:off x="1014983" y="649223"/>
                            <a:ext cx="97536" cy="97535"/>
                          </a:xfrm>
                          <a:prstGeom prst="rect">
                            <a:avLst/>
                          </a:prstGeom>
                        </pic:spPr>
                      </pic:pic>
                      <pic:pic>
                        <pic:nvPicPr>
                          <pic:cNvPr id="301" name="Image 301"/>
                          <pic:cNvPicPr/>
                        </pic:nvPicPr>
                        <pic:blipFill>
                          <a:blip r:embed="rId107" cstate="print"/>
                          <a:stretch>
                            <a:fillRect/>
                          </a:stretch>
                        </pic:blipFill>
                        <pic:spPr>
                          <a:xfrm>
                            <a:off x="1700783" y="691895"/>
                            <a:ext cx="97536" cy="97536"/>
                          </a:xfrm>
                          <a:prstGeom prst="rect">
                            <a:avLst/>
                          </a:prstGeom>
                        </pic:spPr>
                      </pic:pic>
                      <pic:pic>
                        <pic:nvPicPr>
                          <pic:cNvPr id="302" name="Image 302"/>
                          <pic:cNvPicPr/>
                        </pic:nvPicPr>
                        <pic:blipFill>
                          <a:blip r:embed="rId69" cstate="print"/>
                          <a:stretch>
                            <a:fillRect/>
                          </a:stretch>
                        </pic:blipFill>
                        <pic:spPr>
                          <a:xfrm>
                            <a:off x="2383535" y="704087"/>
                            <a:ext cx="100584" cy="94488"/>
                          </a:xfrm>
                          <a:prstGeom prst="rect">
                            <a:avLst/>
                          </a:prstGeom>
                        </pic:spPr>
                      </pic:pic>
                      <pic:pic>
                        <pic:nvPicPr>
                          <pic:cNvPr id="303" name="Image 303"/>
                          <pic:cNvPicPr/>
                        </pic:nvPicPr>
                        <pic:blipFill>
                          <a:blip r:embed="rId108" cstate="print"/>
                          <a:stretch>
                            <a:fillRect/>
                          </a:stretch>
                        </pic:blipFill>
                        <pic:spPr>
                          <a:xfrm>
                            <a:off x="3072383" y="737616"/>
                            <a:ext cx="97536" cy="97536"/>
                          </a:xfrm>
                          <a:prstGeom prst="rect">
                            <a:avLst/>
                          </a:prstGeom>
                        </pic:spPr>
                      </pic:pic>
                      <pic:pic>
                        <pic:nvPicPr>
                          <pic:cNvPr id="304" name="Image 304"/>
                          <pic:cNvPicPr/>
                        </pic:nvPicPr>
                        <pic:blipFill>
                          <a:blip r:embed="rId109" cstate="print"/>
                          <a:stretch>
                            <a:fillRect/>
                          </a:stretch>
                        </pic:blipFill>
                        <pic:spPr>
                          <a:xfrm>
                            <a:off x="3758184" y="960119"/>
                            <a:ext cx="97536" cy="97536"/>
                          </a:xfrm>
                          <a:prstGeom prst="rect">
                            <a:avLst/>
                          </a:prstGeom>
                        </pic:spPr>
                      </pic:pic>
                      <wps:wsp>
                        <wps:cNvPr id="305" name="Graphic 305"/>
                        <wps:cNvSpPr/>
                        <wps:spPr>
                          <a:xfrm>
                            <a:off x="3910584" y="2310383"/>
                            <a:ext cx="256540" cy="27940"/>
                          </a:xfrm>
                          <a:custGeom>
                            <a:avLst/>
                            <a:gdLst/>
                            <a:ahLst/>
                            <a:cxnLst/>
                            <a:rect l="l" t="t" r="r" b="b"/>
                            <a:pathLst>
                              <a:path w="256540" h="27940">
                                <a:moveTo>
                                  <a:pt x="249936" y="0"/>
                                </a:moveTo>
                                <a:lnTo>
                                  <a:pt x="15239" y="0"/>
                                </a:lnTo>
                                <a:lnTo>
                                  <a:pt x="6096" y="0"/>
                                </a:lnTo>
                                <a:lnTo>
                                  <a:pt x="0" y="6096"/>
                                </a:lnTo>
                                <a:lnTo>
                                  <a:pt x="0" y="21335"/>
                                </a:lnTo>
                                <a:lnTo>
                                  <a:pt x="6096" y="27431"/>
                                </a:lnTo>
                                <a:lnTo>
                                  <a:pt x="249936" y="27431"/>
                                </a:lnTo>
                                <a:lnTo>
                                  <a:pt x="256032" y="21335"/>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306" name="Image 306"/>
                          <pic:cNvPicPr/>
                        </pic:nvPicPr>
                        <pic:blipFill>
                          <a:blip r:embed="rId110" cstate="print"/>
                          <a:stretch>
                            <a:fillRect/>
                          </a:stretch>
                        </pic:blipFill>
                        <pic:spPr>
                          <a:xfrm>
                            <a:off x="4002023" y="2282951"/>
                            <a:ext cx="76200" cy="79248"/>
                          </a:xfrm>
                          <a:prstGeom prst="rect">
                            <a:avLst/>
                          </a:prstGeom>
                        </pic:spPr>
                      </pic:pic>
                      <wps:wsp>
                        <wps:cNvPr id="307" name="Graphic 307"/>
                        <wps:cNvSpPr/>
                        <wps:spPr>
                          <a:xfrm>
                            <a:off x="3910584" y="2694432"/>
                            <a:ext cx="256540" cy="27940"/>
                          </a:xfrm>
                          <a:custGeom>
                            <a:avLst/>
                            <a:gdLst/>
                            <a:ahLst/>
                            <a:cxnLst/>
                            <a:rect l="l" t="t" r="r" b="b"/>
                            <a:pathLst>
                              <a:path w="256540" h="27940">
                                <a:moveTo>
                                  <a:pt x="249936" y="0"/>
                                </a:moveTo>
                                <a:lnTo>
                                  <a:pt x="15239" y="0"/>
                                </a:lnTo>
                                <a:lnTo>
                                  <a:pt x="6096" y="0"/>
                                </a:lnTo>
                                <a:lnTo>
                                  <a:pt x="0" y="6095"/>
                                </a:lnTo>
                                <a:lnTo>
                                  <a:pt x="0" y="21336"/>
                                </a:lnTo>
                                <a:lnTo>
                                  <a:pt x="6096" y="27431"/>
                                </a:lnTo>
                                <a:lnTo>
                                  <a:pt x="249936" y="27431"/>
                                </a:lnTo>
                                <a:lnTo>
                                  <a:pt x="256032" y="21336"/>
                                </a:lnTo>
                                <a:lnTo>
                                  <a:pt x="256032" y="6095"/>
                                </a:lnTo>
                                <a:lnTo>
                                  <a:pt x="249936" y="0"/>
                                </a:lnTo>
                                <a:close/>
                              </a:path>
                            </a:pathLst>
                          </a:custGeom>
                          <a:solidFill>
                            <a:srgbClr val="BD4A47"/>
                          </a:solidFill>
                        </wps:spPr>
                        <wps:bodyPr wrap="square" lIns="0" tIns="0" rIns="0" bIns="0" rtlCol="0">
                          <a:prstTxWarp prst="textNoShape">
                            <a:avLst/>
                          </a:prstTxWarp>
                          <a:noAutofit/>
                        </wps:bodyPr>
                      </wps:wsp>
                      <wps:wsp>
                        <wps:cNvPr id="308" name="Graphic 308"/>
                        <wps:cNvSpPr/>
                        <wps:spPr>
                          <a:xfrm>
                            <a:off x="4005071" y="2673095"/>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BF4F4C"/>
                          </a:solidFill>
                        </wps:spPr>
                        <wps:bodyPr wrap="square" lIns="0" tIns="0" rIns="0" bIns="0" rtlCol="0">
                          <a:prstTxWarp prst="textNoShape">
                            <a:avLst/>
                          </a:prstTxWarp>
                          <a:noAutofit/>
                        </wps:bodyPr>
                      </wps:wsp>
                      <wps:wsp>
                        <wps:cNvPr id="309" name="Graphic 309"/>
                        <wps:cNvSpPr/>
                        <wps:spPr>
                          <a:xfrm>
                            <a:off x="4002023" y="2670048"/>
                            <a:ext cx="79375" cy="79375"/>
                          </a:xfrm>
                          <a:custGeom>
                            <a:avLst/>
                            <a:gdLst/>
                            <a:ahLst/>
                            <a:cxnLst/>
                            <a:rect l="l" t="t" r="r" b="b"/>
                            <a:pathLst>
                              <a:path w="79375" h="79375">
                                <a:moveTo>
                                  <a:pt x="76200" y="0"/>
                                </a:moveTo>
                                <a:lnTo>
                                  <a:pt x="3048" y="0"/>
                                </a:lnTo>
                                <a:lnTo>
                                  <a:pt x="0" y="3048"/>
                                </a:lnTo>
                                <a:lnTo>
                                  <a:pt x="0" y="76200"/>
                                </a:lnTo>
                                <a:lnTo>
                                  <a:pt x="3048" y="79248"/>
                                </a:lnTo>
                                <a:lnTo>
                                  <a:pt x="76200" y="79248"/>
                                </a:lnTo>
                                <a:lnTo>
                                  <a:pt x="79248" y="76200"/>
                                </a:lnTo>
                                <a:lnTo>
                                  <a:pt x="6096" y="76200"/>
                                </a:lnTo>
                                <a:lnTo>
                                  <a:pt x="3048" y="70103"/>
                                </a:lnTo>
                                <a:lnTo>
                                  <a:pt x="6096" y="70103"/>
                                </a:lnTo>
                                <a:lnTo>
                                  <a:pt x="6096" y="9143"/>
                                </a:lnTo>
                                <a:lnTo>
                                  <a:pt x="3048" y="9143"/>
                                </a:lnTo>
                                <a:lnTo>
                                  <a:pt x="6096" y="3048"/>
                                </a:lnTo>
                                <a:lnTo>
                                  <a:pt x="79248" y="3048"/>
                                </a:lnTo>
                                <a:lnTo>
                                  <a:pt x="76200" y="0"/>
                                </a:lnTo>
                                <a:close/>
                              </a:path>
                              <a:path w="79375" h="79375">
                                <a:moveTo>
                                  <a:pt x="6096" y="70103"/>
                                </a:moveTo>
                                <a:lnTo>
                                  <a:pt x="3048" y="70103"/>
                                </a:lnTo>
                                <a:lnTo>
                                  <a:pt x="6096" y="76200"/>
                                </a:lnTo>
                                <a:lnTo>
                                  <a:pt x="6096" y="70103"/>
                                </a:lnTo>
                                <a:close/>
                              </a:path>
                              <a:path w="79375" h="79375">
                                <a:moveTo>
                                  <a:pt x="70104" y="70103"/>
                                </a:moveTo>
                                <a:lnTo>
                                  <a:pt x="6096" y="70103"/>
                                </a:lnTo>
                                <a:lnTo>
                                  <a:pt x="6096" y="76200"/>
                                </a:lnTo>
                                <a:lnTo>
                                  <a:pt x="70104" y="76200"/>
                                </a:lnTo>
                                <a:lnTo>
                                  <a:pt x="70104" y="70103"/>
                                </a:lnTo>
                                <a:close/>
                              </a:path>
                              <a:path w="79375" h="79375">
                                <a:moveTo>
                                  <a:pt x="70104" y="3048"/>
                                </a:moveTo>
                                <a:lnTo>
                                  <a:pt x="70104" y="76200"/>
                                </a:lnTo>
                                <a:lnTo>
                                  <a:pt x="76200" y="70103"/>
                                </a:lnTo>
                                <a:lnTo>
                                  <a:pt x="79248" y="70103"/>
                                </a:lnTo>
                                <a:lnTo>
                                  <a:pt x="79248" y="9143"/>
                                </a:lnTo>
                                <a:lnTo>
                                  <a:pt x="76200" y="9143"/>
                                </a:lnTo>
                                <a:lnTo>
                                  <a:pt x="70104" y="3048"/>
                                </a:lnTo>
                                <a:close/>
                              </a:path>
                              <a:path w="79375" h="79375">
                                <a:moveTo>
                                  <a:pt x="79248" y="70103"/>
                                </a:moveTo>
                                <a:lnTo>
                                  <a:pt x="76200" y="70103"/>
                                </a:lnTo>
                                <a:lnTo>
                                  <a:pt x="70104" y="76200"/>
                                </a:lnTo>
                                <a:lnTo>
                                  <a:pt x="79248" y="76200"/>
                                </a:lnTo>
                                <a:lnTo>
                                  <a:pt x="79248" y="70103"/>
                                </a:lnTo>
                                <a:close/>
                              </a:path>
                              <a:path w="79375" h="79375">
                                <a:moveTo>
                                  <a:pt x="6096" y="3048"/>
                                </a:moveTo>
                                <a:lnTo>
                                  <a:pt x="3048" y="9143"/>
                                </a:lnTo>
                                <a:lnTo>
                                  <a:pt x="6096" y="9143"/>
                                </a:lnTo>
                                <a:lnTo>
                                  <a:pt x="6096" y="3048"/>
                                </a:lnTo>
                                <a:close/>
                              </a:path>
                              <a:path w="79375" h="79375">
                                <a:moveTo>
                                  <a:pt x="70104" y="3048"/>
                                </a:moveTo>
                                <a:lnTo>
                                  <a:pt x="6096" y="3048"/>
                                </a:lnTo>
                                <a:lnTo>
                                  <a:pt x="6096" y="9143"/>
                                </a:lnTo>
                                <a:lnTo>
                                  <a:pt x="70104" y="9143"/>
                                </a:lnTo>
                                <a:lnTo>
                                  <a:pt x="70104" y="3048"/>
                                </a:lnTo>
                                <a:close/>
                              </a:path>
                              <a:path w="79375" h="79375">
                                <a:moveTo>
                                  <a:pt x="79248" y="3048"/>
                                </a:moveTo>
                                <a:lnTo>
                                  <a:pt x="70104" y="3048"/>
                                </a:lnTo>
                                <a:lnTo>
                                  <a:pt x="76200" y="9143"/>
                                </a:lnTo>
                                <a:lnTo>
                                  <a:pt x="79248" y="9143"/>
                                </a:lnTo>
                                <a:lnTo>
                                  <a:pt x="79248" y="3048"/>
                                </a:lnTo>
                                <a:close/>
                              </a:path>
                            </a:pathLst>
                          </a:custGeom>
                          <a:solidFill>
                            <a:srgbClr val="BD4A47"/>
                          </a:solidFill>
                        </wps:spPr>
                        <wps:bodyPr wrap="square" lIns="0" tIns="0" rIns="0" bIns="0" rtlCol="0">
                          <a:prstTxWarp prst="textNoShape">
                            <a:avLst/>
                          </a:prstTxWarp>
                          <a:noAutofit/>
                        </wps:bodyPr>
                      </wps:wsp>
                      <wps:wsp>
                        <wps:cNvPr id="310" name="Graphic 310"/>
                        <wps:cNvSpPr/>
                        <wps:spPr>
                          <a:xfrm>
                            <a:off x="3910584" y="3081527"/>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97B853"/>
                          </a:solidFill>
                        </wps:spPr>
                        <wps:bodyPr wrap="square" lIns="0" tIns="0" rIns="0" bIns="0" rtlCol="0">
                          <a:prstTxWarp prst="textNoShape">
                            <a:avLst/>
                          </a:prstTxWarp>
                          <a:noAutofit/>
                        </wps:bodyPr>
                      </wps:wsp>
                      <pic:pic>
                        <pic:nvPicPr>
                          <pic:cNvPr id="311" name="Image 311"/>
                          <pic:cNvPicPr/>
                        </pic:nvPicPr>
                        <pic:blipFill>
                          <a:blip r:embed="rId111" cstate="print"/>
                          <a:stretch>
                            <a:fillRect/>
                          </a:stretch>
                        </pic:blipFill>
                        <pic:spPr>
                          <a:xfrm>
                            <a:off x="4002023" y="3054095"/>
                            <a:ext cx="79248" cy="82295"/>
                          </a:xfrm>
                          <a:prstGeom prst="rect">
                            <a:avLst/>
                          </a:prstGeom>
                        </pic:spPr>
                      </pic:pic>
                    </wpg:wgp>
                  </a:graphicData>
                </a:graphic>
              </wp:anchor>
            </w:drawing>
          </mc:Choice>
          <mc:Fallback>
            <w:pict>
              <v:group style="position:absolute;margin-left:155.520004pt;margin-top:7.32pt;width:328.1pt;height:276.75pt;mso-position-horizontal-relative:page;mso-position-vertical-relative:paragraph;z-index:-21300224" id="docshapegroup266" coordorigin="3110,146" coordsize="6562,5535">
                <v:shape style="position:absolute;left:3110;top:146;width:6543;height:5535" id="docshape267" coordorigin="3110,146" coordsize="6543,5535" path="m9653,5618l9643,5618,9643,5614,3178,5614,3178,156,3173,156,3173,146,3110,146,3110,161,3163,161,3163,1058,3110,1058,3110,1073,3163,1073,3163,1970,3110,1970,3110,1985,3163,1985,3163,2882,3110,2882,3110,2897,3163,2897,3163,3794,3110,3794,3110,3804,3163,3804,3163,4706,3110,4706,3110,4716,3163,4716,3163,5609,3110,5609,3110,5623,3163,5623,3163,5681,3178,5681,3178,5628,4243,5628,4243,5681,4258,5681,4258,5628,5323,5628,5323,5681,5333,5681,5333,5628,6398,5628,6398,5681,6413,5681,6413,5628,7478,5628,7478,5681,7493,5681,7493,5628,8558,5628,8558,5681,8573,5681,8573,5628,9638,5628,9638,5681,9653,5681,9653,5618xe" filled="true" fillcolor="#858585" stroked="false">
                  <v:path arrowok="t"/>
                  <v:fill type="solid"/>
                </v:shape>
                <v:shape style="position:absolute;left:3686;top:1063;width:5439;height:1191" id="docshape268" coordorigin="3686,1063" coordsize="5439,1191" path="m8072,1270l8011,1270,8026,1274,8017,1274,9091,2244,9101,2254,9110,2254,9120,2244,9125,2234,9125,2220,9120,2215,8077,1274,8026,1274,8077,1274,8072,1270xm8011,1270l8016,1274,8026,1274,8011,1270xm3710,1063l3696,1063,3686,1073,3686,1097,3696,1102,5870,1116,6946,1265,8016,1274,8011,1270,8072,1270,8040,1241,8035,1236,8026,1236,6950,1226,5870,1078,3710,1063xe" filled="true" fillcolor="#497dba" stroked="false">
                  <v:path arrowok="t"/>
                  <v:fill type="solid"/>
                </v:shape>
                <v:shape style="position:absolute;left:3633;top:1005;width:149;height:154" type="#_x0000_t75" id="docshape269" stroked="false">
                  <v:imagedata r:id="rId99" o:title=""/>
                </v:shape>
                <v:shape style="position:absolute;left:4708;top:1015;width:154;height:154" type="#_x0000_t75" id="docshape270" stroked="false">
                  <v:imagedata r:id="rId100" o:title=""/>
                </v:shape>
                <v:shape style="position:absolute;left:5788;top:1024;width:149;height:149" type="#_x0000_t75" id="docshape271" stroked="false">
                  <v:imagedata r:id="rId101" o:title=""/>
                </v:shape>
                <v:shape style="position:absolute;left:6864;top:1168;width:154;height:154" type="#_x0000_t75" id="docshape272" stroked="false">
                  <v:imagedata r:id="rId102" o:title=""/>
                </v:shape>
                <v:shape style="position:absolute;left:7948;top:1183;width:154;height:149" type="#_x0000_t75" id="docshape273" stroked="false">
                  <v:imagedata r:id="rId103" o:title=""/>
                </v:shape>
                <v:shape style="position:absolute;left:9028;top:2157;width:149;height:149" type="#_x0000_t75" id="docshape274" stroked="false">
                  <v:imagedata r:id="rId64" o:title=""/>
                </v:shape>
                <v:shape style="position:absolute;left:3686;top:1125;width:5439;height:1805" id="docshape275" coordorigin="3686,1126" coordsize="5439,1805" path="m8018,1514l9086,2921,9106,2930,9115,2921,9125,2916,9125,2902,9120,2892,8066,1514,8021,1514,8018,1514xm8011,1505l8018,1514,8021,1514,8011,1505xm8058,1505l8011,1505,8021,1514,8066,1514,8058,1505xm3710,1126l3696,1126,3686,1135,3686,1159,3696,1169,4786,1178,5870,1250,6946,1294,8018,1514,8011,1505,8058,1505,8040,1481,8040,1476,8030,1476,6950,1255,6950,1250,5870,1207,4786,1140,3710,1126xe" filled="true" fillcolor="#bd4a47" stroked="false">
                  <v:path arrowok="t"/>
                  <v:fill type="solid"/>
                </v:shape>
                <v:rect style="position:absolute;left:3638;top:1082;width:135;height:130" id="docshape276" filled="true" fillcolor="#bf4f4c" stroked="false">
                  <v:fill type="solid"/>
                </v:rect>
                <v:shape style="position:absolute;left:3633;top:1077;width:144;height:144" id="docshape277" coordorigin="3634,1078" coordsize="144,144" path="m3778,1078l3634,1078,3634,1217,3638,1222,3778,1222,3778,1212,3648,1212,3638,1207,3648,1207,3648,1092,3638,1092,3648,1082,3778,1082,3778,1078xm3648,1207l3638,1207,3648,1212,3648,1207xm3763,1207l3648,1207,3648,1212,3763,1212,3763,1207xm3763,1082l3763,1212,3773,1207,3778,1207,3778,1092,3773,1092,3763,1082xm3778,1207l3773,1207,3763,1212,3778,1212,3778,1207xm3648,1082l3638,1092,3648,1092,3648,1082xm3763,1082l3648,1082,3648,1092,3763,1092,3763,1082xm3778,1082l3763,1082,3773,1092,3778,1092,3778,1082xe" filled="true" fillcolor="#bd4a47" stroked="false">
                  <v:path arrowok="t"/>
                  <v:fill type="solid"/>
                </v:shape>
                <v:rect style="position:absolute;left:4718;top:1096;width:130;height:130" id="docshape278" filled="true" fillcolor="#bf4f4c" stroked="false">
                  <v:fill type="solid"/>
                </v:rect>
                <v:shape style="position:absolute;left:4713;top:1087;width:144;height:149" id="docshape279" coordorigin="4714,1087" coordsize="144,149" path="m4853,1087l4714,1087,4714,1236,4853,1236,4858,1231,4858,1226,4728,1226,4718,1222,4728,1222,4728,1102,4718,1102,4728,1097,4858,1097,4858,1092,4853,1087xm4728,1222l4718,1222,4728,1226,4728,1222xm4843,1222l4728,1222,4728,1226,4843,1226,4843,1222xm4843,1097l4843,1226,4848,1222,4858,1222,4858,1102,4848,1102,4843,1097xm4858,1222l4848,1222,4843,1226,4858,1226,4858,1222xm4728,1097l4718,1102,4728,1102,4728,1097xm4843,1097l4728,1097,4728,1102,4843,1102,4843,1097xm4858,1097l4843,1097,4848,1102,4858,1102,4858,1097xe" filled="true" fillcolor="#bd4a47" stroked="false">
                  <v:path arrowok="t"/>
                  <v:fill type="solid"/>
                </v:shape>
                <v:shape style="position:absolute;left:5788;top:1159;width:144;height:144" type="#_x0000_t75" id="docshape280" stroked="false">
                  <v:imagedata r:id="rId104" o:title=""/>
                </v:shape>
                <v:shape style="position:absolute;left:6868;top:1197;width:144;height:144" type="#_x0000_t75" id="docshape281" stroked="false">
                  <v:imagedata r:id="rId105" o:title=""/>
                </v:shape>
                <v:rect style="position:absolute;left:7958;top:1428;width:130;height:130" id="docshape282" filled="true" fillcolor="#bf4f4c" stroked="false">
                  <v:fill type="solid"/>
                </v:rect>
                <v:shape style="position:absolute;left:7953;top:1418;width:144;height:144" id="docshape283" coordorigin="7954,1418" coordsize="144,144" path="m8093,1418l7954,1418,7954,1562,8098,1562,8098,1558,7963,1558,7958,1548,7963,1548,7963,1433,7958,1433,7963,1428,8098,1428,8098,1423,8093,1418xm7963,1548l7958,1548,7963,1558,7963,1548xm8083,1548l7963,1548,7963,1558,8083,1558,8083,1548xm8083,1428l8083,1558,8088,1548,8098,1548,8098,1433,8088,1433,8083,1428xm8098,1548l8088,1548,8083,1558,8098,1558,8098,1548xm7963,1428l7958,1433,7963,1433,7963,1428xm8083,1428l7963,1428,7963,1433,8083,1433,8083,1428xm8098,1428l8083,1428,8088,1433,8098,1433,8098,1428xe" filled="true" fillcolor="#bd4a47" stroked="false">
                  <v:path arrowok="t"/>
                  <v:fill type="solid"/>
                </v:shape>
                <v:rect style="position:absolute;left:9038;top:2839;width:130;height:130" id="docshape284" filled="true" fillcolor="#bf4f4c" stroked="false">
                  <v:fill type="solid"/>
                </v:rect>
                <v:shape style="position:absolute;left:9028;top:2829;width:144;height:144" id="docshape285" coordorigin="9029,2830" coordsize="144,144" path="m9173,2830l9034,2830,9029,2834,9029,2974,9173,2974,9173,2969,9043,2969,9038,2964,9043,2964,9043,2844,9038,2844,9043,2839,9173,2839,9173,2830xm9043,2964l9038,2964,9043,2969,9043,2964xm9158,2964l9043,2964,9043,2969,9158,2969,9158,2964xm9158,2839l9158,2969,9168,2964,9173,2964,9173,2844,9168,2844,9158,2839xm9173,2964l9168,2964,9158,2969,9173,2969,9173,2964xm9043,2839l9038,2844,9043,2844,9043,2839xm9158,2839l9043,2839,9043,2844,9158,2844,9158,2839xm9173,2839l9158,2839,9168,2844,9173,2844,9173,2839xe" filled="true" fillcolor="#bd4a47" stroked="false">
                  <v:path arrowok="t"/>
                  <v:fill type="solid"/>
                </v:shape>
                <v:shape style="position:absolute;left:3686;top:1173;width:5439;height:581" id="docshape286" coordorigin="3686,1174" coordsize="5439,581" path="m3710,1174l3696,1174,3686,1183,3686,1207,3696,1217,3706,1217,4786,1260,5870,1327,6946,1351,8026,1399,8021,1399,9096,1754,9110,1754,9120,1750,9125,1740,9125,1730,9120,1716,9110,1716,8030,1361,8026,1361,6950,1313,5870,1289,4786,1222,3710,1174xe" filled="true" fillcolor="#97b853" stroked="false">
                  <v:path arrowok="t"/>
                  <v:fill type="solid"/>
                </v:shape>
                <v:shape style="position:absolute;left:3633;top:1125;width:154;height:149" type="#_x0000_t75" id="docshape287" stroked="false">
                  <v:imagedata r:id="rId85" o:title=""/>
                </v:shape>
                <v:shape style="position:absolute;left:4708;top:1168;width:154;height:154" type="#_x0000_t75" id="docshape288" stroked="false">
                  <v:imagedata r:id="rId106" o:title=""/>
                </v:shape>
                <v:shape style="position:absolute;left:5788;top:1236;width:154;height:154" type="#_x0000_t75" id="docshape289" stroked="false">
                  <v:imagedata r:id="rId107" o:title=""/>
                </v:shape>
                <v:shape style="position:absolute;left:6864;top:1255;width:159;height:149" type="#_x0000_t75" id="docshape290" stroked="false">
                  <v:imagedata r:id="rId69" o:title=""/>
                </v:shape>
                <v:shape style="position:absolute;left:7948;top:1308;width:154;height:154" type="#_x0000_t75" id="docshape291" stroked="false">
                  <v:imagedata r:id="rId108" o:title=""/>
                </v:shape>
                <v:shape style="position:absolute;left:9028;top:1658;width:154;height:154" type="#_x0000_t75" id="docshape292" stroked="false">
                  <v:imagedata r:id="rId109" o:title=""/>
                </v:shape>
                <v:shape style="position:absolute;left:9268;top:3784;width:404;height:44" id="docshape293" coordorigin="9269,3785" coordsize="404,44" path="m9662,3785l9293,3785,9278,3785,9269,3794,9269,3818,9278,3828,9662,3828,9672,3818,9672,3794,9662,3785xe" filled="true" fillcolor="#497dba" stroked="false">
                  <v:path arrowok="t"/>
                  <v:fill type="solid"/>
                </v:shape>
                <v:shape style="position:absolute;left:9412;top:3741;width:120;height:125" type="#_x0000_t75" id="docshape294" stroked="false">
                  <v:imagedata r:id="rId110" o:title=""/>
                </v:shape>
                <v:shape style="position:absolute;left:9268;top:4389;width:404;height:44" id="docshape295" coordorigin="9269,4390" coordsize="404,44" path="m9662,4390l9293,4390,9278,4390,9269,4399,9269,4423,9278,4433,9662,4433,9672,4423,9672,4399,9662,4390xe" filled="true" fillcolor="#bd4a47" stroked="false">
                  <v:path arrowok="t"/>
                  <v:fill type="solid"/>
                </v:shape>
                <v:rect style="position:absolute;left:9417;top:4356;width:116;height:116" id="docshape296" filled="true" fillcolor="#bf4f4c" stroked="false">
                  <v:fill type="solid"/>
                </v:rect>
                <v:shape style="position:absolute;left:9412;top:4351;width:125;height:125" id="docshape297" coordorigin="9413,4351" coordsize="125,125" path="m9533,4351l9418,4351,9413,4356,9413,4471,9418,4476,9533,4476,9538,4471,9422,4471,9418,4462,9422,4462,9422,4366,9418,4366,9422,4356,9538,4356,9533,4351xm9422,4462l9418,4462,9422,4471,9422,4462xm9523,4462l9422,4462,9422,4471,9523,4471,9523,4462xm9523,4356l9523,4471,9533,4462,9538,4462,9538,4366,9533,4366,9523,4356xm9538,4462l9533,4462,9523,4471,9538,4471,9538,4462xm9422,4356l9418,4366,9422,4366,9422,4356xm9523,4356l9422,4356,9422,4366,9523,4366,9523,4356xm9538,4356l9523,4356,9533,4366,9538,4366,9538,4356xe" filled="true" fillcolor="#bd4a47" stroked="false">
                  <v:path arrowok="t"/>
                  <v:fill type="solid"/>
                </v:shape>
                <v:shape style="position:absolute;left:9268;top:4999;width:404;height:44" id="docshape298" coordorigin="9269,4999" coordsize="404,44" path="m9662,4999l9293,4999,9278,4999,9269,5009,9269,5033,9278,5042,9662,5042,9672,5033,9672,5009,9662,4999xe" filled="true" fillcolor="#97b853" stroked="false">
                  <v:path arrowok="t"/>
                  <v:fill type="solid"/>
                </v:shape>
                <v:shape style="position:absolute;left:9412;top:4956;width:125;height:130" type="#_x0000_t75" id="docshape299" stroked="false">
                  <v:imagedata r:id="rId111" o:title=""/>
                </v:shape>
                <w10:wrap type="none"/>
              </v:group>
            </w:pict>
          </mc:Fallback>
        </mc:AlternateContent>
      </w:r>
      <w:r>
        <w:rPr>
          <w:rFonts w:ascii="Calibri"/>
          <w:spacing w:val="-5"/>
          <w:sz w:val="19"/>
        </w:rPr>
        <w:t>120</w:t>
      </w:r>
    </w:p>
    <w:p>
      <w:pPr>
        <w:pStyle w:val="BodyText"/>
        <w:rPr>
          <w:rFonts w:ascii="Calibri"/>
          <w:sz w:val="19"/>
        </w:rPr>
      </w:pPr>
    </w:p>
    <w:p>
      <w:pPr>
        <w:pStyle w:val="BodyText"/>
        <w:spacing w:before="216"/>
        <w:rPr>
          <w:rFonts w:ascii="Calibri"/>
          <w:sz w:val="19"/>
        </w:rPr>
      </w:pPr>
    </w:p>
    <w:p>
      <w:pPr>
        <w:spacing w:before="1"/>
        <w:ind w:left="987" w:right="0" w:firstLine="0"/>
        <w:jc w:val="left"/>
        <w:rPr>
          <w:rFonts w:ascii="Calibri"/>
          <w:sz w:val="19"/>
        </w:rPr>
      </w:pPr>
      <w:r>
        <w:rPr>
          <w:rFonts w:ascii="Calibri"/>
          <w:spacing w:val="-5"/>
          <w:sz w:val="19"/>
        </w:rPr>
        <w:t>100</w:t>
      </w:r>
    </w:p>
    <w:p>
      <w:pPr>
        <w:pStyle w:val="BodyText"/>
        <w:rPr>
          <w:rFonts w:ascii="Calibri"/>
          <w:sz w:val="19"/>
        </w:rPr>
      </w:pPr>
    </w:p>
    <w:p>
      <w:pPr>
        <w:pStyle w:val="BodyText"/>
        <w:spacing w:before="211"/>
        <w:rPr>
          <w:rFonts w:ascii="Calibri"/>
          <w:sz w:val="19"/>
        </w:rPr>
      </w:pPr>
    </w:p>
    <w:p>
      <w:pPr>
        <w:spacing w:before="0"/>
        <w:ind w:left="1083" w:right="0" w:firstLine="0"/>
        <w:jc w:val="left"/>
        <w:rPr>
          <w:rFonts w:ascii="Calibri"/>
          <w:sz w:val="19"/>
        </w:rPr>
      </w:pPr>
      <w:r>
        <w:rPr/>
        <mc:AlternateContent>
          <mc:Choice Requires="wps">
            <w:drawing>
              <wp:anchor distT="0" distB="0" distL="0" distR="0" allowOverlap="1" layoutInCell="1" locked="0" behindDoc="0" simplePos="0" relativeHeight="15766016">
                <wp:simplePos x="0" y="0"/>
                <wp:positionH relativeFrom="page">
                  <wp:posOffset>1549065</wp:posOffset>
                </wp:positionH>
                <wp:positionV relativeFrom="paragraph">
                  <wp:posOffset>7131</wp:posOffset>
                </wp:positionV>
                <wp:extent cx="146050" cy="130683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46050" cy="130683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21.973679pt;margin-top:.561562pt;width:11.5pt;height:102.9pt;mso-position-horizontal-relative:page;mso-position-vertical-relative:paragraph;z-index:15766016" type="#_x0000_t202" id="docshape300"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 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spacing w:before="216"/>
        <w:rPr>
          <w:rFonts w:ascii="Calibri"/>
          <w:sz w:val="19"/>
        </w:rPr>
      </w:pPr>
    </w:p>
    <w:p>
      <w:pPr>
        <w:spacing w:before="0"/>
        <w:ind w:left="1083" w:right="0" w:firstLine="0"/>
        <w:jc w:val="left"/>
        <w:rPr>
          <w:rFonts w:ascii="Calibri"/>
          <w:sz w:val="19"/>
        </w:rPr>
      </w:pPr>
      <w:r>
        <w:rPr>
          <w:rFonts w:ascii="Calibri"/>
          <w:spacing w:val="-5"/>
          <w:sz w:val="19"/>
        </w:rPr>
        <w:t>60</w:t>
      </w:r>
    </w:p>
    <w:p>
      <w:pPr>
        <w:pStyle w:val="BodyText"/>
        <w:rPr>
          <w:rFonts w:ascii="Calibri"/>
          <w:sz w:val="19"/>
        </w:rPr>
      </w:pPr>
    </w:p>
    <w:p>
      <w:pPr>
        <w:pStyle w:val="BodyText"/>
        <w:spacing w:before="221"/>
        <w:rPr>
          <w:rFonts w:ascii="Calibri"/>
          <w:sz w:val="19"/>
        </w:rPr>
      </w:pPr>
    </w:p>
    <w:p>
      <w:pPr>
        <w:tabs>
          <w:tab w:pos="7971" w:val="left" w:leader="none"/>
        </w:tabs>
        <w:spacing w:before="0"/>
        <w:ind w:left="1083" w:right="0" w:firstLine="0"/>
        <w:jc w:val="left"/>
        <w:rPr>
          <w:rFonts w:ascii="Calibri"/>
          <w:sz w:val="19"/>
        </w:rPr>
      </w:pPr>
      <w:r>
        <w:rPr>
          <w:rFonts w:ascii="Calibri"/>
          <w:spacing w:val="-5"/>
          <w:sz w:val="19"/>
        </w:rPr>
        <w:t>40</w:t>
      </w:r>
      <w:r>
        <w:rPr>
          <w:rFonts w:ascii="Calibri"/>
          <w:sz w:val="19"/>
        </w:rPr>
        <w:tab/>
      </w:r>
      <w:r>
        <w:rPr>
          <w:rFonts w:ascii="Calibri"/>
          <w:spacing w:val="-5"/>
          <w:sz w:val="19"/>
        </w:rPr>
        <w:t>DS</w:t>
      </w:r>
    </w:p>
    <w:p>
      <w:pPr>
        <w:pStyle w:val="BodyText"/>
        <w:spacing w:before="146"/>
        <w:rPr>
          <w:rFonts w:ascii="Calibri"/>
          <w:sz w:val="19"/>
        </w:rPr>
      </w:pPr>
    </w:p>
    <w:p>
      <w:pPr>
        <w:spacing w:before="0"/>
        <w:ind w:left="7971" w:right="0" w:firstLine="0"/>
        <w:jc w:val="left"/>
        <w:rPr>
          <w:rFonts w:ascii="Calibri"/>
          <w:sz w:val="19"/>
        </w:rPr>
      </w:pPr>
      <w:r>
        <w:rPr>
          <w:rFonts w:ascii="Calibri"/>
          <w:spacing w:val="-5"/>
          <w:sz w:val="19"/>
        </w:rPr>
        <w:t>MCS</w:t>
      </w:r>
    </w:p>
    <w:p>
      <w:pPr>
        <w:spacing w:before="66"/>
        <w:ind w:left="1083" w:right="0" w:firstLine="0"/>
        <w:jc w:val="left"/>
        <w:rPr>
          <w:rFonts w:ascii="Calibri"/>
          <w:sz w:val="19"/>
        </w:rPr>
      </w:pPr>
      <w:r>
        <w:rPr>
          <w:rFonts w:ascii="Calibri"/>
          <w:spacing w:val="-5"/>
          <w:sz w:val="19"/>
        </w:rPr>
        <w:t>20</w:t>
      </w:r>
    </w:p>
    <w:p>
      <w:pPr>
        <w:spacing w:before="80"/>
        <w:ind w:left="7971" w:right="0" w:firstLine="0"/>
        <w:jc w:val="left"/>
        <w:rPr>
          <w:rFonts w:ascii="Calibri"/>
          <w:sz w:val="19"/>
        </w:rPr>
      </w:pPr>
      <w:r>
        <w:rPr>
          <w:rFonts w:ascii="Calibri"/>
          <w:spacing w:val="-5"/>
          <w:sz w:val="19"/>
        </w:rPr>
        <w:t>MS</w:t>
      </w:r>
    </w:p>
    <w:p>
      <w:pPr>
        <w:pStyle w:val="BodyText"/>
        <w:spacing w:before="131"/>
        <w:rPr>
          <w:rFonts w:ascii="Calibri"/>
          <w:sz w:val="19"/>
        </w:rPr>
      </w:pPr>
    </w:p>
    <w:p>
      <w:pPr>
        <w:spacing w:before="0"/>
        <w:ind w:left="446" w:right="7749" w:firstLine="0"/>
        <w:jc w:val="center"/>
        <w:rPr>
          <w:rFonts w:ascii="Calibri"/>
          <w:sz w:val="19"/>
        </w:rPr>
      </w:pPr>
      <w:r>
        <w:rPr>
          <w:rFonts w:ascii="Calibri"/>
          <w:spacing w:val="-10"/>
          <w:sz w:val="19"/>
        </w:rPr>
        <w:t>0</w:t>
      </w:r>
    </w:p>
    <w:p>
      <w:pPr>
        <w:tabs>
          <w:tab w:pos="1147" w:val="left" w:leader="none"/>
          <w:tab w:pos="2227" w:val="left" w:leader="none"/>
          <w:tab w:pos="3259" w:val="left" w:leader="none"/>
          <w:tab w:pos="4339" w:val="left" w:leader="none"/>
          <w:tab w:pos="5702" w:val="right" w:leader="none"/>
        </w:tabs>
        <w:spacing w:before="13"/>
        <w:ind w:left="0" w:right="41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6"/>
        <w:ind w:left="0" w:right="395" w:firstLine="0"/>
        <w:jc w:val="center"/>
        <w:rPr>
          <w:rFonts w:ascii="Calibri" w:hAnsi="Calibri"/>
          <w:b/>
          <w:sz w:val="19"/>
        </w:rPr>
      </w:pPr>
      <w:r>
        <w:rPr>
          <w:rFonts w:ascii="Calibri" w:hAnsi="Calibri"/>
          <w:b/>
          <w:sz w:val="19"/>
        </w:rPr>
        <w:t>Sieve</w:t>
      </w:r>
      <w:r>
        <w:rPr>
          <w:rFonts w:ascii="Calibri" w:hAnsi="Calibri"/>
          <w:b/>
          <w:spacing w:val="-8"/>
          <w:sz w:val="19"/>
        </w:rPr>
        <w:t> </w:t>
      </w:r>
      <w:r>
        <w:rPr>
          <w:rFonts w:ascii="Calibri" w:hAnsi="Calibri"/>
          <w:b/>
          <w:sz w:val="19"/>
        </w:rPr>
        <w:t>size</w:t>
      </w:r>
      <w:r>
        <w:rPr>
          <w:rFonts w:ascii="Calibri" w:hAnsi="Calibri"/>
          <w:b/>
          <w:spacing w:val="-7"/>
          <w:sz w:val="19"/>
        </w:rPr>
        <w:t> </w:t>
      </w:r>
      <w:r>
        <w:rPr>
          <w:rFonts w:ascii="Calibri" w:hAnsi="Calibri"/>
          <w:b/>
          <w:spacing w:val="-4"/>
          <w:sz w:val="19"/>
        </w:rPr>
        <w:t>(µm)</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4"/>
        <w:rPr>
          <w:rFonts w:ascii="Calibri"/>
          <w:b/>
        </w:rPr>
      </w:pPr>
    </w:p>
    <w:p>
      <w:pPr>
        <w:pStyle w:val="Heading2"/>
        <w:spacing w:line="244" w:lineRule="auto"/>
        <w:ind w:left="1913" w:right="1550" w:hanging="1248"/>
      </w:pPr>
      <w:r>
        <w:rPr/>
        <w:t>Figure A. 9: Graph of Cumulative frequency (%) oversize distribution against sieve size (µm) of metronidazole granules using 10.0 % w/w as </w:t>
      </w:r>
      <w:r>
        <w:rPr>
          <w:spacing w:val="-2"/>
        </w:rPr>
        <w:t>disintegrant.</w:t>
      </w:r>
    </w:p>
    <w:p>
      <w:pPr>
        <w:spacing w:after="0" w:line="244" w:lineRule="auto"/>
        <w:sectPr>
          <w:pgSz w:w="12240" w:h="15840"/>
          <w:pgMar w:header="0" w:footer="999" w:top="1380" w:bottom="1180" w:left="1720" w:right="760"/>
        </w:sectPr>
      </w:pPr>
    </w:p>
    <w:p>
      <w:pPr>
        <w:pStyle w:val="BodyText"/>
        <w:rPr>
          <w:b/>
          <w:sz w:val="19"/>
        </w:rPr>
      </w:pPr>
    </w:p>
    <w:p>
      <w:pPr>
        <w:pStyle w:val="BodyText"/>
        <w:spacing w:before="182"/>
        <w:rPr>
          <w:b/>
          <w:sz w:val="19"/>
        </w:rPr>
      </w:pPr>
    </w:p>
    <w:p>
      <w:pPr>
        <w:spacing w:before="1"/>
        <w:ind w:left="1486" w:right="0" w:firstLine="0"/>
        <w:jc w:val="left"/>
        <w:rPr>
          <w:rFonts w:ascii="Calibri"/>
          <w:sz w:val="19"/>
        </w:rPr>
      </w:pPr>
      <w:r>
        <w:rPr/>
        <mc:AlternateContent>
          <mc:Choice Requires="wps">
            <w:drawing>
              <wp:anchor distT="0" distB="0" distL="0" distR="0" allowOverlap="1" layoutInCell="1" locked="0" behindDoc="1" simplePos="0" relativeHeight="482017280">
                <wp:simplePos x="0" y="0"/>
                <wp:positionH relativeFrom="page">
                  <wp:posOffset>2292095</wp:posOffset>
                </wp:positionH>
                <wp:positionV relativeFrom="paragraph">
                  <wp:posOffset>72794</wp:posOffset>
                </wp:positionV>
                <wp:extent cx="3931920" cy="367919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3931920" cy="3679190"/>
                          <a:chExt cx="3931920" cy="3679190"/>
                        </a:xfrm>
                      </wpg:grpSpPr>
                      <wps:wsp>
                        <wps:cNvPr id="314" name="Graphic 314"/>
                        <wps:cNvSpPr/>
                        <wps:spPr>
                          <a:xfrm>
                            <a:off x="0" y="0"/>
                            <a:ext cx="3749040" cy="3679190"/>
                          </a:xfrm>
                          <a:custGeom>
                            <a:avLst/>
                            <a:gdLst/>
                            <a:ahLst/>
                            <a:cxnLst/>
                            <a:rect l="l" t="t" r="r" b="b"/>
                            <a:pathLst>
                              <a:path w="3749040" h="3679190">
                                <a:moveTo>
                                  <a:pt x="3749040" y="3642360"/>
                                </a:moveTo>
                                <a:lnTo>
                                  <a:pt x="3742944" y="3642360"/>
                                </a:lnTo>
                                <a:lnTo>
                                  <a:pt x="3742944" y="3636264"/>
                                </a:lnTo>
                                <a:lnTo>
                                  <a:pt x="42672" y="3636264"/>
                                </a:lnTo>
                                <a:lnTo>
                                  <a:pt x="42672" y="6096"/>
                                </a:lnTo>
                                <a:lnTo>
                                  <a:pt x="39624" y="6096"/>
                                </a:lnTo>
                                <a:lnTo>
                                  <a:pt x="39624" y="0"/>
                                </a:lnTo>
                                <a:lnTo>
                                  <a:pt x="0" y="0"/>
                                </a:lnTo>
                                <a:lnTo>
                                  <a:pt x="0" y="9144"/>
                                </a:lnTo>
                                <a:lnTo>
                                  <a:pt x="33528" y="9144"/>
                                </a:lnTo>
                                <a:lnTo>
                                  <a:pt x="33528" y="609600"/>
                                </a:lnTo>
                                <a:lnTo>
                                  <a:pt x="0" y="609600"/>
                                </a:lnTo>
                                <a:lnTo>
                                  <a:pt x="0" y="618744"/>
                                </a:lnTo>
                                <a:lnTo>
                                  <a:pt x="33528" y="618744"/>
                                </a:lnTo>
                                <a:lnTo>
                                  <a:pt x="33528" y="1213104"/>
                                </a:lnTo>
                                <a:lnTo>
                                  <a:pt x="0" y="1213104"/>
                                </a:lnTo>
                                <a:lnTo>
                                  <a:pt x="0" y="1222248"/>
                                </a:lnTo>
                                <a:lnTo>
                                  <a:pt x="33528" y="1222248"/>
                                </a:lnTo>
                                <a:lnTo>
                                  <a:pt x="33528" y="1816608"/>
                                </a:lnTo>
                                <a:lnTo>
                                  <a:pt x="0" y="1816608"/>
                                </a:lnTo>
                                <a:lnTo>
                                  <a:pt x="0" y="1825764"/>
                                </a:lnTo>
                                <a:lnTo>
                                  <a:pt x="33528" y="1825764"/>
                                </a:lnTo>
                                <a:lnTo>
                                  <a:pt x="33528" y="2426208"/>
                                </a:lnTo>
                                <a:lnTo>
                                  <a:pt x="0" y="2426208"/>
                                </a:lnTo>
                                <a:lnTo>
                                  <a:pt x="0" y="2432304"/>
                                </a:lnTo>
                                <a:lnTo>
                                  <a:pt x="33528" y="2432304"/>
                                </a:lnTo>
                                <a:lnTo>
                                  <a:pt x="33528" y="3029712"/>
                                </a:lnTo>
                                <a:lnTo>
                                  <a:pt x="0" y="3029712"/>
                                </a:lnTo>
                                <a:lnTo>
                                  <a:pt x="0" y="3038856"/>
                                </a:lnTo>
                                <a:lnTo>
                                  <a:pt x="33528" y="3038856"/>
                                </a:lnTo>
                                <a:lnTo>
                                  <a:pt x="33528" y="3636264"/>
                                </a:lnTo>
                                <a:lnTo>
                                  <a:pt x="0" y="3636264"/>
                                </a:lnTo>
                                <a:lnTo>
                                  <a:pt x="0" y="3645408"/>
                                </a:lnTo>
                                <a:lnTo>
                                  <a:pt x="36576" y="3645408"/>
                                </a:lnTo>
                                <a:lnTo>
                                  <a:pt x="36576" y="3678936"/>
                                </a:lnTo>
                                <a:lnTo>
                                  <a:pt x="42672" y="3678936"/>
                                </a:lnTo>
                                <a:lnTo>
                                  <a:pt x="42672" y="3645408"/>
                                </a:lnTo>
                                <a:lnTo>
                                  <a:pt x="652272" y="3645408"/>
                                </a:lnTo>
                                <a:lnTo>
                                  <a:pt x="652272" y="3678936"/>
                                </a:lnTo>
                                <a:lnTo>
                                  <a:pt x="661416" y="3678936"/>
                                </a:lnTo>
                                <a:lnTo>
                                  <a:pt x="661416" y="3645408"/>
                                </a:lnTo>
                                <a:lnTo>
                                  <a:pt x="1271016" y="3645408"/>
                                </a:lnTo>
                                <a:lnTo>
                                  <a:pt x="1271016" y="3678936"/>
                                </a:lnTo>
                                <a:lnTo>
                                  <a:pt x="1280160" y="3678936"/>
                                </a:lnTo>
                                <a:lnTo>
                                  <a:pt x="1280160" y="3645408"/>
                                </a:lnTo>
                                <a:lnTo>
                                  <a:pt x="1886712" y="3645408"/>
                                </a:lnTo>
                                <a:lnTo>
                                  <a:pt x="1886712" y="3678936"/>
                                </a:lnTo>
                                <a:lnTo>
                                  <a:pt x="1895856" y="3678936"/>
                                </a:lnTo>
                                <a:lnTo>
                                  <a:pt x="1895856" y="3645408"/>
                                </a:lnTo>
                                <a:lnTo>
                                  <a:pt x="2505456" y="3645408"/>
                                </a:lnTo>
                                <a:lnTo>
                                  <a:pt x="2505456" y="3678936"/>
                                </a:lnTo>
                                <a:lnTo>
                                  <a:pt x="2514600" y="3678936"/>
                                </a:lnTo>
                                <a:lnTo>
                                  <a:pt x="2514600" y="3645408"/>
                                </a:lnTo>
                                <a:lnTo>
                                  <a:pt x="3121152" y="3645408"/>
                                </a:lnTo>
                                <a:lnTo>
                                  <a:pt x="3121152" y="3678936"/>
                                </a:lnTo>
                                <a:lnTo>
                                  <a:pt x="3130296" y="3678936"/>
                                </a:lnTo>
                                <a:lnTo>
                                  <a:pt x="3130296" y="3645408"/>
                                </a:lnTo>
                                <a:lnTo>
                                  <a:pt x="3739896" y="3645408"/>
                                </a:lnTo>
                                <a:lnTo>
                                  <a:pt x="3739896" y="3678936"/>
                                </a:lnTo>
                                <a:lnTo>
                                  <a:pt x="3749040" y="3678936"/>
                                </a:lnTo>
                                <a:lnTo>
                                  <a:pt x="3749040" y="3642360"/>
                                </a:lnTo>
                                <a:close/>
                              </a:path>
                            </a:pathLst>
                          </a:custGeom>
                          <a:solidFill>
                            <a:srgbClr val="858585"/>
                          </a:solidFill>
                        </wps:spPr>
                        <wps:bodyPr wrap="square" lIns="0" tIns="0" rIns="0" bIns="0" rtlCol="0">
                          <a:prstTxWarp prst="textNoShape">
                            <a:avLst/>
                          </a:prstTxWarp>
                          <a:noAutofit/>
                        </wps:bodyPr>
                      </wps:wsp>
                      <wps:wsp>
                        <wps:cNvPr id="315" name="Graphic 315"/>
                        <wps:cNvSpPr/>
                        <wps:spPr>
                          <a:xfrm>
                            <a:off x="332231" y="640080"/>
                            <a:ext cx="3118485" cy="472440"/>
                          </a:xfrm>
                          <a:custGeom>
                            <a:avLst/>
                            <a:gdLst/>
                            <a:ahLst/>
                            <a:cxnLst/>
                            <a:rect l="l" t="t" r="r" b="b"/>
                            <a:pathLst>
                              <a:path w="3118485" h="472440">
                                <a:moveTo>
                                  <a:pt x="15240" y="0"/>
                                </a:moveTo>
                                <a:lnTo>
                                  <a:pt x="6096" y="0"/>
                                </a:lnTo>
                                <a:lnTo>
                                  <a:pt x="0" y="6095"/>
                                </a:lnTo>
                                <a:lnTo>
                                  <a:pt x="0" y="21335"/>
                                </a:lnTo>
                                <a:lnTo>
                                  <a:pt x="12192" y="27431"/>
                                </a:lnTo>
                                <a:lnTo>
                                  <a:pt x="630936" y="45719"/>
                                </a:lnTo>
                                <a:lnTo>
                                  <a:pt x="1249680" y="70103"/>
                                </a:lnTo>
                                <a:lnTo>
                                  <a:pt x="1868424" y="88391"/>
                                </a:lnTo>
                                <a:lnTo>
                                  <a:pt x="2484120" y="146303"/>
                                </a:lnTo>
                                <a:lnTo>
                                  <a:pt x="2481072" y="146303"/>
                                </a:lnTo>
                                <a:lnTo>
                                  <a:pt x="3096768" y="469391"/>
                                </a:lnTo>
                                <a:lnTo>
                                  <a:pt x="3102864" y="472439"/>
                                </a:lnTo>
                                <a:lnTo>
                                  <a:pt x="3112008" y="469391"/>
                                </a:lnTo>
                                <a:lnTo>
                                  <a:pt x="3118104" y="457200"/>
                                </a:lnTo>
                                <a:lnTo>
                                  <a:pt x="3115056" y="448055"/>
                                </a:lnTo>
                                <a:lnTo>
                                  <a:pt x="3108960" y="445007"/>
                                </a:lnTo>
                                <a:lnTo>
                                  <a:pt x="2493264" y="121919"/>
                                </a:lnTo>
                                <a:lnTo>
                                  <a:pt x="2487168" y="121919"/>
                                </a:lnTo>
                                <a:lnTo>
                                  <a:pt x="1868424" y="64007"/>
                                </a:lnTo>
                                <a:lnTo>
                                  <a:pt x="15240" y="0"/>
                                </a:lnTo>
                                <a:close/>
                              </a:path>
                            </a:pathLst>
                          </a:custGeom>
                          <a:solidFill>
                            <a:srgbClr val="497DBA"/>
                          </a:solidFill>
                        </wps:spPr>
                        <wps:bodyPr wrap="square" lIns="0" tIns="0" rIns="0" bIns="0" rtlCol="0">
                          <a:prstTxWarp prst="textNoShape">
                            <a:avLst/>
                          </a:prstTxWarp>
                          <a:noAutofit/>
                        </wps:bodyPr>
                      </wps:wsp>
                      <pic:pic>
                        <pic:nvPicPr>
                          <pic:cNvPr id="316" name="Image 316"/>
                          <pic:cNvPicPr/>
                        </pic:nvPicPr>
                        <pic:blipFill>
                          <a:blip r:embed="rId112" cstate="print"/>
                          <a:stretch>
                            <a:fillRect/>
                          </a:stretch>
                        </pic:blipFill>
                        <pic:spPr>
                          <a:xfrm>
                            <a:off x="298704" y="588263"/>
                            <a:ext cx="3182112" cy="554735"/>
                          </a:xfrm>
                          <a:prstGeom prst="rect">
                            <a:avLst/>
                          </a:prstGeom>
                        </pic:spPr>
                      </pic:pic>
                      <wps:wsp>
                        <wps:cNvPr id="317" name="Graphic 317"/>
                        <wps:cNvSpPr/>
                        <wps:spPr>
                          <a:xfrm>
                            <a:off x="332231" y="627887"/>
                            <a:ext cx="3118485" cy="655320"/>
                          </a:xfrm>
                          <a:custGeom>
                            <a:avLst/>
                            <a:gdLst/>
                            <a:ahLst/>
                            <a:cxnLst/>
                            <a:rect l="l" t="t" r="r" b="b"/>
                            <a:pathLst>
                              <a:path w="3118485" h="655320">
                                <a:moveTo>
                                  <a:pt x="2481911" y="213102"/>
                                </a:moveTo>
                                <a:lnTo>
                                  <a:pt x="3093720" y="652272"/>
                                </a:lnTo>
                                <a:lnTo>
                                  <a:pt x="3099816" y="655320"/>
                                </a:lnTo>
                                <a:lnTo>
                                  <a:pt x="3108960" y="655320"/>
                                </a:lnTo>
                                <a:lnTo>
                                  <a:pt x="3112008" y="649224"/>
                                </a:lnTo>
                                <a:lnTo>
                                  <a:pt x="3118104" y="643127"/>
                                </a:lnTo>
                                <a:lnTo>
                                  <a:pt x="3115056" y="633983"/>
                                </a:lnTo>
                                <a:lnTo>
                                  <a:pt x="3108960" y="630935"/>
                                </a:lnTo>
                                <a:lnTo>
                                  <a:pt x="2527233" y="213359"/>
                                </a:lnTo>
                                <a:lnTo>
                                  <a:pt x="2487168" y="213359"/>
                                </a:lnTo>
                                <a:lnTo>
                                  <a:pt x="2481911" y="213102"/>
                                </a:lnTo>
                                <a:close/>
                              </a:path>
                              <a:path w="3118485" h="655320">
                                <a:moveTo>
                                  <a:pt x="2478024" y="210311"/>
                                </a:moveTo>
                                <a:lnTo>
                                  <a:pt x="2481911" y="213102"/>
                                </a:lnTo>
                                <a:lnTo>
                                  <a:pt x="2487168" y="213359"/>
                                </a:lnTo>
                                <a:lnTo>
                                  <a:pt x="2478024" y="210311"/>
                                </a:lnTo>
                                <a:close/>
                              </a:path>
                              <a:path w="3118485" h="655320">
                                <a:moveTo>
                                  <a:pt x="2522987" y="210311"/>
                                </a:moveTo>
                                <a:lnTo>
                                  <a:pt x="2478024" y="210311"/>
                                </a:lnTo>
                                <a:lnTo>
                                  <a:pt x="2487168" y="213359"/>
                                </a:lnTo>
                                <a:lnTo>
                                  <a:pt x="2527233" y="213359"/>
                                </a:lnTo>
                                <a:lnTo>
                                  <a:pt x="2522987" y="210311"/>
                                </a:lnTo>
                                <a:close/>
                              </a:path>
                              <a:path w="3118485" h="655320">
                                <a:moveTo>
                                  <a:pt x="15240" y="0"/>
                                </a:moveTo>
                                <a:lnTo>
                                  <a:pt x="6096" y="0"/>
                                </a:lnTo>
                                <a:lnTo>
                                  <a:pt x="0" y="6096"/>
                                </a:lnTo>
                                <a:lnTo>
                                  <a:pt x="0" y="21335"/>
                                </a:lnTo>
                                <a:lnTo>
                                  <a:pt x="6096" y="27431"/>
                                </a:lnTo>
                                <a:lnTo>
                                  <a:pt x="15240" y="27431"/>
                                </a:lnTo>
                                <a:lnTo>
                                  <a:pt x="633984" y="36575"/>
                                </a:lnTo>
                                <a:lnTo>
                                  <a:pt x="1246632" y="79248"/>
                                </a:lnTo>
                                <a:lnTo>
                                  <a:pt x="1865376" y="182879"/>
                                </a:lnTo>
                                <a:lnTo>
                                  <a:pt x="2481911" y="213102"/>
                                </a:lnTo>
                                <a:lnTo>
                                  <a:pt x="2478024" y="210311"/>
                                </a:lnTo>
                                <a:lnTo>
                                  <a:pt x="2522987" y="210311"/>
                                </a:lnTo>
                                <a:lnTo>
                                  <a:pt x="2493264" y="188975"/>
                                </a:lnTo>
                                <a:lnTo>
                                  <a:pt x="2490216" y="185927"/>
                                </a:lnTo>
                                <a:lnTo>
                                  <a:pt x="2487168" y="185927"/>
                                </a:lnTo>
                                <a:lnTo>
                                  <a:pt x="1868424" y="158496"/>
                                </a:lnTo>
                                <a:lnTo>
                                  <a:pt x="1249680" y="51816"/>
                                </a:lnTo>
                                <a:lnTo>
                                  <a:pt x="633984" y="9144"/>
                                </a:lnTo>
                                <a:lnTo>
                                  <a:pt x="15240" y="0"/>
                                </a:lnTo>
                                <a:close/>
                              </a:path>
                            </a:pathLst>
                          </a:custGeom>
                          <a:solidFill>
                            <a:srgbClr val="97B853"/>
                          </a:solidFill>
                        </wps:spPr>
                        <wps:bodyPr wrap="square" lIns="0" tIns="0" rIns="0" bIns="0" rtlCol="0">
                          <a:prstTxWarp prst="textNoShape">
                            <a:avLst/>
                          </a:prstTxWarp>
                          <a:noAutofit/>
                        </wps:bodyPr>
                      </wps:wsp>
                      <pic:pic>
                        <pic:nvPicPr>
                          <pic:cNvPr id="318" name="Image 318"/>
                          <pic:cNvPicPr/>
                        </pic:nvPicPr>
                        <pic:blipFill>
                          <a:blip r:embed="rId113" cstate="print"/>
                          <a:stretch>
                            <a:fillRect/>
                          </a:stretch>
                        </pic:blipFill>
                        <pic:spPr>
                          <a:xfrm>
                            <a:off x="298704" y="594359"/>
                            <a:ext cx="97536" cy="97535"/>
                          </a:xfrm>
                          <a:prstGeom prst="rect">
                            <a:avLst/>
                          </a:prstGeom>
                        </pic:spPr>
                      </pic:pic>
                      <pic:pic>
                        <pic:nvPicPr>
                          <pic:cNvPr id="319" name="Image 319"/>
                          <pic:cNvPicPr/>
                        </pic:nvPicPr>
                        <pic:blipFill>
                          <a:blip r:embed="rId114" cstate="print"/>
                          <a:stretch>
                            <a:fillRect/>
                          </a:stretch>
                        </pic:blipFill>
                        <pic:spPr>
                          <a:xfrm>
                            <a:off x="914400" y="600455"/>
                            <a:ext cx="97536" cy="97535"/>
                          </a:xfrm>
                          <a:prstGeom prst="rect">
                            <a:avLst/>
                          </a:prstGeom>
                        </pic:spPr>
                      </pic:pic>
                      <pic:pic>
                        <pic:nvPicPr>
                          <pic:cNvPr id="320" name="Image 320"/>
                          <pic:cNvPicPr/>
                        </pic:nvPicPr>
                        <pic:blipFill>
                          <a:blip r:embed="rId114" cstate="print"/>
                          <a:stretch>
                            <a:fillRect/>
                          </a:stretch>
                        </pic:blipFill>
                        <pic:spPr>
                          <a:xfrm>
                            <a:off x="1533144" y="643127"/>
                            <a:ext cx="97536" cy="97535"/>
                          </a:xfrm>
                          <a:prstGeom prst="rect">
                            <a:avLst/>
                          </a:prstGeom>
                        </pic:spPr>
                      </pic:pic>
                      <pic:pic>
                        <pic:nvPicPr>
                          <pic:cNvPr id="321" name="Image 321"/>
                          <pic:cNvPicPr/>
                        </pic:nvPicPr>
                        <pic:blipFill>
                          <a:blip r:embed="rId115" cstate="print"/>
                          <a:stretch>
                            <a:fillRect/>
                          </a:stretch>
                        </pic:blipFill>
                        <pic:spPr>
                          <a:xfrm>
                            <a:off x="2148839" y="752855"/>
                            <a:ext cx="97536" cy="97535"/>
                          </a:xfrm>
                          <a:prstGeom prst="rect">
                            <a:avLst/>
                          </a:prstGeom>
                        </pic:spPr>
                      </pic:pic>
                      <pic:pic>
                        <pic:nvPicPr>
                          <pic:cNvPr id="322" name="Image 322"/>
                          <pic:cNvPicPr/>
                        </pic:nvPicPr>
                        <pic:blipFill>
                          <a:blip r:embed="rId116" cstate="print"/>
                          <a:stretch>
                            <a:fillRect/>
                          </a:stretch>
                        </pic:blipFill>
                        <pic:spPr>
                          <a:xfrm>
                            <a:off x="2767583" y="780287"/>
                            <a:ext cx="97536" cy="97535"/>
                          </a:xfrm>
                          <a:prstGeom prst="rect">
                            <a:avLst/>
                          </a:prstGeom>
                        </pic:spPr>
                      </pic:pic>
                      <pic:pic>
                        <pic:nvPicPr>
                          <pic:cNvPr id="323" name="Image 323"/>
                          <pic:cNvPicPr/>
                        </pic:nvPicPr>
                        <pic:blipFill>
                          <a:blip r:embed="rId54" cstate="print"/>
                          <a:stretch>
                            <a:fillRect/>
                          </a:stretch>
                        </pic:blipFill>
                        <pic:spPr>
                          <a:xfrm>
                            <a:off x="3386328" y="1219200"/>
                            <a:ext cx="97536" cy="97536"/>
                          </a:xfrm>
                          <a:prstGeom prst="rect">
                            <a:avLst/>
                          </a:prstGeom>
                        </pic:spPr>
                      </pic:pic>
                      <pic:pic>
                        <pic:nvPicPr>
                          <pic:cNvPr id="324" name="Image 324"/>
                          <pic:cNvPicPr/>
                        </pic:nvPicPr>
                        <pic:blipFill>
                          <a:blip r:embed="rId117" cstate="print"/>
                          <a:stretch>
                            <a:fillRect/>
                          </a:stretch>
                        </pic:blipFill>
                        <pic:spPr>
                          <a:xfrm>
                            <a:off x="3678935" y="1810511"/>
                            <a:ext cx="252983" cy="79248"/>
                          </a:xfrm>
                          <a:prstGeom prst="rect">
                            <a:avLst/>
                          </a:prstGeom>
                        </pic:spPr>
                      </pic:pic>
                      <pic:pic>
                        <pic:nvPicPr>
                          <pic:cNvPr id="325" name="Image 325"/>
                          <pic:cNvPicPr/>
                        </pic:nvPicPr>
                        <pic:blipFill>
                          <a:blip r:embed="rId118" cstate="print"/>
                          <a:stretch>
                            <a:fillRect/>
                          </a:stretch>
                        </pic:blipFill>
                        <pic:spPr>
                          <a:xfrm>
                            <a:off x="3678935" y="2026920"/>
                            <a:ext cx="252983" cy="79248"/>
                          </a:xfrm>
                          <a:prstGeom prst="rect">
                            <a:avLst/>
                          </a:prstGeom>
                        </pic:spPr>
                      </pic:pic>
                      <pic:pic>
                        <pic:nvPicPr>
                          <pic:cNvPr id="326" name="Image 326"/>
                          <pic:cNvPicPr/>
                        </pic:nvPicPr>
                        <pic:blipFill>
                          <a:blip r:embed="rId119" cstate="print"/>
                          <a:stretch>
                            <a:fillRect/>
                          </a:stretch>
                        </pic:blipFill>
                        <pic:spPr>
                          <a:xfrm>
                            <a:off x="3678935" y="2240279"/>
                            <a:ext cx="252983" cy="82296"/>
                          </a:xfrm>
                          <a:prstGeom prst="rect">
                            <a:avLst/>
                          </a:prstGeom>
                        </pic:spPr>
                      </pic:pic>
                    </wpg:wgp>
                  </a:graphicData>
                </a:graphic>
              </wp:anchor>
            </w:drawing>
          </mc:Choice>
          <mc:Fallback>
            <w:pict>
              <v:group style="position:absolute;margin-left:180.479996pt;margin-top:5.731855pt;width:309.6pt;height:289.7pt;mso-position-horizontal-relative:page;mso-position-vertical-relative:paragraph;z-index:-21299200" id="docshapegroup301" coordorigin="3610,115" coordsize="6192,5794">
                <v:shape style="position:absolute;left:3609;top:114;width:5904;height:5794" id="docshape302" coordorigin="3610,115" coordsize="5904,5794" path="m9514,5851l9504,5851,9504,5841,3677,5841,3677,124,3672,124,3672,115,3610,115,3610,129,3662,129,3662,1075,3610,1075,3610,1089,3662,1089,3662,2025,3610,2025,3610,2039,3662,2039,3662,2975,3610,2975,3610,2990,3662,2990,3662,3935,3610,3935,3610,3945,3662,3945,3662,4886,3610,4886,3610,4900,3662,4900,3662,5841,3610,5841,3610,5855,3667,5855,3667,5908,3677,5908,3677,5855,4637,5855,4637,5908,4651,5908,4651,5855,5611,5855,5611,5908,5626,5908,5626,5855,6581,5855,6581,5908,6595,5908,6595,5855,7555,5855,7555,5908,7570,5908,7570,5855,8525,5855,8525,5908,8539,5908,8539,5855,9499,5855,9499,5908,9514,5908,9514,5851xe" filled="true" fillcolor="#858585" stroked="false">
                  <v:path arrowok="t"/>
                  <v:fill type="solid"/>
                </v:shape>
                <v:shape style="position:absolute;left:4132;top:1122;width:4911;height:744" id="docshape303" coordorigin="4133,1123" coordsize="4911,744" path="m4157,1123l4142,1123,4133,1132,4133,1156,4152,1166,5126,1195,6101,1233,7075,1262,8045,1353,8040,1353,9010,1862,9019,1867,9034,1862,9043,1843,9038,1828,9029,1823,8059,1315,8050,1315,7075,1223,4157,1123xe" filled="true" fillcolor="#497dba" stroked="false">
                  <v:path arrowok="t"/>
                  <v:fill type="solid"/>
                </v:shape>
                <v:shape style="position:absolute;left:4080;top:1041;width:5012;height:874" type="#_x0000_t75" id="docshape304" stroked="false">
                  <v:imagedata r:id="rId112" o:title=""/>
                </v:shape>
                <v:shape style="position:absolute;left:4132;top:1103;width:4911;height:1032" id="docshape305" coordorigin="4133,1103" coordsize="4911,1032" path="m8041,1439l9005,2131,9014,2135,9029,2135,9034,2126,9043,2116,9038,2102,9029,2097,8113,1439,8050,1439,8041,1439xm8035,1435l8041,1439,8050,1439,8035,1435xm8106,1435l8035,1435,8050,1439,8113,1439,8106,1435xm4157,1103l4142,1103,4133,1113,4133,1137,4142,1147,4157,1147,5131,1161,6096,1228,7070,1391,8041,1439,8035,1435,8106,1435,8059,1401,8054,1396,8050,1396,7075,1353,6101,1185,5131,1118,4157,1103xe" filled="true" fillcolor="#97b853" stroked="false">
                  <v:path arrowok="t"/>
                  <v:fill type="solid"/>
                </v:shape>
                <v:shape style="position:absolute;left:4080;top:1050;width:154;height:154" type="#_x0000_t75" id="docshape306" stroked="false">
                  <v:imagedata r:id="rId113" o:title=""/>
                </v:shape>
                <v:shape style="position:absolute;left:5049;top:1060;width:154;height:154" type="#_x0000_t75" id="docshape307" stroked="false">
                  <v:imagedata r:id="rId114" o:title=""/>
                </v:shape>
                <v:shape style="position:absolute;left:6024;top:1127;width:154;height:154" type="#_x0000_t75" id="docshape308" stroked="false">
                  <v:imagedata r:id="rId114" o:title=""/>
                </v:shape>
                <v:shape style="position:absolute;left:6993;top:1300;width:154;height:154" type="#_x0000_t75" id="docshape309" stroked="false">
                  <v:imagedata r:id="rId115" o:title=""/>
                </v:shape>
                <v:shape style="position:absolute;left:7968;top:1343;width:154;height:154" type="#_x0000_t75" id="docshape310" stroked="false">
                  <v:imagedata r:id="rId116" o:title=""/>
                </v:shape>
                <v:shape style="position:absolute;left:8942;top:2034;width:154;height:154" type="#_x0000_t75" id="docshape311" stroked="false">
                  <v:imagedata r:id="rId54" o:title=""/>
                </v:shape>
                <v:shape style="position:absolute;left:9403;top:2965;width:399;height:125" type="#_x0000_t75" id="docshape312" stroked="false">
                  <v:imagedata r:id="rId117" o:title=""/>
                </v:shape>
                <v:shape style="position:absolute;left:9403;top:3306;width:399;height:125" type="#_x0000_t75" id="docshape313" stroked="false">
                  <v:imagedata r:id="rId118" o:title=""/>
                </v:shape>
                <v:shape style="position:absolute;left:9403;top:3642;width:399;height:130" type="#_x0000_t75" id="docshape314" stroked="false">
                  <v:imagedata r:id="rId119" o:title=""/>
                </v:shape>
                <w10:wrap type="none"/>
              </v:group>
            </w:pict>
          </mc:Fallback>
        </mc:AlternateContent>
      </w:r>
      <w:r>
        <w:rPr>
          <w:rFonts w:ascii="Calibri"/>
          <w:spacing w:val="-5"/>
          <w:sz w:val="19"/>
        </w:rPr>
        <w:t>120</w:t>
      </w:r>
    </w:p>
    <w:p>
      <w:pPr>
        <w:pStyle w:val="BodyText"/>
        <w:rPr>
          <w:rFonts w:ascii="Calibri"/>
          <w:sz w:val="19"/>
        </w:rPr>
      </w:pPr>
    </w:p>
    <w:p>
      <w:pPr>
        <w:pStyle w:val="BodyText"/>
        <w:rPr>
          <w:rFonts w:ascii="Calibri"/>
          <w:sz w:val="19"/>
        </w:rPr>
      </w:pPr>
    </w:p>
    <w:p>
      <w:pPr>
        <w:pStyle w:val="BodyText"/>
        <w:spacing w:before="27"/>
        <w:rPr>
          <w:rFonts w:ascii="Calibri"/>
          <w:sz w:val="19"/>
        </w:rPr>
      </w:pPr>
    </w:p>
    <w:p>
      <w:pPr>
        <w:spacing w:before="0"/>
        <w:ind w:left="1486" w:right="0" w:firstLine="0"/>
        <w:jc w:val="left"/>
        <w:rPr>
          <w:rFonts w:ascii="Calibri"/>
          <w:sz w:val="19"/>
        </w:rPr>
      </w:pPr>
      <w:r>
        <w:rPr>
          <w:rFonts w:ascii="Calibri"/>
          <w:spacing w:val="-5"/>
          <w:sz w:val="19"/>
        </w:rPr>
        <w:t>100</w:t>
      </w:r>
    </w:p>
    <w:p>
      <w:pPr>
        <w:pStyle w:val="BodyText"/>
        <w:rPr>
          <w:rFonts w:ascii="Calibri"/>
          <w:sz w:val="19"/>
        </w:rPr>
      </w:pPr>
    </w:p>
    <w:p>
      <w:pPr>
        <w:pStyle w:val="BodyText"/>
        <w:rPr>
          <w:rFonts w:ascii="Calibri"/>
          <w:sz w:val="19"/>
        </w:rPr>
      </w:pPr>
    </w:p>
    <w:p>
      <w:pPr>
        <w:pStyle w:val="BodyText"/>
        <w:spacing w:before="23"/>
        <w:rPr>
          <w:rFonts w:ascii="Calibri"/>
          <w:sz w:val="19"/>
        </w:rPr>
      </w:pPr>
    </w:p>
    <w:p>
      <w:pPr>
        <w:spacing w:before="0"/>
        <w:ind w:left="1582" w:right="0" w:firstLine="0"/>
        <w:jc w:val="left"/>
        <w:rPr>
          <w:rFonts w:ascii="Calibri"/>
          <w:sz w:val="19"/>
        </w:rPr>
      </w:pPr>
      <w:r>
        <w:rPr/>
        <mc:AlternateContent>
          <mc:Choice Requires="wps">
            <w:drawing>
              <wp:anchor distT="0" distB="0" distL="0" distR="0" allowOverlap="1" layoutInCell="1" locked="0" behindDoc="0" simplePos="0" relativeHeight="15767040">
                <wp:simplePos x="0" y="0"/>
                <wp:positionH relativeFrom="page">
                  <wp:posOffset>1866057</wp:posOffset>
                </wp:positionH>
                <wp:positionV relativeFrom="paragraph">
                  <wp:posOffset>34899</wp:posOffset>
                </wp:positionV>
                <wp:extent cx="146050" cy="130619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46050" cy="130619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46.933685pt;margin-top:2.747959pt;width:11.5pt;height:102.85pt;mso-position-horizontal-relative:page;mso-position-vertical-relative:paragraph;z-index:15767040" type="#_x0000_t202" id="docshape315"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Cumulative</w:t>
                      </w:r>
                      <w:r>
                        <w:rPr>
                          <w:rFonts w:ascii="Calibri"/>
                          <w:b/>
                          <w:spacing w:val="-4"/>
                          <w:sz w:val="19"/>
                        </w:rPr>
                        <w:t> </w:t>
                      </w:r>
                      <w:r>
                        <w:rPr>
                          <w:rFonts w:ascii="Calibri"/>
                          <w:b/>
                          <w:spacing w:val="-2"/>
                          <w:sz w:val="19"/>
                        </w:rPr>
                        <w:t>frequency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80</w:t>
      </w:r>
    </w:p>
    <w:p>
      <w:pPr>
        <w:pStyle w:val="BodyText"/>
        <w:rPr>
          <w:rFonts w:ascii="Calibri"/>
          <w:sz w:val="19"/>
        </w:rPr>
      </w:pPr>
    </w:p>
    <w:p>
      <w:pPr>
        <w:pStyle w:val="BodyText"/>
        <w:rPr>
          <w:rFonts w:ascii="Calibri"/>
          <w:sz w:val="19"/>
        </w:rPr>
      </w:pPr>
    </w:p>
    <w:p>
      <w:pPr>
        <w:pStyle w:val="BodyText"/>
        <w:spacing w:before="27"/>
        <w:rPr>
          <w:rFonts w:ascii="Calibri"/>
          <w:sz w:val="19"/>
        </w:rPr>
      </w:pPr>
    </w:p>
    <w:p>
      <w:pPr>
        <w:tabs>
          <w:tab w:pos="8095" w:val="left" w:leader="none"/>
        </w:tabs>
        <w:spacing w:before="0"/>
        <w:ind w:left="1582" w:right="0" w:firstLine="0"/>
        <w:jc w:val="left"/>
        <w:rPr>
          <w:rFonts w:ascii="Calibri"/>
          <w:sz w:val="19"/>
        </w:rPr>
      </w:pPr>
      <w:r>
        <w:rPr>
          <w:rFonts w:ascii="Calibri"/>
          <w:spacing w:val="-5"/>
          <w:sz w:val="19"/>
        </w:rPr>
        <w:t>60</w:t>
      </w:r>
      <w:r>
        <w:rPr>
          <w:rFonts w:ascii="Calibri"/>
          <w:sz w:val="19"/>
        </w:rPr>
        <w:tab/>
      </w:r>
      <w:r>
        <w:rPr>
          <w:rFonts w:ascii="Calibri"/>
          <w:spacing w:val="-5"/>
          <w:position w:val="-3"/>
          <w:sz w:val="19"/>
        </w:rPr>
        <w:t>DS</w:t>
      </w:r>
    </w:p>
    <w:p>
      <w:pPr>
        <w:spacing w:line="330" w:lineRule="atLeast" w:before="14"/>
        <w:ind w:left="8096" w:right="1304" w:firstLine="0"/>
        <w:jc w:val="left"/>
        <w:rPr>
          <w:rFonts w:ascii="Calibri"/>
          <w:sz w:val="19"/>
        </w:rPr>
      </w:pPr>
      <w:r>
        <w:rPr>
          <w:rFonts w:ascii="Calibri"/>
          <w:spacing w:val="-4"/>
          <w:sz w:val="19"/>
        </w:rPr>
        <w:t>MCS</w:t>
      </w:r>
      <w:r>
        <w:rPr>
          <w:rFonts w:ascii="Calibri"/>
          <w:sz w:val="19"/>
        </w:rPr>
        <w:t> </w:t>
      </w:r>
      <w:r>
        <w:rPr>
          <w:rFonts w:ascii="Calibri"/>
          <w:spacing w:val="-6"/>
          <w:sz w:val="19"/>
        </w:rPr>
        <w:t>MS</w:t>
      </w:r>
    </w:p>
    <w:p>
      <w:pPr>
        <w:spacing w:before="9"/>
        <w:ind w:left="1582" w:right="0" w:firstLine="0"/>
        <w:jc w:val="left"/>
        <w:rPr>
          <w:rFonts w:ascii="Calibri"/>
          <w:sz w:val="19"/>
        </w:rPr>
      </w:pPr>
      <w:r>
        <w:rPr>
          <w:rFonts w:ascii="Calibri"/>
          <w:spacing w:val="-5"/>
          <w:sz w:val="19"/>
        </w:rPr>
        <w:t>40</w:t>
      </w:r>
    </w:p>
    <w:p>
      <w:pPr>
        <w:pStyle w:val="BodyText"/>
        <w:rPr>
          <w:rFonts w:ascii="Calibri"/>
          <w:sz w:val="19"/>
        </w:rPr>
      </w:pPr>
    </w:p>
    <w:p>
      <w:pPr>
        <w:pStyle w:val="BodyText"/>
        <w:rPr>
          <w:rFonts w:ascii="Calibri"/>
          <w:sz w:val="19"/>
        </w:rPr>
      </w:pPr>
    </w:p>
    <w:p>
      <w:pPr>
        <w:pStyle w:val="BodyText"/>
        <w:spacing w:before="28"/>
        <w:rPr>
          <w:rFonts w:ascii="Calibri"/>
          <w:sz w:val="19"/>
        </w:rPr>
      </w:pPr>
    </w:p>
    <w:p>
      <w:pPr>
        <w:spacing w:before="0"/>
        <w:ind w:left="1582"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22"/>
        <w:rPr>
          <w:rFonts w:ascii="Calibri"/>
          <w:sz w:val="19"/>
        </w:rPr>
      </w:pPr>
    </w:p>
    <w:p>
      <w:pPr>
        <w:spacing w:before="1"/>
        <w:ind w:left="0" w:right="6305" w:firstLine="0"/>
        <w:jc w:val="center"/>
        <w:rPr>
          <w:rFonts w:ascii="Calibri"/>
          <w:sz w:val="19"/>
        </w:rPr>
      </w:pPr>
      <w:r>
        <w:rPr>
          <w:rFonts w:ascii="Calibri"/>
          <w:spacing w:val="-10"/>
          <w:sz w:val="19"/>
        </w:rPr>
        <w:t>0</w:t>
      </w:r>
    </w:p>
    <w:p>
      <w:pPr>
        <w:tabs>
          <w:tab w:pos="1041" w:val="left" w:leader="none"/>
          <w:tab w:pos="2015" w:val="left" w:leader="none"/>
          <w:tab w:pos="2942" w:val="left" w:leader="none"/>
          <w:tab w:pos="3911" w:val="left" w:leader="none"/>
          <w:tab w:pos="5169" w:val="right" w:leader="none"/>
        </w:tabs>
        <w:spacing w:before="12"/>
        <w:ind w:left="0" w:right="50" w:firstLine="0"/>
        <w:jc w:val="center"/>
        <w:rPr>
          <w:rFonts w:ascii="Calibri"/>
          <w:sz w:val="19"/>
        </w:rPr>
      </w:pPr>
      <w:r>
        <w:rPr>
          <w:rFonts w:ascii="Calibri"/>
          <w:spacing w:val="-5"/>
          <w:sz w:val="19"/>
        </w:rPr>
        <w:t>PAN</w:t>
      </w:r>
      <w:r>
        <w:rPr>
          <w:rFonts w:ascii="Calibri"/>
          <w:sz w:val="19"/>
        </w:rPr>
        <w:tab/>
      </w:r>
      <w:r>
        <w:rPr>
          <w:rFonts w:ascii="Calibri"/>
          <w:spacing w:val="-5"/>
          <w:sz w:val="19"/>
        </w:rPr>
        <w:t>75</w:t>
      </w:r>
      <w:r>
        <w:rPr>
          <w:rFonts w:ascii="Calibri"/>
          <w:sz w:val="19"/>
        </w:rPr>
        <w:tab/>
      </w:r>
      <w:r>
        <w:rPr>
          <w:rFonts w:ascii="Calibri"/>
          <w:spacing w:val="-5"/>
          <w:sz w:val="19"/>
        </w:rPr>
        <w:t>90</w:t>
      </w:r>
      <w:r>
        <w:rPr>
          <w:rFonts w:ascii="Calibri"/>
          <w:sz w:val="19"/>
        </w:rPr>
        <w:tab/>
      </w:r>
      <w:r>
        <w:rPr>
          <w:rFonts w:ascii="Calibri"/>
          <w:spacing w:val="-5"/>
          <w:sz w:val="19"/>
        </w:rPr>
        <w:t>150</w:t>
      </w:r>
      <w:r>
        <w:rPr>
          <w:rFonts w:ascii="Calibri"/>
          <w:sz w:val="19"/>
        </w:rPr>
        <w:tab/>
      </w:r>
      <w:r>
        <w:rPr>
          <w:rFonts w:ascii="Calibri"/>
          <w:spacing w:val="-5"/>
          <w:sz w:val="19"/>
        </w:rPr>
        <w:t>250</w:t>
      </w:r>
      <w:r>
        <w:rPr>
          <w:rFonts w:ascii="Calibri"/>
          <w:sz w:val="19"/>
        </w:rPr>
        <w:tab/>
      </w:r>
      <w:r>
        <w:rPr>
          <w:rFonts w:ascii="Calibri"/>
          <w:spacing w:val="-5"/>
          <w:sz w:val="19"/>
        </w:rPr>
        <w:t>500</w:t>
      </w:r>
    </w:p>
    <w:p>
      <w:pPr>
        <w:spacing w:before="57"/>
        <w:ind w:left="0" w:right="30" w:firstLine="0"/>
        <w:jc w:val="center"/>
        <w:rPr>
          <w:rFonts w:ascii="Calibri" w:hAnsi="Calibri"/>
          <w:b/>
          <w:sz w:val="19"/>
        </w:rPr>
      </w:pPr>
      <w:r>
        <w:rPr>
          <w:rFonts w:ascii="Calibri" w:hAnsi="Calibri"/>
          <w:b/>
          <w:sz w:val="19"/>
        </w:rPr>
        <w:t>Sieve</w:t>
      </w:r>
      <w:r>
        <w:rPr>
          <w:rFonts w:ascii="Calibri" w:hAnsi="Calibri"/>
          <w:b/>
          <w:spacing w:val="-10"/>
          <w:sz w:val="19"/>
        </w:rPr>
        <w:t> </w:t>
      </w:r>
      <w:r>
        <w:rPr>
          <w:rFonts w:ascii="Calibri" w:hAnsi="Calibri"/>
          <w:b/>
          <w:sz w:val="19"/>
        </w:rPr>
        <w:t>size</w:t>
      </w:r>
      <w:r>
        <w:rPr>
          <w:rFonts w:ascii="Calibri" w:hAnsi="Calibri"/>
          <w:b/>
          <w:spacing w:val="-10"/>
          <w:sz w:val="19"/>
        </w:rPr>
        <w:t> </w:t>
      </w:r>
      <w:r>
        <w:rPr>
          <w:rFonts w:ascii="Calibri" w:hAnsi="Calibri"/>
          <w:b/>
          <w:spacing w:val="-4"/>
          <w:sz w:val="19"/>
        </w:rPr>
        <w:t>(µm)</w:t>
      </w:r>
    </w:p>
    <w:p>
      <w:pPr>
        <w:pStyle w:val="Heading2"/>
        <w:spacing w:line="244" w:lineRule="auto" w:before="842"/>
        <w:ind w:left="2023" w:right="1550" w:hanging="1359"/>
      </w:pPr>
      <w:r>
        <w:rPr/>
        <w:t>Figure A. 10: Graph of Cumulative frequency (%) oversize distribution against sieve size (µm) of metronidazole granules using 12.5 % w/w as </w:t>
      </w:r>
      <w:r>
        <w:rPr>
          <w:spacing w:val="-2"/>
        </w:rPr>
        <w:t>disintegrant.</w:t>
      </w:r>
    </w:p>
    <w:p>
      <w:pPr>
        <w:spacing w:after="0" w:line="244" w:lineRule="auto"/>
        <w:sectPr>
          <w:pgSz w:w="12240" w:h="15840"/>
          <w:pgMar w:header="0" w:footer="999" w:top="1820" w:bottom="1180" w:left="1720" w:right="760"/>
        </w:sectPr>
      </w:pPr>
    </w:p>
    <w:p>
      <w:pPr>
        <w:spacing w:before="48"/>
        <w:ind w:left="1376" w:right="0" w:firstLine="0"/>
        <w:jc w:val="left"/>
        <w:rPr>
          <w:rFonts w:ascii="Calibri"/>
          <w:sz w:val="19"/>
        </w:rPr>
      </w:pPr>
      <w:r>
        <w:rPr/>
        <mc:AlternateContent>
          <mc:Choice Requires="wps">
            <w:drawing>
              <wp:anchor distT="0" distB="0" distL="0" distR="0" allowOverlap="1" layoutInCell="1" locked="0" behindDoc="0" simplePos="0" relativeHeight="15767552">
                <wp:simplePos x="0" y="0"/>
                <wp:positionH relativeFrom="page">
                  <wp:posOffset>2164079</wp:posOffset>
                </wp:positionH>
                <wp:positionV relativeFrom="paragraph">
                  <wp:posOffset>103123</wp:posOffset>
                </wp:positionV>
                <wp:extent cx="4221480" cy="3395979"/>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4221480" cy="3395979"/>
                          <a:chExt cx="4221480" cy="3395979"/>
                        </a:xfrm>
                      </wpg:grpSpPr>
                      <wps:wsp>
                        <wps:cNvPr id="329" name="Graphic 329"/>
                        <wps:cNvSpPr/>
                        <wps:spPr>
                          <a:xfrm>
                            <a:off x="0" y="0"/>
                            <a:ext cx="3764279" cy="3395979"/>
                          </a:xfrm>
                          <a:custGeom>
                            <a:avLst/>
                            <a:gdLst/>
                            <a:ahLst/>
                            <a:cxnLst/>
                            <a:rect l="l" t="t" r="r" b="b"/>
                            <a:pathLst>
                              <a:path w="3764279" h="3395979">
                                <a:moveTo>
                                  <a:pt x="3764280" y="3355848"/>
                                </a:moveTo>
                                <a:lnTo>
                                  <a:pt x="3758184" y="3355848"/>
                                </a:lnTo>
                                <a:lnTo>
                                  <a:pt x="3758184" y="3352800"/>
                                </a:lnTo>
                                <a:lnTo>
                                  <a:pt x="39624" y="3352800"/>
                                </a:lnTo>
                                <a:lnTo>
                                  <a:pt x="39624" y="3048"/>
                                </a:lnTo>
                                <a:lnTo>
                                  <a:pt x="36576" y="3048"/>
                                </a:lnTo>
                                <a:lnTo>
                                  <a:pt x="36576" y="0"/>
                                </a:lnTo>
                                <a:lnTo>
                                  <a:pt x="0" y="0"/>
                                </a:lnTo>
                                <a:lnTo>
                                  <a:pt x="0" y="9144"/>
                                </a:lnTo>
                                <a:lnTo>
                                  <a:pt x="30480" y="9144"/>
                                </a:lnTo>
                                <a:lnTo>
                                  <a:pt x="30480" y="478536"/>
                                </a:lnTo>
                                <a:lnTo>
                                  <a:pt x="0" y="478536"/>
                                </a:lnTo>
                                <a:lnTo>
                                  <a:pt x="0" y="487680"/>
                                </a:lnTo>
                                <a:lnTo>
                                  <a:pt x="30480" y="487680"/>
                                </a:lnTo>
                                <a:lnTo>
                                  <a:pt x="30480" y="957072"/>
                                </a:lnTo>
                                <a:lnTo>
                                  <a:pt x="0" y="957072"/>
                                </a:lnTo>
                                <a:lnTo>
                                  <a:pt x="0" y="966216"/>
                                </a:lnTo>
                                <a:lnTo>
                                  <a:pt x="30480" y="966216"/>
                                </a:lnTo>
                                <a:lnTo>
                                  <a:pt x="30480" y="1435608"/>
                                </a:lnTo>
                                <a:lnTo>
                                  <a:pt x="0" y="1435608"/>
                                </a:lnTo>
                                <a:lnTo>
                                  <a:pt x="0" y="1444752"/>
                                </a:lnTo>
                                <a:lnTo>
                                  <a:pt x="30480" y="1444752"/>
                                </a:lnTo>
                                <a:lnTo>
                                  <a:pt x="30480" y="1914144"/>
                                </a:lnTo>
                                <a:lnTo>
                                  <a:pt x="0" y="1914144"/>
                                </a:lnTo>
                                <a:lnTo>
                                  <a:pt x="0" y="1923288"/>
                                </a:lnTo>
                                <a:lnTo>
                                  <a:pt x="30480" y="1923288"/>
                                </a:lnTo>
                                <a:lnTo>
                                  <a:pt x="30480" y="2392680"/>
                                </a:lnTo>
                                <a:lnTo>
                                  <a:pt x="0" y="2392680"/>
                                </a:lnTo>
                                <a:lnTo>
                                  <a:pt x="0" y="2401824"/>
                                </a:lnTo>
                                <a:lnTo>
                                  <a:pt x="30480" y="2401824"/>
                                </a:lnTo>
                                <a:lnTo>
                                  <a:pt x="30480" y="2871216"/>
                                </a:lnTo>
                                <a:lnTo>
                                  <a:pt x="0" y="2871216"/>
                                </a:lnTo>
                                <a:lnTo>
                                  <a:pt x="0" y="2880360"/>
                                </a:lnTo>
                                <a:lnTo>
                                  <a:pt x="30480" y="2880360"/>
                                </a:lnTo>
                                <a:lnTo>
                                  <a:pt x="30480" y="3349752"/>
                                </a:lnTo>
                                <a:lnTo>
                                  <a:pt x="0" y="3349752"/>
                                </a:lnTo>
                                <a:lnTo>
                                  <a:pt x="0" y="3358896"/>
                                </a:lnTo>
                                <a:lnTo>
                                  <a:pt x="30480" y="3358896"/>
                                </a:lnTo>
                                <a:lnTo>
                                  <a:pt x="30480" y="3395472"/>
                                </a:lnTo>
                                <a:lnTo>
                                  <a:pt x="39624" y="3395472"/>
                                </a:lnTo>
                                <a:lnTo>
                                  <a:pt x="39624" y="3361944"/>
                                </a:lnTo>
                                <a:lnTo>
                                  <a:pt x="777240" y="3361944"/>
                                </a:lnTo>
                                <a:lnTo>
                                  <a:pt x="777240" y="3395472"/>
                                </a:lnTo>
                                <a:lnTo>
                                  <a:pt x="786384" y="3395472"/>
                                </a:lnTo>
                                <a:lnTo>
                                  <a:pt x="786384" y="3361944"/>
                                </a:lnTo>
                                <a:lnTo>
                                  <a:pt x="1520952" y="3361944"/>
                                </a:lnTo>
                                <a:lnTo>
                                  <a:pt x="1520952" y="3395472"/>
                                </a:lnTo>
                                <a:lnTo>
                                  <a:pt x="1530096" y="3395472"/>
                                </a:lnTo>
                                <a:lnTo>
                                  <a:pt x="1530096" y="3361944"/>
                                </a:lnTo>
                                <a:lnTo>
                                  <a:pt x="2267712" y="3361944"/>
                                </a:lnTo>
                                <a:lnTo>
                                  <a:pt x="2267712" y="3395472"/>
                                </a:lnTo>
                                <a:lnTo>
                                  <a:pt x="2273808" y="3395472"/>
                                </a:lnTo>
                                <a:lnTo>
                                  <a:pt x="2273808" y="3361944"/>
                                </a:lnTo>
                                <a:lnTo>
                                  <a:pt x="3011424" y="3361944"/>
                                </a:lnTo>
                                <a:lnTo>
                                  <a:pt x="3011424" y="3395472"/>
                                </a:lnTo>
                                <a:lnTo>
                                  <a:pt x="3020568" y="3395472"/>
                                </a:lnTo>
                                <a:lnTo>
                                  <a:pt x="3020568" y="3361944"/>
                                </a:lnTo>
                                <a:lnTo>
                                  <a:pt x="3755136" y="3361944"/>
                                </a:lnTo>
                                <a:lnTo>
                                  <a:pt x="3755136" y="3395472"/>
                                </a:lnTo>
                                <a:lnTo>
                                  <a:pt x="3764280" y="3395472"/>
                                </a:lnTo>
                                <a:lnTo>
                                  <a:pt x="3764280" y="3355848"/>
                                </a:lnTo>
                                <a:close/>
                              </a:path>
                            </a:pathLst>
                          </a:custGeom>
                          <a:solidFill>
                            <a:srgbClr val="858585"/>
                          </a:solidFill>
                        </wps:spPr>
                        <wps:bodyPr wrap="square" lIns="0" tIns="0" rIns="0" bIns="0" rtlCol="0">
                          <a:prstTxWarp prst="textNoShape">
                            <a:avLst/>
                          </a:prstTxWarp>
                          <a:noAutofit/>
                        </wps:bodyPr>
                      </wps:wsp>
                      <wps:wsp>
                        <wps:cNvPr id="330" name="Graphic 330"/>
                        <wps:cNvSpPr/>
                        <wps:spPr>
                          <a:xfrm>
                            <a:off x="393191" y="515112"/>
                            <a:ext cx="3008630" cy="509270"/>
                          </a:xfrm>
                          <a:custGeom>
                            <a:avLst/>
                            <a:gdLst/>
                            <a:ahLst/>
                            <a:cxnLst/>
                            <a:rect l="l" t="t" r="r" b="b"/>
                            <a:pathLst>
                              <a:path w="3008630" h="509270">
                                <a:moveTo>
                                  <a:pt x="2999231" y="0"/>
                                </a:moveTo>
                                <a:lnTo>
                                  <a:pt x="2990088" y="3048"/>
                                </a:lnTo>
                                <a:lnTo>
                                  <a:pt x="2246376" y="195072"/>
                                </a:lnTo>
                                <a:lnTo>
                                  <a:pt x="2249424" y="195072"/>
                                </a:lnTo>
                                <a:lnTo>
                                  <a:pt x="1502664" y="265175"/>
                                </a:lnTo>
                                <a:lnTo>
                                  <a:pt x="758951" y="362712"/>
                                </a:lnTo>
                                <a:lnTo>
                                  <a:pt x="12191" y="484632"/>
                                </a:lnTo>
                                <a:lnTo>
                                  <a:pt x="6095" y="484632"/>
                                </a:lnTo>
                                <a:lnTo>
                                  <a:pt x="0" y="490728"/>
                                </a:lnTo>
                                <a:lnTo>
                                  <a:pt x="3047" y="496824"/>
                                </a:lnTo>
                                <a:lnTo>
                                  <a:pt x="3047" y="505968"/>
                                </a:lnTo>
                                <a:lnTo>
                                  <a:pt x="9143" y="509016"/>
                                </a:lnTo>
                                <a:lnTo>
                                  <a:pt x="18287" y="509016"/>
                                </a:lnTo>
                                <a:lnTo>
                                  <a:pt x="762000" y="387096"/>
                                </a:lnTo>
                                <a:lnTo>
                                  <a:pt x="1505712" y="292608"/>
                                </a:lnTo>
                                <a:lnTo>
                                  <a:pt x="2252472" y="219456"/>
                                </a:lnTo>
                                <a:lnTo>
                                  <a:pt x="2999231" y="27432"/>
                                </a:lnTo>
                                <a:lnTo>
                                  <a:pt x="3005328" y="24384"/>
                                </a:lnTo>
                                <a:lnTo>
                                  <a:pt x="3008376" y="18288"/>
                                </a:lnTo>
                                <a:lnTo>
                                  <a:pt x="3008376" y="12192"/>
                                </a:lnTo>
                                <a:lnTo>
                                  <a:pt x="3005328" y="6096"/>
                                </a:lnTo>
                                <a:lnTo>
                                  <a:pt x="2999231" y="0"/>
                                </a:lnTo>
                                <a:close/>
                              </a:path>
                            </a:pathLst>
                          </a:custGeom>
                          <a:solidFill>
                            <a:srgbClr val="497DBA"/>
                          </a:solidFill>
                        </wps:spPr>
                        <wps:bodyPr wrap="square" lIns="0" tIns="0" rIns="0" bIns="0" rtlCol="0">
                          <a:prstTxWarp prst="textNoShape">
                            <a:avLst/>
                          </a:prstTxWarp>
                          <a:noAutofit/>
                        </wps:bodyPr>
                      </wps:wsp>
                      <pic:pic>
                        <pic:nvPicPr>
                          <pic:cNvPr id="331" name="Image 331"/>
                          <pic:cNvPicPr/>
                        </pic:nvPicPr>
                        <pic:blipFill>
                          <a:blip r:embed="rId120" cstate="print"/>
                          <a:stretch>
                            <a:fillRect/>
                          </a:stretch>
                        </pic:blipFill>
                        <pic:spPr>
                          <a:xfrm>
                            <a:off x="356615" y="963167"/>
                            <a:ext cx="97536" cy="94487"/>
                          </a:xfrm>
                          <a:prstGeom prst="rect">
                            <a:avLst/>
                          </a:prstGeom>
                        </pic:spPr>
                      </pic:pic>
                      <pic:pic>
                        <pic:nvPicPr>
                          <pic:cNvPr id="332" name="Image 332"/>
                          <pic:cNvPicPr/>
                        </pic:nvPicPr>
                        <pic:blipFill>
                          <a:blip r:embed="rId121" cstate="print"/>
                          <a:stretch>
                            <a:fillRect/>
                          </a:stretch>
                        </pic:blipFill>
                        <pic:spPr>
                          <a:xfrm>
                            <a:off x="1100327" y="841247"/>
                            <a:ext cx="97536" cy="97535"/>
                          </a:xfrm>
                          <a:prstGeom prst="rect">
                            <a:avLst/>
                          </a:prstGeom>
                        </pic:spPr>
                      </pic:pic>
                      <pic:pic>
                        <pic:nvPicPr>
                          <pic:cNvPr id="333" name="Image 333"/>
                          <pic:cNvPicPr/>
                        </pic:nvPicPr>
                        <pic:blipFill>
                          <a:blip r:embed="rId122" cstate="print"/>
                          <a:stretch>
                            <a:fillRect/>
                          </a:stretch>
                        </pic:blipFill>
                        <pic:spPr>
                          <a:xfrm>
                            <a:off x="1847088" y="746759"/>
                            <a:ext cx="94487" cy="97536"/>
                          </a:xfrm>
                          <a:prstGeom prst="rect">
                            <a:avLst/>
                          </a:prstGeom>
                        </pic:spPr>
                      </pic:pic>
                      <pic:pic>
                        <pic:nvPicPr>
                          <pic:cNvPr id="334" name="Image 334"/>
                          <pic:cNvPicPr/>
                        </pic:nvPicPr>
                        <pic:blipFill>
                          <a:blip r:embed="rId38" cstate="print"/>
                          <a:stretch>
                            <a:fillRect/>
                          </a:stretch>
                        </pic:blipFill>
                        <pic:spPr>
                          <a:xfrm>
                            <a:off x="2590800" y="676655"/>
                            <a:ext cx="97536" cy="94488"/>
                          </a:xfrm>
                          <a:prstGeom prst="rect">
                            <a:avLst/>
                          </a:prstGeom>
                        </pic:spPr>
                      </pic:pic>
                      <pic:pic>
                        <pic:nvPicPr>
                          <pic:cNvPr id="335" name="Image 335"/>
                          <pic:cNvPicPr/>
                        </pic:nvPicPr>
                        <pic:blipFill>
                          <a:blip r:embed="rId64" cstate="print"/>
                          <a:stretch>
                            <a:fillRect/>
                          </a:stretch>
                        </pic:blipFill>
                        <pic:spPr>
                          <a:xfrm>
                            <a:off x="3337559" y="484631"/>
                            <a:ext cx="94487" cy="94488"/>
                          </a:xfrm>
                          <a:prstGeom prst="rect">
                            <a:avLst/>
                          </a:prstGeom>
                        </pic:spPr>
                      </pic:pic>
                      <wps:wsp>
                        <wps:cNvPr id="336" name="Graphic 336"/>
                        <wps:cNvSpPr/>
                        <wps:spPr>
                          <a:xfrm>
                            <a:off x="396240" y="350520"/>
                            <a:ext cx="3005455" cy="314325"/>
                          </a:xfrm>
                          <a:custGeom>
                            <a:avLst/>
                            <a:gdLst/>
                            <a:ahLst/>
                            <a:cxnLst/>
                            <a:rect l="l" t="t" r="r" b="b"/>
                            <a:pathLst>
                              <a:path w="3005455" h="314325">
                                <a:moveTo>
                                  <a:pt x="2999232" y="0"/>
                                </a:moveTo>
                                <a:lnTo>
                                  <a:pt x="2246376" y="0"/>
                                </a:lnTo>
                                <a:lnTo>
                                  <a:pt x="1499616" y="48767"/>
                                </a:lnTo>
                                <a:lnTo>
                                  <a:pt x="752856" y="240791"/>
                                </a:lnTo>
                                <a:lnTo>
                                  <a:pt x="755904" y="240791"/>
                                </a:lnTo>
                                <a:lnTo>
                                  <a:pt x="12192" y="286511"/>
                                </a:lnTo>
                                <a:lnTo>
                                  <a:pt x="3048" y="286511"/>
                                </a:lnTo>
                                <a:lnTo>
                                  <a:pt x="0" y="292607"/>
                                </a:lnTo>
                                <a:lnTo>
                                  <a:pt x="0" y="307848"/>
                                </a:lnTo>
                                <a:lnTo>
                                  <a:pt x="6096" y="313944"/>
                                </a:lnTo>
                                <a:lnTo>
                                  <a:pt x="12192" y="313944"/>
                                </a:lnTo>
                                <a:lnTo>
                                  <a:pt x="758952" y="268224"/>
                                </a:lnTo>
                                <a:lnTo>
                                  <a:pt x="758952" y="265175"/>
                                </a:lnTo>
                                <a:lnTo>
                                  <a:pt x="1505712" y="73151"/>
                                </a:lnTo>
                                <a:lnTo>
                                  <a:pt x="1549146" y="73151"/>
                                </a:lnTo>
                                <a:lnTo>
                                  <a:pt x="2246376" y="27431"/>
                                </a:lnTo>
                                <a:lnTo>
                                  <a:pt x="2999232" y="27431"/>
                                </a:lnTo>
                                <a:lnTo>
                                  <a:pt x="3005328" y="21335"/>
                                </a:lnTo>
                                <a:lnTo>
                                  <a:pt x="3005328" y="6096"/>
                                </a:lnTo>
                                <a:lnTo>
                                  <a:pt x="2999232" y="0"/>
                                </a:lnTo>
                                <a:close/>
                              </a:path>
                              <a:path w="3005455" h="314325">
                                <a:moveTo>
                                  <a:pt x="1549146" y="73151"/>
                                </a:moveTo>
                                <a:lnTo>
                                  <a:pt x="1505712" y="73151"/>
                                </a:lnTo>
                                <a:lnTo>
                                  <a:pt x="1502664" y="76200"/>
                                </a:lnTo>
                                <a:lnTo>
                                  <a:pt x="1549146" y="73151"/>
                                </a:lnTo>
                                <a:close/>
                              </a:path>
                            </a:pathLst>
                          </a:custGeom>
                          <a:solidFill>
                            <a:srgbClr val="BD4A47"/>
                          </a:solidFill>
                        </wps:spPr>
                        <wps:bodyPr wrap="square" lIns="0" tIns="0" rIns="0" bIns="0" rtlCol="0">
                          <a:prstTxWarp prst="textNoShape">
                            <a:avLst/>
                          </a:prstTxWarp>
                          <a:noAutofit/>
                        </wps:bodyPr>
                      </wps:wsp>
                      <wps:wsp>
                        <wps:cNvPr id="337" name="Graphic 337"/>
                        <wps:cNvSpPr/>
                        <wps:spPr>
                          <a:xfrm>
                            <a:off x="362711" y="609600"/>
                            <a:ext cx="82550" cy="82550"/>
                          </a:xfrm>
                          <a:custGeom>
                            <a:avLst/>
                            <a:gdLst/>
                            <a:ahLst/>
                            <a:cxnLst/>
                            <a:rect l="l" t="t" r="r" b="b"/>
                            <a:pathLst>
                              <a:path w="82550" h="82550">
                                <a:moveTo>
                                  <a:pt x="82295" y="0"/>
                                </a:moveTo>
                                <a:lnTo>
                                  <a:pt x="0" y="0"/>
                                </a:lnTo>
                                <a:lnTo>
                                  <a:pt x="0" y="82296"/>
                                </a:lnTo>
                                <a:lnTo>
                                  <a:pt x="82295" y="82296"/>
                                </a:lnTo>
                                <a:lnTo>
                                  <a:pt x="82295" y="0"/>
                                </a:lnTo>
                                <a:close/>
                              </a:path>
                            </a:pathLst>
                          </a:custGeom>
                          <a:solidFill>
                            <a:srgbClr val="BF4F4C"/>
                          </a:solidFill>
                        </wps:spPr>
                        <wps:bodyPr wrap="square" lIns="0" tIns="0" rIns="0" bIns="0" rtlCol="0">
                          <a:prstTxWarp prst="textNoShape">
                            <a:avLst/>
                          </a:prstTxWarp>
                          <a:noAutofit/>
                        </wps:bodyPr>
                      </wps:wsp>
                      <wps:wsp>
                        <wps:cNvPr id="338" name="Graphic 338"/>
                        <wps:cNvSpPr/>
                        <wps:spPr>
                          <a:xfrm>
                            <a:off x="359663" y="606551"/>
                            <a:ext cx="91440" cy="91440"/>
                          </a:xfrm>
                          <a:custGeom>
                            <a:avLst/>
                            <a:gdLst/>
                            <a:ahLst/>
                            <a:cxnLst/>
                            <a:rect l="l" t="t" r="r" b="b"/>
                            <a:pathLst>
                              <a:path w="91440" h="91440">
                                <a:moveTo>
                                  <a:pt x="91439" y="0"/>
                                </a:moveTo>
                                <a:lnTo>
                                  <a:pt x="0" y="0"/>
                                </a:lnTo>
                                <a:lnTo>
                                  <a:pt x="0" y="91440"/>
                                </a:lnTo>
                                <a:lnTo>
                                  <a:pt x="88392" y="91440"/>
                                </a:lnTo>
                                <a:lnTo>
                                  <a:pt x="91439" y="88392"/>
                                </a:lnTo>
                                <a:lnTo>
                                  <a:pt x="91439" y="85344"/>
                                </a:lnTo>
                                <a:lnTo>
                                  <a:pt x="6095" y="85344"/>
                                </a:lnTo>
                                <a:lnTo>
                                  <a:pt x="3048" y="82296"/>
                                </a:lnTo>
                                <a:lnTo>
                                  <a:pt x="6095" y="82296"/>
                                </a:lnTo>
                                <a:lnTo>
                                  <a:pt x="6095" y="9144"/>
                                </a:lnTo>
                                <a:lnTo>
                                  <a:pt x="3048" y="9144"/>
                                </a:lnTo>
                                <a:lnTo>
                                  <a:pt x="6095" y="3048"/>
                                </a:lnTo>
                                <a:lnTo>
                                  <a:pt x="91439" y="3048"/>
                                </a:lnTo>
                                <a:lnTo>
                                  <a:pt x="91439" y="0"/>
                                </a:lnTo>
                                <a:close/>
                              </a:path>
                              <a:path w="91440" h="91440">
                                <a:moveTo>
                                  <a:pt x="6095" y="82296"/>
                                </a:moveTo>
                                <a:lnTo>
                                  <a:pt x="3048" y="82296"/>
                                </a:lnTo>
                                <a:lnTo>
                                  <a:pt x="6095" y="85344"/>
                                </a:lnTo>
                                <a:lnTo>
                                  <a:pt x="6095" y="82296"/>
                                </a:lnTo>
                                <a:close/>
                              </a:path>
                              <a:path w="91440" h="91440">
                                <a:moveTo>
                                  <a:pt x="82295" y="82296"/>
                                </a:moveTo>
                                <a:lnTo>
                                  <a:pt x="6095" y="82296"/>
                                </a:lnTo>
                                <a:lnTo>
                                  <a:pt x="6095" y="85344"/>
                                </a:lnTo>
                                <a:lnTo>
                                  <a:pt x="82295" y="85344"/>
                                </a:lnTo>
                                <a:lnTo>
                                  <a:pt x="82295" y="82296"/>
                                </a:lnTo>
                                <a:close/>
                              </a:path>
                              <a:path w="91440" h="91440">
                                <a:moveTo>
                                  <a:pt x="82295" y="3048"/>
                                </a:moveTo>
                                <a:lnTo>
                                  <a:pt x="82295" y="85344"/>
                                </a:lnTo>
                                <a:lnTo>
                                  <a:pt x="85343" y="82296"/>
                                </a:lnTo>
                                <a:lnTo>
                                  <a:pt x="91439" y="82296"/>
                                </a:lnTo>
                                <a:lnTo>
                                  <a:pt x="91439" y="9144"/>
                                </a:lnTo>
                                <a:lnTo>
                                  <a:pt x="85343" y="9144"/>
                                </a:lnTo>
                                <a:lnTo>
                                  <a:pt x="82295" y="3048"/>
                                </a:lnTo>
                                <a:close/>
                              </a:path>
                              <a:path w="91440" h="91440">
                                <a:moveTo>
                                  <a:pt x="91439" y="82296"/>
                                </a:moveTo>
                                <a:lnTo>
                                  <a:pt x="85343" y="82296"/>
                                </a:lnTo>
                                <a:lnTo>
                                  <a:pt x="82295" y="85344"/>
                                </a:lnTo>
                                <a:lnTo>
                                  <a:pt x="91439" y="85344"/>
                                </a:lnTo>
                                <a:lnTo>
                                  <a:pt x="91439" y="82296"/>
                                </a:lnTo>
                                <a:close/>
                              </a:path>
                              <a:path w="91440" h="91440">
                                <a:moveTo>
                                  <a:pt x="6095" y="3048"/>
                                </a:moveTo>
                                <a:lnTo>
                                  <a:pt x="3048" y="9144"/>
                                </a:lnTo>
                                <a:lnTo>
                                  <a:pt x="6095" y="9144"/>
                                </a:lnTo>
                                <a:lnTo>
                                  <a:pt x="6095" y="3048"/>
                                </a:lnTo>
                                <a:close/>
                              </a:path>
                              <a:path w="91440" h="91440">
                                <a:moveTo>
                                  <a:pt x="82295" y="3048"/>
                                </a:moveTo>
                                <a:lnTo>
                                  <a:pt x="6095" y="3048"/>
                                </a:lnTo>
                                <a:lnTo>
                                  <a:pt x="6095" y="9144"/>
                                </a:lnTo>
                                <a:lnTo>
                                  <a:pt x="82295" y="9144"/>
                                </a:lnTo>
                                <a:lnTo>
                                  <a:pt x="82295" y="3048"/>
                                </a:lnTo>
                                <a:close/>
                              </a:path>
                              <a:path w="91440" h="91440">
                                <a:moveTo>
                                  <a:pt x="91439" y="3048"/>
                                </a:moveTo>
                                <a:lnTo>
                                  <a:pt x="82295" y="3048"/>
                                </a:lnTo>
                                <a:lnTo>
                                  <a:pt x="85343"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pic:pic>
                        <pic:nvPicPr>
                          <pic:cNvPr id="339" name="Image 339"/>
                          <pic:cNvPicPr/>
                        </pic:nvPicPr>
                        <pic:blipFill>
                          <a:blip r:embed="rId123" cstate="print"/>
                          <a:stretch>
                            <a:fillRect/>
                          </a:stretch>
                        </pic:blipFill>
                        <pic:spPr>
                          <a:xfrm>
                            <a:off x="1103375" y="557783"/>
                            <a:ext cx="91440" cy="91440"/>
                          </a:xfrm>
                          <a:prstGeom prst="rect">
                            <a:avLst/>
                          </a:prstGeom>
                        </pic:spPr>
                      </pic:pic>
                      <wps:wsp>
                        <wps:cNvPr id="340" name="Graphic 340"/>
                        <wps:cNvSpPr/>
                        <wps:spPr>
                          <a:xfrm>
                            <a:off x="1853183" y="368808"/>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341" name="Graphic 341"/>
                        <wps:cNvSpPr/>
                        <wps:spPr>
                          <a:xfrm>
                            <a:off x="1847088" y="365759"/>
                            <a:ext cx="91440" cy="91440"/>
                          </a:xfrm>
                          <a:custGeom>
                            <a:avLst/>
                            <a:gdLst/>
                            <a:ahLst/>
                            <a:cxnLst/>
                            <a:rect l="l" t="t" r="r" b="b"/>
                            <a:pathLst>
                              <a:path w="91440" h="91440">
                                <a:moveTo>
                                  <a:pt x="91440" y="0"/>
                                </a:moveTo>
                                <a:lnTo>
                                  <a:pt x="0" y="0"/>
                                </a:lnTo>
                                <a:lnTo>
                                  <a:pt x="0" y="88392"/>
                                </a:lnTo>
                                <a:lnTo>
                                  <a:pt x="3048" y="91440"/>
                                </a:lnTo>
                                <a:lnTo>
                                  <a:pt x="91440" y="91440"/>
                                </a:lnTo>
                                <a:lnTo>
                                  <a:pt x="91440" y="85344"/>
                                </a:lnTo>
                                <a:lnTo>
                                  <a:pt x="9144" y="85344"/>
                                </a:lnTo>
                                <a:lnTo>
                                  <a:pt x="6096" y="82296"/>
                                </a:lnTo>
                                <a:lnTo>
                                  <a:pt x="9144" y="82296"/>
                                </a:lnTo>
                                <a:lnTo>
                                  <a:pt x="9144" y="9144"/>
                                </a:lnTo>
                                <a:lnTo>
                                  <a:pt x="6096" y="9144"/>
                                </a:lnTo>
                                <a:lnTo>
                                  <a:pt x="9144" y="3048"/>
                                </a:lnTo>
                                <a:lnTo>
                                  <a:pt x="91440" y="3048"/>
                                </a:lnTo>
                                <a:lnTo>
                                  <a:pt x="91440" y="0"/>
                                </a:lnTo>
                                <a:close/>
                              </a:path>
                              <a:path w="91440" h="91440">
                                <a:moveTo>
                                  <a:pt x="9144" y="82296"/>
                                </a:moveTo>
                                <a:lnTo>
                                  <a:pt x="6096" y="82296"/>
                                </a:lnTo>
                                <a:lnTo>
                                  <a:pt x="9144" y="85344"/>
                                </a:lnTo>
                                <a:lnTo>
                                  <a:pt x="9144" y="82296"/>
                                </a:lnTo>
                                <a:close/>
                              </a:path>
                              <a:path w="91440" h="91440">
                                <a:moveTo>
                                  <a:pt x="85344" y="82296"/>
                                </a:moveTo>
                                <a:lnTo>
                                  <a:pt x="9144" y="82296"/>
                                </a:lnTo>
                                <a:lnTo>
                                  <a:pt x="9144" y="85344"/>
                                </a:lnTo>
                                <a:lnTo>
                                  <a:pt x="85344" y="85344"/>
                                </a:lnTo>
                                <a:lnTo>
                                  <a:pt x="85344" y="82296"/>
                                </a:lnTo>
                                <a:close/>
                              </a:path>
                              <a:path w="91440" h="91440">
                                <a:moveTo>
                                  <a:pt x="85344" y="3048"/>
                                </a:moveTo>
                                <a:lnTo>
                                  <a:pt x="85344" y="85344"/>
                                </a:lnTo>
                                <a:lnTo>
                                  <a:pt x="88392" y="82296"/>
                                </a:lnTo>
                                <a:lnTo>
                                  <a:pt x="91440" y="82296"/>
                                </a:lnTo>
                                <a:lnTo>
                                  <a:pt x="91440" y="9144"/>
                                </a:lnTo>
                                <a:lnTo>
                                  <a:pt x="88392" y="9144"/>
                                </a:lnTo>
                                <a:lnTo>
                                  <a:pt x="85344" y="3048"/>
                                </a:lnTo>
                                <a:close/>
                              </a:path>
                              <a:path w="91440" h="91440">
                                <a:moveTo>
                                  <a:pt x="91440" y="82296"/>
                                </a:moveTo>
                                <a:lnTo>
                                  <a:pt x="88392" y="82296"/>
                                </a:lnTo>
                                <a:lnTo>
                                  <a:pt x="85344" y="85344"/>
                                </a:lnTo>
                                <a:lnTo>
                                  <a:pt x="91440" y="85344"/>
                                </a:lnTo>
                                <a:lnTo>
                                  <a:pt x="91440" y="82296"/>
                                </a:lnTo>
                                <a:close/>
                              </a:path>
                              <a:path w="91440" h="91440">
                                <a:moveTo>
                                  <a:pt x="9144" y="3048"/>
                                </a:moveTo>
                                <a:lnTo>
                                  <a:pt x="6096" y="9144"/>
                                </a:lnTo>
                                <a:lnTo>
                                  <a:pt x="9144" y="9144"/>
                                </a:lnTo>
                                <a:lnTo>
                                  <a:pt x="9144" y="3048"/>
                                </a:lnTo>
                                <a:close/>
                              </a:path>
                              <a:path w="91440" h="91440">
                                <a:moveTo>
                                  <a:pt x="85344" y="3048"/>
                                </a:moveTo>
                                <a:lnTo>
                                  <a:pt x="9144" y="3048"/>
                                </a:lnTo>
                                <a:lnTo>
                                  <a:pt x="9144" y="9144"/>
                                </a:lnTo>
                                <a:lnTo>
                                  <a:pt x="85344" y="9144"/>
                                </a:lnTo>
                                <a:lnTo>
                                  <a:pt x="85344" y="3048"/>
                                </a:lnTo>
                                <a:close/>
                              </a:path>
                              <a:path w="91440" h="91440">
                                <a:moveTo>
                                  <a:pt x="91440" y="3048"/>
                                </a:moveTo>
                                <a:lnTo>
                                  <a:pt x="85344" y="3048"/>
                                </a:lnTo>
                                <a:lnTo>
                                  <a:pt x="88392" y="9144"/>
                                </a:lnTo>
                                <a:lnTo>
                                  <a:pt x="91440" y="9144"/>
                                </a:lnTo>
                                <a:lnTo>
                                  <a:pt x="91440" y="3048"/>
                                </a:lnTo>
                                <a:close/>
                              </a:path>
                            </a:pathLst>
                          </a:custGeom>
                          <a:solidFill>
                            <a:srgbClr val="BD4A47"/>
                          </a:solidFill>
                        </wps:spPr>
                        <wps:bodyPr wrap="square" lIns="0" tIns="0" rIns="0" bIns="0" rtlCol="0">
                          <a:prstTxWarp prst="textNoShape">
                            <a:avLst/>
                          </a:prstTxWarp>
                          <a:noAutofit/>
                        </wps:bodyPr>
                      </wps:wsp>
                      <wps:wsp>
                        <wps:cNvPr id="342" name="Graphic 342"/>
                        <wps:cNvSpPr/>
                        <wps:spPr>
                          <a:xfrm>
                            <a:off x="2596895" y="323088"/>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343" name="Graphic 343"/>
                        <wps:cNvSpPr/>
                        <wps:spPr>
                          <a:xfrm>
                            <a:off x="2593848" y="320040"/>
                            <a:ext cx="91440" cy="91440"/>
                          </a:xfrm>
                          <a:custGeom>
                            <a:avLst/>
                            <a:gdLst/>
                            <a:ahLst/>
                            <a:cxnLst/>
                            <a:rect l="l" t="t" r="r" b="b"/>
                            <a:pathLst>
                              <a:path w="91440" h="91440">
                                <a:moveTo>
                                  <a:pt x="91439" y="0"/>
                                </a:moveTo>
                                <a:lnTo>
                                  <a:pt x="0" y="0"/>
                                </a:lnTo>
                                <a:lnTo>
                                  <a:pt x="0" y="91439"/>
                                </a:lnTo>
                                <a:lnTo>
                                  <a:pt x="88392" y="91439"/>
                                </a:lnTo>
                                <a:lnTo>
                                  <a:pt x="91439" y="88391"/>
                                </a:lnTo>
                                <a:lnTo>
                                  <a:pt x="91439" y="85343"/>
                                </a:lnTo>
                                <a:lnTo>
                                  <a:pt x="9144" y="85343"/>
                                </a:lnTo>
                                <a:lnTo>
                                  <a:pt x="3048" y="82295"/>
                                </a:lnTo>
                                <a:lnTo>
                                  <a:pt x="9144" y="82295"/>
                                </a:lnTo>
                                <a:lnTo>
                                  <a:pt x="9144" y="9143"/>
                                </a:lnTo>
                                <a:lnTo>
                                  <a:pt x="3048" y="9143"/>
                                </a:lnTo>
                                <a:lnTo>
                                  <a:pt x="9144" y="3047"/>
                                </a:lnTo>
                                <a:lnTo>
                                  <a:pt x="91439" y="3047"/>
                                </a:lnTo>
                                <a:lnTo>
                                  <a:pt x="91439" y="0"/>
                                </a:lnTo>
                                <a:close/>
                              </a:path>
                              <a:path w="91440" h="91440">
                                <a:moveTo>
                                  <a:pt x="9144" y="82295"/>
                                </a:moveTo>
                                <a:lnTo>
                                  <a:pt x="3048" y="82295"/>
                                </a:lnTo>
                                <a:lnTo>
                                  <a:pt x="9144" y="85343"/>
                                </a:lnTo>
                                <a:lnTo>
                                  <a:pt x="9144" y="82295"/>
                                </a:lnTo>
                                <a:close/>
                              </a:path>
                              <a:path w="91440" h="91440">
                                <a:moveTo>
                                  <a:pt x="82296" y="82295"/>
                                </a:moveTo>
                                <a:lnTo>
                                  <a:pt x="9144" y="82295"/>
                                </a:lnTo>
                                <a:lnTo>
                                  <a:pt x="9144" y="85343"/>
                                </a:lnTo>
                                <a:lnTo>
                                  <a:pt x="82296" y="85343"/>
                                </a:lnTo>
                                <a:lnTo>
                                  <a:pt x="82296" y="82295"/>
                                </a:lnTo>
                                <a:close/>
                              </a:path>
                              <a:path w="91440" h="91440">
                                <a:moveTo>
                                  <a:pt x="82296" y="3047"/>
                                </a:moveTo>
                                <a:lnTo>
                                  <a:pt x="82296" y="85343"/>
                                </a:lnTo>
                                <a:lnTo>
                                  <a:pt x="85344" y="82295"/>
                                </a:lnTo>
                                <a:lnTo>
                                  <a:pt x="91439" y="82295"/>
                                </a:lnTo>
                                <a:lnTo>
                                  <a:pt x="91439" y="9143"/>
                                </a:lnTo>
                                <a:lnTo>
                                  <a:pt x="85344" y="9143"/>
                                </a:lnTo>
                                <a:lnTo>
                                  <a:pt x="82296" y="3047"/>
                                </a:lnTo>
                                <a:close/>
                              </a:path>
                              <a:path w="91440" h="91440">
                                <a:moveTo>
                                  <a:pt x="91439" y="82295"/>
                                </a:moveTo>
                                <a:lnTo>
                                  <a:pt x="85344" y="82295"/>
                                </a:lnTo>
                                <a:lnTo>
                                  <a:pt x="82296" y="85343"/>
                                </a:lnTo>
                                <a:lnTo>
                                  <a:pt x="91439" y="85343"/>
                                </a:lnTo>
                                <a:lnTo>
                                  <a:pt x="91439" y="82295"/>
                                </a:lnTo>
                                <a:close/>
                              </a:path>
                              <a:path w="91440" h="91440">
                                <a:moveTo>
                                  <a:pt x="9144" y="3047"/>
                                </a:moveTo>
                                <a:lnTo>
                                  <a:pt x="3048" y="9143"/>
                                </a:lnTo>
                                <a:lnTo>
                                  <a:pt x="9144" y="9143"/>
                                </a:lnTo>
                                <a:lnTo>
                                  <a:pt x="9144" y="3047"/>
                                </a:lnTo>
                                <a:close/>
                              </a:path>
                              <a:path w="91440" h="91440">
                                <a:moveTo>
                                  <a:pt x="82296" y="3047"/>
                                </a:moveTo>
                                <a:lnTo>
                                  <a:pt x="9144" y="3047"/>
                                </a:lnTo>
                                <a:lnTo>
                                  <a:pt x="9144" y="9143"/>
                                </a:lnTo>
                                <a:lnTo>
                                  <a:pt x="82296" y="9143"/>
                                </a:lnTo>
                                <a:lnTo>
                                  <a:pt x="82296" y="3047"/>
                                </a:lnTo>
                                <a:close/>
                              </a:path>
                              <a:path w="91440" h="91440">
                                <a:moveTo>
                                  <a:pt x="91439" y="3047"/>
                                </a:moveTo>
                                <a:lnTo>
                                  <a:pt x="82296" y="3047"/>
                                </a:lnTo>
                                <a:lnTo>
                                  <a:pt x="85344" y="9143"/>
                                </a:lnTo>
                                <a:lnTo>
                                  <a:pt x="91439" y="9143"/>
                                </a:lnTo>
                                <a:lnTo>
                                  <a:pt x="91439" y="3047"/>
                                </a:lnTo>
                                <a:close/>
                              </a:path>
                            </a:pathLst>
                          </a:custGeom>
                          <a:solidFill>
                            <a:srgbClr val="BD4A47"/>
                          </a:solidFill>
                        </wps:spPr>
                        <wps:bodyPr wrap="square" lIns="0" tIns="0" rIns="0" bIns="0" rtlCol="0">
                          <a:prstTxWarp prst="textNoShape">
                            <a:avLst/>
                          </a:prstTxWarp>
                          <a:noAutofit/>
                        </wps:bodyPr>
                      </wps:wsp>
                      <pic:pic>
                        <pic:nvPicPr>
                          <pic:cNvPr id="344" name="Image 344"/>
                          <pic:cNvPicPr/>
                        </pic:nvPicPr>
                        <pic:blipFill>
                          <a:blip r:embed="rId124" cstate="print"/>
                          <a:stretch>
                            <a:fillRect/>
                          </a:stretch>
                        </pic:blipFill>
                        <pic:spPr>
                          <a:xfrm>
                            <a:off x="3337559" y="320040"/>
                            <a:ext cx="91439" cy="91439"/>
                          </a:xfrm>
                          <a:prstGeom prst="rect">
                            <a:avLst/>
                          </a:prstGeom>
                        </pic:spPr>
                      </pic:pic>
                      <wps:wsp>
                        <wps:cNvPr id="345" name="Graphic 345"/>
                        <wps:cNvSpPr/>
                        <wps:spPr>
                          <a:xfrm>
                            <a:off x="393191" y="326136"/>
                            <a:ext cx="3008630" cy="603885"/>
                          </a:xfrm>
                          <a:custGeom>
                            <a:avLst/>
                            <a:gdLst/>
                            <a:ahLst/>
                            <a:cxnLst/>
                            <a:rect l="l" t="t" r="r" b="b"/>
                            <a:pathLst>
                              <a:path w="3008630" h="603885">
                                <a:moveTo>
                                  <a:pt x="2999231" y="0"/>
                                </a:moveTo>
                                <a:lnTo>
                                  <a:pt x="2993136" y="3048"/>
                                </a:lnTo>
                                <a:lnTo>
                                  <a:pt x="2246376" y="146304"/>
                                </a:lnTo>
                                <a:lnTo>
                                  <a:pt x="1502664" y="265175"/>
                                </a:lnTo>
                                <a:lnTo>
                                  <a:pt x="758951" y="310896"/>
                                </a:lnTo>
                                <a:lnTo>
                                  <a:pt x="755903" y="310896"/>
                                </a:lnTo>
                                <a:lnTo>
                                  <a:pt x="12191" y="576072"/>
                                </a:lnTo>
                                <a:lnTo>
                                  <a:pt x="3047" y="579120"/>
                                </a:lnTo>
                                <a:lnTo>
                                  <a:pt x="0" y="585216"/>
                                </a:lnTo>
                                <a:lnTo>
                                  <a:pt x="6095" y="597408"/>
                                </a:lnTo>
                                <a:lnTo>
                                  <a:pt x="12191" y="603504"/>
                                </a:lnTo>
                                <a:lnTo>
                                  <a:pt x="18287" y="600456"/>
                                </a:lnTo>
                                <a:lnTo>
                                  <a:pt x="765048" y="335280"/>
                                </a:lnTo>
                                <a:lnTo>
                                  <a:pt x="811580" y="335280"/>
                                </a:lnTo>
                                <a:lnTo>
                                  <a:pt x="1505712" y="292608"/>
                                </a:lnTo>
                                <a:lnTo>
                                  <a:pt x="2252472" y="170688"/>
                                </a:lnTo>
                                <a:lnTo>
                                  <a:pt x="2996183" y="27432"/>
                                </a:lnTo>
                                <a:lnTo>
                                  <a:pt x="3005328" y="27432"/>
                                </a:lnTo>
                                <a:lnTo>
                                  <a:pt x="3008376" y="18288"/>
                                </a:lnTo>
                                <a:lnTo>
                                  <a:pt x="3008376" y="12192"/>
                                </a:lnTo>
                                <a:lnTo>
                                  <a:pt x="3005328" y="6096"/>
                                </a:lnTo>
                                <a:lnTo>
                                  <a:pt x="2999231" y="0"/>
                                </a:lnTo>
                                <a:close/>
                              </a:path>
                              <a:path w="3008630" h="603885">
                                <a:moveTo>
                                  <a:pt x="811580" y="335280"/>
                                </a:moveTo>
                                <a:lnTo>
                                  <a:pt x="765048" y="335280"/>
                                </a:lnTo>
                                <a:lnTo>
                                  <a:pt x="762000" y="338328"/>
                                </a:lnTo>
                                <a:lnTo>
                                  <a:pt x="811580" y="335280"/>
                                </a:lnTo>
                                <a:close/>
                              </a:path>
                            </a:pathLst>
                          </a:custGeom>
                          <a:solidFill>
                            <a:srgbClr val="97B853"/>
                          </a:solidFill>
                        </wps:spPr>
                        <wps:bodyPr wrap="square" lIns="0" tIns="0" rIns="0" bIns="0" rtlCol="0">
                          <a:prstTxWarp prst="textNoShape">
                            <a:avLst/>
                          </a:prstTxWarp>
                          <a:noAutofit/>
                        </wps:bodyPr>
                      </wps:wsp>
                      <pic:pic>
                        <pic:nvPicPr>
                          <pic:cNvPr id="346" name="Image 346"/>
                          <pic:cNvPicPr/>
                        </pic:nvPicPr>
                        <pic:blipFill>
                          <a:blip r:embed="rId125" cstate="print"/>
                          <a:stretch>
                            <a:fillRect/>
                          </a:stretch>
                        </pic:blipFill>
                        <pic:spPr>
                          <a:xfrm>
                            <a:off x="356615" y="868680"/>
                            <a:ext cx="97536" cy="94488"/>
                          </a:xfrm>
                          <a:prstGeom prst="rect">
                            <a:avLst/>
                          </a:prstGeom>
                        </pic:spPr>
                      </pic:pic>
                      <pic:pic>
                        <pic:nvPicPr>
                          <pic:cNvPr id="347" name="Image 347"/>
                          <pic:cNvPicPr/>
                        </pic:nvPicPr>
                        <pic:blipFill>
                          <a:blip r:embed="rId126" cstate="print"/>
                          <a:stretch>
                            <a:fillRect/>
                          </a:stretch>
                        </pic:blipFill>
                        <pic:spPr>
                          <a:xfrm>
                            <a:off x="1100327" y="603504"/>
                            <a:ext cx="100583" cy="97536"/>
                          </a:xfrm>
                          <a:prstGeom prst="rect">
                            <a:avLst/>
                          </a:prstGeom>
                        </pic:spPr>
                      </pic:pic>
                      <pic:pic>
                        <pic:nvPicPr>
                          <pic:cNvPr id="348" name="Image 348"/>
                          <pic:cNvPicPr/>
                        </pic:nvPicPr>
                        <pic:blipFill>
                          <a:blip r:embed="rId127" cstate="print"/>
                          <a:stretch>
                            <a:fillRect/>
                          </a:stretch>
                        </pic:blipFill>
                        <pic:spPr>
                          <a:xfrm>
                            <a:off x="1847088" y="554736"/>
                            <a:ext cx="97536" cy="97536"/>
                          </a:xfrm>
                          <a:prstGeom prst="rect">
                            <a:avLst/>
                          </a:prstGeom>
                        </pic:spPr>
                      </pic:pic>
                      <pic:pic>
                        <pic:nvPicPr>
                          <pic:cNvPr id="349" name="Image 349"/>
                          <pic:cNvPicPr/>
                        </pic:nvPicPr>
                        <pic:blipFill>
                          <a:blip r:embed="rId128" cstate="print"/>
                          <a:stretch>
                            <a:fillRect/>
                          </a:stretch>
                        </pic:blipFill>
                        <pic:spPr>
                          <a:xfrm>
                            <a:off x="2590800" y="435863"/>
                            <a:ext cx="97536" cy="94487"/>
                          </a:xfrm>
                          <a:prstGeom prst="rect">
                            <a:avLst/>
                          </a:prstGeom>
                        </pic:spPr>
                      </pic:pic>
                      <pic:pic>
                        <pic:nvPicPr>
                          <pic:cNvPr id="350" name="Image 350"/>
                          <pic:cNvPicPr/>
                        </pic:nvPicPr>
                        <pic:blipFill>
                          <a:blip r:embed="rId129" cstate="print"/>
                          <a:stretch>
                            <a:fillRect/>
                          </a:stretch>
                        </pic:blipFill>
                        <pic:spPr>
                          <a:xfrm>
                            <a:off x="3337559" y="292608"/>
                            <a:ext cx="97536" cy="94488"/>
                          </a:xfrm>
                          <a:prstGeom prst="rect">
                            <a:avLst/>
                          </a:prstGeom>
                        </pic:spPr>
                      </pic:pic>
                      <wps:wsp>
                        <wps:cNvPr id="351" name="Graphic 351"/>
                        <wps:cNvSpPr/>
                        <wps:spPr>
                          <a:xfrm>
                            <a:off x="3529584" y="630936"/>
                            <a:ext cx="692150" cy="1018540"/>
                          </a:xfrm>
                          <a:custGeom>
                            <a:avLst/>
                            <a:gdLst/>
                            <a:ahLst/>
                            <a:cxnLst/>
                            <a:rect l="l" t="t" r="r" b="b"/>
                            <a:pathLst>
                              <a:path w="692150" h="1018540">
                                <a:moveTo>
                                  <a:pt x="688848" y="0"/>
                                </a:moveTo>
                                <a:lnTo>
                                  <a:pt x="3048" y="0"/>
                                </a:lnTo>
                                <a:lnTo>
                                  <a:pt x="0" y="3048"/>
                                </a:lnTo>
                                <a:lnTo>
                                  <a:pt x="0" y="1014984"/>
                                </a:lnTo>
                                <a:lnTo>
                                  <a:pt x="3048" y="1018032"/>
                                </a:lnTo>
                                <a:lnTo>
                                  <a:pt x="688848" y="1018032"/>
                                </a:lnTo>
                                <a:lnTo>
                                  <a:pt x="691896" y="1014984"/>
                                </a:lnTo>
                                <a:lnTo>
                                  <a:pt x="6096" y="1014984"/>
                                </a:lnTo>
                                <a:lnTo>
                                  <a:pt x="3048" y="1011936"/>
                                </a:lnTo>
                                <a:lnTo>
                                  <a:pt x="6096" y="1011936"/>
                                </a:lnTo>
                                <a:lnTo>
                                  <a:pt x="6096" y="9144"/>
                                </a:lnTo>
                                <a:lnTo>
                                  <a:pt x="3048" y="9144"/>
                                </a:lnTo>
                                <a:lnTo>
                                  <a:pt x="6096" y="3048"/>
                                </a:lnTo>
                                <a:lnTo>
                                  <a:pt x="691896" y="3048"/>
                                </a:lnTo>
                                <a:lnTo>
                                  <a:pt x="688848" y="0"/>
                                </a:lnTo>
                                <a:close/>
                              </a:path>
                              <a:path w="692150" h="1018540">
                                <a:moveTo>
                                  <a:pt x="6096" y="1011936"/>
                                </a:moveTo>
                                <a:lnTo>
                                  <a:pt x="3048" y="1011936"/>
                                </a:lnTo>
                                <a:lnTo>
                                  <a:pt x="6096" y="1014984"/>
                                </a:lnTo>
                                <a:lnTo>
                                  <a:pt x="6096" y="1011936"/>
                                </a:lnTo>
                                <a:close/>
                              </a:path>
                              <a:path w="692150" h="1018540">
                                <a:moveTo>
                                  <a:pt x="682751" y="1011936"/>
                                </a:moveTo>
                                <a:lnTo>
                                  <a:pt x="6096" y="1011936"/>
                                </a:lnTo>
                                <a:lnTo>
                                  <a:pt x="6096" y="1014984"/>
                                </a:lnTo>
                                <a:lnTo>
                                  <a:pt x="682751" y="1014984"/>
                                </a:lnTo>
                                <a:lnTo>
                                  <a:pt x="682751" y="1011936"/>
                                </a:lnTo>
                                <a:close/>
                              </a:path>
                              <a:path w="692150" h="1018540">
                                <a:moveTo>
                                  <a:pt x="682751" y="3048"/>
                                </a:moveTo>
                                <a:lnTo>
                                  <a:pt x="682751" y="1014984"/>
                                </a:lnTo>
                                <a:lnTo>
                                  <a:pt x="688848" y="1011936"/>
                                </a:lnTo>
                                <a:lnTo>
                                  <a:pt x="691896" y="1011936"/>
                                </a:lnTo>
                                <a:lnTo>
                                  <a:pt x="691896" y="9144"/>
                                </a:lnTo>
                                <a:lnTo>
                                  <a:pt x="688848" y="9144"/>
                                </a:lnTo>
                                <a:lnTo>
                                  <a:pt x="682751" y="3048"/>
                                </a:lnTo>
                                <a:close/>
                              </a:path>
                              <a:path w="692150" h="1018540">
                                <a:moveTo>
                                  <a:pt x="691896" y="1011936"/>
                                </a:moveTo>
                                <a:lnTo>
                                  <a:pt x="688848" y="1011936"/>
                                </a:lnTo>
                                <a:lnTo>
                                  <a:pt x="682751" y="1014984"/>
                                </a:lnTo>
                                <a:lnTo>
                                  <a:pt x="691896" y="1014984"/>
                                </a:lnTo>
                                <a:lnTo>
                                  <a:pt x="691896" y="1011936"/>
                                </a:lnTo>
                                <a:close/>
                              </a:path>
                              <a:path w="692150" h="1018540">
                                <a:moveTo>
                                  <a:pt x="6096" y="3048"/>
                                </a:moveTo>
                                <a:lnTo>
                                  <a:pt x="3048" y="9144"/>
                                </a:lnTo>
                                <a:lnTo>
                                  <a:pt x="6096" y="9144"/>
                                </a:lnTo>
                                <a:lnTo>
                                  <a:pt x="6096" y="3048"/>
                                </a:lnTo>
                                <a:close/>
                              </a:path>
                              <a:path w="692150" h="1018540">
                                <a:moveTo>
                                  <a:pt x="682751" y="3048"/>
                                </a:moveTo>
                                <a:lnTo>
                                  <a:pt x="6096" y="3048"/>
                                </a:lnTo>
                                <a:lnTo>
                                  <a:pt x="6096" y="9144"/>
                                </a:lnTo>
                                <a:lnTo>
                                  <a:pt x="682751" y="9144"/>
                                </a:lnTo>
                                <a:lnTo>
                                  <a:pt x="682751" y="3048"/>
                                </a:lnTo>
                                <a:close/>
                              </a:path>
                              <a:path w="692150" h="1018540">
                                <a:moveTo>
                                  <a:pt x="691896" y="3048"/>
                                </a:moveTo>
                                <a:lnTo>
                                  <a:pt x="682751" y="3048"/>
                                </a:lnTo>
                                <a:lnTo>
                                  <a:pt x="688848" y="9144"/>
                                </a:lnTo>
                                <a:lnTo>
                                  <a:pt x="691896" y="9144"/>
                                </a:lnTo>
                                <a:lnTo>
                                  <a:pt x="691896" y="3048"/>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3627120" y="789431"/>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353" name="Image 353"/>
                          <pic:cNvPicPr/>
                        </pic:nvPicPr>
                        <pic:blipFill>
                          <a:blip r:embed="rId24" cstate="print"/>
                          <a:stretch>
                            <a:fillRect/>
                          </a:stretch>
                        </pic:blipFill>
                        <pic:spPr>
                          <a:xfrm>
                            <a:off x="3715511" y="765048"/>
                            <a:ext cx="79248" cy="76200"/>
                          </a:xfrm>
                          <a:prstGeom prst="rect">
                            <a:avLst/>
                          </a:prstGeom>
                        </pic:spPr>
                      </pic:pic>
                      <wps:wsp>
                        <wps:cNvPr id="354" name="Graphic 354"/>
                        <wps:cNvSpPr/>
                        <wps:spPr>
                          <a:xfrm>
                            <a:off x="3627120" y="1124711"/>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355" name="Graphic 355"/>
                        <wps:cNvSpPr/>
                        <wps:spPr>
                          <a:xfrm>
                            <a:off x="3718559" y="1103375"/>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BF4F4C"/>
                          </a:solidFill>
                        </wps:spPr>
                        <wps:bodyPr wrap="square" lIns="0" tIns="0" rIns="0" bIns="0" rtlCol="0">
                          <a:prstTxWarp prst="textNoShape">
                            <a:avLst/>
                          </a:prstTxWarp>
                          <a:noAutofit/>
                        </wps:bodyPr>
                      </wps:wsp>
                      <wps:wsp>
                        <wps:cNvPr id="356" name="Graphic 356"/>
                        <wps:cNvSpPr/>
                        <wps:spPr>
                          <a:xfrm>
                            <a:off x="3715511" y="1100327"/>
                            <a:ext cx="79375" cy="79375"/>
                          </a:xfrm>
                          <a:custGeom>
                            <a:avLst/>
                            <a:gdLst/>
                            <a:ahLst/>
                            <a:cxnLst/>
                            <a:rect l="l" t="t" r="r" b="b"/>
                            <a:pathLst>
                              <a:path w="79375" h="79375">
                                <a:moveTo>
                                  <a:pt x="76200" y="0"/>
                                </a:moveTo>
                                <a:lnTo>
                                  <a:pt x="3048" y="0"/>
                                </a:lnTo>
                                <a:lnTo>
                                  <a:pt x="0" y="3048"/>
                                </a:lnTo>
                                <a:lnTo>
                                  <a:pt x="0" y="76200"/>
                                </a:lnTo>
                                <a:lnTo>
                                  <a:pt x="3048" y="79248"/>
                                </a:lnTo>
                                <a:lnTo>
                                  <a:pt x="76200" y="79248"/>
                                </a:lnTo>
                                <a:lnTo>
                                  <a:pt x="79248" y="76200"/>
                                </a:lnTo>
                                <a:lnTo>
                                  <a:pt x="9144" y="76200"/>
                                </a:lnTo>
                                <a:lnTo>
                                  <a:pt x="3048" y="70103"/>
                                </a:lnTo>
                                <a:lnTo>
                                  <a:pt x="9144" y="70103"/>
                                </a:lnTo>
                                <a:lnTo>
                                  <a:pt x="9144" y="9144"/>
                                </a:lnTo>
                                <a:lnTo>
                                  <a:pt x="3048" y="9144"/>
                                </a:lnTo>
                                <a:lnTo>
                                  <a:pt x="9144" y="3048"/>
                                </a:lnTo>
                                <a:lnTo>
                                  <a:pt x="79248" y="3048"/>
                                </a:lnTo>
                                <a:lnTo>
                                  <a:pt x="76200" y="0"/>
                                </a:lnTo>
                                <a:close/>
                              </a:path>
                              <a:path w="79375" h="79375">
                                <a:moveTo>
                                  <a:pt x="9144" y="70103"/>
                                </a:moveTo>
                                <a:lnTo>
                                  <a:pt x="3048" y="70103"/>
                                </a:lnTo>
                                <a:lnTo>
                                  <a:pt x="9144" y="76200"/>
                                </a:lnTo>
                                <a:lnTo>
                                  <a:pt x="9144" y="70103"/>
                                </a:lnTo>
                                <a:close/>
                              </a:path>
                              <a:path w="79375" h="79375">
                                <a:moveTo>
                                  <a:pt x="70104" y="70103"/>
                                </a:moveTo>
                                <a:lnTo>
                                  <a:pt x="9144" y="70103"/>
                                </a:lnTo>
                                <a:lnTo>
                                  <a:pt x="9144" y="76200"/>
                                </a:lnTo>
                                <a:lnTo>
                                  <a:pt x="70104" y="76200"/>
                                </a:lnTo>
                                <a:lnTo>
                                  <a:pt x="70104" y="70103"/>
                                </a:lnTo>
                                <a:close/>
                              </a:path>
                              <a:path w="79375" h="79375">
                                <a:moveTo>
                                  <a:pt x="70104" y="3048"/>
                                </a:moveTo>
                                <a:lnTo>
                                  <a:pt x="70104" y="76200"/>
                                </a:lnTo>
                                <a:lnTo>
                                  <a:pt x="76200" y="70103"/>
                                </a:lnTo>
                                <a:lnTo>
                                  <a:pt x="79248" y="70103"/>
                                </a:lnTo>
                                <a:lnTo>
                                  <a:pt x="79248" y="9144"/>
                                </a:lnTo>
                                <a:lnTo>
                                  <a:pt x="76200" y="9144"/>
                                </a:lnTo>
                                <a:lnTo>
                                  <a:pt x="70104" y="3048"/>
                                </a:lnTo>
                                <a:close/>
                              </a:path>
                              <a:path w="79375" h="79375">
                                <a:moveTo>
                                  <a:pt x="79248" y="70103"/>
                                </a:moveTo>
                                <a:lnTo>
                                  <a:pt x="76200" y="70103"/>
                                </a:lnTo>
                                <a:lnTo>
                                  <a:pt x="70104" y="76200"/>
                                </a:lnTo>
                                <a:lnTo>
                                  <a:pt x="79248" y="76200"/>
                                </a:lnTo>
                                <a:lnTo>
                                  <a:pt x="79248" y="70103"/>
                                </a:lnTo>
                                <a:close/>
                              </a:path>
                              <a:path w="79375" h="79375">
                                <a:moveTo>
                                  <a:pt x="9144" y="3048"/>
                                </a:moveTo>
                                <a:lnTo>
                                  <a:pt x="3048" y="9144"/>
                                </a:lnTo>
                                <a:lnTo>
                                  <a:pt x="9144" y="9144"/>
                                </a:lnTo>
                                <a:lnTo>
                                  <a:pt x="9144" y="3048"/>
                                </a:lnTo>
                                <a:close/>
                              </a:path>
                              <a:path w="79375" h="79375">
                                <a:moveTo>
                                  <a:pt x="70104" y="3048"/>
                                </a:moveTo>
                                <a:lnTo>
                                  <a:pt x="9144" y="3048"/>
                                </a:lnTo>
                                <a:lnTo>
                                  <a:pt x="9144" y="9144"/>
                                </a:lnTo>
                                <a:lnTo>
                                  <a:pt x="70104" y="9144"/>
                                </a:lnTo>
                                <a:lnTo>
                                  <a:pt x="70104" y="3048"/>
                                </a:lnTo>
                                <a:close/>
                              </a:path>
                              <a:path w="79375" h="79375">
                                <a:moveTo>
                                  <a:pt x="79248" y="3048"/>
                                </a:moveTo>
                                <a:lnTo>
                                  <a:pt x="70104" y="3048"/>
                                </a:lnTo>
                                <a:lnTo>
                                  <a:pt x="76200" y="9144"/>
                                </a:lnTo>
                                <a:lnTo>
                                  <a:pt x="79248" y="9144"/>
                                </a:lnTo>
                                <a:lnTo>
                                  <a:pt x="79248" y="3048"/>
                                </a:lnTo>
                                <a:close/>
                              </a:path>
                            </a:pathLst>
                          </a:custGeom>
                          <a:solidFill>
                            <a:srgbClr val="BD4A47"/>
                          </a:solidFill>
                        </wps:spPr>
                        <wps:bodyPr wrap="square" lIns="0" tIns="0" rIns="0" bIns="0" rtlCol="0">
                          <a:prstTxWarp prst="textNoShape">
                            <a:avLst/>
                          </a:prstTxWarp>
                          <a:noAutofit/>
                        </wps:bodyPr>
                      </wps:wsp>
                      <wps:wsp>
                        <wps:cNvPr id="357" name="Graphic 357"/>
                        <wps:cNvSpPr/>
                        <wps:spPr>
                          <a:xfrm>
                            <a:off x="3627120" y="1463039"/>
                            <a:ext cx="256540" cy="27940"/>
                          </a:xfrm>
                          <a:custGeom>
                            <a:avLst/>
                            <a:gdLst/>
                            <a:ahLst/>
                            <a:cxnLst/>
                            <a:rect l="l" t="t" r="r" b="b"/>
                            <a:pathLst>
                              <a:path w="256540" h="27940">
                                <a:moveTo>
                                  <a:pt x="249936" y="0"/>
                                </a:moveTo>
                                <a:lnTo>
                                  <a:pt x="15239" y="0"/>
                                </a:lnTo>
                                <a:lnTo>
                                  <a:pt x="6096" y="0"/>
                                </a:lnTo>
                                <a:lnTo>
                                  <a:pt x="0" y="6095"/>
                                </a:lnTo>
                                <a:lnTo>
                                  <a:pt x="0" y="21335"/>
                                </a:lnTo>
                                <a:lnTo>
                                  <a:pt x="6096" y="27431"/>
                                </a:lnTo>
                                <a:lnTo>
                                  <a:pt x="249936" y="27431"/>
                                </a:lnTo>
                                <a:lnTo>
                                  <a:pt x="256032" y="21335"/>
                                </a:lnTo>
                                <a:lnTo>
                                  <a:pt x="256032" y="6095"/>
                                </a:lnTo>
                                <a:lnTo>
                                  <a:pt x="249936" y="0"/>
                                </a:lnTo>
                                <a:close/>
                              </a:path>
                            </a:pathLst>
                          </a:custGeom>
                          <a:solidFill>
                            <a:srgbClr val="97B853"/>
                          </a:solidFill>
                        </wps:spPr>
                        <wps:bodyPr wrap="square" lIns="0" tIns="0" rIns="0" bIns="0" rtlCol="0">
                          <a:prstTxWarp prst="textNoShape">
                            <a:avLst/>
                          </a:prstTxWarp>
                          <a:noAutofit/>
                        </wps:bodyPr>
                      </wps:wsp>
                      <pic:pic>
                        <pic:nvPicPr>
                          <pic:cNvPr id="358" name="Image 358"/>
                          <pic:cNvPicPr/>
                        </pic:nvPicPr>
                        <pic:blipFill>
                          <a:blip r:embed="rId130" cstate="print"/>
                          <a:stretch>
                            <a:fillRect/>
                          </a:stretch>
                        </pic:blipFill>
                        <pic:spPr>
                          <a:xfrm>
                            <a:off x="3715511" y="1435608"/>
                            <a:ext cx="79248" cy="82296"/>
                          </a:xfrm>
                          <a:prstGeom prst="rect">
                            <a:avLst/>
                          </a:prstGeom>
                        </pic:spPr>
                      </pic:pic>
                      <wps:wsp>
                        <wps:cNvPr id="359" name="Textbox 359"/>
                        <wps:cNvSpPr txBox="1"/>
                        <wps:spPr>
                          <a:xfrm>
                            <a:off x="3892296" y="747948"/>
                            <a:ext cx="236220" cy="794385"/>
                          </a:xfrm>
                          <a:prstGeom prst="rect">
                            <a:avLst/>
                          </a:prstGeom>
                        </wps:spPr>
                        <wps:txbx>
                          <w:txbxContent>
                            <w:p>
                              <w:pPr>
                                <w:spacing w:line="193" w:lineRule="exact" w:before="0"/>
                                <w:ind w:left="0" w:right="0" w:firstLine="0"/>
                                <w:jc w:val="left"/>
                                <w:rPr>
                                  <w:rFonts w:ascii="Calibri"/>
                                  <w:sz w:val="19"/>
                                </w:rPr>
                              </w:pPr>
                              <w:r>
                                <w:rPr>
                                  <w:rFonts w:ascii="Calibri"/>
                                  <w:spacing w:val="-5"/>
                                  <w:sz w:val="19"/>
                                </w:rPr>
                                <w:t>DS</w:t>
                              </w:r>
                            </w:p>
                            <w:p>
                              <w:pPr>
                                <w:spacing w:line="520" w:lineRule="atLeast" w:before="13"/>
                                <w:ind w:left="0" w:right="12" w:firstLine="0"/>
                                <w:jc w:val="left"/>
                                <w:rPr>
                                  <w:rFonts w:ascii="Calibri"/>
                                  <w:sz w:val="19"/>
                                </w:rPr>
                              </w:pPr>
                              <w:r>
                                <w:rPr>
                                  <w:rFonts w:ascii="Calibri"/>
                                  <w:spacing w:val="-4"/>
                                  <w:sz w:val="19"/>
                                </w:rPr>
                                <w:t>MCS</w:t>
                              </w:r>
                              <w:r>
                                <w:rPr>
                                  <w:rFonts w:ascii="Calibri"/>
                                  <w:sz w:val="19"/>
                                </w:rPr>
                                <w:t> </w:t>
                              </w:r>
                              <w:r>
                                <w:rPr>
                                  <w:rFonts w:ascii="Calibri"/>
                                  <w:spacing w:val="-4"/>
                                  <w:sz w:val="19"/>
                                </w:rPr>
                                <w:t>GEL</w:t>
                              </w:r>
                            </w:p>
                          </w:txbxContent>
                        </wps:txbx>
                        <wps:bodyPr wrap="square" lIns="0" tIns="0" rIns="0" bIns="0" rtlCol="0">
                          <a:noAutofit/>
                        </wps:bodyPr>
                      </wps:wsp>
                    </wpg:wgp>
                  </a:graphicData>
                </a:graphic>
              </wp:anchor>
            </w:drawing>
          </mc:Choice>
          <mc:Fallback>
            <w:pict>
              <v:group style="position:absolute;margin-left:170.399994pt;margin-top:8.120000pt;width:332.4pt;height:267.4pt;mso-position-horizontal-relative:page;mso-position-vertical-relative:paragraph;z-index:15767552" id="docshapegroup316" coordorigin="3408,162" coordsize="6648,5348">
                <v:shape style="position:absolute;left:3408;top:162;width:5928;height:5348" id="docshape317" coordorigin="3408,162" coordsize="5928,5348" path="m9336,5447l9326,5447,9326,5442,3470,5442,3470,167,3466,167,3466,162,3408,162,3408,177,3456,177,3456,916,3408,916,3408,930,3456,930,3456,1670,3408,1670,3408,1684,3456,1684,3456,2423,3408,2423,3408,2438,3456,2438,3456,3177,3408,3177,3408,3191,3456,3191,3456,3930,3408,3930,3408,3945,3456,3945,3456,4684,3408,4684,3408,4698,3456,4698,3456,5438,3408,5438,3408,5452,3456,5452,3456,5510,3470,5510,3470,5457,4632,5457,4632,5510,4646,5510,4646,5457,5803,5457,5803,5510,5818,5510,5818,5457,6979,5457,6979,5510,6989,5510,6989,5457,8150,5457,8150,5510,8165,5510,8165,5457,9322,5457,9322,5510,9336,5510,9336,5447xe" filled="true" fillcolor="#858585" stroked="false">
                  <v:path arrowok="t"/>
                  <v:fill type="solid"/>
                </v:shape>
                <v:shape style="position:absolute;left:4027;top:973;width:4738;height:802" id="docshape318" coordorigin="4027,974" coordsize="4738,802" path="m8750,974l8736,978,7565,1281,7570,1281,6394,1391,5222,1545,4046,1737,4037,1737,4027,1746,4032,1756,4032,1770,4042,1775,4056,1775,5227,1583,6398,1434,7574,1319,8750,1017,8760,1012,8765,1002,8765,993,8760,983,8750,974xe" filled="true" fillcolor="#497dba" stroked="false">
                  <v:path arrowok="t"/>
                  <v:fill type="solid"/>
                </v:shape>
                <v:shape style="position:absolute;left:3969;top:1679;width:154;height:149" type="#_x0000_t75" id="docshape319" stroked="false">
                  <v:imagedata r:id="rId120" o:title=""/>
                </v:shape>
                <v:shape style="position:absolute;left:5140;top:1487;width:154;height:154" type="#_x0000_t75" id="docshape320" stroked="false">
                  <v:imagedata r:id="rId121" o:title=""/>
                </v:shape>
                <v:shape style="position:absolute;left:6316;top:1338;width:149;height:154" type="#_x0000_t75" id="docshape321" stroked="false">
                  <v:imagedata r:id="rId122" o:title=""/>
                </v:shape>
                <v:shape style="position:absolute;left:7488;top:1228;width:154;height:149" type="#_x0000_t75" id="docshape322" stroked="false">
                  <v:imagedata r:id="rId38" o:title=""/>
                </v:shape>
                <v:shape style="position:absolute;left:8664;top:925;width:149;height:149" type="#_x0000_t75" id="docshape323" stroked="false">
                  <v:imagedata r:id="rId64" o:title=""/>
                </v:shape>
                <v:shape style="position:absolute;left:4032;top:714;width:4733;height:495" id="docshape324" coordorigin="4032,714" coordsize="4733,495" path="m8755,714l7570,714,6394,791,5218,1094,5222,1094,4051,1166,4037,1166,4032,1175,4032,1199,4042,1209,4051,1209,5227,1137,5227,1132,6403,830,6472,830,7570,758,8755,758,8765,748,8765,724,8755,714xm6472,830l6403,830,6398,834,6472,830xe" filled="true" fillcolor="#bd4a47" stroked="false">
                  <v:path arrowok="t"/>
                  <v:fill type="solid"/>
                </v:shape>
                <v:rect style="position:absolute;left:3979;top:1122;width:130;height:130" id="docshape325" filled="true" fillcolor="#bf4f4c" stroked="false">
                  <v:fill type="solid"/>
                </v:rect>
                <v:shape style="position:absolute;left:3974;top:1117;width:144;height:144" id="docshape326" coordorigin="3974,1118" coordsize="144,144" path="m4118,1118l3974,1118,3974,1262,4114,1262,4118,1257,4118,1252,3984,1252,3979,1247,3984,1247,3984,1132,3979,1132,3984,1122,4118,1122,4118,1118xm3984,1247l3979,1247,3984,1252,3984,1247xm4104,1247l3984,1247,3984,1252,4104,1252,4104,1247xm4104,1122l4104,1252,4109,1247,4118,1247,4118,1132,4109,1132,4104,1122xm4118,1247l4109,1247,4104,1252,4118,1252,4118,1247xm3984,1122l3979,1132,3984,1132,3984,1122xm4104,1122l3984,1122,3984,1132,4104,1132,4104,1122xm4118,1122l4104,1122,4109,1132,4118,1132,4118,1122xe" filled="true" fillcolor="#bd4a47" stroked="false">
                  <v:path arrowok="t"/>
                  <v:fill type="solid"/>
                </v:shape>
                <v:shape style="position:absolute;left:5145;top:1040;width:144;height:144" type="#_x0000_t75" id="docshape327" stroked="false">
                  <v:imagedata r:id="rId123" o:title=""/>
                </v:shape>
                <v:rect style="position:absolute;left:6326;top:743;width:130;height:130" id="docshape328" filled="true" fillcolor="#bf4f4c" stroked="false">
                  <v:fill type="solid"/>
                </v:rect>
                <v:shape style="position:absolute;left:6316;top:738;width:144;height:144" id="docshape329" coordorigin="6317,738" coordsize="144,144" path="m6461,738l6317,738,6317,878,6322,882,6461,882,6461,873,6331,873,6326,868,6331,868,6331,753,6326,753,6331,743,6461,743,6461,738xm6331,868l6326,868,6331,873,6331,868xm6451,868l6331,868,6331,873,6451,873,6451,868xm6451,743l6451,873,6456,868,6461,868,6461,753,6456,753,6451,743xm6461,868l6456,868,6451,873,6461,873,6461,868xm6331,743l6326,753,6331,753,6331,743xm6451,743l6331,743,6331,753,6451,753,6451,743xm6461,743l6451,743,6456,753,6461,753,6461,743xe" filled="true" fillcolor="#bd4a47" stroked="false">
                  <v:path arrowok="t"/>
                  <v:fill type="solid"/>
                </v:shape>
                <v:rect style="position:absolute;left:7497;top:671;width:130;height:130" id="docshape330" filled="true" fillcolor="#bf4f4c" stroked="false">
                  <v:fill type="solid"/>
                </v:rect>
                <v:shape style="position:absolute;left:7492;top:666;width:144;height:144" id="docshape331" coordorigin="7493,666" coordsize="144,144" path="m7637,666l7493,666,7493,810,7632,810,7637,806,7637,801,7507,801,7498,796,7507,796,7507,681,7498,681,7507,671,7637,671,7637,666xm7507,796l7498,796,7507,801,7507,796xm7622,796l7507,796,7507,801,7622,801,7622,796xm7622,671l7622,801,7627,796,7637,796,7637,681,7627,681,7622,671xm7637,796l7627,796,7622,801,7637,801,7637,796xm7507,671l7498,681,7507,681,7507,671xm7622,671l7507,671,7507,681,7622,681,7622,671xm7637,671l7622,671,7627,681,7637,681,7637,671xe" filled="true" fillcolor="#bd4a47" stroked="false">
                  <v:path arrowok="t"/>
                  <v:fill type="solid"/>
                </v:shape>
                <v:shape style="position:absolute;left:8664;top:666;width:144;height:144" type="#_x0000_t75" id="docshape332" stroked="false">
                  <v:imagedata r:id="rId124" o:title=""/>
                </v:shape>
                <v:shape style="position:absolute;left:4027;top:676;width:4738;height:951" id="docshape333" coordorigin="4027,676" coordsize="4738,951" path="m8750,676l8741,681,7565,906,6394,1094,5222,1166,5218,1166,4046,1583,4032,1588,4027,1598,4037,1617,4046,1626,4056,1622,5232,1204,5305,1204,6398,1137,7574,945,8746,719,8760,719,8765,705,8765,695,8760,686,8750,676xm5305,1204l5232,1204,5227,1209,5305,1204xe" filled="true" fillcolor="#97b853" stroked="false">
                  <v:path arrowok="t"/>
                  <v:fill type="solid"/>
                </v:shape>
                <v:shape style="position:absolute;left:3969;top:1530;width:154;height:149" type="#_x0000_t75" id="docshape334" stroked="false">
                  <v:imagedata r:id="rId125" o:title=""/>
                </v:shape>
                <v:shape style="position:absolute;left:5140;top:1112;width:159;height:154" type="#_x0000_t75" id="docshape335" stroked="false">
                  <v:imagedata r:id="rId126" o:title=""/>
                </v:shape>
                <v:shape style="position:absolute;left:6316;top:1036;width:154;height:154" type="#_x0000_t75" id="docshape336" stroked="false">
                  <v:imagedata r:id="rId127" o:title=""/>
                </v:shape>
                <v:shape style="position:absolute;left:7488;top:848;width:154;height:149" type="#_x0000_t75" id="docshape337" stroked="false">
                  <v:imagedata r:id="rId128" o:title=""/>
                </v:shape>
                <v:shape style="position:absolute;left:8664;top:623;width:154;height:149" type="#_x0000_t75" id="docshape338" stroked="false">
                  <v:imagedata r:id="rId129" o:title=""/>
                </v:shape>
                <v:shape style="position:absolute;left:8966;top:1156;width:1090;height:1604" id="docshape339" coordorigin="8966,1156" coordsize="1090,1604" path="m10051,1156l8971,1156,8966,1161,8966,2754,8971,2759,10051,2759,10056,2754,8976,2754,8971,2750,8976,2750,8976,1170,8971,1170,8976,1161,10056,1161,10051,1156xm8976,2750l8971,2750,8976,2754,8976,2750xm10042,2750l8976,2750,8976,2754,10042,2754,10042,2750xm10042,1161l10042,2754,10051,2750,10056,2750,10056,1170,10051,1170,10042,1161xm10056,2750l10051,2750,10042,2754,10056,2754,10056,2750xm8976,1161l8971,1170,8976,1170,8976,1161xm10042,1161l8976,1161,8976,1170,10042,1170,10042,1161xm10056,1161l10042,1161,10051,1170,10056,1170,10056,1161xe" filled="true" fillcolor="#000000" stroked="false">
                  <v:path arrowok="t"/>
                  <v:fill type="solid"/>
                </v:shape>
                <v:shape style="position:absolute;left:9120;top:1405;width:404;height:44" id="docshape340" coordorigin="9120,1406" coordsize="404,44" path="m9514,1406l9144,1406,9130,1406,9120,1415,9120,1439,9130,1449,9514,1449,9523,1439,9523,1415,9514,1406xe" filled="true" fillcolor="#497dba" stroked="false">
                  <v:path arrowok="t"/>
                  <v:fill type="solid"/>
                </v:shape>
                <v:shape style="position:absolute;left:9259;top:1367;width:125;height:120" type="#_x0000_t75" id="docshape341" stroked="false">
                  <v:imagedata r:id="rId24" o:title=""/>
                </v:shape>
                <v:shape style="position:absolute;left:9120;top:1933;width:404;height:44" id="docshape342" coordorigin="9120,1934" coordsize="404,44" path="m9514,1934l9144,1934,9130,1934,9120,1943,9120,1967,9130,1977,9514,1977,9523,1967,9523,1943,9514,1934xe" filled="true" fillcolor="#bd4a47" stroked="false">
                  <v:path arrowok="t"/>
                  <v:fill type="solid"/>
                </v:shape>
                <v:rect style="position:absolute;left:9264;top:1900;width:116;height:116" id="docshape343" filled="true" fillcolor="#bf4f4c" stroked="false">
                  <v:fill type="solid"/>
                </v:rect>
                <v:shape style="position:absolute;left:9259;top:1895;width:125;height:125" id="docshape344" coordorigin="9259,1895" coordsize="125,125" path="m9379,1895l9264,1895,9259,1900,9259,2015,9264,2020,9379,2020,9384,2015,9274,2015,9264,2006,9274,2006,9274,1910,9264,1910,9274,1900,9384,1900,9379,1895xm9274,2006l9264,2006,9274,2015,9274,2006xm9370,2006l9274,2006,9274,2015,9370,2015,9370,2006xm9370,1900l9370,2015,9379,2006,9384,2006,9384,1910,9379,1910,9370,1900xm9384,2006l9379,2006,9370,2015,9384,2015,9384,2006xm9274,1900l9264,1910,9274,1910,9274,1900xm9370,1900l9274,1900,9274,1910,9370,1910,9370,1900xm9384,1900l9370,1900,9379,1910,9384,1910,9384,1900xe" filled="true" fillcolor="#bd4a47" stroked="false">
                  <v:path arrowok="t"/>
                  <v:fill type="solid"/>
                </v:shape>
                <v:shape style="position:absolute;left:9120;top:2466;width:404;height:44" id="docshape345" coordorigin="9120,2466" coordsize="404,44" path="m9514,2466l9144,2466,9130,2466,9120,2476,9120,2500,9130,2510,9514,2510,9523,2500,9523,2476,9514,2466xe" filled="true" fillcolor="#97b853" stroked="false">
                  <v:path arrowok="t"/>
                  <v:fill type="solid"/>
                </v:shape>
                <v:shape style="position:absolute;left:9259;top:2423;width:125;height:130" type="#_x0000_t75" id="docshape346" stroked="false">
                  <v:imagedata r:id="rId130" o:title=""/>
                </v:shape>
                <v:shape style="position:absolute;left:9537;top:1340;width:372;height:1251" type="#_x0000_t202" id="docshape347" filled="false" stroked="false">
                  <v:textbox inset="0,0,0,0">
                    <w:txbxContent>
                      <w:p>
                        <w:pPr>
                          <w:spacing w:line="193" w:lineRule="exact" w:before="0"/>
                          <w:ind w:left="0" w:right="0" w:firstLine="0"/>
                          <w:jc w:val="left"/>
                          <w:rPr>
                            <w:rFonts w:ascii="Calibri"/>
                            <w:sz w:val="19"/>
                          </w:rPr>
                        </w:pPr>
                        <w:r>
                          <w:rPr>
                            <w:rFonts w:ascii="Calibri"/>
                            <w:spacing w:val="-5"/>
                            <w:sz w:val="19"/>
                          </w:rPr>
                          <w:t>DS</w:t>
                        </w:r>
                      </w:p>
                      <w:p>
                        <w:pPr>
                          <w:spacing w:line="520" w:lineRule="atLeast" w:before="13"/>
                          <w:ind w:left="0" w:right="12" w:firstLine="0"/>
                          <w:jc w:val="left"/>
                          <w:rPr>
                            <w:rFonts w:ascii="Calibri"/>
                            <w:sz w:val="19"/>
                          </w:rPr>
                        </w:pPr>
                        <w:r>
                          <w:rPr>
                            <w:rFonts w:ascii="Calibri"/>
                            <w:spacing w:val="-4"/>
                            <w:sz w:val="19"/>
                          </w:rPr>
                          <w:t>MCS</w:t>
                        </w:r>
                        <w:r>
                          <w:rPr>
                            <w:rFonts w:ascii="Calibri"/>
                            <w:sz w:val="19"/>
                          </w:rPr>
                          <w:t> </w:t>
                        </w:r>
                        <w:r>
                          <w:rPr>
                            <w:rFonts w:ascii="Calibri"/>
                            <w:spacing w:val="-4"/>
                            <w:sz w:val="19"/>
                          </w:rPr>
                          <w:t>GEL</w:t>
                        </w:r>
                      </w:p>
                    </w:txbxContent>
                  </v:textbox>
                  <w10:wrap type="none"/>
                </v:shape>
                <w10:wrap type="none"/>
              </v:group>
            </w:pict>
          </mc:Fallback>
        </mc:AlternateContent>
      </w:r>
      <w:r>
        <w:rPr>
          <w:rFonts w:ascii="Calibri"/>
          <w:spacing w:val="-5"/>
          <w:sz w:val="19"/>
        </w:rPr>
        <w:t>14</w:t>
      </w:r>
    </w:p>
    <w:p>
      <w:pPr>
        <w:pStyle w:val="BodyText"/>
        <w:rPr>
          <w:rFonts w:ascii="Calibri"/>
          <w:sz w:val="19"/>
        </w:rPr>
      </w:pPr>
    </w:p>
    <w:p>
      <w:pPr>
        <w:pStyle w:val="BodyText"/>
        <w:spacing w:before="58"/>
        <w:rPr>
          <w:rFonts w:ascii="Calibri"/>
          <w:sz w:val="19"/>
        </w:rPr>
      </w:pPr>
    </w:p>
    <w:p>
      <w:pPr>
        <w:spacing w:before="0"/>
        <w:ind w:left="1376" w:right="0" w:firstLine="0"/>
        <w:jc w:val="left"/>
        <w:rPr>
          <w:rFonts w:ascii="Calibri"/>
          <w:sz w:val="19"/>
        </w:rPr>
      </w:pPr>
      <w:r>
        <w:rPr>
          <w:rFonts w:ascii="Calibri"/>
          <w:spacing w:val="-5"/>
          <w:sz w:val="19"/>
        </w:rPr>
        <w:t>12</w:t>
      </w:r>
    </w:p>
    <w:p>
      <w:pPr>
        <w:pStyle w:val="BodyText"/>
        <w:rPr>
          <w:rFonts w:ascii="Calibri"/>
          <w:sz w:val="19"/>
        </w:rPr>
      </w:pPr>
    </w:p>
    <w:p>
      <w:pPr>
        <w:pStyle w:val="BodyText"/>
        <w:spacing w:before="58"/>
        <w:rPr>
          <w:rFonts w:ascii="Calibri"/>
          <w:sz w:val="19"/>
        </w:rPr>
      </w:pPr>
    </w:p>
    <w:p>
      <w:pPr>
        <w:spacing w:before="0"/>
        <w:ind w:left="1376" w:right="0" w:firstLine="0"/>
        <w:jc w:val="left"/>
        <w:rPr>
          <w:rFonts w:ascii="Calibri"/>
          <w:sz w:val="19"/>
        </w:rPr>
      </w:pPr>
      <w:r>
        <w:rPr>
          <w:rFonts w:ascii="Calibri"/>
          <w:spacing w:val="-5"/>
          <w:sz w:val="19"/>
        </w:rPr>
        <w:t>10</w:t>
      </w:r>
    </w:p>
    <w:p>
      <w:pPr>
        <w:pStyle w:val="BodyText"/>
        <w:rPr>
          <w:rFonts w:ascii="Calibri"/>
          <w:sz w:val="19"/>
        </w:rPr>
      </w:pPr>
    </w:p>
    <w:p>
      <w:pPr>
        <w:pStyle w:val="BodyText"/>
        <w:spacing w:before="58"/>
        <w:rPr>
          <w:rFonts w:ascii="Calibri"/>
          <w:sz w:val="19"/>
        </w:rPr>
      </w:pPr>
    </w:p>
    <w:p>
      <w:pPr>
        <w:spacing w:before="0"/>
        <w:ind w:left="1472" w:right="0" w:firstLine="0"/>
        <w:jc w:val="left"/>
        <w:rPr>
          <w:rFonts w:ascii="Calibri"/>
          <w:sz w:val="19"/>
        </w:rPr>
      </w:pPr>
      <w:r>
        <w:rPr/>
        <mc:AlternateContent>
          <mc:Choice Requires="wps">
            <w:drawing>
              <wp:anchor distT="0" distB="0" distL="0" distR="0" allowOverlap="1" layoutInCell="1" locked="0" behindDoc="0" simplePos="0" relativeHeight="15768064">
                <wp:simplePos x="0" y="0"/>
                <wp:positionH relativeFrom="page">
                  <wp:posOffset>1795953</wp:posOffset>
                </wp:positionH>
                <wp:positionV relativeFrom="paragraph">
                  <wp:posOffset>-248943</wp:posOffset>
                </wp:positionV>
                <wp:extent cx="146050" cy="11360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46050" cy="1136015"/>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Crushing</w:t>
                            </w:r>
                            <w:r>
                              <w:rPr>
                                <w:rFonts w:ascii="Calibri"/>
                                <w:b/>
                                <w:spacing w:val="4"/>
                                <w:sz w:val="19"/>
                              </w:rPr>
                              <w:t> </w:t>
                            </w:r>
                            <w:r>
                              <w:rPr>
                                <w:rFonts w:ascii="Calibri"/>
                                <w:b/>
                                <w:spacing w:val="-2"/>
                                <w:sz w:val="19"/>
                              </w:rPr>
                              <w:t>strength(kgf)</w:t>
                            </w:r>
                          </w:p>
                        </w:txbxContent>
                      </wps:txbx>
                      <wps:bodyPr wrap="square" lIns="0" tIns="0" rIns="0" bIns="0" rtlCol="0" vert="vert270">
                        <a:noAutofit/>
                      </wps:bodyPr>
                    </wps:wsp>
                  </a:graphicData>
                </a:graphic>
              </wp:anchor>
            </w:drawing>
          </mc:Choice>
          <mc:Fallback>
            <w:pict>
              <v:shape style="position:absolute;margin-left:141.413681pt;margin-top:-19.601871pt;width:11.5pt;height:89.45pt;mso-position-horizontal-relative:page;mso-position-vertical-relative:paragraph;z-index:15768064" type="#_x0000_t202" id="docshape348"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Crushing</w:t>
                      </w:r>
                      <w:r>
                        <w:rPr>
                          <w:rFonts w:ascii="Calibri"/>
                          <w:b/>
                          <w:spacing w:val="4"/>
                          <w:sz w:val="19"/>
                        </w:rPr>
                        <w:t> </w:t>
                      </w:r>
                      <w:r>
                        <w:rPr>
                          <w:rFonts w:ascii="Calibri"/>
                          <w:b/>
                          <w:spacing w:val="-2"/>
                          <w:sz w:val="19"/>
                        </w:rPr>
                        <w:t>strength(kgf)</w:t>
                      </w:r>
                    </w:p>
                  </w:txbxContent>
                </v:textbox>
                <w10:wrap type="none"/>
              </v:shape>
            </w:pict>
          </mc:Fallback>
        </mc:AlternateContent>
      </w:r>
      <w:r>
        <w:rPr>
          <w:rFonts w:ascii="Calibri"/>
          <w:spacing w:val="-10"/>
          <w:sz w:val="19"/>
        </w:rPr>
        <w:t>8</w:t>
      </w:r>
    </w:p>
    <w:p>
      <w:pPr>
        <w:pStyle w:val="BodyText"/>
        <w:rPr>
          <w:rFonts w:ascii="Calibri"/>
          <w:sz w:val="19"/>
        </w:rPr>
      </w:pPr>
    </w:p>
    <w:p>
      <w:pPr>
        <w:pStyle w:val="BodyText"/>
        <w:spacing w:before="57"/>
        <w:rPr>
          <w:rFonts w:ascii="Calibri"/>
          <w:sz w:val="19"/>
        </w:rPr>
      </w:pPr>
    </w:p>
    <w:p>
      <w:pPr>
        <w:spacing w:before="1"/>
        <w:ind w:left="1472" w:right="0" w:firstLine="0"/>
        <w:jc w:val="left"/>
        <w:rPr>
          <w:rFonts w:ascii="Calibri"/>
          <w:sz w:val="19"/>
        </w:rPr>
      </w:pPr>
      <w:r>
        <w:rPr>
          <w:rFonts w:ascii="Calibri"/>
          <w:spacing w:val="-10"/>
          <w:sz w:val="19"/>
        </w:rPr>
        <w:t>6</w:t>
      </w:r>
    </w:p>
    <w:p>
      <w:pPr>
        <w:pStyle w:val="BodyText"/>
        <w:rPr>
          <w:rFonts w:ascii="Calibri"/>
          <w:sz w:val="19"/>
        </w:rPr>
      </w:pPr>
    </w:p>
    <w:p>
      <w:pPr>
        <w:pStyle w:val="BodyText"/>
        <w:spacing w:before="57"/>
        <w:rPr>
          <w:rFonts w:ascii="Calibri"/>
          <w:sz w:val="19"/>
        </w:rPr>
      </w:pPr>
    </w:p>
    <w:p>
      <w:pPr>
        <w:spacing w:before="0"/>
        <w:ind w:left="1472" w:right="0" w:firstLine="0"/>
        <w:jc w:val="left"/>
        <w:rPr>
          <w:rFonts w:ascii="Calibri"/>
          <w:sz w:val="19"/>
        </w:rPr>
      </w:pPr>
      <w:r>
        <w:rPr>
          <w:rFonts w:ascii="Calibri"/>
          <w:spacing w:val="-10"/>
          <w:sz w:val="19"/>
        </w:rPr>
        <w:t>4</w:t>
      </w:r>
    </w:p>
    <w:p>
      <w:pPr>
        <w:pStyle w:val="BodyText"/>
        <w:rPr>
          <w:rFonts w:ascii="Calibri"/>
          <w:sz w:val="19"/>
        </w:rPr>
      </w:pPr>
    </w:p>
    <w:p>
      <w:pPr>
        <w:pStyle w:val="BodyText"/>
        <w:spacing w:before="58"/>
        <w:rPr>
          <w:rFonts w:ascii="Calibri"/>
          <w:sz w:val="19"/>
        </w:rPr>
      </w:pPr>
    </w:p>
    <w:p>
      <w:pPr>
        <w:spacing w:before="0"/>
        <w:ind w:left="1472" w:right="0" w:firstLine="0"/>
        <w:jc w:val="left"/>
        <w:rPr>
          <w:rFonts w:ascii="Calibri"/>
          <w:sz w:val="19"/>
        </w:rPr>
      </w:pPr>
      <w:r>
        <w:rPr>
          <w:rFonts w:ascii="Calibri"/>
          <w:spacing w:val="-10"/>
          <w:sz w:val="19"/>
        </w:rPr>
        <w:t>2</w:t>
      </w:r>
    </w:p>
    <w:p>
      <w:pPr>
        <w:pStyle w:val="BodyText"/>
        <w:rPr>
          <w:rFonts w:ascii="Calibri"/>
          <w:sz w:val="19"/>
        </w:rPr>
      </w:pPr>
    </w:p>
    <w:p>
      <w:pPr>
        <w:pStyle w:val="BodyText"/>
        <w:spacing w:before="58"/>
        <w:rPr>
          <w:rFonts w:ascii="Calibri"/>
          <w:sz w:val="19"/>
        </w:rPr>
      </w:pPr>
    </w:p>
    <w:p>
      <w:pPr>
        <w:spacing w:before="0"/>
        <w:ind w:left="1472" w:right="0" w:firstLine="0"/>
        <w:jc w:val="left"/>
        <w:rPr>
          <w:rFonts w:ascii="Calibri"/>
          <w:sz w:val="19"/>
        </w:rPr>
      </w:pPr>
      <w:r>
        <w:rPr>
          <w:rFonts w:ascii="Calibri"/>
          <w:spacing w:val="-10"/>
          <w:sz w:val="19"/>
        </w:rPr>
        <w:t>0</w:t>
      </w:r>
    </w:p>
    <w:p>
      <w:pPr>
        <w:tabs>
          <w:tab w:pos="3454" w:val="left" w:leader="none"/>
          <w:tab w:pos="4558" w:val="left" w:leader="none"/>
          <w:tab w:pos="5753" w:val="left" w:leader="none"/>
          <w:tab w:pos="6852" w:val="left" w:leader="none"/>
        </w:tabs>
        <w:spacing w:before="13"/>
        <w:ind w:left="2211"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6"/>
        <w:ind w:left="3526" w:right="0" w:firstLine="0"/>
        <w:jc w:val="left"/>
        <w:rPr>
          <w:rFonts w:ascii="Calibri"/>
          <w:b/>
          <w:sz w:val="19"/>
        </w:rPr>
      </w:pPr>
      <w:r>
        <w:rPr>
          <w:rFonts w:ascii="Calibri"/>
          <w:b/>
          <w:spacing w:val="-2"/>
          <w:sz w:val="19"/>
        </w:rPr>
        <w:t>Binder</w:t>
      </w:r>
      <w:r>
        <w:rPr>
          <w:rFonts w:ascii="Calibri"/>
          <w:b/>
          <w:spacing w:val="-4"/>
          <w:sz w:val="19"/>
        </w:rPr>
        <w:t> </w:t>
      </w:r>
      <w:r>
        <w:rPr>
          <w:rFonts w:ascii="Calibri"/>
          <w:b/>
          <w:spacing w:val="-2"/>
          <w:sz w:val="19"/>
        </w:rPr>
        <w:t>concentration</w:t>
      </w:r>
      <w:r>
        <w:rPr>
          <w:rFonts w:ascii="Calibri"/>
          <w:b/>
          <w:spacing w:val="-10"/>
          <w:sz w:val="19"/>
        </w:rPr>
        <w:t> </w:t>
      </w:r>
      <w:r>
        <w:rPr>
          <w:rFonts w:ascii="Calibri"/>
          <w:b/>
          <w:spacing w:val="-2"/>
          <w:sz w:val="19"/>
        </w:rPr>
        <w:t>(%</w:t>
      </w:r>
      <w:r>
        <w:rPr>
          <w:rFonts w:ascii="Calibri"/>
          <w:b/>
          <w:spacing w:val="10"/>
          <w:sz w:val="19"/>
        </w:rPr>
        <w:t> </w:t>
      </w:r>
      <w:r>
        <w:rPr>
          <w:rFonts w:ascii="Calibri"/>
          <w:b/>
          <w:spacing w:val="-4"/>
          <w:sz w:val="19"/>
        </w:rPr>
        <w:t>w/v)</w:t>
      </w:r>
    </w:p>
    <w:p>
      <w:pPr>
        <w:pStyle w:val="BodyText"/>
        <w:spacing w:before="243"/>
        <w:rPr>
          <w:rFonts w:ascii="Calibri"/>
          <w:b/>
        </w:rPr>
      </w:pPr>
    </w:p>
    <w:p>
      <w:pPr>
        <w:pStyle w:val="Heading2"/>
        <w:ind w:left="1966" w:right="1562" w:hanging="1301"/>
      </w:pPr>
      <w:bookmarkStart w:name="_TOC_250013" w:id="148"/>
      <w:bookmarkEnd w:id="148"/>
      <w:r>
        <w:rPr/>
        <w:t>Figure A.11: Graph of crushing strength (kgf) against binder concentration (% w/v) of metronidazole tablets produced by wet granulation.</w:t>
      </w:r>
    </w:p>
    <w:p>
      <w:pPr>
        <w:spacing w:after="0"/>
        <w:sectPr>
          <w:pgSz w:w="12240" w:h="15840"/>
          <w:pgMar w:header="0" w:footer="999" w:top="1340" w:bottom="1180" w:left="1720" w:right="760"/>
        </w:sectPr>
      </w:pPr>
    </w:p>
    <w:p>
      <w:pPr>
        <w:spacing w:before="32"/>
        <w:ind w:left="1183" w:right="0" w:firstLine="0"/>
        <w:jc w:val="left"/>
        <w:rPr>
          <w:rFonts w:ascii="Calibri"/>
          <w:sz w:val="19"/>
        </w:rPr>
      </w:pPr>
      <w:r>
        <w:rPr/>
        <mc:AlternateContent>
          <mc:Choice Requires="wps">
            <w:drawing>
              <wp:anchor distT="0" distB="0" distL="0" distR="0" allowOverlap="1" layoutInCell="1" locked="0" behindDoc="1" simplePos="0" relativeHeight="482019328">
                <wp:simplePos x="0" y="0"/>
                <wp:positionH relativeFrom="page">
                  <wp:posOffset>1978151</wp:posOffset>
                </wp:positionH>
                <wp:positionV relativeFrom="paragraph">
                  <wp:posOffset>92964</wp:posOffset>
                </wp:positionV>
                <wp:extent cx="3599815" cy="387096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3599815" cy="3870960"/>
                          <a:chExt cx="3599815" cy="3870960"/>
                        </a:xfrm>
                      </wpg:grpSpPr>
                      <wps:wsp>
                        <wps:cNvPr id="362" name="Graphic 362"/>
                        <wps:cNvSpPr/>
                        <wps:spPr>
                          <a:xfrm>
                            <a:off x="0" y="0"/>
                            <a:ext cx="3599815" cy="3870960"/>
                          </a:xfrm>
                          <a:custGeom>
                            <a:avLst/>
                            <a:gdLst/>
                            <a:ahLst/>
                            <a:cxnLst/>
                            <a:rect l="l" t="t" r="r" b="b"/>
                            <a:pathLst>
                              <a:path w="3599815" h="3870960">
                                <a:moveTo>
                                  <a:pt x="3599688" y="3828288"/>
                                </a:moveTo>
                                <a:lnTo>
                                  <a:pt x="42672" y="3828288"/>
                                </a:lnTo>
                                <a:lnTo>
                                  <a:pt x="42672" y="6096"/>
                                </a:lnTo>
                                <a:lnTo>
                                  <a:pt x="39624" y="6096"/>
                                </a:lnTo>
                                <a:lnTo>
                                  <a:pt x="39624" y="0"/>
                                </a:lnTo>
                                <a:lnTo>
                                  <a:pt x="0" y="0"/>
                                </a:lnTo>
                                <a:lnTo>
                                  <a:pt x="0" y="9144"/>
                                </a:lnTo>
                                <a:lnTo>
                                  <a:pt x="33528" y="9144"/>
                                </a:lnTo>
                                <a:lnTo>
                                  <a:pt x="33528" y="384048"/>
                                </a:lnTo>
                                <a:lnTo>
                                  <a:pt x="0" y="384048"/>
                                </a:lnTo>
                                <a:lnTo>
                                  <a:pt x="0" y="393192"/>
                                </a:lnTo>
                                <a:lnTo>
                                  <a:pt x="33528" y="393192"/>
                                </a:lnTo>
                                <a:lnTo>
                                  <a:pt x="33528" y="768096"/>
                                </a:lnTo>
                                <a:lnTo>
                                  <a:pt x="0" y="768096"/>
                                </a:lnTo>
                                <a:lnTo>
                                  <a:pt x="0" y="777240"/>
                                </a:lnTo>
                                <a:lnTo>
                                  <a:pt x="33528" y="777240"/>
                                </a:lnTo>
                                <a:lnTo>
                                  <a:pt x="33528" y="1149096"/>
                                </a:lnTo>
                                <a:lnTo>
                                  <a:pt x="0" y="1149096"/>
                                </a:lnTo>
                                <a:lnTo>
                                  <a:pt x="0" y="1158240"/>
                                </a:lnTo>
                                <a:lnTo>
                                  <a:pt x="33528" y="1158240"/>
                                </a:lnTo>
                                <a:lnTo>
                                  <a:pt x="33528" y="1533144"/>
                                </a:lnTo>
                                <a:lnTo>
                                  <a:pt x="0" y="1533144"/>
                                </a:lnTo>
                                <a:lnTo>
                                  <a:pt x="0" y="1542288"/>
                                </a:lnTo>
                                <a:lnTo>
                                  <a:pt x="33528" y="1542288"/>
                                </a:lnTo>
                                <a:lnTo>
                                  <a:pt x="33528" y="1914144"/>
                                </a:lnTo>
                                <a:lnTo>
                                  <a:pt x="0" y="1914144"/>
                                </a:lnTo>
                                <a:lnTo>
                                  <a:pt x="0" y="1923288"/>
                                </a:lnTo>
                                <a:lnTo>
                                  <a:pt x="33528" y="1923288"/>
                                </a:lnTo>
                                <a:lnTo>
                                  <a:pt x="33528" y="2298192"/>
                                </a:lnTo>
                                <a:lnTo>
                                  <a:pt x="0" y="2298192"/>
                                </a:lnTo>
                                <a:lnTo>
                                  <a:pt x="0" y="2307336"/>
                                </a:lnTo>
                                <a:lnTo>
                                  <a:pt x="33528" y="2307336"/>
                                </a:lnTo>
                                <a:lnTo>
                                  <a:pt x="33528" y="2682240"/>
                                </a:lnTo>
                                <a:lnTo>
                                  <a:pt x="0" y="2682240"/>
                                </a:lnTo>
                                <a:lnTo>
                                  <a:pt x="0" y="2691384"/>
                                </a:lnTo>
                                <a:lnTo>
                                  <a:pt x="33528" y="2691384"/>
                                </a:lnTo>
                                <a:lnTo>
                                  <a:pt x="33528" y="3063240"/>
                                </a:lnTo>
                                <a:lnTo>
                                  <a:pt x="0" y="3063240"/>
                                </a:lnTo>
                                <a:lnTo>
                                  <a:pt x="0" y="3072384"/>
                                </a:lnTo>
                                <a:lnTo>
                                  <a:pt x="33528" y="3072384"/>
                                </a:lnTo>
                                <a:lnTo>
                                  <a:pt x="33528" y="3447288"/>
                                </a:lnTo>
                                <a:lnTo>
                                  <a:pt x="0" y="3447288"/>
                                </a:lnTo>
                                <a:lnTo>
                                  <a:pt x="0" y="3456432"/>
                                </a:lnTo>
                                <a:lnTo>
                                  <a:pt x="33528" y="3456432"/>
                                </a:lnTo>
                                <a:lnTo>
                                  <a:pt x="33528" y="3828288"/>
                                </a:lnTo>
                                <a:lnTo>
                                  <a:pt x="0" y="3828288"/>
                                </a:lnTo>
                                <a:lnTo>
                                  <a:pt x="0" y="3837432"/>
                                </a:lnTo>
                                <a:lnTo>
                                  <a:pt x="33528" y="3837432"/>
                                </a:lnTo>
                                <a:lnTo>
                                  <a:pt x="33528" y="3870960"/>
                                </a:lnTo>
                                <a:lnTo>
                                  <a:pt x="42672" y="3870960"/>
                                </a:lnTo>
                                <a:lnTo>
                                  <a:pt x="42672" y="3837432"/>
                                </a:lnTo>
                                <a:lnTo>
                                  <a:pt x="743712" y="3837432"/>
                                </a:lnTo>
                                <a:lnTo>
                                  <a:pt x="743712" y="3870960"/>
                                </a:lnTo>
                                <a:lnTo>
                                  <a:pt x="752856" y="3870960"/>
                                </a:lnTo>
                                <a:lnTo>
                                  <a:pt x="752856" y="3837432"/>
                                </a:lnTo>
                                <a:lnTo>
                                  <a:pt x="1456944" y="3837432"/>
                                </a:lnTo>
                                <a:lnTo>
                                  <a:pt x="1456944" y="3870960"/>
                                </a:lnTo>
                                <a:lnTo>
                                  <a:pt x="1466088" y="3870960"/>
                                </a:lnTo>
                                <a:lnTo>
                                  <a:pt x="1466088" y="3837432"/>
                                </a:lnTo>
                                <a:lnTo>
                                  <a:pt x="2167128" y="3837432"/>
                                </a:lnTo>
                                <a:lnTo>
                                  <a:pt x="2167128" y="3870960"/>
                                </a:lnTo>
                                <a:lnTo>
                                  <a:pt x="2176272" y="3870960"/>
                                </a:lnTo>
                                <a:lnTo>
                                  <a:pt x="2176272" y="3837432"/>
                                </a:lnTo>
                                <a:lnTo>
                                  <a:pt x="2883408" y="3837432"/>
                                </a:lnTo>
                                <a:lnTo>
                                  <a:pt x="2883408" y="3870960"/>
                                </a:lnTo>
                                <a:lnTo>
                                  <a:pt x="2889504" y="3870960"/>
                                </a:lnTo>
                                <a:lnTo>
                                  <a:pt x="2889504" y="3837432"/>
                                </a:lnTo>
                                <a:lnTo>
                                  <a:pt x="3593592" y="3837432"/>
                                </a:lnTo>
                                <a:lnTo>
                                  <a:pt x="3593592" y="3870960"/>
                                </a:lnTo>
                                <a:lnTo>
                                  <a:pt x="3599688" y="3870960"/>
                                </a:lnTo>
                                <a:lnTo>
                                  <a:pt x="3599688" y="3837432"/>
                                </a:lnTo>
                                <a:lnTo>
                                  <a:pt x="3599688" y="3831336"/>
                                </a:lnTo>
                                <a:lnTo>
                                  <a:pt x="3599688" y="3828288"/>
                                </a:lnTo>
                                <a:close/>
                              </a:path>
                            </a:pathLst>
                          </a:custGeom>
                          <a:solidFill>
                            <a:srgbClr val="858585"/>
                          </a:solidFill>
                        </wps:spPr>
                        <wps:bodyPr wrap="square" lIns="0" tIns="0" rIns="0" bIns="0" rtlCol="0">
                          <a:prstTxWarp prst="textNoShape">
                            <a:avLst/>
                          </a:prstTxWarp>
                          <a:noAutofit/>
                        </wps:bodyPr>
                      </wps:wsp>
                      <pic:pic>
                        <pic:nvPicPr>
                          <pic:cNvPr id="363" name="Image 363"/>
                          <pic:cNvPicPr/>
                        </pic:nvPicPr>
                        <pic:blipFill>
                          <a:blip r:embed="rId131" cstate="print"/>
                          <a:stretch>
                            <a:fillRect/>
                          </a:stretch>
                        </pic:blipFill>
                        <pic:spPr>
                          <a:xfrm>
                            <a:off x="344424" y="438912"/>
                            <a:ext cx="2947416" cy="1780031"/>
                          </a:xfrm>
                          <a:prstGeom prst="rect">
                            <a:avLst/>
                          </a:prstGeom>
                        </pic:spPr>
                      </pic:pic>
                    </wpg:wgp>
                  </a:graphicData>
                </a:graphic>
              </wp:anchor>
            </w:drawing>
          </mc:Choice>
          <mc:Fallback>
            <w:pict>
              <v:group style="position:absolute;margin-left:155.759995pt;margin-top:7.32pt;width:283.45pt;height:304.8pt;mso-position-horizontal-relative:page;mso-position-vertical-relative:paragraph;z-index:-21297152" id="docshapegroup349" coordorigin="3115,146" coordsize="5669,6096">
                <v:shape style="position:absolute;left:3115;top:146;width:5669;height:6096" id="docshape350" coordorigin="3115,146" coordsize="5669,6096" path="m8784,6175l3182,6175,3182,156,3178,156,3178,146,3115,146,3115,161,3168,161,3168,751,3115,751,3115,766,3168,766,3168,1356,3115,1356,3115,1370,3168,1370,3168,1956,3115,1956,3115,1970,3168,1970,3168,2561,3115,2561,3115,2575,3168,2575,3168,3161,3115,3161,3115,3175,3168,3175,3168,3766,3115,3766,3115,3780,3168,3780,3168,4370,3115,4370,3115,4385,3168,4385,3168,4970,3115,4970,3115,4985,3168,4985,3168,5575,3115,5575,3115,5590,3168,5590,3168,6175,3115,6175,3115,6190,3168,6190,3168,6242,3182,6242,3182,6190,4286,6190,4286,6242,4301,6242,4301,6190,5410,6190,5410,6242,5424,6242,5424,6190,6528,6190,6528,6242,6542,6242,6542,6190,7656,6190,7656,6242,7666,6242,7666,6190,8774,6190,8774,6242,8784,6242,8784,6190,8784,6180,8784,6175xe" filled="true" fillcolor="#858585" stroked="false">
                  <v:path arrowok="t"/>
                  <v:fill type="solid"/>
                </v:shape>
                <v:shape style="position:absolute;left:3657;top:837;width:4642;height:2804" type="#_x0000_t75" id="docshape351" stroked="false">
                  <v:imagedata r:id="rId131" o:title=""/>
                </v:shape>
                <w10:wrap type="none"/>
              </v:group>
            </w:pict>
          </mc:Fallback>
        </mc:AlternateContent>
      </w:r>
      <w:r>
        <w:rPr>
          <w:rFonts w:ascii="Calibri"/>
          <w:spacing w:val="-10"/>
          <w:sz w:val="19"/>
        </w:rPr>
        <w:t>2</w:t>
      </w:r>
    </w:p>
    <w:p>
      <w:pPr>
        <w:pStyle w:val="BodyText"/>
        <w:spacing w:before="141"/>
        <w:rPr>
          <w:rFonts w:ascii="Calibri"/>
          <w:sz w:val="19"/>
        </w:rPr>
      </w:pPr>
    </w:p>
    <w:p>
      <w:pPr>
        <w:spacing w:before="0"/>
        <w:ind w:left="1040" w:right="0" w:firstLine="0"/>
        <w:jc w:val="left"/>
        <w:rPr>
          <w:rFonts w:ascii="Calibri"/>
          <w:sz w:val="19"/>
        </w:rPr>
      </w:pPr>
      <w:r>
        <w:rPr>
          <w:rFonts w:ascii="Calibri"/>
          <w:spacing w:val="-5"/>
          <w:sz w:val="19"/>
        </w:rPr>
        <w:t>1.8</w:t>
      </w:r>
    </w:p>
    <w:p>
      <w:pPr>
        <w:pStyle w:val="BodyText"/>
        <w:spacing w:before="136"/>
        <w:rPr>
          <w:rFonts w:ascii="Calibri"/>
          <w:sz w:val="19"/>
        </w:rPr>
      </w:pPr>
    </w:p>
    <w:p>
      <w:pPr>
        <w:tabs>
          <w:tab w:pos="7159" w:val="left" w:leader="none"/>
        </w:tabs>
        <w:spacing w:before="0"/>
        <w:ind w:left="1040" w:right="0" w:firstLine="0"/>
        <w:jc w:val="left"/>
        <w:rPr>
          <w:rFonts w:ascii="Calibri"/>
          <w:sz w:val="19"/>
        </w:rPr>
      </w:pPr>
      <w:r>
        <w:rPr>
          <w:rFonts w:ascii="Calibri"/>
          <w:spacing w:val="-5"/>
          <w:sz w:val="19"/>
        </w:rPr>
        <w:t>1.6</w:t>
      </w:r>
      <w:r>
        <w:rPr>
          <w:rFonts w:ascii="Calibri"/>
          <w:sz w:val="19"/>
        </w:rPr>
        <w:tab/>
      </w:r>
      <w:r>
        <w:rPr>
          <w:rFonts w:ascii="Calibri"/>
          <w:position w:val="-9"/>
          <w:sz w:val="19"/>
        </w:rPr>
        <w:drawing>
          <wp:inline distT="0" distB="0" distL="0" distR="0">
            <wp:extent cx="252984" cy="79248"/>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132" cstate="print"/>
                    <a:stretch>
                      <a:fillRect/>
                    </a:stretch>
                  </pic:blipFill>
                  <pic:spPr>
                    <a:xfrm>
                      <a:off x="0" y="0"/>
                      <a:ext cx="252984" cy="79248"/>
                    </a:xfrm>
                    <a:prstGeom prst="rect">
                      <a:avLst/>
                    </a:prstGeom>
                  </pic:spPr>
                </pic:pic>
              </a:graphicData>
            </a:graphic>
          </wp:inline>
        </w:drawing>
      </w:r>
      <w:r>
        <w:rPr>
          <w:rFonts w:ascii="Calibri"/>
          <w:position w:val="-9"/>
          <w:sz w:val="19"/>
        </w:rPr>
      </w:r>
      <w:r>
        <w:rPr>
          <w:rFonts w:ascii="Calibri"/>
          <w:spacing w:val="-5"/>
          <w:position w:val="-9"/>
          <w:sz w:val="19"/>
        </w:rPr>
        <w:t>DS</w:t>
      </w:r>
    </w:p>
    <w:p>
      <w:pPr>
        <w:pStyle w:val="BodyText"/>
        <w:spacing w:before="4"/>
        <w:rPr>
          <w:rFonts w:ascii="Calibri"/>
          <w:sz w:val="17"/>
        </w:rPr>
      </w:pPr>
    </w:p>
    <w:p>
      <w:pPr>
        <w:spacing w:after="0"/>
        <w:rPr>
          <w:rFonts w:ascii="Calibri"/>
          <w:sz w:val="17"/>
        </w:rPr>
        <w:sectPr>
          <w:pgSz w:w="12240" w:h="15840"/>
          <w:pgMar w:header="0" w:footer="999" w:top="1380" w:bottom="1180" w:left="1720" w:right="760"/>
        </w:sectPr>
      </w:pPr>
    </w:p>
    <w:p>
      <w:pPr>
        <w:spacing w:before="62"/>
        <w:ind w:left="0" w:right="38" w:firstLine="0"/>
        <w:jc w:val="right"/>
        <w:rPr>
          <w:rFonts w:ascii="Calibri"/>
          <w:sz w:val="19"/>
        </w:rPr>
      </w:pPr>
      <w:r>
        <w:rPr>
          <w:rFonts w:ascii="Calibri"/>
          <w:spacing w:val="-5"/>
          <w:sz w:val="19"/>
        </w:rPr>
        <w:t>1.4</w:t>
      </w:r>
    </w:p>
    <w:p>
      <w:pPr>
        <w:spacing w:before="163"/>
        <w:ind w:left="1040" w:right="0" w:firstLine="0"/>
        <w:jc w:val="left"/>
        <w:rPr>
          <w:rFonts w:ascii="Calibri"/>
          <w:sz w:val="19"/>
        </w:rPr>
      </w:pPr>
      <w:r>
        <w:rPr/>
        <w:br w:type="column"/>
      </w:r>
      <w:r>
        <w:rPr/>
        <w:drawing>
          <wp:inline distT="0" distB="0" distL="0" distR="0">
            <wp:extent cx="252984" cy="79248"/>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133" cstate="print"/>
                    <a:stretch>
                      <a:fillRect/>
                    </a:stretch>
                  </pic:blipFill>
                  <pic:spPr>
                    <a:xfrm>
                      <a:off x="0" y="0"/>
                      <a:ext cx="252984" cy="79248"/>
                    </a:xfrm>
                    <a:prstGeom prst="rect">
                      <a:avLst/>
                    </a:prstGeom>
                  </pic:spPr>
                </pic:pic>
              </a:graphicData>
            </a:graphic>
          </wp:inline>
        </w:drawing>
      </w:r>
      <w:r>
        <w:rPr/>
      </w:r>
      <w:r>
        <w:rPr>
          <w:rFonts w:ascii="Calibri"/>
          <w:spacing w:val="-5"/>
          <w:sz w:val="19"/>
        </w:rPr>
        <w:t>MCS</w:t>
      </w:r>
    </w:p>
    <w:p>
      <w:pPr>
        <w:spacing w:after="0"/>
        <w:jc w:val="left"/>
        <w:rPr>
          <w:rFonts w:ascii="Calibri"/>
          <w:sz w:val="19"/>
        </w:rPr>
        <w:sectPr>
          <w:type w:val="continuous"/>
          <w:pgSz w:w="12240" w:h="15840"/>
          <w:pgMar w:header="0" w:footer="999" w:top="1780" w:bottom="1180" w:left="1720" w:right="760"/>
          <w:cols w:num="2" w:equalWidth="0">
            <w:col w:w="1320" w:space="4800"/>
            <w:col w:w="3640"/>
          </w:cols>
        </w:sectPr>
      </w:pPr>
    </w:p>
    <w:p>
      <w:pPr>
        <w:pStyle w:val="BodyText"/>
        <w:spacing w:before="10"/>
        <w:rPr>
          <w:rFonts w:ascii="Calibri"/>
          <w:sz w:val="16"/>
        </w:rPr>
      </w:pPr>
    </w:p>
    <w:p>
      <w:pPr>
        <w:spacing w:after="0"/>
        <w:rPr>
          <w:rFonts w:ascii="Calibri"/>
          <w:sz w:val="16"/>
        </w:rPr>
        <w:sectPr>
          <w:type w:val="continuous"/>
          <w:pgSz w:w="12240" w:h="15840"/>
          <w:pgMar w:header="0" w:footer="999" w:top="1780" w:bottom="1180" w:left="1720" w:right="760"/>
        </w:sectPr>
      </w:pPr>
    </w:p>
    <w:p>
      <w:pPr>
        <w:spacing w:before="62"/>
        <w:ind w:left="0" w:right="38" w:firstLine="0"/>
        <w:jc w:val="right"/>
        <w:rPr>
          <w:rFonts w:ascii="Calibri"/>
          <w:sz w:val="19"/>
        </w:rPr>
      </w:pPr>
      <w:r>
        <w:rPr/>
        <mc:AlternateContent>
          <mc:Choice Requires="wps">
            <w:drawing>
              <wp:anchor distT="0" distB="0" distL="0" distR="0" allowOverlap="1" layoutInCell="1" locked="0" behindDoc="0" simplePos="0" relativeHeight="15769088">
                <wp:simplePos x="0" y="0"/>
                <wp:positionH relativeFrom="page">
                  <wp:posOffset>1582593</wp:posOffset>
                </wp:positionH>
                <wp:positionV relativeFrom="paragraph">
                  <wp:posOffset>177211</wp:posOffset>
                </wp:positionV>
                <wp:extent cx="146050" cy="65151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46050" cy="65151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Friability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24.613678pt;margin-top:13.953633pt;width:11.5pt;height:51.3pt;mso-position-horizontal-relative:page;mso-position-vertical-relative:paragraph;z-index:15769088" type="#_x0000_t202" id="docshape352"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Friability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5"/>
          <w:sz w:val="19"/>
        </w:rPr>
        <w:t>1.2</w:t>
      </w:r>
    </w:p>
    <w:p>
      <w:pPr>
        <w:spacing w:before="172"/>
        <w:ind w:left="1040" w:right="0" w:firstLine="0"/>
        <w:jc w:val="left"/>
        <w:rPr>
          <w:rFonts w:ascii="Calibri"/>
          <w:sz w:val="19"/>
        </w:rPr>
      </w:pPr>
      <w:r>
        <w:rPr/>
        <w:br w:type="column"/>
      </w:r>
      <w:r>
        <w:rPr/>
        <w:drawing>
          <wp:inline distT="0" distB="0" distL="0" distR="0">
            <wp:extent cx="252984" cy="79247"/>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134" cstate="print"/>
                    <a:stretch>
                      <a:fillRect/>
                    </a:stretch>
                  </pic:blipFill>
                  <pic:spPr>
                    <a:xfrm>
                      <a:off x="0" y="0"/>
                      <a:ext cx="252984" cy="79247"/>
                    </a:xfrm>
                    <a:prstGeom prst="rect">
                      <a:avLst/>
                    </a:prstGeom>
                  </pic:spPr>
                </pic:pic>
              </a:graphicData>
            </a:graphic>
          </wp:inline>
        </w:drawing>
      </w:r>
      <w:r>
        <w:rPr/>
      </w:r>
      <w:r>
        <w:rPr>
          <w:rFonts w:ascii="Calibri"/>
          <w:spacing w:val="-5"/>
          <w:sz w:val="19"/>
        </w:rPr>
        <w:t>GEL</w:t>
      </w:r>
    </w:p>
    <w:p>
      <w:pPr>
        <w:spacing w:after="0"/>
        <w:jc w:val="left"/>
        <w:rPr>
          <w:rFonts w:ascii="Calibri"/>
          <w:sz w:val="19"/>
        </w:rPr>
        <w:sectPr>
          <w:type w:val="continuous"/>
          <w:pgSz w:w="12240" w:h="15840"/>
          <w:pgMar w:header="0" w:footer="999" w:top="1780" w:bottom="1180" w:left="1720" w:right="760"/>
          <w:cols w:num="2" w:equalWidth="0">
            <w:col w:w="1320" w:space="4800"/>
            <w:col w:w="3640"/>
          </w:cols>
        </w:sectPr>
      </w:pPr>
    </w:p>
    <w:p>
      <w:pPr>
        <w:pStyle w:val="BodyText"/>
        <w:spacing w:before="30"/>
        <w:rPr>
          <w:rFonts w:ascii="Calibri"/>
          <w:sz w:val="19"/>
        </w:rPr>
      </w:pPr>
    </w:p>
    <w:p>
      <w:pPr>
        <w:spacing w:before="0"/>
        <w:ind w:left="1183" w:right="0" w:firstLine="0"/>
        <w:jc w:val="left"/>
        <w:rPr>
          <w:rFonts w:ascii="Calibri"/>
          <w:sz w:val="19"/>
        </w:rPr>
      </w:pPr>
      <w:r>
        <w:rPr>
          <w:rFonts w:ascii="Calibri"/>
          <w:spacing w:val="-10"/>
          <w:sz w:val="19"/>
        </w:rPr>
        <w:t>1</w:t>
      </w:r>
    </w:p>
    <w:p>
      <w:pPr>
        <w:pStyle w:val="BodyText"/>
        <w:spacing w:before="136"/>
        <w:rPr>
          <w:rFonts w:ascii="Calibri"/>
          <w:sz w:val="19"/>
        </w:rPr>
      </w:pPr>
    </w:p>
    <w:p>
      <w:pPr>
        <w:spacing w:before="1"/>
        <w:ind w:left="1040" w:right="0" w:firstLine="0"/>
        <w:jc w:val="left"/>
        <w:rPr>
          <w:rFonts w:ascii="Calibri"/>
          <w:sz w:val="19"/>
        </w:rPr>
      </w:pPr>
      <w:r>
        <w:rPr>
          <w:rFonts w:ascii="Calibri"/>
          <w:spacing w:val="-5"/>
          <w:sz w:val="19"/>
        </w:rPr>
        <w:t>0.8</w:t>
      </w:r>
    </w:p>
    <w:p>
      <w:pPr>
        <w:pStyle w:val="BodyText"/>
        <w:spacing w:before="140"/>
        <w:rPr>
          <w:rFonts w:ascii="Calibri"/>
          <w:sz w:val="19"/>
        </w:rPr>
      </w:pPr>
    </w:p>
    <w:p>
      <w:pPr>
        <w:spacing w:before="1"/>
        <w:ind w:left="1040" w:right="0" w:firstLine="0"/>
        <w:jc w:val="left"/>
        <w:rPr>
          <w:rFonts w:ascii="Calibri"/>
          <w:sz w:val="19"/>
        </w:rPr>
      </w:pPr>
      <w:r>
        <w:rPr>
          <w:rFonts w:ascii="Calibri"/>
          <w:spacing w:val="-5"/>
          <w:sz w:val="19"/>
        </w:rPr>
        <w:t>0.6</w:t>
      </w:r>
    </w:p>
    <w:p>
      <w:pPr>
        <w:pStyle w:val="BodyText"/>
        <w:spacing w:before="140"/>
        <w:rPr>
          <w:rFonts w:ascii="Calibri"/>
          <w:sz w:val="19"/>
        </w:rPr>
      </w:pPr>
    </w:p>
    <w:p>
      <w:pPr>
        <w:spacing w:before="0"/>
        <w:ind w:left="1040" w:right="0" w:firstLine="0"/>
        <w:jc w:val="left"/>
        <w:rPr>
          <w:rFonts w:ascii="Calibri"/>
          <w:sz w:val="19"/>
        </w:rPr>
      </w:pPr>
      <w:r>
        <w:rPr>
          <w:rFonts w:ascii="Calibri"/>
          <w:spacing w:val="-5"/>
          <w:sz w:val="19"/>
        </w:rPr>
        <w:t>0.4</w:t>
      </w:r>
    </w:p>
    <w:p>
      <w:pPr>
        <w:pStyle w:val="BodyText"/>
        <w:spacing w:before="136"/>
        <w:rPr>
          <w:rFonts w:ascii="Calibri"/>
          <w:sz w:val="19"/>
        </w:rPr>
      </w:pPr>
    </w:p>
    <w:p>
      <w:pPr>
        <w:spacing w:before="1"/>
        <w:ind w:left="1040" w:right="0" w:firstLine="0"/>
        <w:jc w:val="left"/>
        <w:rPr>
          <w:rFonts w:ascii="Calibri"/>
          <w:sz w:val="19"/>
        </w:rPr>
      </w:pPr>
      <w:r>
        <w:rPr>
          <w:rFonts w:ascii="Calibri"/>
          <w:spacing w:val="-5"/>
          <w:sz w:val="19"/>
        </w:rPr>
        <w:t>0.2</w:t>
      </w:r>
    </w:p>
    <w:p>
      <w:pPr>
        <w:pStyle w:val="BodyText"/>
        <w:spacing w:before="140"/>
        <w:rPr>
          <w:rFonts w:ascii="Calibri"/>
          <w:sz w:val="19"/>
        </w:rPr>
      </w:pPr>
    </w:p>
    <w:p>
      <w:pPr>
        <w:spacing w:before="1"/>
        <w:ind w:left="1183" w:right="0" w:firstLine="0"/>
        <w:jc w:val="left"/>
        <w:rPr>
          <w:rFonts w:ascii="Calibri"/>
          <w:sz w:val="19"/>
        </w:rPr>
      </w:pPr>
      <w:r>
        <w:rPr>
          <w:rFonts w:ascii="Calibri"/>
          <w:spacing w:val="-10"/>
          <w:sz w:val="19"/>
        </w:rPr>
        <w:t>0</w:t>
      </w:r>
    </w:p>
    <w:p>
      <w:pPr>
        <w:tabs>
          <w:tab w:pos="3089" w:val="left" w:leader="none"/>
          <w:tab w:pos="4135" w:val="left" w:leader="none"/>
          <w:tab w:pos="5283" w:val="left" w:leader="none"/>
          <w:tab w:pos="6334" w:val="left" w:leader="none"/>
        </w:tabs>
        <w:spacing w:before="12"/>
        <w:ind w:left="1894"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2"/>
        <w:ind w:left="3104" w:right="0" w:firstLine="0"/>
        <w:jc w:val="left"/>
        <w:rPr>
          <w:rFonts w:ascii="Calibri"/>
          <w:b/>
          <w:sz w:val="19"/>
        </w:rPr>
      </w:pPr>
      <w:r>
        <w:rPr>
          <w:rFonts w:ascii="Calibri"/>
          <w:b/>
          <w:spacing w:val="-2"/>
          <w:sz w:val="19"/>
        </w:rPr>
        <w:t>Binder</w:t>
      </w:r>
      <w:r>
        <w:rPr>
          <w:rFonts w:ascii="Calibri"/>
          <w:b/>
          <w:spacing w:val="2"/>
          <w:sz w:val="19"/>
        </w:rPr>
        <w:t> </w:t>
      </w:r>
      <w:r>
        <w:rPr>
          <w:rFonts w:ascii="Calibri"/>
          <w:b/>
          <w:spacing w:val="-2"/>
          <w:sz w:val="19"/>
        </w:rPr>
        <w:t>concentration</w:t>
      </w:r>
      <w:r>
        <w:rPr>
          <w:rFonts w:ascii="Calibri"/>
          <w:b/>
          <w:spacing w:val="-11"/>
          <w:sz w:val="19"/>
        </w:rPr>
        <w:t> </w:t>
      </w:r>
      <w:r>
        <w:rPr>
          <w:rFonts w:ascii="Calibri"/>
          <w:b/>
          <w:spacing w:val="-2"/>
          <w:sz w:val="19"/>
        </w:rPr>
        <w:t>(%</w:t>
      </w:r>
      <w:r>
        <w:rPr>
          <w:rFonts w:ascii="Calibri"/>
          <w:b/>
          <w:spacing w:val="9"/>
          <w:sz w:val="19"/>
        </w:rPr>
        <w:t> </w:t>
      </w:r>
      <w:r>
        <w:rPr>
          <w:rFonts w:ascii="Calibri"/>
          <w:b/>
          <w:spacing w:val="-4"/>
          <w:sz w:val="19"/>
        </w:rPr>
        <w:t>w/v)</w:t>
      </w:r>
    </w:p>
    <w:p>
      <w:pPr>
        <w:pStyle w:val="BodyText"/>
        <w:rPr>
          <w:rFonts w:ascii="Calibri"/>
          <w:b/>
        </w:rPr>
      </w:pPr>
    </w:p>
    <w:p>
      <w:pPr>
        <w:pStyle w:val="BodyText"/>
        <w:spacing w:before="104"/>
        <w:rPr>
          <w:rFonts w:ascii="Calibri"/>
          <w:b/>
        </w:rPr>
      </w:pPr>
    </w:p>
    <w:p>
      <w:pPr>
        <w:pStyle w:val="Heading2"/>
        <w:ind w:left="1966" w:right="1562" w:hanging="1301"/>
      </w:pPr>
      <w:bookmarkStart w:name="_TOC_250012" w:id="149"/>
      <w:bookmarkEnd w:id="149"/>
      <w:r>
        <w:rPr/>
        <w:t>Figure A.12: Graph of friability (%) against binder concentration (% w/v) of metronidazole tablets produced by wet granulation.</w:t>
      </w:r>
    </w:p>
    <w:p>
      <w:pPr>
        <w:spacing w:after="0"/>
        <w:sectPr>
          <w:type w:val="continuous"/>
          <w:pgSz w:w="12240" w:h="15840"/>
          <w:pgMar w:header="0" w:footer="999" w:top="1780" w:bottom="1180" w:left="1720" w:right="760"/>
        </w:sectPr>
      </w:pPr>
    </w:p>
    <w:p>
      <w:pPr>
        <w:spacing w:before="38"/>
        <w:ind w:left="1505" w:right="0" w:firstLine="0"/>
        <w:jc w:val="left"/>
        <w:rPr>
          <w:rFonts w:ascii="Calibri"/>
          <w:sz w:val="19"/>
        </w:rPr>
      </w:pPr>
      <w:r>
        <w:rPr/>
        <mc:AlternateContent>
          <mc:Choice Requires="wps">
            <w:drawing>
              <wp:anchor distT="0" distB="0" distL="0" distR="0" allowOverlap="1" layoutInCell="1" locked="0" behindDoc="0" simplePos="0" relativeHeight="15769600">
                <wp:simplePos x="0" y="0"/>
                <wp:positionH relativeFrom="page">
                  <wp:posOffset>2246376</wp:posOffset>
                </wp:positionH>
                <wp:positionV relativeFrom="paragraph">
                  <wp:posOffset>96519</wp:posOffset>
                </wp:positionV>
                <wp:extent cx="3855720" cy="3621404"/>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3855720" cy="3621404"/>
                          <a:chExt cx="3855720" cy="3621404"/>
                        </a:xfrm>
                      </wpg:grpSpPr>
                      <wps:wsp>
                        <wps:cNvPr id="369" name="Graphic 369"/>
                        <wps:cNvSpPr/>
                        <wps:spPr>
                          <a:xfrm>
                            <a:off x="0" y="0"/>
                            <a:ext cx="3724910" cy="3621404"/>
                          </a:xfrm>
                          <a:custGeom>
                            <a:avLst/>
                            <a:gdLst/>
                            <a:ahLst/>
                            <a:cxnLst/>
                            <a:rect l="l" t="t" r="r" b="b"/>
                            <a:pathLst>
                              <a:path w="3724910" h="3621404">
                                <a:moveTo>
                                  <a:pt x="3724656" y="3584448"/>
                                </a:moveTo>
                                <a:lnTo>
                                  <a:pt x="3718560" y="3584448"/>
                                </a:lnTo>
                                <a:lnTo>
                                  <a:pt x="3718560" y="3581400"/>
                                </a:lnTo>
                                <a:lnTo>
                                  <a:pt x="39624" y="3581400"/>
                                </a:lnTo>
                                <a:lnTo>
                                  <a:pt x="39624" y="6096"/>
                                </a:lnTo>
                                <a:lnTo>
                                  <a:pt x="36576" y="6096"/>
                                </a:lnTo>
                                <a:lnTo>
                                  <a:pt x="36576" y="0"/>
                                </a:lnTo>
                                <a:lnTo>
                                  <a:pt x="0" y="0"/>
                                </a:lnTo>
                                <a:lnTo>
                                  <a:pt x="0" y="9144"/>
                                </a:lnTo>
                                <a:lnTo>
                                  <a:pt x="30480" y="9144"/>
                                </a:lnTo>
                                <a:lnTo>
                                  <a:pt x="30480" y="716280"/>
                                </a:lnTo>
                                <a:lnTo>
                                  <a:pt x="0" y="716280"/>
                                </a:lnTo>
                                <a:lnTo>
                                  <a:pt x="0" y="725424"/>
                                </a:lnTo>
                                <a:lnTo>
                                  <a:pt x="30480" y="725424"/>
                                </a:lnTo>
                                <a:lnTo>
                                  <a:pt x="30480" y="1432560"/>
                                </a:lnTo>
                                <a:lnTo>
                                  <a:pt x="0" y="1432560"/>
                                </a:lnTo>
                                <a:lnTo>
                                  <a:pt x="0" y="1441704"/>
                                </a:lnTo>
                                <a:lnTo>
                                  <a:pt x="30480" y="1441704"/>
                                </a:lnTo>
                                <a:lnTo>
                                  <a:pt x="30480" y="2148840"/>
                                </a:lnTo>
                                <a:lnTo>
                                  <a:pt x="0" y="2148840"/>
                                </a:lnTo>
                                <a:lnTo>
                                  <a:pt x="0" y="2157984"/>
                                </a:lnTo>
                                <a:lnTo>
                                  <a:pt x="30480" y="2157984"/>
                                </a:lnTo>
                                <a:lnTo>
                                  <a:pt x="30480" y="2862072"/>
                                </a:lnTo>
                                <a:lnTo>
                                  <a:pt x="0" y="2862072"/>
                                </a:lnTo>
                                <a:lnTo>
                                  <a:pt x="0" y="2871216"/>
                                </a:lnTo>
                                <a:lnTo>
                                  <a:pt x="30480" y="2871216"/>
                                </a:lnTo>
                                <a:lnTo>
                                  <a:pt x="30480" y="3578352"/>
                                </a:lnTo>
                                <a:lnTo>
                                  <a:pt x="0" y="3578352"/>
                                </a:lnTo>
                                <a:lnTo>
                                  <a:pt x="0" y="3587496"/>
                                </a:lnTo>
                                <a:lnTo>
                                  <a:pt x="33528" y="3587496"/>
                                </a:lnTo>
                                <a:lnTo>
                                  <a:pt x="33528" y="3621024"/>
                                </a:lnTo>
                                <a:lnTo>
                                  <a:pt x="39624" y="3621024"/>
                                </a:lnTo>
                                <a:lnTo>
                                  <a:pt x="39624" y="3590544"/>
                                </a:lnTo>
                                <a:lnTo>
                                  <a:pt x="3715512" y="3590544"/>
                                </a:lnTo>
                                <a:lnTo>
                                  <a:pt x="3715512" y="3621024"/>
                                </a:lnTo>
                                <a:lnTo>
                                  <a:pt x="3724656" y="3621024"/>
                                </a:lnTo>
                                <a:lnTo>
                                  <a:pt x="3724656" y="3584448"/>
                                </a:lnTo>
                                <a:close/>
                              </a:path>
                            </a:pathLst>
                          </a:custGeom>
                          <a:solidFill>
                            <a:srgbClr val="858585"/>
                          </a:solidFill>
                        </wps:spPr>
                        <wps:bodyPr wrap="square" lIns="0" tIns="0" rIns="0" bIns="0" rtlCol="0">
                          <a:prstTxWarp prst="textNoShape">
                            <a:avLst/>
                          </a:prstTxWarp>
                          <a:noAutofit/>
                        </wps:bodyPr>
                      </wps:wsp>
                      <pic:pic>
                        <pic:nvPicPr>
                          <pic:cNvPr id="370" name="Image 370"/>
                          <pic:cNvPicPr/>
                        </pic:nvPicPr>
                        <pic:blipFill>
                          <a:blip r:embed="rId135" cstate="print"/>
                          <a:stretch>
                            <a:fillRect/>
                          </a:stretch>
                        </pic:blipFill>
                        <pic:spPr>
                          <a:xfrm>
                            <a:off x="353568" y="185928"/>
                            <a:ext cx="3048000" cy="3435096"/>
                          </a:xfrm>
                          <a:prstGeom prst="rect">
                            <a:avLst/>
                          </a:prstGeom>
                        </pic:spPr>
                      </pic:pic>
                      <wps:wsp>
                        <wps:cNvPr id="371" name="Graphic 371"/>
                        <wps:cNvSpPr/>
                        <wps:spPr>
                          <a:xfrm>
                            <a:off x="3599688" y="1804416"/>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372" name="Image 372"/>
                          <pic:cNvPicPr/>
                        </pic:nvPicPr>
                        <pic:blipFill>
                          <a:blip r:embed="rId36" cstate="print"/>
                          <a:stretch>
                            <a:fillRect/>
                          </a:stretch>
                        </pic:blipFill>
                        <pic:spPr>
                          <a:xfrm>
                            <a:off x="3688079" y="1780032"/>
                            <a:ext cx="79248" cy="76200"/>
                          </a:xfrm>
                          <a:prstGeom prst="rect">
                            <a:avLst/>
                          </a:prstGeom>
                        </pic:spPr>
                      </pic:pic>
                      <wps:wsp>
                        <wps:cNvPr id="373" name="Graphic 373"/>
                        <wps:cNvSpPr/>
                        <wps:spPr>
                          <a:xfrm>
                            <a:off x="3599688" y="2020823"/>
                            <a:ext cx="256540" cy="27940"/>
                          </a:xfrm>
                          <a:custGeom>
                            <a:avLst/>
                            <a:gdLst/>
                            <a:ahLst/>
                            <a:cxnLst/>
                            <a:rect l="l" t="t" r="r" b="b"/>
                            <a:pathLst>
                              <a:path w="256540" h="27940">
                                <a:moveTo>
                                  <a:pt x="243839" y="0"/>
                                </a:moveTo>
                                <a:lnTo>
                                  <a:pt x="15239" y="0"/>
                                </a:lnTo>
                                <a:lnTo>
                                  <a:pt x="6096" y="0"/>
                                </a:lnTo>
                                <a:lnTo>
                                  <a:pt x="0" y="3048"/>
                                </a:lnTo>
                                <a:lnTo>
                                  <a:pt x="0" y="18287"/>
                                </a:lnTo>
                                <a:lnTo>
                                  <a:pt x="6096" y="24383"/>
                                </a:lnTo>
                                <a:lnTo>
                                  <a:pt x="249936" y="27431"/>
                                </a:lnTo>
                                <a:lnTo>
                                  <a:pt x="256032" y="21335"/>
                                </a:lnTo>
                                <a:lnTo>
                                  <a:pt x="256032" y="6096"/>
                                </a:lnTo>
                                <a:lnTo>
                                  <a:pt x="243839" y="0"/>
                                </a:lnTo>
                                <a:close/>
                              </a:path>
                            </a:pathLst>
                          </a:custGeom>
                          <a:solidFill>
                            <a:srgbClr val="BD4A47"/>
                          </a:solidFill>
                        </wps:spPr>
                        <wps:bodyPr wrap="square" lIns="0" tIns="0" rIns="0" bIns="0" rtlCol="0">
                          <a:prstTxWarp prst="textNoShape">
                            <a:avLst/>
                          </a:prstTxWarp>
                          <a:noAutofit/>
                        </wps:bodyPr>
                      </wps:wsp>
                      <wps:wsp>
                        <wps:cNvPr id="374" name="Graphic 374"/>
                        <wps:cNvSpPr/>
                        <wps:spPr>
                          <a:xfrm>
                            <a:off x="3691128" y="1996439"/>
                            <a:ext cx="70485" cy="73660"/>
                          </a:xfrm>
                          <a:custGeom>
                            <a:avLst/>
                            <a:gdLst/>
                            <a:ahLst/>
                            <a:cxnLst/>
                            <a:rect l="l" t="t" r="r" b="b"/>
                            <a:pathLst>
                              <a:path w="70485" h="73660">
                                <a:moveTo>
                                  <a:pt x="70103" y="0"/>
                                </a:moveTo>
                                <a:lnTo>
                                  <a:pt x="0" y="0"/>
                                </a:lnTo>
                                <a:lnTo>
                                  <a:pt x="0" y="73151"/>
                                </a:lnTo>
                                <a:lnTo>
                                  <a:pt x="70103" y="73151"/>
                                </a:lnTo>
                                <a:lnTo>
                                  <a:pt x="70103" y="0"/>
                                </a:lnTo>
                                <a:close/>
                              </a:path>
                            </a:pathLst>
                          </a:custGeom>
                          <a:solidFill>
                            <a:srgbClr val="BF4F4C"/>
                          </a:solidFill>
                        </wps:spPr>
                        <wps:bodyPr wrap="square" lIns="0" tIns="0" rIns="0" bIns="0" rtlCol="0">
                          <a:prstTxWarp prst="textNoShape">
                            <a:avLst/>
                          </a:prstTxWarp>
                          <a:noAutofit/>
                        </wps:bodyPr>
                      </wps:wsp>
                      <wps:wsp>
                        <wps:cNvPr id="375" name="Graphic 375"/>
                        <wps:cNvSpPr/>
                        <wps:spPr>
                          <a:xfrm>
                            <a:off x="3688079" y="1993392"/>
                            <a:ext cx="79375" cy="79375"/>
                          </a:xfrm>
                          <a:custGeom>
                            <a:avLst/>
                            <a:gdLst/>
                            <a:ahLst/>
                            <a:cxnLst/>
                            <a:rect l="l" t="t" r="r" b="b"/>
                            <a:pathLst>
                              <a:path w="79375" h="79375">
                                <a:moveTo>
                                  <a:pt x="73152" y="0"/>
                                </a:moveTo>
                                <a:lnTo>
                                  <a:pt x="3048" y="0"/>
                                </a:lnTo>
                                <a:lnTo>
                                  <a:pt x="0" y="6096"/>
                                </a:lnTo>
                                <a:lnTo>
                                  <a:pt x="0" y="76200"/>
                                </a:lnTo>
                                <a:lnTo>
                                  <a:pt x="3048" y="79248"/>
                                </a:lnTo>
                                <a:lnTo>
                                  <a:pt x="73152" y="79248"/>
                                </a:lnTo>
                                <a:lnTo>
                                  <a:pt x="79248" y="76200"/>
                                </a:lnTo>
                                <a:lnTo>
                                  <a:pt x="6096" y="76200"/>
                                </a:lnTo>
                                <a:lnTo>
                                  <a:pt x="3048" y="73152"/>
                                </a:lnTo>
                                <a:lnTo>
                                  <a:pt x="6096" y="73152"/>
                                </a:lnTo>
                                <a:lnTo>
                                  <a:pt x="6096" y="9144"/>
                                </a:lnTo>
                                <a:lnTo>
                                  <a:pt x="3048" y="9144"/>
                                </a:lnTo>
                                <a:lnTo>
                                  <a:pt x="6096" y="6096"/>
                                </a:lnTo>
                                <a:lnTo>
                                  <a:pt x="79248" y="6096"/>
                                </a:lnTo>
                                <a:lnTo>
                                  <a:pt x="73152" y="0"/>
                                </a:lnTo>
                                <a:close/>
                              </a:path>
                              <a:path w="79375" h="79375">
                                <a:moveTo>
                                  <a:pt x="6096" y="73152"/>
                                </a:moveTo>
                                <a:lnTo>
                                  <a:pt x="3048" y="73152"/>
                                </a:lnTo>
                                <a:lnTo>
                                  <a:pt x="6096" y="76200"/>
                                </a:lnTo>
                                <a:lnTo>
                                  <a:pt x="6096" y="73152"/>
                                </a:lnTo>
                                <a:close/>
                              </a:path>
                              <a:path w="79375" h="79375">
                                <a:moveTo>
                                  <a:pt x="70104" y="73152"/>
                                </a:moveTo>
                                <a:lnTo>
                                  <a:pt x="6096" y="73152"/>
                                </a:lnTo>
                                <a:lnTo>
                                  <a:pt x="6096" y="76200"/>
                                </a:lnTo>
                                <a:lnTo>
                                  <a:pt x="70104" y="76200"/>
                                </a:lnTo>
                                <a:lnTo>
                                  <a:pt x="70104" y="73152"/>
                                </a:lnTo>
                                <a:close/>
                              </a:path>
                              <a:path w="79375" h="79375">
                                <a:moveTo>
                                  <a:pt x="70104" y="6096"/>
                                </a:moveTo>
                                <a:lnTo>
                                  <a:pt x="70104" y="76200"/>
                                </a:lnTo>
                                <a:lnTo>
                                  <a:pt x="73152" y="73152"/>
                                </a:lnTo>
                                <a:lnTo>
                                  <a:pt x="79248" y="73152"/>
                                </a:lnTo>
                                <a:lnTo>
                                  <a:pt x="79248" y="9144"/>
                                </a:lnTo>
                                <a:lnTo>
                                  <a:pt x="73152" y="9144"/>
                                </a:lnTo>
                                <a:lnTo>
                                  <a:pt x="70104" y="6096"/>
                                </a:lnTo>
                                <a:close/>
                              </a:path>
                              <a:path w="79375" h="79375">
                                <a:moveTo>
                                  <a:pt x="79248" y="73152"/>
                                </a:moveTo>
                                <a:lnTo>
                                  <a:pt x="73152" y="73152"/>
                                </a:lnTo>
                                <a:lnTo>
                                  <a:pt x="70104" y="76200"/>
                                </a:lnTo>
                                <a:lnTo>
                                  <a:pt x="79248" y="76200"/>
                                </a:lnTo>
                                <a:lnTo>
                                  <a:pt x="79248" y="73152"/>
                                </a:lnTo>
                                <a:close/>
                              </a:path>
                              <a:path w="79375" h="79375">
                                <a:moveTo>
                                  <a:pt x="6096" y="6096"/>
                                </a:moveTo>
                                <a:lnTo>
                                  <a:pt x="3048" y="9144"/>
                                </a:lnTo>
                                <a:lnTo>
                                  <a:pt x="6096" y="9144"/>
                                </a:lnTo>
                                <a:lnTo>
                                  <a:pt x="6096" y="6096"/>
                                </a:lnTo>
                                <a:close/>
                              </a:path>
                              <a:path w="79375" h="79375">
                                <a:moveTo>
                                  <a:pt x="70104" y="6096"/>
                                </a:moveTo>
                                <a:lnTo>
                                  <a:pt x="6096" y="6096"/>
                                </a:lnTo>
                                <a:lnTo>
                                  <a:pt x="6096" y="9144"/>
                                </a:lnTo>
                                <a:lnTo>
                                  <a:pt x="70104" y="9144"/>
                                </a:lnTo>
                                <a:lnTo>
                                  <a:pt x="70104" y="6096"/>
                                </a:lnTo>
                                <a:close/>
                              </a:path>
                              <a:path w="79375" h="79375">
                                <a:moveTo>
                                  <a:pt x="79248" y="6096"/>
                                </a:moveTo>
                                <a:lnTo>
                                  <a:pt x="70104" y="6096"/>
                                </a:lnTo>
                                <a:lnTo>
                                  <a:pt x="73152" y="9144"/>
                                </a:lnTo>
                                <a:lnTo>
                                  <a:pt x="79248" y="9144"/>
                                </a:lnTo>
                                <a:lnTo>
                                  <a:pt x="79248" y="6096"/>
                                </a:lnTo>
                                <a:close/>
                              </a:path>
                            </a:pathLst>
                          </a:custGeom>
                          <a:solidFill>
                            <a:srgbClr val="BD4A47"/>
                          </a:solidFill>
                        </wps:spPr>
                        <wps:bodyPr wrap="square" lIns="0" tIns="0" rIns="0" bIns="0" rtlCol="0">
                          <a:prstTxWarp prst="textNoShape">
                            <a:avLst/>
                          </a:prstTxWarp>
                          <a:noAutofit/>
                        </wps:bodyPr>
                      </wps:wsp>
                      <wps:wsp>
                        <wps:cNvPr id="376" name="Graphic 376"/>
                        <wps:cNvSpPr/>
                        <wps:spPr>
                          <a:xfrm>
                            <a:off x="3599688" y="2237232"/>
                            <a:ext cx="256540" cy="24765"/>
                          </a:xfrm>
                          <a:custGeom>
                            <a:avLst/>
                            <a:gdLst/>
                            <a:ahLst/>
                            <a:cxnLst/>
                            <a:rect l="l" t="t" r="r" b="b"/>
                            <a:pathLst>
                              <a:path w="256540" h="24765">
                                <a:moveTo>
                                  <a:pt x="249936" y="0"/>
                                </a:moveTo>
                                <a:lnTo>
                                  <a:pt x="15239" y="0"/>
                                </a:lnTo>
                                <a:lnTo>
                                  <a:pt x="6096" y="0"/>
                                </a:lnTo>
                                <a:lnTo>
                                  <a:pt x="0" y="6096"/>
                                </a:lnTo>
                                <a:lnTo>
                                  <a:pt x="0" y="21336"/>
                                </a:lnTo>
                                <a:lnTo>
                                  <a:pt x="6096" y="24383"/>
                                </a:lnTo>
                                <a:lnTo>
                                  <a:pt x="249936" y="24383"/>
                                </a:lnTo>
                                <a:lnTo>
                                  <a:pt x="256032" y="21336"/>
                                </a:lnTo>
                                <a:lnTo>
                                  <a:pt x="256032" y="6096"/>
                                </a:lnTo>
                                <a:lnTo>
                                  <a:pt x="249936" y="0"/>
                                </a:lnTo>
                                <a:close/>
                              </a:path>
                            </a:pathLst>
                          </a:custGeom>
                          <a:solidFill>
                            <a:srgbClr val="97B853"/>
                          </a:solidFill>
                        </wps:spPr>
                        <wps:bodyPr wrap="square" lIns="0" tIns="0" rIns="0" bIns="0" rtlCol="0">
                          <a:prstTxWarp prst="textNoShape">
                            <a:avLst/>
                          </a:prstTxWarp>
                          <a:noAutofit/>
                        </wps:bodyPr>
                      </wps:wsp>
                      <pic:pic>
                        <pic:nvPicPr>
                          <pic:cNvPr id="377" name="Image 377"/>
                          <pic:cNvPicPr/>
                        </pic:nvPicPr>
                        <pic:blipFill>
                          <a:blip r:embed="rId136" cstate="print"/>
                          <a:stretch>
                            <a:fillRect/>
                          </a:stretch>
                        </pic:blipFill>
                        <pic:spPr>
                          <a:xfrm>
                            <a:off x="3688079" y="2209800"/>
                            <a:ext cx="79248" cy="79248"/>
                          </a:xfrm>
                          <a:prstGeom prst="rect">
                            <a:avLst/>
                          </a:prstGeom>
                        </pic:spPr>
                      </pic:pic>
                    </wpg:wgp>
                  </a:graphicData>
                </a:graphic>
              </wp:anchor>
            </w:drawing>
          </mc:Choice>
          <mc:Fallback>
            <w:pict>
              <v:group style="position:absolute;margin-left:176.880005pt;margin-top:7.6pt;width:303.6pt;height:285.150pt;mso-position-horizontal-relative:page;mso-position-vertical-relative:paragraph;z-index:15769600" id="docshapegroup353" coordorigin="3538,152" coordsize="6072,5703">
                <v:shape style="position:absolute;left:3537;top:152;width:5866;height:5703" id="docshape354" coordorigin="3538,152" coordsize="5866,5703" path="m9403,5797l9394,5797,9394,5792,3600,5792,3600,162,3595,162,3595,152,3538,152,3538,166,3586,166,3586,1280,3538,1280,3538,1294,3586,1294,3586,2408,3538,2408,3538,2422,3586,2422,3586,3536,3538,3536,3538,3550,3586,3550,3586,4659,3538,4659,3538,4674,3586,4674,3586,5787,3538,5787,3538,5802,3590,5802,3590,5854,3600,5854,3600,5806,9389,5806,9389,5854,9403,5854,9403,5797xe" filled="true" fillcolor="#858585" stroked="false">
                  <v:path arrowok="t"/>
                  <v:fill type="solid"/>
                </v:shape>
                <v:shape style="position:absolute;left:4094;top:444;width:4800;height:5410" type="#_x0000_t75" id="docshape355" stroked="false">
                  <v:imagedata r:id="rId135" o:title=""/>
                </v:shape>
                <v:shape style="position:absolute;left:9206;top:2993;width:404;height:44" id="docshape356" coordorigin="9206,2994" coordsize="404,44" path="m9600,2994l9230,2994,9216,2994,9206,3003,9206,3027,9216,3037,9600,3037,9610,3027,9610,3003,9600,2994xe" filled="true" fillcolor="#497dba" stroked="false">
                  <v:path arrowok="t"/>
                  <v:fill type="solid"/>
                </v:shape>
                <v:shape style="position:absolute;left:9345;top:2955;width:125;height:120" type="#_x0000_t75" id="docshape357" stroked="false">
                  <v:imagedata r:id="rId36" o:title=""/>
                </v:shape>
                <v:shape style="position:absolute;left:9206;top:3334;width:404;height:44" id="docshape358" coordorigin="9206,3334" coordsize="404,44" path="m9590,3334l9230,3334,9216,3334,9206,3339,9206,3363,9216,3373,9600,3378,9610,3368,9610,3344,9590,3334xe" filled="true" fillcolor="#bd4a47" stroked="false">
                  <v:path arrowok="t"/>
                  <v:fill type="solid"/>
                </v:shape>
                <v:rect style="position:absolute;left:9350;top:3296;width:111;height:116" id="docshape359" filled="true" fillcolor="#bf4f4c" stroked="false">
                  <v:fill type="solid"/>
                </v:rect>
                <v:shape style="position:absolute;left:9345;top:3291;width:125;height:125" id="docshape360" coordorigin="9346,3291" coordsize="125,125" path="m9461,3291l9350,3291,9346,3301,9346,3411,9350,3416,9461,3416,9470,3411,9355,3411,9350,3406,9355,3406,9355,3306,9350,3306,9355,3301,9470,3301,9461,3291xm9355,3406l9350,3406,9355,3411,9355,3406xm9456,3406l9355,3406,9355,3411,9456,3411,9456,3406xm9456,3301l9456,3411,9461,3406,9470,3406,9470,3306,9461,3306,9456,3301xm9470,3406l9461,3406,9456,3411,9470,3411,9470,3406xm9355,3301l9350,3306,9355,3306,9355,3301xm9456,3301l9355,3301,9355,3306,9456,3306,9456,3301xm9470,3301l9456,3301,9461,3306,9470,3306,9470,3301xe" filled="true" fillcolor="#bd4a47" stroked="false">
                  <v:path arrowok="t"/>
                  <v:fill type="solid"/>
                </v:shape>
                <v:shape style="position:absolute;left:9206;top:3675;width:404;height:39" id="docshape361" coordorigin="9206,3675" coordsize="404,39" path="m9600,3675l9230,3675,9216,3675,9206,3685,9206,3709,9216,3714,9600,3714,9610,3709,9610,3685,9600,3675xe" filled="true" fillcolor="#97b853" stroked="false">
                  <v:path arrowok="t"/>
                  <v:fill type="solid"/>
                </v:shape>
                <v:shape style="position:absolute;left:9345;top:3632;width:125;height:125" type="#_x0000_t75" id="docshape362" stroked="false">
                  <v:imagedata r:id="rId136" o:title=""/>
                </v:shape>
                <w10:wrap type="none"/>
              </v:group>
            </w:pict>
          </mc:Fallback>
        </mc:AlternateContent>
      </w:r>
      <w:r>
        <w:rPr>
          <w:rFonts w:ascii="Calibri"/>
          <w:spacing w:val="-5"/>
          <w:sz w:val="19"/>
        </w:rPr>
        <w:t>25</w:t>
      </w:r>
    </w:p>
    <w:p>
      <w:pPr>
        <w:pStyle w:val="BodyText"/>
        <w:rPr>
          <w:rFonts w:ascii="Calibri"/>
          <w:sz w:val="19"/>
        </w:rPr>
      </w:pPr>
    </w:p>
    <w:p>
      <w:pPr>
        <w:pStyle w:val="BodyText"/>
        <w:rPr>
          <w:rFonts w:ascii="Calibri"/>
          <w:sz w:val="19"/>
        </w:rPr>
      </w:pPr>
    </w:p>
    <w:p>
      <w:pPr>
        <w:pStyle w:val="BodyText"/>
        <w:spacing w:before="200"/>
        <w:rPr>
          <w:rFonts w:ascii="Calibri"/>
          <w:sz w:val="19"/>
        </w:rPr>
      </w:pPr>
    </w:p>
    <w:p>
      <w:pPr>
        <w:spacing w:before="0"/>
        <w:ind w:left="1505" w:right="0" w:firstLine="0"/>
        <w:jc w:val="left"/>
        <w:rPr>
          <w:rFonts w:ascii="Calibri"/>
          <w:sz w:val="19"/>
        </w:rPr>
      </w:pPr>
      <w:r>
        <w:rPr>
          <w:rFonts w:ascii="Calibri"/>
          <w:spacing w:val="-5"/>
          <w:sz w:val="19"/>
        </w:rPr>
        <w:t>20</w:t>
      </w:r>
    </w:p>
    <w:p>
      <w:pPr>
        <w:pStyle w:val="BodyText"/>
        <w:rPr>
          <w:rFonts w:ascii="Calibri"/>
          <w:sz w:val="19"/>
        </w:rPr>
      </w:pPr>
    </w:p>
    <w:p>
      <w:pPr>
        <w:pStyle w:val="BodyText"/>
        <w:rPr>
          <w:rFonts w:ascii="Calibri"/>
          <w:sz w:val="19"/>
        </w:rPr>
      </w:pPr>
    </w:p>
    <w:p>
      <w:pPr>
        <w:pStyle w:val="BodyText"/>
        <w:spacing w:before="200"/>
        <w:rPr>
          <w:rFonts w:ascii="Calibri"/>
          <w:sz w:val="19"/>
        </w:rPr>
      </w:pPr>
    </w:p>
    <w:p>
      <w:pPr>
        <w:spacing w:before="1"/>
        <w:ind w:left="1505" w:right="0" w:firstLine="0"/>
        <w:jc w:val="left"/>
        <w:rPr>
          <w:rFonts w:ascii="Calibri"/>
          <w:sz w:val="19"/>
        </w:rPr>
      </w:pPr>
      <w:r>
        <w:rPr/>
        <mc:AlternateContent>
          <mc:Choice Requires="wps">
            <w:drawing>
              <wp:anchor distT="0" distB="0" distL="0" distR="0" allowOverlap="1" layoutInCell="1" locked="0" behindDoc="0" simplePos="0" relativeHeight="15770112">
                <wp:simplePos x="0" y="0"/>
                <wp:positionH relativeFrom="page">
                  <wp:posOffset>1878249</wp:posOffset>
                </wp:positionH>
                <wp:positionV relativeFrom="paragraph">
                  <wp:posOffset>-202689</wp:posOffset>
                </wp:positionV>
                <wp:extent cx="146050" cy="127889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46050" cy="127889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Disintegration</w:t>
                            </w:r>
                            <w:r>
                              <w:rPr>
                                <w:rFonts w:ascii="Calibri"/>
                                <w:b/>
                                <w:spacing w:val="-10"/>
                                <w:sz w:val="19"/>
                              </w:rPr>
                              <w:t> </w:t>
                            </w:r>
                            <w:r>
                              <w:rPr>
                                <w:rFonts w:ascii="Calibri"/>
                                <w:b/>
                                <w:spacing w:val="-2"/>
                                <w:sz w:val="19"/>
                              </w:rPr>
                              <w:t>time</w:t>
                            </w:r>
                            <w:r>
                              <w:rPr>
                                <w:rFonts w:ascii="Calibri"/>
                                <w:b/>
                                <w:spacing w:val="11"/>
                                <w:sz w:val="19"/>
                              </w:rPr>
                              <w:t> </w:t>
                            </w:r>
                            <w:r>
                              <w:rPr>
                                <w:rFonts w:ascii="Calibri"/>
                                <w:b/>
                                <w:spacing w:val="-4"/>
                                <w:sz w:val="19"/>
                              </w:rPr>
                              <w:t>(min)</w:t>
                            </w:r>
                          </w:p>
                        </w:txbxContent>
                      </wps:txbx>
                      <wps:bodyPr wrap="square" lIns="0" tIns="0" rIns="0" bIns="0" rtlCol="0" vert="vert270">
                        <a:noAutofit/>
                      </wps:bodyPr>
                    </wps:wsp>
                  </a:graphicData>
                </a:graphic>
              </wp:anchor>
            </w:drawing>
          </mc:Choice>
          <mc:Fallback>
            <w:pict>
              <v:shape style="position:absolute;margin-left:147.893677pt;margin-top:-15.95978pt;width:11.5pt;height:100.7pt;mso-position-horizontal-relative:page;mso-position-vertical-relative:paragraph;z-index:15770112" type="#_x0000_t202" id="docshape363"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Disintegration</w:t>
                      </w:r>
                      <w:r>
                        <w:rPr>
                          <w:rFonts w:ascii="Calibri"/>
                          <w:b/>
                          <w:spacing w:val="-10"/>
                          <w:sz w:val="19"/>
                        </w:rPr>
                        <w:t> </w:t>
                      </w:r>
                      <w:r>
                        <w:rPr>
                          <w:rFonts w:ascii="Calibri"/>
                          <w:b/>
                          <w:spacing w:val="-2"/>
                          <w:sz w:val="19"/>
                        </w:rPr>
                        <w:t>time</w:t>
                      </w:r>
                      <w:r>
                        <w:rPr>
                          <w:rFonts w:ascii="Calibri"/>
                          <w:b/>
                          <w:spacing w:val="11"/>
                          <w:sz w:val="19"/>
                        </w:rPr>
                        <w:t> </w:t>
                      </w:r>
                      <w:r>
                        <w:rPr>
                          <w:rFonts w:ascii="Calibri"/>
                          <w:b/>
                          <w:spacing w:val="-4"/>
                          <w:sz w:val="19"/>
                        </w:rPr>
                        <w:t>(min)</w:t>
                      </w:r>
                    </w:p>
                  </w:txbxContent>
                </v:textbox>
                <w10:wrap type="none"/>
              </v:shape>
            </w:pict>
          </mc:Fallback>
        </mc:AlternateContent>
      </w:r>
      <w:r>
        <w:rPr>
          <w:rFonts w:ascii="Calibri"/>
          <w:spacing w:val="-5"/>
          <w:sz w:val="19"/>
        </w:rPr>
        <w:t>15</w:t>
      </w:r>
    </w:p>
    <w:p>
      <w:pPr>
        <w:pStyle w:val="BodyText"/>
        <w:spacing w:before="23"/>
        <w:rPr>
          <w:rFonts w:ascii="Calibri"/>
          <w:sz w:val="19"/>
        </w:rPr>
      </w:pPr>
    </w:p>
    <w:p>
      <w:pPr>
        <w:spacing w:line="340" w:lineRule="atLeast" w:before="0"/>
        <w:ind w:left="7904" w:right="1496" w:firstLine="0"/>
        <w:jc w:val="left"/>
        <w:rPr>
          <w:rFonts w:ascii="Calibri"/>
          <w:sz w:val="19"/>
        </w:rPr>
      </w:pPr>
      <w:r>
        <w:rPr>
          <w:rFonts w:ascii="Calibri"/>
          <w:spacing w:val="-6"/>
          <w:sz w:val="19"/>
        </w:rPr>
        <w:t>DS</w:t>
      </w:r>
      <w:r>
        <w:rPr>
          <w:rFonts w:ascii="Calibri"/>
          <w:sz w:val="19"/>
        </w:rPr>
        <w:t> </w:t>
      </w:r>
      <w:r>
        <w:rPr>
          <w:rFonts w:ascii="Calibri"/>
          <w:spacing w:val="-4"/>
          <w:sz w:val="19"/>
        </w:rPr>
        <w:t>MCS</w:t>
      </w:r>
    </w:p>
    <w:p>
      <w:pPr>
        <w:spacing w:line="149" w:lineRule="exact" w:before="0"/>
        <w:ind w:left="1505" w:right="0" w:firstLine="0"/>
        <w:jc w:val="left"/>
        <w:rPr>
          <w:rFonts w:ascii="Calibri"/>
          <w:sz w:val="19"/>
        </w:rPr>
      </w:pPr>
      <w:r>
        <w:rPr>
          <w:rFonts w:ascii="Calibri"/>
          <w:spacing w:val="-5"/>
          <w:sz w:val="19"/>
        </w:rPr>
        <w:t>10</w:t>
      </w:r>
    </w:p>
    <w:p>
      <w:pPr>
        <w:spacing w:line="193" w:lineRule="exact" w:before="0"/>
        <w:ind w:left="7904" w:right="0" w:firstLine="0"/>
        <w:jc w:val="left"/>
        <w:rPr>
          <w:rFonts w:ascii="Calibri"/>
          <w:sz w:val="19"/>
        </w:rPr>
      </w:pPr>
      <w:r>
        <w:rPr>
          <w:rFonts w:ascii="Calibri"/>
          <w:spacing w:val="-5"/>
          <w:sz w:val="19"/>
        </w:rPr>
        <w:t>GEL</w:t>
      </w:r>
    </w:p>
    <w:p>
      <w:pPr>
        <w:pStyle w:val="BodyText"/>
        <w:rPr>
          <w:rFonts w:ascii="Calibri"/>
          <w:sz w:val="19"/>
        </w:rPr>
      </w:pPr>
    </w:p>
    <w:p>
      <w:pPr>
        <w:pStyle w:val="BodyText"/>
        <w:rPr>
          <w:rFonts w:ascii="Calibri"/>
          <w:sz w:val="19"/>
        </w:rPr>
      </w:pPr>
    </w:p>
    <w:p>
      <w:pPr>
        <w:pStyle w:val="BodyText"/>
        <w:spacing w:before="46"/>
        <w:rPr>
          <w:rFonts w:ascii="Calibri"/>
          <w:sz w:val="19"/>
        </w:rPr>
      </w:pPr>
    </w:p>
    <w:p>
      <w:pPr>
        <w:spacing w:before="0"/>
        <w:ind w:left="1601" w:right="0" w:firstLine="0"/>
        <w:jc w:val="left"/>
        <w:rPr>
          <w:rFonts w:ascii="Calibri"/>
          <w:sz w:val="19"/>
        </w:rPr>
      </w:pPr>
      <w:r>
        <w:rPr>
          <w:rFonts w:ascii="Calibri"/>
          <w:spacing w:val="-10"/>
          <w:sz w:val="19"/>
        </w:rPr>
        <w:t>5</w:t>
      </w:r>
    </w:p>
    <w:p>
      <w:pPr>
        <w:pStyle w:val="BodyText"/>
        <w:rPr>
          <w:rFonts w:ascii="Calibri"/>
          <w:sz w:val="19"/>
        </w:rPr>
      </w:pPr>
    </w:p>
    <w:p>
      <w:pPr>
        <w:pStyle w:val="BodyText"/>
        <w:rPr>
          <w:rFonts w:ascii="Calibri"/>
          <w:sz w:val="19"/>
        </w:rPr>
      </w:pPr>
    </w:p>
    <w:p>
      <w:pPr>
        <w:pStyle w:val="BodyText"/>
        <w:spacing w:before="201"/>
        <w:rPr>
          <w:rFonts w:ascii="Calibri"/>
          <w:sz w:val="19"/>
        </w:rPr>
      </w:pPr>
    </w:p>
    <w:p>
      <w:pPr>
        <w:spacing w:before="0"/>
        <w:ind w:left="1601" w:right="0" w:firstLine="0"/>
        <w:jc w:val="left"/>
        <w:rPr>
          <w:rFonts w:ascii="Calibri"/>
          <w:sz w:val="19"/>
        </w:rPr>
      </w:pPr>
      <w:r>
        <w:rPr>
          <w:rFonts w:ascii="Calibri"/>
          <w:spacing w:val="-10"/>
          <w:sz w:val="19"/>
        </w:rPr>
        <w:t>0</w:t>
      </w:r>
    </w:p>
    <w:p>
      <w:pPr>
        <w:tabs>
          <w:tab w:pos="3564" w:val="left" w:leader="none"/>
          <w:tab w:pos="4654" w:val="left" w:leader="none"/>
          <w:tab w:pos="5839" w:val="left" w:leader="none"/>
          <w:tab w:pos="6929" w:val="left" w:leader="none"/>
        </w:tabs>
        <w:spacing w:before="13"/>
        <w:ind w:left="2336"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1"/>
        <w:ind w:left="3603" w:right="0" w:firstLine="0"/>
        <w:jc w:val="left"/>
        <w:rPr>
          <w:rFonts w:ascii="Calibri"/>
          <w:b/>
          <w:sz w:val="19"/>
        </w:rPr>
      </w:pPr>
      <w:r>
        <w:rPr>
          <w:rFonts w:ascii="Calibri"/>
          <w:b/>
          <w:sz w:val="19"/>
        </w:rPr>
        <w:t>Binder</w:t>
      </w:r>
      <w:r>
        <w:rPr>
          <w:rFonts w:ascii="Calibri"/>
          <w:b/>
          <w:spacing w:val="-11"/>
          <w:sz w:val="19"/>
        </w:rPr>
        <w:t> </w:t>
      </w:r>
      <w:r>
        <w:rPr>
          <w:rFonts w:ascii="Calibri"/>
          <w:b/>
          <w:sz w:val="19"/>
        </w:rPr>
        <w:t>concentration</w:t>
      </w:r>
      <w:r>
        <w:rPr>
          <w:rFonts w:ascii="Calibri"/>
          <w:b/>
          <w:spacing w:val="-16"/>
          <w:sz w:val="19"/>
        </w:rPr>
        <w:t> </w:t>
      </w:r>
      <w:r>
        <w:rPr>
          <w:rFonts w:ascii="Calibri"/>
          <w:b/>
          <w:sz w:val="19"/>
        </w:rPr>
        <w:t>(%</w:t>
      </w:r>
      <w:r>
        <w:rPr>
          <w:rFonts w:ascii="Calibri"/>
          <w:b/>
          <w:spacing w:val="23"/>
          <w:sz w:val="19"/>
        </w:rPr>
        <w:t> </w:t>
      </w:r>
      <w:r>
        <w:rPr>
          <w:rFonts w:ascii="Calibri"/>
          <w:b/>
          <w:spacing w:val="-4"/>
          <w:sz w:val="19"/>
        </w:rPr>
        <w:t>w/v)</w:t>
      </w:r>
    </w:p>
    <w:p>
      <w:pPr>
        <w:pStyle w:val="BodyText"/>
        <w:rPr>
          <w:rFonts w:ascii="Calibri"/>
          <w:b/>
        </w:rPr>
      </w:pPr>
    </w:p>
    <w:p>
      <w:pPr>
        <w:pStyle w:val="BodyText"/>
        <w:spacing w:before="37"/>
        <w:rPr>
          <w:rFonts w:ascii="Calibri"/>
          <w:b/>
        </w:rPr>
      </w:pPr>
    </w:p>
    <w:p>
      <w:pPr>
        <w:pStyle w:val="Heading2"/>
        <w:spacing w:line="244" w:lineRule="auto"/>
        <w:ind w:left="1966" w:right="1562" w:hanging="1301"/>
      </w:pPr>
      <w:bookmarkStart w:name="_TOC_250011" w:id="150"/>
      <w:bookmarkEnd w:id="150"/>
      <w:r>
        <w:rPr/>
        <w:t>Figure A.13: Graph of disintegration time (min) against binder concentration (% w/v) of metronidazole tablets produced by wet granulation.</w:t>
      </w:r>
    </w:p>
    <w:p>
      <w:pPr>
        <w:spacing w:after="0" w:line="244" w:lineRule="auto"/>
        <w:sectPr>
          <w:pgSz w:w="12240" w:h="15840"/>
          <w:pgMar w:header="0" w:footer="999" w:top="1360" w:bottom="1180" w:left="1720" w:right="760"/>
        </w:sectPr>
      </w:pPr>
    </w:p>
    <w:p>
      <w:pPr>
        <w:spacing w:before="38"/>
        <w:ind w:left="1731" w:right="0" w:firstLine="0"/>
        <w:jc w:val="left"/>
        <w:rPr>
          <w:rFonts w:ascii="Calibri"/>
          <w:sz w:val="19"/>
        </w:rPr>
      </w:pPr>
      <w:r>
        <w:rPr/>
        <mc:AlternateContent>
          <mc:Choice Requires="wps">
            <w:drawing>
              <wp:anchor distT="0" distB="0" distL="0" distR="0" allowOverlap="1" layoutInCell="1" locked="0" behindDoc="0" simplePos="0" relativeHeight="15770624">
                <wp:simplePos x="0" y="0"/>
                <wp:positionH relativeFrom="page">
                  <wp:posOffset>2252472</wp:posOffset>
                </wp:positionH>
                <wp:positionV relativeFrom="paragraph">
                  <wp:posOffset>48940</wp:posOffset>
                </wp:positionV>
                <wp:extent cx="3970020" cy="368681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970020" cy="3686810"/>
                          <a:chExt cx="3970020" cy="3686810"/>
                        </a:xfrm>
                      </wpg:grpSpPr>
                      <wps:wsp>
                        <wps:cNvPr id="380" name="Graphic 380"/>
                        <wps:cNvSpPr/>
                        <wps:spPr>
                          <a:xfrm>
                            <a:off x="134112" y="47578"/>
                            <a:ext cx="3633470" cy="3609340"/>
                          </a:xfrm>
                          <a:custGeom>
                            <a:avLst/>
                            <a:gdLst/>
                            <a:ahLst/>
                            <a:cxnLst/>
                            <a:rect l="l" t="t" r="r" b="b"/>
                            <a:pathLst>
                              <a:path w="3633470" h="3609340">
                                <a:moveTo>
                                  <a:pt x="3633216" y="3572256"/>
                                </a:moveTo>
                                <a:lnTo>
                                  <a:pt x="3630168" y="3572256"/>
                                </a:lnTo>
                                <a:lnTo>
                                  <a:pt x="3630168" y="3569208"/>
                                </a:lnTo>
                                <a:lnTo>
                                  <a:pt x="42672" y="3569208"/>
                                </a:lnTo>
                                <a:lnTo>
                                  <a:pt x="42672" y="6096"/>
                                </a:lnTo>
                                <a:lnTo>
                                  <a:pt x="36576" y="6096"/>
                                </a:lnTo>
                                <a:lnTo>
                                  <a:pt x="36576" y="0"/>
                                </a:lnTo>
                                <a:lnTo>
                                  <a:pt x="0" y="0"/>
                                </a:lnTo>
                                <a:lnTo>
                                  <a:pt x="0" y="9144"/>
                                </a:lnTo>
                                <a:lnTo>
                                  <a:pt x="33528" y="9144"/>
                                </a:lnTo>
                                <a:lnTo>
                                  <a:pt x="33528" y="448056"/>
                                </a:lnTo>
                                <a:lnTo>
                                  <a:pt x="0" y="448056"/>
                                </a:lnTo>
                                <a:lnTo>
                                  <a:pt x="0" y="457200"/>
                                </a:lnTo>
                                <a:lnTo>
                                  <a:pt x="33528" y="457200"/>
                                </a:lnTo>
                                <a:lnTo>
                                  <a:pt x="33528" y="893064"/>
                                </a:lnTo>
                                <a:lnTo>
                                  <a:pt x="0" y="893064"/>
                                </a:lnTo>
                                <a:lnTo>
                                  <a:pt x="0" y="899160"/>
                                </a:lnTo>
                                <a:lnTo>
                                  <a:pt x="33528" y="899160"/>
                                </a:lnTo>
                                <a:lnTo>
                                  <a:pt x="33528" y="1338072"/>
                                </a:lnTo>
                                <a:lnTo>
                                  <a:pt x="0" y="1338072"/>
                                </a:lnTo>
                                <a:lnTo>
                                  <a:pt x="0" y="1347216"/>
                                </a:lnTo>
                                <a:lnTo>
                                  <a:pt x="33528" y="1347216"/>
                                </a:lnTo>
                                <a:lnTo>
                                  <a:pt x="33528" y="1786128"/>
                                </a:lnTo>
                                <a:lnTo>
                                  <a:pt x="0" y="1786128"/>
                                </a:lnTo>
                                <a:lnTo>
                                  <a:pt x="0" y="1795272"/>
                                </a:lnTo>
                                <a:lnTo>
                                  <a:pt x="33528" y="1795272"/>
                                </a:lnTo>
                                <a:lnTo>
                                  <a:pt x="33528" y="2231136"/>
                                </a:lnTo>
                                <a:lnTo>
                                  <a:pt x="0" y="2231136"/>
                                </a:lnTo>
                                <a:lnTo>
                                  <a:pt x="0" y="2237232"/>
                                </a:lnTo>
                                <a:lnTo>
                                  <a:pt x="33528" y="2237232"/>
                                </a:lnTo>
                                <a:lnTo>
                                  <a:pt x="33528" y="2676144"/>
                                </a:lnTo>
                                <a:lnTo>
                                  <a:pt x="0" y="2676144"/>
                                </a:lnTo>
                                <a:lnTo>
                                  <a:pt x="0" y="2685288"/>
                                </a:lnTo>
                                <a:lnTo>
                                  <a:pt x="33528" y="2685288"/>
                                </a:lnTo>
                                <a:lnTo>
                                  <a:pt x="33528" y="3121152"/>
                                </a:lnTo>
                                <a:lnTo>
                                  <a:pt x="0" y="3121152"/>
                                </a:lnTo>
                                <a:lnTo>
                                  <a:pt x="0" y="3130296"/>
                                </a:lnTo>
                                <a:lnTo>
                                  <a:pt x="33528" y="3130296"/>
                                </a:lnTo>
                                <a:lnTo>
                                  <a:pt x="33528" y="3569208"/>
                                </a:lnTo>
                                <a:lnTo>
                                  <a:pt x="0" y="3569208"/>
                                </a:lnTo>
                                <a:lnTo>
                                  <a:pt x="0" y="3575304"/>
                                </a:lnTo>
                                <a:lnTo>
                                  <a:pt x="33528" y="3575304"/>
                                </a:lnTo>
                                <a:lnTo>
                                  <a:pt x="33528" y="3608832"/>
                                </a:lnTo>
                                <a:lnTo>
                                  <a:pt x="42672" y="3608832"/>
                                </a:lnTo>
                                <a:lnTo>
                                  <a:pt x="42672" y="3578352"/>
                                </a:lnTo>
                                <a:lnTo>
                                  <a:pt x="752856" y="3578352"/>
                                </a:lnTo>
                                <a:lnTo>
                                  <a:pt x="752856" y="3608832"/>
                                </a:lnTo>
                                <a:lnTo>
                                  <a:pt x="758952" y="3608832"/>
                                </a:lnTo>
                                <a:lnTo>
                                  <a:pt x="758952" y="3578352"/>
                                </a:lnTo>
                                <a:lnTo>
                                  <a:pt x="1472184" y="3578352"/>
                                </a:lnTo>
                                <a:lnTo>
                                  <a:pt x="1472184" y="3608832"/>
                                </a:lnTo>
                                <a:lnTo>
                                  <a:pt x="1478280" y="3608832"/>
                                </a:lnTo>
                                <a:lnTo>
                                  <a:pt x="1478280" y="3578352"/>
                                </a:lnTo>
                                <a:lnTo>
                                  <a:pt x="2188464" y="3578352"/>
                                </a:lnTo>
                                <a:lnTo>
                                  <a:pt x="2188464" y="3608832"/>
                                </a:lnTo>
                                <a:lnTo>
                                  <a:pt x="2197608" y="3608832"/>
                                </a:lnTo>
                                <a:lnTo>
                                  <a:pt x="2197608" y="3578352"/>
                                </a:lnTo>
                                <a:lnTo>
                                  <a:pt x="2907792" y="3578352"/>
                                </a:lnTo>
                                <a:lnTo>
                                  <a:pt x="2907792" y="3608832"/>
                                </a:lnTo>
                                <a:lnTo>
                                  <a:pt x="2916936" y="3608832"/>
                                </a:lnTo>
                                <a:lnTo>
                                  <a:pt x="2916936" y="3578352"/>
                                </a:lnTo>
                                <a:lnTo>
                                  <a:pt x="3624072" y="3578352"/>
                                </a:lnTo>
                                <a:lnTo>
                                  <a:pt x="3624072" y="3608832"/>
                                </a:lnTo>
                                <a:lnTo>
                                  <a:pt x="3633216" y="3608832"/>
                                </a:lnTo>
                                <a:lnTo>
                                  <a:pt x="3633216" y="3572256"/>
                                </a:lnTo>
                                <a:close/>
                              </a:path>
                            </a:pathLst>
                          </a:custGeom>
                          <a:solidFill>
                            <a:srgbClr val="858585"/>
                          </a:solidFill>
                        </wps:spPr>
                        <wps:bodyPr wrap="square" lIns="0" tIns="0" rIns="0" bIns="0" rtlCol="0">
                          <a:prstTxWarp prst="textNoShape">
                            <a:avLst/>
                          </a:prstTxWarp>
                          <a:noAutofit/>
                        </wps:bodyPr>
                      </wps:wsp>
                      <pic:pic>
                        <pic:nvPicPr>
                          <pic:cNvPr id="381" name="Image 381"/>
                          <pic:cNvPicPr/>
                        </pic:nvPicPr>
                        <pic:blipFill>
                          <a:blip r:embed="rId137" cstate="print"/>
                          <a:stretch>
                            <a:fillRect/>
                          </a:stretch>
                        </pic:blipFill>
                        <pic:spPr>
                          <a:xfrm>
                            <a:off x="481583" y="343235"/>
                            <a:ext cx="3246120" cy="1987296"/>
                          </a:xfrm>
                          <a:prstGeom prst="rect">
                            <a:avLst/>
                          </a:prstGeom>
                        </pic:spPr>
                      </pic:pic>
                      <wps:wsp>
                        <wps:cNvPr id="382" name="Textbox 382"/>
                        <wps:cNvSpPr txBox="1"/>
                        <wps:spPr>
                          <a:xfrm>
                            <a:off x="49" y="0"/>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6</w:t>
                              </w:r>
                            </w:p>
                          </w:txbxContent>
                        </wps:txbx>
                        <wps:bodyPr wrap="square" lIns="0" tIns="0" rIns="0" bIns="0" rtlCol="0">
                          <a:noAutofit/>
                        </wps:bodyPr>
                      </wps:wsp>
                      <wps:wsp>
                        <wps:cNvPr id="383" name="Textbox 383"/>
                        <wps:cNvSpPr txBox="1"/>
                        <wps:spPr>
                          <a:xfrm>
                            <a:off x="49" y="445008"/>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4</w:t>
                              </w:r>
                            </w:p>
                          </w:txbxContent>
                        </wps:txbx>
                        <wps:bodyPr wrap="square" lIns="0" tIns="0" rIns="0" bIns="0" rtlCol="0">
                          <a:noAutofit/>
                        </wps:bodyPr>
                      </wps:wsp>
                      <wps:wsp>
                        <wps:cNvPr id="384" name="Textbox 384"/>
                        <wps:cNvSpPr txBox="1"/>
                        <wps:spPr>
                          <a:xfrm>
                            <a:off x="49" y="893063"/>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2</w:t>
                              </w:r>
                            </w:p>
                          </w:txbxContent>
                        </wps:txbx>
                        <wps:bodyPr wrap="square" lIns="0" tIns="0" rIns="0" bIns="0" rtlCol="0">
                          <a:noAutofit/>
                        </wps:bodyPr>
                      </wps:wsp>
                      <wps:wsp>
                        <wps:cNvPr id="385" name="Textbox 385"/>
                        <wps:cNvSpPr txBox="1"/>
                        <wps:spPr>
                          <a:xfrm>
                            <a:off x="49" y="1338072"/>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0</w:t>
                              </w:r>
                            </w:p>
                          </w:txbxContent>
                        </wps:txbx>
                        <wps:bodyPr wrap="square" lIns="0" tIns="0" rIns="0" bIns="0" rtlCol="0">
                          <a:noAutofit/>
                        </wps:bodyPr>
                      </wps:wsp>
                      <wps:wsp>
                        <wps:cNvPr id="386" name="Textbox 386"/>
                        <wps:cNvSpPr txBox="1"/>
                        <wps:spPr>
                          <a:xfrm>
                            <a:off x="0" y="1783079"/>
                            <a:ext cx="74295" cy="565785"/>
                          </a:xfrm>
                          <a:prstGeom prst="rect">
                            <a:avLst/>
                          </a:prstGeom>
                        </wps:spPr>
                        <wps:txbx>
                          <w:txbxContent>
                            <w:p>
                              <w:pPr>
                                <w:spacing w:line="193" w:lineRule="exact" w:before="0"/>
                                <w:ind w:left="0" w:right="0" w:firstLine="0"/>
                                <w:jc w:val="left"/>
                                <w:rPr>
                                  <w:rFonts w:ascii="Calibri"/>
                                  <w:sz w:val="19"/>
                                </w:rPr>
                              </w:pPr>
                              <w:r>
                                <w:rPr>
                                  <w:rFonts w:ascii="Calibri"/>
                                  <w:spacing w:val="-10"/>
                                  <w:sz w:val="19"/>
                                </w:rPr>
                                <w:t>8</w:t>
                              </w:r>
                            </w:p>
                            <w:p>
                              <w:pPr>
                                <w:spacing w:line="240" w:lineRule="auto" w:before="0"/>
                                <w:rPr>
                                  <w:rFonts w:ascii="Calibri"/>
                                  <w:sz w:val="19"/>
                                </w:rPr>
                              </w:pPr>
                            </w:p>
                            <w:p>
                              <w:pPr>
                                <w:spacing w:line="240" w:lineRule="auto" w:before="5"/>
                                <w:rPr>
                                  <w:rFonts w:ascii="Calibri"/>
                                  <w:sz w:val="19"/>
                                </w:rPr>
                              </w:pPr>
                            </w:p>
                            <w:p>
                              <w:pPr>
                                <w:spacing w:line="228" w:lineRule="exact" w:before="0"/>
                                <w:ind w:left="0" w:right="0" w:firstLine="0"/>
                                <w:jc w:val="left"/>
                                <w:rPr>
                                  <w:rFonts w:ascii="Calibri"/>
                                  <w:sz w:val="19"/>
                                </w:rPr>
                              </w:pPr>
                              <w:r>
                                <w:rPr>
                                  <w:rFonts w:ascii="Calibri"/>
                                  <w:spacing w:val="-10"/>
                                  <w:sz w:val="19"/>
                                </w:rPr>
                                <w:t>6</w:t>
                              </w:r>
                            </w:p>
                          </w:txbxContent>
                        </wps:txbx>
                        <wps:bodyPr wrap="square" lIns="0" tIns="0" rIns="0" bIns="0" rtlCol="0">
                          <a:noAutofit/>
                        </wps:bodyPr>
                      </wps:wsp>
                      <wps:wsp>
                        <wps:cNvPr id="387" name="Textbox 387"/>
                        <wps:cNvSpPr txBox="1"/>
                        <wps:spPr>
                          <a:xfrm>
                            <a:off x="3736847" y="1804416"/>
                            <a:ext cx="233045" cy="553720"/>
                          </a:xfrm>
                          <a:prstGeom prst="rect">
                            <a:avLst/>
                          </a:prstGeom>
                        </wps:spPr>
                        <wps:txbx>
                          <w:txbxContent>
                            <w:p>
                              <w:pPr>
                                <w:spacing w:line="193" w:lineRule="exact" w:before="0"/>
                                <w:ind w:left="0" w:right="0" w:firstLine="0"/>
                                <w:jc w:val="left"/>
                                <w:rPr>
                                  <w:rFonts w:ascii="Calibri"/>
                                  <w:sz w:val="19"/>
                                </w:rPr>
                              </w:pPr>
                              <w:r>
                                <w:rPr>
                                  <w:rFonts w:ascii="Calibri"/>
                                  <w:spacing w:val="-5"/>
                                  <w:sz w:val="19"/>
                                </w:rPr>
                                <w:t>DS</w:t>
                              </w:r>
                            </w:p>
                            <w:p>
                              <w:pPr>
                                <w:spacing w:line="340" w:lineRule="atLeast" w:before="0"/>
                                <w:ind w:left="0" w:right="13" w:firstLine="0"/>
                                <w:jc w:val="left"/>
                                <w:rPr>
                                  <w:rFonts w:ascii="Calibri"/>
                                  <w:sz w:val="19"/>
                                </w:rPr>
                              </w:pPr>
                              <w:r>
                                <w:rPr>
                                  <w:rFonts w:ascii="Calibri"/>
                                  <w:spacing w:val="-6"/>
                                  <w:sz w:val="19"/>
                                </w:rPr>
                                <w:t>MCS</w:t>
                              </w:r>
                              <w:r>
                                <w:rPr>
                                  <w:rFonts w:ascii="Calibri"/>
                                  <w:sz w:val="19"/>
                                </w:rPr>
                                <w:t> </w:t>
                              </w:r>
                              <w:r>
                                <w:rPr>
                                  <w:rFonts w:ascii="Calibri"/>
                                  <w:spacing w:val="-4"/>
                                  <w:sz w:val="19"/>
                                </w:rPr>
                                <w:t>GEL</w:t>
                              </w:r>
                            </w:p>
                          </w:txbxContent>
                        </wps:txbx>
                        <wps:bodyPr wrap="square" lIns="0" tIns="0" rIns="0" bIns="0" rtlCol="0">
                          <a:noAutofit/>
                        </wps:bodyPr>
                      </wps:wsp>
                      <wps:wsp>
                        <wps:cNvPr id="388" name="Textbox 388"/>
                        <wps:cNvSpPr txBox="1"/>
                        <wps:spPr>
                          <a:xfrm>
                            <a:off x="0" y="2676144"/>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4</w:t>
                              </w:r>
                            </w:p>
                          </w:txbxContent>
                        </wps:txbx>
                        <wps:bodyPr wrap="square" lIns="0" tIns="0" rIns="0" bIns="0" rtlCol="0">
                          <a:noAutofit/>
                        </wps:bodyPr>
                      </wps:wsp>
                      <wps:wsp>
                        <wps:cNvPr id="389" name="Textbox 389"/>
                        <wps:cNvSpPr txBox="1"/>
                        <wps:spPr>
                          <a:xfrm>
                            <a:off x="0" y="3121151"/>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2</w:t>
                              </w:r>
                            </w:p>
                          </w:txbxContent>
                        </wps:txbx>
                        <wps:bodyPr wrap="square" lIns="0" tIns="0" rIns="0" bIns="0" rtlCol="0">
                          <a:noAutofit/>
                        </wps:bodyPr>
                      </wps:wsp>
                      <wps:wsp>
                        <wps:cNvPr id="390" name="Textbox 390"/>
                        <wps:cNvSpPr txBox="1"/>
                        <wps:spPr>
                          <a:xfrm>
                            <a:off x="0" y="3566159"/>
                            <a:ext cx="74295" cy="120650"/>
                          </a:xfrm>
                          <a:prstGeom prst="rect">
                            <a:avLst/>
                          </a:prstGeom>
                        </wps:spPr>
                        <wps:txbx>
                          <w:txbxContent>
                            <w:p>
                              <w:pPr>
                                <w:spacing w:line="190" w:lineRule="exact" w:before="0"/>
                                <w:ind w:left="0" w:right="0" w:firstLine="0"/>
                                <w:jc w:val="left"/>
                                <w:rPr>
                                  <w:rFonts w:ascii="Calibri"/>
                                  <w:sz w:val="19"/>
                                </w:rPr>
                              </w:pPr>
                              <w:r>
                                <w:rPr>
                                  <w:rFonts w:ascii="Calibri"/>
                                  <w:spacing w:val="-10"/>
                                  <w:sz w:val="19"/>
                                </w:rPr>
                                <w:t>0</w:t>
                              </w:r>
                            </w:p>
                          </w:txbxContent>
                        </wps:txbx>
                        <wps:bodyPr wrap="square" lIns="0" tIns="0" rIns="0" bIns="0" rtlCol="0">
                          <a:noAutofit/>
                        </wps:bodyPr>
                      </wps:wsp>
                    </wpg:wgp>
                  </a:graphicData>
                </a:graphic>
              </wp:anchor>
            </w:drawing>
          </mc:Choice>
          <mc:Fallback>
            <w:pict>
              <v:group style="position:absolute;margin-left:177.360001pt;margin-top:3.853607pt;width:312.6pt;height:290.3pt;mso-position-horizontal-relative:page;mso-position-vertical-relative:paragraph;z-index:15770624" id="docshapegroup364" coordorigin="3547,77" coordsize="6252,5806">
                <v:shape style="position:absolute;left:3758;top:152;width:5722;height:5684" id="docshape365" coordorigin="3758,152" coordsize="5722,5684" path="m9480,5778l9475,5778,9475,5773,3826,5773,3826,162,3816,162,3816,152,3758,152,3758,166,3811,166,3811,858,3758,858,3758,872,3811,872,3811,1558,3758,1558,3758,1568,3811,1568,3811,2259,3758,2259,3758,2274,3811,2274,3811,2965,3758,2965,3758,2979,3811,2979,3811,3666,3758,3666,3758,3675,3811,3675,3811,4366,3758,4366,3758,4381,3811,4381,3811,5067,3758,5067,3758,5082,3811,5082,3811,5773,3758,5773,3758,5782,3811,5782,3811,5835,3826,5835,3826,5787,4944,5787,4944,5835,4954,5835,4954,5787,6077,5787,6077,5835,6086,5835,6086,5787,7205,5787,7205,5835,7219,5835,7219,5787,8338,5787,8338,5835,8352,5835,8352,5787,9466,5787,9466,5835,9480,5835,9480,5778xe" filled="true" fillcolor="#858585" stroked="false">
                  <v:path arrowok="t"/>
                  <v:fill type="solid"/>
                </v:shape>
                <v:shape style="position:absolute;left:4305;top:617;width:5112;height:3130" type="#_x0000_t75" id="docshape366" stroked="false">
                  <v:imagedata r:id="rId137" o:title=""/>
                </v:shape>
                <v:shape style="position:absolute;left:3547;top:77;width:117;height:190" type="#_x0000_t202" id="docshape367" filled="false" stroked="false">
                  <v:textbox inset="0,0,0,0">
                    <w:txbxContent>
                      <w:p>
                        <w:pPr>
                          <w:spacing w:line="190" w:lineRule="exact" w:before="0"/>
                          <w:ind w:left="0" w:right="0" w:firstLine="0"/>
                          <w:jc w:val="left"/>
                          <w:rPr>
                            <w:rFonts w:ascii="Calibri"/>
                            <w:sz w:val="19"/>
                          </w:rPr>
                        </w:pPr>
                        <w:r>
                          <w:rPr>
                            <w:rFonts w:ascii="Calibri"/>
                            <w:spacing w:val="-10"/>
                            <w:sz w:val="19"/>
                          </w:rPr>
                          <w:t>6</w:t>
                        </w:r>
                      </w:p>
                    </w:txbxContent>
                  </v:textbox>
                  <w10:wrap type="none"/>
                </v:shape>
                <v:shape style="position:absolute;left:3547;top:777;width:117;height:190" type="#_x0000_t202" id="docshape368" filled="false" stroked="false">
                  <v:textbox inset="0,0,0,0">
                    <w:txbxContent>
                      <w:p>
                        <w:pPr>
                          <w:spacing w:line="190" w:lineRule="exact" w:before="0"/>
                          <w:ind w:left="0" w:right="0" w:firstLine="0"/>
                          <w:jc w:val="left"/>
                          <w:rPr>
                            <w:rFonts w:ascii="Calibri"/>
                            <w:sz w:val="19"/>
                          </w:rPr>
                        </w:pPr>
                        <w:r>
                          <w:rPr>
                            <w:rFonts w:ascii="Calibri"/>
                            <w:spacing w:val="-10"/>
                            <w:sz w:val="19"/>
                          </w:rPr>
                          <w:t>4</w:t>
                        </w:r>
                      </w:p>
                    </w:txbxContent>
                  </v:textbox>
                  <w10:wrap type="none"/>
                </v:shape>
                <v:shape style="position:absolute;left:3547;top:1483;width:117;height:190" type="#_x0000_t202" id="docshape369" filled="false" stroked="false">
                  <v:textbox inset="0,0,0,0">
                    <w:txbxContent>
                      <w:p>
                        <w:pPr>
                          <w:spacing w:line="190" w:lineRule="exact" w:before="0"/>
                          <w:ind w:left="0" w:right="0" w:firstLine="0"/>
                          <w:jc w:val="left"/>
                          <w:rPr>
                            <w:rFonts w:ascii="Calibri"/>
                            <w:sz w:val="19"/>
                          </w:rPr>
                        </w:pPr>
                        <w:r>
                          <w:rPr>
                            <w:rFonts w:ascii="Calibri"/>
                            <w:spacing w:val="-10"/>
                            <w:sz w:val="19"/>
                          </w:rPr>
                          <w:t>2</w:t>
                        </w:r>
                      </w:p>
                    </w:txbxContent>
                  </v:textbox>
                  <w10:wrap type="none"/>
                </v:shape>
                <v:shape style="position:absolute;left:3547;top:2184;width:117;height:190" type="#_x0000_t202" id="docshape370" filled="false" stroked="false">
                  <v:textbox inset="0,0,0,0">
                    <w:txbxContent>
                      <w:p>
                        <w:pPr>
                          <w:spacing w:line="190" w:lineRule="exact" w:before="0"/>
                          <w:ind w:left="0" w:right="0" w:firstLine="0"/>
                          <w:jc w:val="left"/>
                          <w:rPr>
                            <w:rFonts w:ascii="Calibri"/>
                            <w:sz w:val="19"/>
                          </w:rPr>
                        </w:pPr>
                        <w:r>
                          <w:rPr>
                            <w:rFonts w:ascii="Calibri"/>
                            <w:spacing w:val="-10"/>
                            <w:sz w:val="19"/>
                          </w:rPr>
                          <w:t>0</w:t>
                        </w:r>
                      </w:p>
                    </w:txbxContent>
                  </v:textbox>
                  <w10:wrap type="none"/>
                </v:shape>
                <v:shape style="position:absolute;left:3547;top:2885;width:117;height:891" type="#_x0000_t202" id="docshape371" filled="false" stroked="false">
                  <v:textbox inset="0,0,0,0">
                    <w:txbxContent>
                      <w:p>
                        <w:pPr>
                          <w:spacing w:line="193" w:lineRule="exact" w:before="0"/>
                          <w:ind w:left="0" w:right="0" w:firstLine="0"/>
                          <w:jc w:val="left"/>
                          <w:rPr>
                            <w:rFonts w:ascii="Calibri"/>
                            <w:sz w:val="19"/>
                          </w:rPr>
                        </w:pPr>
                        <w:r>
                          <w:rPr>
                            <w:rFonts w:ascii="Calibri"/>
                            <w:spacing w:val="-10"/>
                            <w:sz w:val="19"/>
                          </w:rPr>
                          <w:t>8</w:t>
                        </w:r>
                      </w:p>
                      <w:p>
                        <w:pPr>
                          <w:spacing w:line="240" w:lineRule="auto" w:before="0"/>
                          <w:rPr>
                            <w:rFonts w:ascii="Calibri"/>
                            <w:sz w:val="19"/>
                          </w:rPr>
                        </w:pPr>
                      </w:p>
                      <w:p>
                        <w:pPr>
                          <w:spacing w:line="240" w:lineRule="auto" w:before="5"/>
                          <w:rPr>
                            <w:rFonts w:ascii="Calibri"/>
                            <w:sz w:val="19"/>
                          </w:rPr>
                        </w:pPr>
                      </w:p>
                      <w:p>
                        <w:pPr>
                          <w:spacing w:line="228" w:lineRule="exact" w:before="0"/>
                          <w:ind w:left="0" w:right="0" w:firstLine="0"/>
                          <w:jc w:val="left"/>
                          <w:rPr>
                            <w:rFonts w:ascii="Calibri"/>
                            <w:sz w:val="19"/>
                          </w:rPr>
                        </w:pPr>
                        <w:r>
                          <w:rPr>
                            <w:rFonts w:ascii="Calibri"/>
                            <w:spacing w:val="-10"/>
                            <w:sz w:val="19"/>
                          </w:rPr>
                          <w:t>6</w:t>
                        </w:r>
                      </w:p>
                    </w:txbxContent>
                  </v:textbox>
                  <w10:wrap type="none"/>
                </v:shape>
                <v:shape style="position:absolute;left:9432;top:2918;width:367;height:872" type="#_x0000_t202" id="docshape372" filled="false" stroked="false">
                  <v:textbox inset="0,0,0,0">
                    <w:txbxContent>
                      <w:p>
                        <w:pPr>
                          <w:spacing w:line="193" w:lineRule="exact" w:before="0"/>
                          <w:ind w:left="0" w:right="0" w:firstLine="0"/>
                          <w:jc w:val="left"/>
                          <w:rPr>
                            <w:rFonts w:ascii="Calibri"/>
                            <w:sz w:val="19"/>
                          </w:rPr>
                        </w:pPr>
                        <w:r>
                          <w:rPr>
                            <w:rFonts w:ascii="Calibri"/>
                            <w:spacing w:val="-5"/>
                            <w:sz w:val="19"/>
                          </w:rPr>
                          <w:t>DS</w:t>
                        </w:r>
                      </w:p>
                      <w:p>
                        <w:pPr>
                          <w:spacing w:line="340" w:lineRule="atLeast" w:before="0"/>
                          <w:ind w:left="0" w:right="13" w:firstLine="0"/>
                          <w:jc w:val="left"/>
                          <w:rPr>
                            <w:rFonts w:ascii="Calibri"/>
                            <w:sz w:val="19"/>
                          </w:rPr>
                        </w:pPr>
                        <w:r>
                          <w:rPr>
                            <w:rFonts w:ascii="Calibri"/>
                            <w:spacing w:val="-6"/>
                            <w:sz w:val="19"/>
                          </w:rPr>
                          <w:t>MCS</w:t>
                        </w:r>
                        <w:r>
                          <w:rPr>
                            <w:rFonts w:ascii="Calibri"/>
                            <w:sz w:val="19"/>
                          </w:rPr>
                          <w:t> </w:t>
                        </w:r>
                        <w:r>
                          <w:rPr>
                            <w:rFonts w:ascii="Calibri"/>
                            <w:spacing w:val="-4"/>
                            <w:sz w:val="19"/>
                          </w:rPr>
                          <w:t>GEL</w:t>
                        </w:r>
                      </w:p>
                    </w:txbxContent>
                  </v:textbox>
                  <w10:wrap type="none"/>
                </v:shape>
                <v:shape style="position:absolute;left:3547;top:4291;width:117;height:190" type="#_x0000_t202" id="docshape373" filled="false" stroked="false">
                  <v:textbox inset="0,0,0,0">
                    <w:txbxContent>
                      <w:p>
                        <w:pPr>
                          <w:spacing w:line="190" w:lineRule="exact" w:before="0"/>
                          <w:ind w:left="0" w:right="0" w:firstLine="0"/>
                          <w:jc w:val="left"/>
                          <w:rPr>
                            <w:rFonts w:ascii="Calibri"/>
                            <w:sz w:val="19"/>
                          </w:rPr>
                        </w:pPr>
                        <w:r>
                          <w:rPr>
                            <w:rFonts w:ascii="Calibri"/>
                            <w:spacing w:val="-10"/>
                            <w:sz w:val="19"/>
                          </w:rPr>
                          <w:t>4</w:t>
                        </w:r>
                      </w:p>
                    </w:txbxContent>
                  </v:textbox>
                  <w10:wrap type="none"/>
                </v:shape>
                <v:shape style="position:absolute;left:3547;top:4992;width:117;height:190" type="#_x0000_t202" id="docshape374" filled="false" stroked="false">
                  <v:textbox inset="0,0,0,0">
                    <w:txbxContent>
                      <w:p>
                        <w:pPr>
                          <w:spacing w:line="190" w:lineRule="exact" w:before="0"/>
                          <w:ind w:left="0" w:right="0" w:firstLine="0"/>
                          <w:jc w:val="left"/>
                          <w:rPr>
                            <w:rFonts w:ascii="Calibri"/>
                            <w:sz w:val="19"/>
                          </w:rPr>
                        </w:pPr>
                        <w:r>
                          <w:rPr>
                            <w:rFonts w:ascii="Calibri"/>
                            <w:spacing w:val="-10"/>
                            <w:sz w:val="19"/>
                          </w:rPr>
                          <w:t>2</w:t>
                        </w:r>
                      </w:p>
                    </w:txbxContent>
                  </v:textbox>
                  <w10:wrap type="none"/>
                </v:shape>
                <v:shape style="position:absolute;left:3547;top:5693;width:117;height:190" type="#_x0000_t202" id="docshape375" filled="false" stroked="false">
                  <v:textbox inset="0,0,0,0">
                    <w:txbxContent>
                      <w:p>
                        <w:pPr>
                          <w:spacing w:line="190" w:lineRule="exact" w:before="0"/>
                          <w:ind w:left="0" w:right="0" w:firstLine="0"/>
                          <w:jc w:val="left"/>
                          <w:rPr>
                            <w:rFonts w:ascii="Calibri"/>
                            <w:sz w:val="19"/>
                          </w:rPr>
                        </w:pPr>
                        <w:r>
                          <w:rPr>
                            <w:rFonts w:ascii="Calibri"/>
                            <w:spacing w:val="-10"/>
                            <w:sz w:val="19"/>
                          </w:rPr>
                          <w:t>0</w:t>
                        </w:r>
                      </w:p>
                    </w:txbxContent>
                  </v:textbox>
                  <w10:wrap type="none"/>
                </v:shape>
                <w10:wrap type="none"/>
              </v:group>
            </w:pict>
          </mc:Fallback>
        </mc:AlternateContent>
      </w:r>
      <w:r>
        <w:rPr>
          <w:rFonts w:ascii="Calibri"/>
          <w:spacing w:val="-10"/>
          <w:sz w:val="19"/>
        </w:rPr>
        <w:t>1</w:t>
      </w:r>
    </w:p>
    <w:p>
      <w:pPr>
        <w:pStyle w:val="BodyText"/>
        <w:rPr>
          <w:rFonts w:ascii="Calibri"/>
          <w:sz w:val="19"/>
        </w:rPr>
      </w:pPr>
    </w:p>
    <w:p>
      <w:pPr>
        <w:pStyle w:val="BodyText"/>
        <w:spacing w:before="5"/>
        <w:rPr>
          <w:rFonts w:ascii="Calibri"/>
          <w:sz w:val="19"/>
        </w:rPr>
      </w:pPr>
    </w:p>
    <w:p>
      <w:pPr>
        <w:spacing w:before="0"/>
        <w:ind w:left="1731" w:right="0" w:firstLine="0"/>
        <w:jc w:val="left"/>
        <w:rPr>
          <w:rFonts w:ascii="Calibri"/>
          <w:sz w:val="19"/>
        </w:rPr>
      </w:pPr>
      <w:r>
        <w:rPr>
          <w:rFonts w:ascii="Calibri"/>
          <w:spacing w:val="-10"/>
          <w:sz w:val="19"/>
        </w:rPr>
        <w:t>1</w:t>
      </w:r>
    </w:p>
    <w:p>
      <w:pPr>
        <w:pStyle w:val="BodyText"/>
        <w:rPr>
          <w:rFonts w:ascii="Calibri"/>
          <w:sz w:val="19"/>
        </w:rPr>
      </w:pPr>
    </w:p>
    <w:p>
      <w:pPr>
        <w:pStyle w:val="BodyText"/>
        <w:spacing w:before="10"/>
        <w:rPr>
          <w:rFonts w:ascii="Calibri"/>
          <w:sz w:val="19"/>
        </w:rPr>
      </w:pPr>
    </w:p>
    <w:p>
      <w:pPr>
        <w:spacing w:before="0"/>
        <w:ind w:left="1731" w:right="0" w:firstLine="0"/>
        <w:jc w:val="left"/>
        <w:rPr>
          <w:rFonts w:ascii="Calibri"/>
          <w:sz w:val="19"/>
        </w:rPr>
      </w:pPr>
      <w:r>
        <w:rPr>
          <w:rFonts w:ascii="Calibri"/>
          <w:spacing w:val="-10"/>
          <w:sz w:val="19"/>
        </w:rPr>
        <w:t>1</w:t>
      </w:r>
    </w:p>
    <w:p>
      <w:pPr>
        <w:pStyle w:val="BodyText"/>
        <w:rPr>
          <w:rFonts w:ascii="Calibri"/>
          <w:sz w:val="19"/>
        </w:rPr>
      </w:pPr>
    </w:p>
    <w:p>
      <w:pPr>
        <w:pStyle w:val="BodyText"/>
        <w:spacing w:before="5"/>
        <w:rPr>
          <w:rFonts w:ascii="Calibri"/>
          <w:sz w:val="19"/>
        </w:rPr>
      </w:pPr>
    </w:p>
    <w:p>
      <w:pPr>
        <w:spacing w:before="0"/>
        <w:ind w:left="1731" w:right="0" w:firstLine="0"/>
        <w:jc w:val="left"/>
        <w:rPr>
          <w:rFonts w:ascii="Calibri"/>
          <w:sz w:val="19"/>
        </w:rPr>
      </w:pPr>
      <w:r>
        <w:rPr/>
        <mc:AlternateContent>
          <mc:Choice Requires="wps">
            <w:drawing>
              <wp:anchor distT="0" distB="0" distL="0" distR="0" allowOverlap="1" layoutInCell="1" locked="0" behindDoc="0" simplePos="0" relativeHeight="15771136">
                <wp:simplePos x="0" y="0"/>
                <wp:positionH relativeFrom="page">
                  <wp:posOffset>2021505</wp:posOffset>
                </wp:positionH>
                <wp:positionV relativeFrom="paragraph">
                  <wp:posOffset>360614</wp:posOffset>
                </wp:positionV>
                <wp:extent cx="146050" cy="33147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46050" cy="331470"/>
                        </a:xfrm>
                        <a:prstGeom prst="rect">
                          <a:avLst/>
                        </a:prstGeom>
                      </wps:spPr>
                      <wps:txbx>
                        <w:txbxContent>
                          <w:p>
                            <w:pPr>
                              <w:spacing w:line="213" w:lineRule="exact" w:before="0"/>
                              <w:ind w:left="20" w:right="0" w:firstLine="0"/>
                              <w:jc w:val="left"/>
                              <w:rPr>
                                <w:rFonts w:ascii="Calibri"/>
                                <w:b/>
                                <w:sz w:val="19"/>
                              </w:rPr>
                            </w:pPr>
                            <w:r>
                              <w:rPr>
                                <w:rFonts w:ascii="Calibri"/>
                                <w:b/>
                                <w:sz w:val="19"/>
                              </w:rPr>
                              <w:t>CS</w:t>
                            </w:r>
                            <w:r>
                              <w:rPr>
                                <w:rFonts w:ascii="Calibri"/>
                                <w:b/>
                                <w:spacing w:val="-7"/>
                                <w:sz w:val="19"/>
                              </w:rPr>
                              <w:t> </w:t>
                            </w:r>
                            <w:r>
                              <w:rPr>
                                <w:rFonts w:ascii="Calibri"/>
                                <w:b/>
                                <w:sz w:val="19"/>
                              </w:rPr>
                              <w:t>-</w:t>
                            </w:r>
                            <w:r>
                              <w:rPr>
                                <w:rFonts w:ascii="Calibri"/>
                                <w:b/>
                                <w:spacing w:val="-5"/>
                                <w:sz w:val="19"/>
                              </w:rPr>
                              <w:t>FR</w:t>
                            </w:r>
                          </w:p>
                        </w:txbxContent>
                      </wps:txbx>
                      <wps:bodyPr wrap="square" lIns="0" tIns="0" rIns="0" bIns="0" rtlCol="0" vert="vert270">
                        <a:noAutofit/>
                      </wps:bodyPr>
                    </wps:wsp>
                  </a:graphicData>
                </a:graphic>
              </wp:anchor>
            </w:drawing>
          </mc:Choice>
          <mc:Fallback>
            <w:pict>
              <v:shape style="position:absolute;margin-left:159.173676pt;margin-top:28.394871pt;width:11.5pt;height:26.1pt;mso-position-horizontal-relative:page;mso-position-vertical-relative:paragraph;z-index:15771136" type="#_x0000_t202" id="docshape376"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z w:val="19"/>
                        </w:rPr>
                        <w:t>CS</w:t>
                      </w:r>
                      <w:r>
                        <w:rPr>
                          <w:rFonts w:ascii="Calibri"/>
                          <w:b/>
                          <w:spacing w:val="-7"/>
                          <w:sz w:val="19"/>
                        </w:rPr>
                        <w:t> </w:t>
                      </w:r>
                      <w:r>
                        <w:rPr>
                          <w:rFonts w:ascii="Calibri"/>
                          <w:b/>
                          <w:sz w:val="19"/>
                        </w:rPr>
                        <w:t>-</w:t>
                      </w:r>
                      <w:r>
                        <w:rPr>
                          <w:rFonts w:ascii="Calibri"/>
                          <w:b/>
                          <w:spacing w:val="-5"/>
                          <w:sz w:val="19"/>
                        </w:rPr>
                        <w:t>FR</w:t>
                      </w:r>
                    </w:p>
                  </w:txbxContent>
                </v:textbox>
                <w10:wrap type="none"/>
              </v:shape>
            </w:pict>
          </mc:Fallback>
        </mc:AlternateContent>
      </w:r>
      <w:r>
        <w:rPr>
          <w:rFonts w:ascii="Calibri"/>
          <w:spacing w:val="-10"/>
          <w:sz w:val="19"/>
        </w:rPr>
        <w:t>1</w:t>
      </w: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42"/>
        <w:rPr>
          <w:rFonts w:ascii="Calibri"/>
          <w:sz w:val="19"/>
        </w:rPr>
      </w:pPr>
    </w:p>
    <w:p>
      <w:pPr>
        <w:tabs>
          <w:tab w:pos="3747" w:val="left" w:leader="none"/>
          <w:tab w:pos="4807" w:val="left" w:leader="none"/>
          <w:tab w:pos="5959" w:val="left" w:leader="none"/>
          <w:tab w:pos="7020" w:val="left" w:leader="none"/>
        </w:tabs>
        <w:spacing w:before="0"/>
        <w:ind w:left="2542"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7"/>
        <w:ind w:left="3752" w:right="0" w:firstLine="0"/>
        <w:jc w:val="left"/>
        <w:rPr>
          <w:rFonts w:ascii="Calibri"/>
          <w:b/>
          <w:sz w:val="19"/>
        </w:rPr>
      </w:pPr>
      <w:r>
        <w:rPr>
          <w:rFonts w:ascii="Calibri"/>
          <w:b/>
          <w:sz w:val="19"/>
        </w:rPr>
        <w:t>Binder</w:t>
      </w:r>
      <w:r>
        <w:rPr>
          <w:rFonts w:ascii="Calibri"/>
          <w:b/>
          <w:spacing w:val="-11"/>
          <w:sz w:val="19"/>
        </w:rPr>
        <w:t> </w:t>
      </w:r>
      <w:r>
        <w:rPr>
          <w:rFonts w:ascii="Calibri"/>
          <w:b/>
          <w:sz w:val="19"/>
        </w:rPr>
        <w:t>concentration</w:t>
      </w:r>
      <w:r>
        <w:rPr>
          <w:rFonts w:ascii="Calibri"/>
          <w:b/>
          <w:spacing w:val="-11"/>
          <w:sz w:val="19"/>
        </w:rPr>
        <w:t> </w:t>
      </w:r>
      <w:r>
        <w:rPr>
          <w:rFonts w:ascii="Calibri"/>
          <w:b/>
          <w:sz w:val="19"/>
        </w:rPr>
        <w:t>(%</w:t>
      </w:r>
      <w:r>
        <w:rPr>
          <w:rFonts w:ascii="Calibri"/>
          <w:b/>
          <w:spacing w:val="23"/>
          <w:sz w:val="19"/>
        </w:rPr>
        <w:t> </w:t>
      </w:r>
      <w:r>
        <w:rPr>
          <w:rFonts w:ascii="Calibri"/>
          <w:b/>
          <w:spacing w:val="-4"/>
          <w:sz w:val="19"/>
        </w:rPr>
        <w:t>w/v)</w:t>
      </w:r>
    </w:p>
    <w:p>
      <w:pPr>
        <w:pStyle w:val="BodyText"/>
        <w:rPr>
          <w:rFonts w:ascii="Calibri"/>
          <w:b/>
        </w:rPr>
      </w:pPr>
    </w:p>
    <w:p>
      <w:pPr>
        <w:pStyle w:val="BodyText"/>
        <w:spacing w:before="27"/>
        <w:rPr>
          <w:rFonts w:ascii="Calibri"/>
          <w:b/>
        </w:rPr>
      </w:pPr>
    </w:p>
    <w:p>
      <w:pPr>
        <w:pStyle w:val="Heading2"/>
        <w:spacing w:line="244" w:lineRule="auto"/>
        <w:ind w:left="1961" w:right="1562" w:hanging="1296"/>
      </w:pPr>
      <w:bookmarkStart w:name="_TOC_250010" w:id="151"/>
      <w:r>
        <w:rPr/>
        <w:t>Figure A.14: Graph of crushing strength-friability index against binder concentration (% w/v) of metronidazole tablets produced by wet </w:t>
      </w:r>
      <w:bookmarkEnd w:id="151"/>
      <w:r>
        <w:rPr>
          <w:spacing w:val="-2"/>
        </w:rPr>
        <w:t>granulation.</w:t>
      </w:r>
    </w:p>
    <w:p>
      <w:pPr>
        <w:spacing w:after="0" w:line="244" w:lineRule="auto"/>
        <w:sectPr>
          <w:pgSz w:w="12240" w:h="15840"/>
          <w:pgMar w:header="0" w:footer="999" w:top="1360" w:bottom="1180" w:left="1720" w:right="760"/>
        </w:sectPr>
      </w:pPr>
    </w:p>
    <w:p>
      <w:pPr>
        <w:spacing w:before="33"/>
        <w:ind w:left="1395" w:right="0" w:firstLine="0"/>
        <w:jc w:val="left"/>
        <w:rPr>
          <w:rFonts w:ascii="Calibri"/>
          <w:sz w:val="19"/>
        </w:rPr>
      </w:pPr>
      <w:r>
        <w:rPr/>
        <mc:AlternateContent>
          <mc:Choice Requires="wps">
            <w:drawing>
              <wp:anchor distT="0" distB="0" distL="0" distR="0" allowOverlap="1" layoutInCell="1" locked="0" behindDoc="0" simplePos="0" relativeHeight="15771648">
                <wp:simplePos x="0" y="0"/>
                <wp:positionH relativeFrom="page">
                  <wp:posOffset>2173223</wp:posOffset>
                </wp:positionH>
                <wp:positionV relativeFrom="paragraph">
                  <wp:posOffset>93472</wp:posOffset>
                </wp:positionV>
                <wp:extent cx="3870960" cy="3472179"/>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3870960" cy="3472179"/>
                          <a:chExt cx="3870960" cy="3472179"/>
                        </a:xfrm>
                      </wpg:grpSpPr>
                      <wps:wsp>
                        <wps:cNvPr id="393" name="Graphic 393"/>
                        <wps:cNvSpPr/>
                        <wps:spPr>
                          <a:xfrm>
                            <a:off x="0" y="0"/>
                            <a:ext cx="3718560" cy="3472179"/>
                          </a:xfrm>
                          <a:custGeom>
                            <a:avLst/>
                            <a:gdLst/>
                            <a:ahLst/>
                            <a:cxnLst/>
                            <a:rect l="l" t="t" r="r" b="b"/>
                            <a:pathLst>
                              <a:path w="3718560" h="3472179">
                                <a:moveTo>
                                  <a:pt x="3718560" y="3435096"/>
                                </a:moveTo>
                                <a:lnTo>
                                  <a:pt x="3712464" y="3435096"/>
                                </a:lnTo>
                                <a:lnTo>
                                  <a:pt x="3712464" y="3429000"/>
                                </a:lnTo>
                                <a:lnTo>
                                  <a:pt x="42672" y="3429000"/>
                                </a:lnTo>
                                <a:lnTo>
                                  <a:pt x="42672" y="3048"/>
                                </a:lnTo>
                                <a:lnTo>
                                  <a:pt x="39624" y="3048"/>
                                </a:lnTo>
                                <a:lnTo>
                                  <a:pt x="39624" y="0"/>
                                </a:lnTo>
                                <a:lnTo>
                                  <a:pt x="0" y="0"/>
                                </a:lnTo>
                                <a:lnTo>
                                  <a:pt x="0" y="9144"/>
                                </a:lnTo>
                                <a:lnTo>
                                  <a:pt x="36576" y="9144"/>
                                </a:lnTo>
                                <a:lnTo>
                                  <a:pt x="36576" y="426720"/>
                                </a:lnTo>
                                <a:lnTo>
                                  <a:pt x="0" y="426720"/>
                                </a:lnTo>
                                <a:lnTo>
                                  <a:pt x="0" y="435864"/>
                                </a:lnTo>
                                <a:lnTo>
                                  <a:pt x="36576" y="435864"/>
                                </a:lnTo>
                                <a:lnTo>
                                  <a:pt x="36576" y="856488"/>
                                </a:lnTo>
                                <a:lnTo>
                                  <a:pt x="0" y="856488"/>
                                </a:lnTo>
                                <a:lnTo>
                                  <a:pt x="0" y="865632"/>
                                </a:lnTo>
                                <a:lnTo>
                                  <a:pt x="36576" y="865632"/>
                                </a:lnTo>
                                <a:lnTo>
                                  <a:pt x="36576" y="1286256"/>
                                </a:lnTo>
                                <a:lnTo>
                                  <a:pt x="0" y="1286256"/>
                                </a:lnTo>
                                <a:lnTo>
                                  <a:pt x="0" y="1295400"/>
                                </a:lnTo>
                                <a:lnTo>
                                  <a:pt x="36576" y="1295400"/>
                                </a:lnTo>
                                <a:lnTo>
                                  <a:pt x="36576" y="1712976"/>
                                </a:lnTo>
                                <a:lnTo>
                                  <a:pt x="0" y="1712976"/>
                                </a:lnTo>
                                <a:lnTo>
                                  <a:pt x="0" y="1722120"/>
                                </a:lnTo>
                                <a:lnTo>
                                  <a:pt x="36576" y="1722120"/>
                                </a:lnTo>
                                <a:lnTo>
                                  <a:pt x="36576" y="2142744"/>
                                </a:lnTo>
                                <a:lnTo>
                                  <a:pt x="0" y="2142744"/>
                                </a:lnTo>
                                <a:lnTo>
                                  <a:pt x="0" y="2151888"/>
                                </a:lnTo>
                                <a:lnTo>
                                  <a:pt x="36576" y="2151888"/>
                                </a:lnTo>
                                <a:lnTo>
                                  <a:pt x="36576" y="2572512"/>
                                </a:lnTo>
                                <a:lnTo>
                                  <a:pt x="0" y="2572512"/>
                                </a:lnTo>
                                <a:lnTo>
                                  <a:pt x="0" y="2581656"/>
                                </a:lnTo>
                                <a:lnTo>
                                  <a:pt x="36576" y="2581656"/>
                                </a:lnTo>
                                <a:lnTo>
                                  <a:pt x="36576" y="3002280"/>
                                </a:lnTo>
                                <a:lnTo>
                                  <a:pt x="0" y="3002280"/>
                                </a:lnTo>
                                <a:lnTo>
                                  <a:pt x="0" y="3008376"/>
                                </a:lnTo>
                                <a:lnTo>
                                  <a:pt x="36576" y="3008376"/>
                                </a:lnTo>
                                <a:lnTo>
                                  <a:pt x="36576" y="3432048"/>
                                </a:lnTo>
                                <a:lnTo>
                                  <a:pt x="0" y="3432048"/>
                                </a:lnTo>
                                <a:lnTo>
                                  <a:pt x="0" y="3438144"/>
                                </a:lnTo>
                                <a:lnTo>
                                  <a:pt x="33528" y="3438144"/>
                                </a:lnTo>
                                <a:lnTo>
                                  <a:pt x="33528" y="3471672"/>
                                </a:lnTo>
                                <a:lnTo>
                                  <a:pt x="42672" y="3471672"/>
                                </a:lnTo>
                                <a:lnTo>
                                  <a:pt x="42672" y="3438144"/>
                                </a:lnTo>
                                <a:lnTo>
                                  <a:pt x="771144" y="3438144"/>
                                </a:lnTo>
                                <a:lnTo>
                                  <a:pt x="771144" y="3471672"/>
                                </a:lnTo>
                                <a:lnTo>
                                  <a:pt x="780288" y="3471672"/>
                                </a:lnTo>
                                <a:lnTo>
                                  <a:pt x="780288" y="3438144"/>
                                </a:lnTo>
                                <a:lnTo>
                                  <a:pt x="1502664" y="3438144"/>
                                </a:lnTo>
                                <a:lnTo>
                                  <a:pt x="1502664" y="3471672"/>
                                </a:lnTo>
                                <a:lnTo>
                                  <a:pt x="1511808" y="3471672"/>
                                </a:lnTo>
                                <a:lnTo>
                                  <a:pt x="1511808" y="3438144"/>
                                </a:lnTo>
                                <a:lnTo>
                                  <a:pt x="2240280" y="3438144"/>
                                </a:lnTo>
                                <a:lnTo>
                                  <a:pt x="2240280" y="3471672"/>
                                </a:lnTo>
                                <a:lnTo>
                                  <a:pt x="2249424" y="3471672"/>
                                </a:lnTo>
                                <a:lnTo>
                                  <a:pt x="2249424" y="3438144"/>
                                </a:lnTo>
                                <a:lnTo>
                                  <a:pt x="2974848" y="3438144"/>
                                </a:lnTo>
                                <a:lnTo>
                                  <a:pt x="2974848" y="3471672"/>
                                </a:lnTo>
                                <a:lnTo>
                                  <a:pt x="2980944" y="3471672"/>
                                </a:lnTo>
                                <a:lnTo>
                                  <a:pt x="2980944" y="3438144"/>
                                </a:lnTo>
                                <a:lnTo>
                                  <a:pt x="3709416" y="3438144"/>
                                </a:lnTo>
                                <a:lnTo>
                                  <a:pt x="3709416" y="3471672"/>
                                </a:lnTo>
                                <a:lnTo>
                                  <a:pt x="3718560" y="3471672"/>
                                </a:lnTo>
                                <a:lnTo>
                                  <a:pt x="3718560" y="3435096"/>
                                </a:lnTo>
                                <a:close/>
                              </a:path>
                            </a:pathLst>
                          </a:custGeom>
                          <a:solidFill>
                            <a:srgbClr val="858585"/>
                          </a:solidFill>
                        </wps:spPr>
                        <wps:bodyPr wrap="square" lIns="0" tIns="0" rIns="0" bIns="0" rtlCol="0">
                          <a:prstTxWarp prst="textNoShape">
                            <a:avLst/>
                          </a:prstTxWarp>
                          <a:noAutofit/>
                        </wps:bodyPr>
                      </wps:wsp>
                      <wps:wsp>
                        <wps:cNvPr id="394" name="Graphic 394"/>
                        <wps:cNvSpPr/>
                        <wps:spPr>
                          <a:xfrm>
                            <a:off x="393191" y="542544"/>
                            <a:ext cx="2966085" cy="954405"/>
                          </a:xfrm>
                          <a:custGeom>
                            <a:avLst/>
                            <a:gdLst/>
                            <a:ahLst/>
                            <a:cxnLst/>
                            <a:rect l="l" t="t" r="r" b="b"/>
                            <a:pathLst>
                              <a:path w="2966085" h="954405">
                                <a:moveTo>
                                  <a:pt x="15239" y="0"/>
                                </a:moveTo>
                                <a:lnTo>
                                  <a:pt x="9143" y="0"/>
                                </a:lnTo>
                                <a:lnTo>
                                  <a:pt x="3047" y="6095"/>
                                </a:lnTo>
                                <a:lnTo>
                                  <a:pt x="0" y="12191"/>
                                </a:lnTo>
                                <a:lnTo>
                                  <a:pt x="0" y="18287"/>
                                </a:lnTo>
                                <a:lnTo>
                                  <a:pt x="3047" y="24383"/>
                                </a:lnTo>
                                <a:lnTo>
                                  <a:pt x="94487" y="109727"/>
                                </a:lnTo>
                                <a:lnTo>
                                  <a:pt x="188975" y="201167"/>
                                </a:lnTo>
                                <a:lnTo>
                                  <a:pt x="280415" y="295655"/>
                                </a:lnTo>
                                <a:lnTo>
                                  <a:pt x="417575" y="432815"/>
                                </a:lnTo>
                                <a:lnTo>
                                  <a:pt x="509015" y="518159"/>
                                </a:lnTo>
                                <a:lnTo>
                                  <a:pt x="600456" y="597407"/>
                                </a:lnTo>
                                <a:lnTo>
                                  <a:pt x="649223" y="633983"/>
                                </a:lnTo>
                                <a:lnTo>
                                  <a:pt x="694944" y="667511"/>
                                </a:lnTo>
                                <a:lnTo>
                                  <a:pt x="740663" y="697991"/>
                                </a:lnTo>
                                <a:lnTo>
                                  <a:pt x="832104" y="755903"/>
                                </a:lnTo>
                                <a:lnTo>
                                  <a:pt x="877823" y="780287"/>
                                </a:lnTo>
                                <a:lnTo>
                                  <a:pt x="926592" y="807719"/>
                                </a:lnTo>
                                <a:lnTo>
                                  <a:pt x="1018032" y="856487"/>
                                </a:lnTo>
                                <a:lnTo>
                                  <a:pt x="1063751" y="877824"/>
                                </a:lnTo>
                                <a:lnTo>
                                  <a:pt x="1109471" y="896111"/>
                                </a:lnTo>
                                <a:lnTo>
                                  <a:pt x="1158239" y="911351"/>
                                </a:lnTo>
                                <a:lnTo>
                                  <a:pt x="1203959" y="926591"/>
                                </a:lnTo>
                                <a:lnTo>
                                  <a:pt x="1249680" y="938783"/>
                                </a:lnTo>
                                <a:lnTo>
                                  <a:pt x="1295399" y="947927"/>
                                </a:lnTo>
                                <a:lnTo>
                                  <a:pt x="1344168" y="954024"/>
                                </a:lnTo>
                                <a:lnTo>
                                  <a:pt x="1438656" y="954024"/>
                                </a:lnTo>
                                <a:lnTo>
                                  <a:pt x="1484375" y="947927"/>
                                </a:lnTo>
                                <a:lnTo>
                                  <a:pt x="1533144" y="935735"/>
                                </a:lnTo>
                                <a:lnTo>
                                  <a:pt x="1578863" y="914400"/>
                                </a:lnTo>
                                <a:lnTo>
                                  <a:pt x="1603247" y="899159"/>
                                </a:lnTo>
                                <a:lnTo>
                                  <a:pt x="1627632" y="886967"/>
                                </a:lnTo>
                                <a:lnTo>
                                  <a:pt x="1652016" y="868679"/>
                                </a:lnTo>
                                <a:lnTo>
                                  <a:pt x="1673351" y="853439"/>
                                </a:lnTo>
                                <a:lnTo>
                                  <a:pt x="1722120" y="813815"/>
                                </a:lnTo>
                                <a:lnTo>
                                  <a:pt x="1767839" y="774191"/>
                                </a:lnTo>
                                <a:lnTo>
                                  <a:pt x="1813559" y="731519"/>
                                </a:lnTo>
                                <a:lnTo>
                                  <a:pt x="1859280" y="685800"/>
                                </a:lnTo>
                                <a:lnTo>
                                  <a:pt x="1950720" y="600455"/>
                                </a:lnTo>
                                <a:lnTo>
                                  <a:pt x="1996439" y="563879"/>
                                </a:lnTo>
                                <a:lnTo>
                                  <a:pt x="2017775" y="545591"/>
                                </a:lnTo>
                                <a:lnTo>
                                  <a:pt x="2042159" y="527303"/>
                                </a:lnTo>
                                <a:lnTo>
                                  <a:pt x="2063495" y="512063"/>
                                </a:lnTo>
                                <a:lnTo>
                                  <a:pt x="2087880" y="499872"/>
                                </a:lnTo>
                                <a:lnTo>
                                  <a:pt x="2130551" y="475487"/>
                                </a:lnTo>
                                <a:lnTo>
                                  <a:pt x="2154935" y="469391"/>
                                </a:lnTo>
                                <a:lnTo>
                                  <a:pt x="2176272" y="460248"/>
                                </a:lnTo>
                                <a:lnTo>
                                  <a:pt x="2218944" y="454151"/>
                                </a:lnTo>
                                <a:lnTo>
                                  <a:pt x="2240280" y="454151"/>
                                </a:lnTo>
                                <a:lnTo>
                                  <a:pt x="2261616" y="457200"/>
                                </a:lnTo>
                                <a:lnTo>
                                  <a:pt x="2285999" y="460248"/>
                                </a:lnTo>
                                <a:lnTo>
                                  <a:pt x="2307335" y="463295"/>
                                </a:lnTo>
                                <a:lnTo>
                                  <a:pt x="2328672" y="469391"/>
                                </a:lnTo>
                                <a:lnTo>
                                  <a:pt x="2350008" y="478535"/>
                                </a:lnTo>
                                <a:lnTo>
                                  <a:pt x="2374392" y="484631"/>
                                </a:lnTo>
                                <a:lnTo>
                                  <a:pt x="2395728" y="496824"/>
                                </a:lnTo>
                                <a:lnTo>
                                  <a:pt x="2441447" y="518159"/>
                                </a:lnTo>
                                <a:lnTo>
                                  <a:pt x="2487168" y="545591"/>
                                </a:lnTo>
                                <a:lnTo>
                                  <a:pt x="2578608" y="606551"/>
                                </a:lnTo>
                                <a:lnTo>
                                  <a:pt x="2624328" y="640079"/>
                                </a:lnTo>
                                <a:lnTo>
                                  <a:pt x="2670047" y="676655"/>
                                </a:lnTo>
                                <a:lnTo>
                                  <a:pt x="2761487" y="746759"/>
                                </a:lnTo>
                                <a:lnTo>
                                  <a:pt x="2807208" y="783335"/>
                                </a:lnTo>
                                <a:lnTo>
                                  <a:pt x="2852928" y="816863"/>
                                </a:lnTo>
                                <a:lnTo>
                                  <a:pt x="2898647" y="847343"/>
                                </a:lnTo>
                                <a:lnTo>
                                  <a:pt x="2944368" y="874776"/>
                                </a:lnTo>
                                <a:lnTo>
                                  <a:pt x="2950463" y="880872"/>
                                </a:lnTo>
                                <a:lnTo>
                                  <a:pt x="2959608" y="877824"/>
                                </a:lnTo>
                                <a:lnTo>
                                  <a:pt x="2965704" y="865631"/>
                                </a:lnTo>
                                <a:lnTo>
                                  <a:pt x="2965704" y="856487"/>
                                </a:lnTo>
                                <a:lnTo>
                                  <a:pt x="2959608" y="853439"/>
                                </a:lnTo>
                                <a:lnTo>
                                  <a:pt x="2913887" y="826007"/>
                                </a:lnTo>
                                <a:lnTo>
                                  <a:pt x="2868168" y="795527"/>
                                </a:lnTo>
                                <a:lnTo>
                                  <a:pt x="2776728" y="728472"/>
                                </a:lnTo>
                                <a:lnTo>
                                  <a:pt x="2685287" y="655319"/>
                                </a:lnTo>
                                <a:lnTo>
                                  <a:pt x="2639568" y="621791"/>
                                </a:lnTo>
                                <a:lnTo>
                                  <a:pt x="2593847" y="585215"/>
                                </a:lnTo>
                                <a:lnTo>
                                  <a:pt x="2545080" y="551687"/>
                                </a:lnTo>
                                <a:lnTo>
                                  <a:pt x="2499360" y="521207"/>
                                </a:lnTo>
                                <a:lnTo>
                                  <a:pt x="2407920" y="472439"/>
                                </a:lnTo>
                                <a:lnTo>
                                  <a:pt x="2359151" y="454151"/>
                                </a:lnTo>
                                <a:lnTo>
                                  <a:pt x="2334768" y="445007"/>
                                </a:lnTo>
                                <a:lnTo>
                                  <a:pt x="2313432" y="438911"/>
                                </a:lnTo>
                                <a:lnTo>
                                  <a:pt x="2289047" y="432815"/>
                                </a:lnTo>
                                <a:lnTo>
                                  <a:pt x="2264663" y="429767"/>
                                </a:lnTo>
                                <a:lnTo>
                                  <a:pt x="2215896" y="429767"/>
                                </a:lnTo>
                                <a:lnTo>
                                  <a:pt x="2167128" y="435863"/>
                                </a:lnTo>
                                <a:lnTo>
                                  <a:pt x="2142744" y="445007"/>
                                </a:lnTo>
                                <a:lnTo>
                                  <a:pt x="2121408" y="454151"/>
                                </a:lnTo>
                                <a:lnTo>
                                  <a:pt x="2097023" y="463295"/>
                                </a:lnTo>
                                <a:lnTo>
                                  <a:pt x="2072639" y="478535"/>
                                </a:lnTo>
                                <a:lnTo>
                                  <a:pt x="2048256" y="490727"/>
                                </a:lnTo>
                                <a:lnTo>
                                  <a:pt x="2026920" y="509015"/>
                                </a:lnTo>
                                <a:lnTo>
                                  <a:pt x="2002535" y="524255"/>
                                </a:lnTo>
                                <a:lnTo>
                                  <a:pt x="1978151" y="542543"/>
                                </a:lnTo>
                                <a:lnTo>
                                  <a:pt x="1932432" y="582167"/>
                                </a:lnTo>
                                <a:lnTo>
                                  <a:pt x="1703832" y="795527"/>
                                </a:lnTo>
                                <a:lnTo>
                                  <a:pt x="1658111" y="832103"/>
                                </a:lnTo>
                                <a:lnTo>
                                  <a:pt x="1636775" y="847343"/>
                                </a:lnTo>
                                <a:lnTo>
                                  <a:pt x="1612392" y="862583"/>
                                </a:lnTo>
                                <a:lnTo>
                                  <a:pt x="1591056" y="877824"/>
                                </a:lnTo>
                                <a:lnTo>
                                  <a:pt x="1548383" y="902207"/>
                                </a:lnTo>
                                <a:lnTo>
                                  <a:pt x="1502663" y="917448"/>
                                </a:lnTo>
                                <a:lnTo>
                                  <a:pt x="1435608" y="926591"/>
                                </a:lnTo>
                                <a:lnTo>
                                  <a:pt x="1392935" y="929639"/>
                                </a:lnTo>
                                <a:lnTo>
                                  <a:pt x="1347216" y="926591"/>
                                </a:lnTo>
                                <a:lnTo>
                                  <a:pt x="1255775" y="914400"/>
                                </a:lnTo>
                                <a:lnTo>
                                  <a:pt x="1210056" y="902207"/>
                                </a:lnTo>
                                <a:lnTo>
                                  <a:pt x="1164335" y="886967"/>
                                </a:lnTo>
                                <a:lnTo>
                                  <a:pt x="1121663" y="871727"/>
                                </a:lnTo>
                                <a:lnTo>
                                  <a:pt x="1075944" y="853439"/>
                                </a:lnTo>
                                <a:lnTo>
                                  <a:pt x="984504" y="810767"/>
                                </a:lnTo>
                                <a:lnTo>
                                  <a:pt x="938783" y="786383"/>
                                </a:lnTo>
                                <a:lnTo>
                                  <a:pt x="755904" y="676655"/>
                                </a:lnTo>
                                <a:lnTo>
                                  <a:pt x="710183" y="646176"/>
                                </a:lnTo>
                                <a:lnTo>
                                  <a:pt x="618744" y="579119"/>
                                </a:lnTo>
                                <a:lnTo>
                                  <a:pt x="527303" y="499872"/>
                                </a:lnTo>
                                <a:lnTo>
                                  <a:pt x="435863" y="414527"/>
                                </a:lnTo>
                                <a:lnTo>
                                  <a:pt x="298703" y="277367"/>
                                </a:lnTo>
                                <a:lnTo>
                                  <a:pt x="207263" y="182879"/>
                                </a:lnTo>
                                <a:lnTo>
                                  <a:pt x="112775" y="91439"/>
                                </a:lnTo>
                                <a:lnTo>
                                  <a:pt x="21335" y="6095"/>
                                </a:lnTo>
                                <a:lnTo>
                                  <a:pt x="15239" y="0"/>
                                </a:lnTo>
                                <a:close/>
                              </a:path>
                            </a:pathLst>
                          </a:custGeom>
                          <a:solidFill>
                            <a:srgbClr val="497DBA"/>
                          </a:solidFill>
                        </wps:spPr>
                        <wps:bodyPr wrap="square" lIns="0" tIns="0" rIns="0" bIns="0" rtlCol="0">
                          <a:prstTxWarp prst="textNoShape">
                            <a:avLst/>
                          </a:prstTxWarp>
                          <a:noAutofit/>
                        </wps:bodyPr>
                      </wps:wsp>
                      <pic:pic>
                        <pic:nvPicPr>
                          <pic:cNvPr id="395" name="Image 395"/>
                          <pic:cNvPicPr/>
                        </pic:nvPicPr>
                        <pic:blipFill>
                          <a:blip r:embed="rId138" cstate="print"/>
                          <a:stretch>
                            <a:fillRect/>
                          </a:stretch>
                        </pic:blipFill>
                        <pic:spPr>
                          <a:xfrm>
                            <a:off x="356615" y="509016"/>
                            <a:ext cx="94487" cy="97535"/>
                          </a:xfrm>
                          <a:prstGeom prst="rect">
                            <a:avLst/>
                          </a:prstGeom>
                        </pic:spPr>
                      </pic:pic>
                      <pic:pic>
                        <pic:nvPicPr>
                          <pic:cNvPr id="396" name="Image 396"/>
                          <pic:cNvPicPr/>
                        </pic:nvPicPr>
                        <pic:blipFill>
                          <a:blip r:embed="rId139" cstate="print"/>
                          <a:stretch>
                            <a:fillRect/>
                          </a:stretch>
                        </pic:blipFill>
                        <pic:spPr>
                          <a:xfrm>
                            <a:off x="1088136" y="1182624"/>
                            <a:ext cx="97536" cy="97535"/>
                          </a:xfrm>
                          <a:prstGeom prst="rect">
                            <a:avLst/>
                          </a:prstGeom>
                        </pic:spPr>
                      </pic:pic>
                      <pic:pic>
                        <pic:nvPicPr>
                          <pic:cNvPr id="397" name="Image 397"/>
                          <pic:cNvPicPr/>
                        </pic:nvPicPr>
                        <pic:blipFill>
                          <a:blip r:embed="rId140" cstate="print"/>
                          <a:stretch>
                            <a:fillRect/>
                          </a:stretch>
                        </pic:blipFill>
                        <pic:spPr>
                          <a:xfrm>
                            <a:off x="1825751" y="1429511"/>
                            <a:ext cx="97536" cy="94488"/>
                          </a:xfrm>
                          <a:prstGeom prst="rect">
                            <a:avLst/>
                          </a:prstGeom>
                        </pic:spPr>
                      </pic:pic>
                      <pic:pic>
                        <pic:nvPicPr>
                          <pic:cNvPr id="398" name="Image 398"/>
                          <pic:cNvPicPr/>
                        </pic:nvPicPr>
                        <pic:blipFill>
                          <a:blip r:embed="rId141" cstate="print"/>
                          <a:stretch>
                            <a:fillRect/>
                          </a:stretch>
                        </pic:blipFill>
                        <pic:spPr>
                          <a:xfrm>
                            <a:off x="2560320" y="935736"/>
                            <a:ext cx="94487" cy="97536"/>
                          </a:xfrm>
                          <a:prstGeom prst="rect">
                            <a:avLst/>
                          </a:prstGeom>
                        </pic:spPr>
                      </pic:pic>
                      <pic:pic>
                        <pic:nvPicPr>
                          <pic:cNvPr id="399" name="Image 399"/>
                          <pic:cNvPicPr/>
                        </pic:nvPicPr>
                        <pic:blipFill>
                          <a:blip r:embed="rId142" cstate="print"/>
                          <a:stretch>
                            <a:fillRect/>
                          </a:stretch>
                        </pic:blipFill>
                        <pic:spPr>
                          <a:xfrm>
                            <a:off x="3294888" y="1359408"/>
                            <a:ext cx="97536" cy="97536"/>
                          </a:xfrm>
                          <a:prstGeom prst="rect">
                            <a:avLst/>
                          </a:prstGeom>
                        </pic:spPr>
                      </pic:pic>
                      <wps:wsp>
                        <wps:cNvPr id="400" name="Graphic 400"/>
                        <wps:cNvSpPr/>
                        <wps:spPr>
                          <a:xfrm>
                            <a:off x="390143" y="2161032"/>
                            <a:ext cx="2969260" cy="1064260"/>
                          </a:xfrm>
                          <a:custGeom>
                            <a:avLst/>
                            <a:gdLst/>
                            <a:ahLst/>
                            <a:cxnLst/>
                            <a:rect l="l" t="t" r="r" b="b"/>
                            <a:pathLst>
                              <a:path w="2969260" h="1064260">
                                <a:moveTo>
                                  <a:pt x="21336" y="0"/>
                                </a:moveTo>
                                <a:lnTo>
                                  <a:pt x="15239" y="0"/>
                                </a:lnTo>
                                <a:lnTo>
                                  <a:pt x="9143" y="3048"/>
                                </a:lnTo>
                                <a:lnTo>
                                  <a:pt x="3048" y="9144"/>
                                </a:lnTo>
                                <a:lnTo>
                                  <a:pt x="0" y="18288"/>
                                </a:lnTo>
                                <a:lnTo>
                                  <a:pt x="6095" y="21336"/>
                                </a:lnTo>
                                <a:lnTo>
                                  <a:pt x="51815" y="82296"/>
                                </a:lnTo>
                                <a:lnTo>
                                  <a:pt x="143256" y="210312"/>
                                </a:lnTo>
                                <a:lnTo>
                                  <a:pt x="188975" y="277368"/>
                                </a:lnTo>
                                <a:lnTo>
                                  <a:pt x="280415" y="414527"/>
                                </a:lnTo>
                                <a:lnTo>
                                  <a:pt x="371856" y="548640"/>
                                </a:lnTo>
                                <a:lnTo>
                                  <a:pt x="463295" y="676656"/>
                                </a:lnTo>
                                <a:lnTo>
                                  <a:pt x="512063" y="734568"/>
                                </a:lnTo>
                                <a:lnTo>
                                  <a:pt x="557783" y="792480"/>
                                </a:lnTo>
                                <a:lnTo>
                                  <a:pt x="649224" y="890016"/>
                                </a:lnTo>
                                <a:lnTo>
                                  <a:pt x="697992" y="932688"/>
                                </a:lnTo>
                                <a:lnTo>
                                  <a:pt x="743711" y="969263"/>
                                </a:lnTo>
                                <a:lnTo>
                                  <a:pt x="789432" y="996696"/>
                                </a:lnTo>
                                <a:lnTo>
                                  <a:pt x="838199" y="1021080"/>
                                </a:lnTo>
                                <a:lnTo>
                                  <a:pt x="883919" y="1039368"/>
                                </a:lnTo>
                                <a:lnTo>
                                  <a:pt x="932687" y="1051560"/>
                                </a:lnTo>
                                <a:lnTo>
                                  <a:pt x="1024128" y="1063752"/>
                                </a:lnTo>
                                <a:lnTo>
                                  <a:pt x="1118616" y="1063752"/>
                                </a:lnTo>
                                <a:lnTo>
                                  <a:pt x="1210056" y="1057656"/>
                                </a:lnTo>
                                <a:lnTo>
                                  <a:pt x="1304544" y="1045463"/>
                                </a:lnTo>
                                <a:lnTo>
                                  <a:pt x="1395983" y="1039368"/>
                                </a:lnTo>
                                <a:lnTo>
                                  <a:pt x="1484376" y="1039368"/>
                                </a:lnTo>
                                <a:lnTo>
                                  <a:pt x="1575816" y="1042416"/>
                                </a:lnTo>
                                <a:lnTo>
                                  <a:pt x="1670304" y="1042416"/>
                                </a:lnTo>
                                <a:lnTo>
                                  <a:pt x="1761744" y="1045463"/>
                                </a:lnTo>
                                <a:lnTo>
                                  <a:pt x="1853183" y="1045463"/>
                                </a:lnTo>
                                <a:lnTo>
                                  <a:pt x="2221992" y="1039368"/>
                                </a:lnTo>
                                <a:lnTo>
                                  <a:pt x="2956560" y="1014984"/>
                                </a:lnTo>
                                <a:lnTo>
                                  <a:pt x="2962656" y="1014984"/>
                                </a:lnTo>
                                <a:lnTo>
                                  <a:pt x="2968752" y="1008888"/>
                                </a:lnTo>
                                <a:lnTo>
                                  <a:pt x="2968752" y="993648"/>
                                </a:lnTo>
                                <a:lnTo>
                                  <a:pt x="2962656" y="990600"/>
                                </a:lnTo>
                                <a:lnTo>
                                  <a:pt x="2956560" y="990600"/>
                                </a:lnTo>
                                <a:lnTo>
                                  <a:pt x="2404872" y="1008888"/>
                                </a:lnTo>
                                <a:lnTo>
                                  <a:pt x="1853183" y="1018032"/>
                                </a:lnTo>
                                <a:lnTo>
                                  <a:pt x="1670304" y="1018032"/>
                                </a:lnTo>
                                <a:lnTo>
                                  <a:pt x="1487423" y="1011936"/>
                                </a:lnTo>
                                <a:lnTo>
                                  <a:pt x="1438656" y="1011936"/>
                                </a:lnTo>
                                <a:lnTo>
                                  <a:pt x="1301495" y="1021080"/>
                                </a:lnTo>
                                <a:lnTo>
                                  <a:pt x="1210056" y="1030224"/>
                                </a:lnTo>
                                <a:lnTo>
                                  <a:pt x="1164335" y="1036320"/>
                                </a:lnTo>
                                <a:lnTo>
                                  <a:pt x="1118616" y="1039368"/>
                                </a:lnTo>
                                <a:lnTo>
                                  <a:pt x="1027176" y="1039368"/>
                                </a:lnTo>
                                <a:lnTo>
                                  <a:pt x="981456" y="1033272"/>
                                </a:lnTo>
                                <a:lnTo>
                                  <a:pt x="938783" y="1024128"/>
                                </a:lnTo>
                                <a:lnTo>
                                  <a:pt x="914399" y="1021080"/>
                                </a:lnTo>
                                <a:lnTo>
                                  <a:pt x="893064" y="1014984"/>
                                </a:lnTo>
                                <a:lnTo>
                                  <a:pt x="871728" y="1005840"/>
                                </a:lnTo>
                                <a:lnTo>
                                  <a:pt x="847344" y="996696"/>
                                </a:lnTo>
                                <a:lnTo>
                                  <a:pt x="826007" y="987551"/>
                                </a:lnTo>
                                <a:lnTo>
                                  <a:pt x="804671" y="975360"/>
                                </a:lnTo>
                                <a:lnTo>
                                  <a:pt x="780287" y="963168"/>
                                </a:lnTo>
                                <a:lnTo>
                                  <a:pt x="758952" y="947928"/>
                                </a:lnTo>
                                <a:lnTo>
                                  <a:pt x="734568" y="932688"/>
                                </a:lnTo>
                                <a:lnTo>
                                  <a:pt x="713232" y="914400"/>
                                </a:lnTo>
                                <a:lnTo>
                                  <a:pt x="691895" y="893063"/>
                                </a:lnTo>
                                <a:lnTo>
                                  <a:pt x="667512" y="871728"/>
                                </a:lnTo>
                                <a:lnTo>
                                  <a:pt x="621792" y="826008"/>
                                </a:lnTo>
                                <a:lnTo>
                                  <a:pt x="600456" y="801624"/>
                                </a:lnTo>
                                <a:lnTo>
                                  <a:pt x="576071" y="774192"/>
                                </a:lnTo>
                                <a:lnTo>
                                  <a:pt x="530351" y="719328"/>
                                </a:lnTo>
                                <a:lnTo>
                                  <a:pt x="484631" y="661416"/>
                                </a:lnTo>
                                <a:lnTo>
                                  <a:pt x="393192" y="533400"/>
                                </a:lnTo>
                                <a:lnTo>
                                  <a:pt x="118871" y="131064"/>
                                </a:lnTo>
                                <a:lnTo>
                                  <a:pt x="73151" y="67055"/>
                                </a:lnTo>
                                <a:lnTo>
                                  <a:pt x="27431" y="6096"/>
                                </a:lnTo>
                                <a:lnTo>
                                  <a:pt x="21336" y="0"/>
                                </a:lnTo>
                                <a:close/>
                              </a:path>
                            </a:pathLst>
                          </a:custGeom>
                          <a:solidFill>
                            <a:srgbClr val="BD4A47"/>
                          </a:solidFill>
                        </wps:spPr>
                        <wps:bodyPr wrap="square" lIns="0" tIns="0" rIns="0" bIns="0" rtlCol="0">
                          <a:prstTxWarp prst="textNoShape">
                            <a:avLst/>
                          </a:prstTxWarp>
                          <a:noAutofit/>
                        </wps:bodyPr>
                      </wps:wsp>
                      <wps:wsp>
                        <wps:cNvPr id="401" name="Graphic 401"/>
                        <wps:cNvSpPr/>
                        <wps:spPr>
                          <a:xfrm>
                            <a:off x="362711" y="2133600"/>
                            <a:ext cx="82550" cy="82550"/>
                          </a:xfrm>
                          <a:custGeom>
                            <a:avLst/>
                            <a:gdLst/>
                            <a:ahLst/>
                            <a:cxnLst/>
                            <a:rect l="l" t="t" r="r" b="b"/>
                            <a:pathLst>
                              <a:path w="82550" h="82550">
                                <a:moveTo>
                                  <a:pt x="82295" y="0"/>
                                </a:moveTo>
                                <a:lnTo>
                                  <a:pt x="0" y="0"/>
                                </a:lnTo>
                                <a:lnTo>
                                  <a:pt x="0" y="82296"/>
                                </a:lnTo>
                                <a:lnTo>
                                  <a:pt x="82295" y="82296"/>
                                </a:lnTo>
                                <a:lnTo>
                                  <a:pt x="82295" y="0"/>
                                </a:lnTo>
                                <a:close/>
                              </a:path>
                            </a:pathLst>
                          </a:custGeom>
                          <a:solidFill>
                            <a:srgbClr val="BF4F4C"/>
                          </a:solidFill>
                        </wps:spPr>
                        <wps:bodyPr wrap="square" lIns="0" tIns="0" rIns="0" bIns="0" rtlCol="0">
                          <a:prstTxWarp prst="textNoShape">
                            <a:avLst/>
                          </a:prstTxWarp>
                          <a:noAutofit/>
                        </wps:bodyPr>
                      </wps:wsp>
                      <wps:wsp>
                        <wps:cNvPr id="402" name="Graphic 402"/>
                        <wps:cNvSpPr/>
                        <wps:spPr>
                          <a:xfrm>
                            <a:off x="356615" y="2130551"/>
                            <a:ext cx="94615" cy="91440"/>
                          </a:xfrm>
                          <a:custGeom>
                            <a:avLst/>
                            <a:gdLst/>
                            <a:ahLst/>
                            <a:cxnLst/>
                            <a:rect l="l" t="t" r="r" b="b"/>
                            <a:pathLst>
                              <a:path w="94615" h="91440">
                                <a:moveTo>
                                  <a:pt x="94487" y="0"/>
                                </a:moveTo>
                                <a:lnTo>
                                  <a:pt x="0" y="0"/>
                                </a:lnTo>
                                <a:lnTo>
                                  <a:pt x="0" y="88392"/>
                                </a:lnTo>
                                <a:lnTo>
                                  <a:pt x="3048" y="91440"/>
                                </a:lnTo>
                                <a:lnTo>
                                  <a:pt x="91440" y="91440"/>
                                </a:lnTo>
                                <a:lnTo>
                                  <a:pt x="94487" y="88392"/>
                                </a:lnTo>
                                <a:lnTo>
                                  <a:pt x="94487" y="85344"/>
                                </a:lnTo>
                                <a:lnTo>
                                  <a:pt x="9143" y="85344"/>
                                </a:lnTo>
                                <a:lnTo>
                                  <a:pt x="6096" y="82296"/>
                                </a:lnTo>
                                <a:lnTo>
                                  <a:pt x="9143" y="82296"/>
                                </a:lnTo>
                                <a:lnTo>
                                  <a:pt x="9143" y="9144"/>
                                </a:lnTo>
                                <a:lnTo>
                                  <a:pt x="6096" y="9144"/>
                                </a:lnTo>
                                <a:lnTo>
                                  <a:pt x="9143" y="3048"/>
                                </a:lnTo>
                                <a:lnTo>
                                  <a:pt x="94487" y="3048"/>
                                </a:lnTo>
                                <a:lnTo>
                                  <a:pt x="94487" y="0"/>
                                </a:lnTo>
                                <a:close/>
                              </a:path>
                              <a:path w="94615" h="91440">
                                <a:moveTo>
                                  <a:pt x="9143" y="82296"/>
                                </a:moveTo>
                                <a:lnTo>
                                  <a:pt x="6096" y="82296"/>
                                </a:lnTo>
                                <a:lnTo>
                                  <a:pt x="9143" y="85344"/>
                                </a:lnTo>
                                <a:lnTo>
                                  <a:pt x="9143" y="82296"/>
                                </a:lnTo>
                                <a:close/>
                              </a:path>
                              <a:path w="94615" h="91440">
                                <a:moveTo>
                                  <a:pt x="85343" y="82296"/>
                                </a:moveTo>
                                <a:lnTo>
                                  <a:pt x="9143" y="82296"/>
                                </a:lnTo>
                                <a:lnTo>
                                  <a:pt x="9143" y="85344"/>
                                </a:lnTo>
                                <a:lnTo>
                                  <a:pt x="85343" y="85344"/>
                                </a:lnTo>
                                <a:lnTo>
                                  <a:pt x="85343" y="82296"/>
                                </a:lnTo>
                                <a:close/>
                              </a:path>
                              <a:path w="94615" h="91440">
                                <a:moveTo>
                                  <a:pt x="85343" y="3048"/>
                                </a:moveTo>
                                <a:lnTo>
                                  <a:pt x="85343" y="85344"/>
                                </a:lnTo>
                                <a:lnTo>
                                  <a:pt x="88392" y="82296"/>
                                </a:lnTo>
                                <a:lnTo>
                                  <a:pt x="94487" y="82296"/>
                                </a:lnTo>
                                <a:lnTo>
                                  <a:pt x="94487" y="9144"/>
                                </a:lnTo>
                                <a:lnTo>
                                  <a:pt x="88392" y="9144"/>
                                </a:lnTo>
                                <a:lnTo>
                                  <a:pt x="85343" y="3048"/>
                                </a:lnTo>
                                <a:close/>
                              </a:path>
                              <a:path w="94615" h="91440">
                                <a:moveTo>
                                  <a:pt x="94487" y="82296"/>
                                </a:moveTo>
                                <a:lnTo>
                                  <a:pt x="88392" y="82296"/>
                                </a:lnTo>
                                <a:lnTo>
                                  <a:pt x="85343" y="85344"/>
                                </a:lnTo>
                                <a:lnTo>
                                  <a:pt x="94487" y="85344"/>
                                </a:lnTo>
                                <a:lnTo>
                                  <a:pt x="94487" y="82296"/>
                                </a:lnTo>
                                <a:close/>
                              </a:path>
                              <a:path w="94615" h="91440">
                                <a:moveTo>
                                  <a:pt x="9143" y="3048"/>
                                </a:moveTo>
                                <a:lnTo>
                                  <a:pt x="6096" y="9144"/>
                                </a:lnTo>
                                <a:lnTo>
                                  <a:pt x="9143" y="9144"/>
                                </a:lnTo>
                                <a:lnTo>
                                  <a:pt x="9143" y="3048"/>
                                </a:lnTo>
                                <a:close/>
                              </a:path>
                              <a:path w="94615" h="91440">
                                <a:moveTo>
                                  <a:pt x="85343" y="3048"/>
                                </a:moveTo>
                                <a:lnTo>
                                  <a:pt x="9143" y="3048"/>
                                </a:lnTo>
                                <a:lnTo>
                                  <a:pt x="9143" y="9144"/>
                                </a:lnTo>
                                <a:lnTo>
                                  <a:pt x="85343" y="9144"/>
                                </a:lnTo>
                                <a:lnTo>
                                  <a:pt x="85343" y="3048"/>
                                </a:lnTo>
                                <a:close/>
                              </a:path>
                              <a:path w="94615" h="91440">
                                <a:moveTo>
                                  <a:pt x="94487" y="3048"/>
                                </a:moveTo>
                                <a:lnTo>
                                  <a:pt x="85343" y="3048"/>
                                </a:lnTo>
                                <a:lnTo>
                                  <a:pt x="88392" y="9144"/>
                                </a:lnTo>
                                <a:lnTo>
                                  <a:pt x="94487" y="9144"/>
                                </a:lnTo>
                                <a:lnTo>
                                  <a:pt x="94487" y="3048"/>
                                </a:lnTo>
                                <a:close/>
                              </a:path>
                            </a:pathLst>
                          </a:custGeom>
                          <a:solidFill>
                            <a:srgbClr val="BD4A47"/>
                          </a:solidFill>
                        </wps:spPr>
                        <wps:bodyPr wrap="square" lIns="0" tIns="0" rIns="0" bIns="0" rtlCol="0">
                          <a:prstTxWarp prst="textNoShape">
                            <a:avLst/>
                          </a:prstTxWarp>
                          <a:noAutofit/>
                        </wps:bodyPr>
                      </wps:wsp>
                      <wps:wsp>
                        <wps:cNvPr id="403" name="Graphic 403"/>
                        <wps:cNvSpPr/>
                        <wps:spPr>
                          <a:xfrm>
                            <a:off x="1094232" y="3075432"/>
                            <a:ext cx="85725" cy="85725"/>
                          </a:xfrm>
                          <a:custGeom>
                            <a:avLst/>
                            <a:gdLst/>
                            <a:ahLst/>
                            <a:cxnLst/>
                            <a:rect l="l" t="t" r="r" b="b"/>
                            <a:pathLst>
                              <a:path w="85725" h="85725">
                                <a:moveTo>
                                  <a:pt x="85344" y="0"/>
                                </a:moveTo>
                                <a:lnTo>
                                  <a:pt x="0" y="0"/>
                                </a:lnTo>
                                <a:lnTo>
                                  <a:pt x="0" y="85344"/>
                                </a:lnTo>
                                <a:lnTo>
                                  <a:pt x="85344" y="85344"/>
                                </a:lnTo>
                                <a:lnTo>
                                  <a:pt x="85344" y="0"/>
                                </a:lnTo>
                                <a:close/>
                              </a:path>
                            </a:pathLst>
                          </a:custGeom>
                          <a:solidFill>
                            <a:srgbClr val="BF4F4C"/>
                          </a:solidFill>
                        </wps:spPr>
                        <wps:bodyPr wrap="square" lIns="0" tIns="0" rIns="0" bIns="0" rtlCol="0">
                          <a:prstTxWarp prst="textNoShape">
                            <a:avLst/>
                          </a:prstTxWarp>
                          <a:noAutofit/>
                        </wps:bodyPr>
                      </wps:wsp>
                      <wps:wsp>
                        <wps:cNvPr id="404" name="Graphic 404"/>
                        <wps:cNvSpPr/>
                        <wps:spPr>
                          <a:xfrm>
                            <a:off x="1091183" y="3072383"/>
                            <a:ext cx="91440" cy="91440"/>
                          </a:xfrm>
                          <a:custGeom>
                            <a:avLst/>
                            <a:gdLst/>
                            <a:ahLst/>
                            <a:cxnLst/>
                            <a:rect l="l" t="t" r="r" b="b"/>
                            <a:pathLst>
                              <a:path w="91440" h="91440">
                                <a:moveTo>
                                  <a:pt x="88391" y="0"/>
                                </a:moveTo>
                                <a:lnTo>
                                  <a:pt x="3047" y="0"/>
                                </a:lnTo>
                                <a:lnTo>
                                  <a:pt x="0" y="3048"/>
                                </a:lnTo>
                                <a:lnTo>
                                  <a:pt x="0" y="88392"/>
                                </a:lnTo>
                                <a:lnTo>
                                  <a:pt x="3047" y="91440"/>
                                </a:lnTo>
                                <a:lnTo>
                                  <a:pt x="88391" y="91440"/>
                                </a:lnTo>
                                <a:lnTo>
                                  <a:pt x="91439" y="88392"/>
                                </a:lnTo>
                                <a:lnTo>
                                  <a:pt x="9143" y="88392"/>
                                </a:lnTo>
                                <a:lnTo>
                                  <a:pt x="3047" y="82296"/>
                                </a:lnTo>
                                <a:lnTo>
                                  <a:pt x="9143" y="82296"/>
                                </a:lnTo>
                                <a:lnTo>
                                  <a:pt x="9143" y="9144"/>
                                </a:lnTo>
                                <a:lnTo>
                                  <a:pt x="3047" y="9144"/>
                                </a:lnTo>
                                <a:lnTo>
                                  <a:pt x="9143" y="3048"/>
                                </a:lnTo>
                                <a:lnTo>
                                  <a:pt x="91439" y="3048"/>
                                </a:lnTo>
                                <a:lnTo>
                                  <a:pt x="88391" y="0"/>
                                </a:lnTo>
                                <a:close/>
                              </a:path>
                              <a:path w="91440" h="91440">
                                <a:moveTo>
                                  <a:pt x="9143" y="82296"/>
                                </a:moveTo>
                                <a:lnTo>
                                  <a:pt x="3047" y="82296"/>
                                </a:lnTo>
                                <a:lnTo>
                                  <a:pt x="9143" y="88392"/>
                                </a:lnTo>
                                <a:lnTo>
                                  <a:pt x="9143" y="82296"/>
                                </a:lnTo>
                                <a:close/>
                              </a:path>
                              <a:path w="91440" h="91440">
                                <a:moveTo>
                                  <a:pt x="82295" y="82296"/>
                                </a:moveTo>
                                <a:lnTo>
                                  <a:pt x="9143" y="82296"/>
                                </a:lnTo>
                                <a:lnTo>
                                  <a:pt x="9143" y="88392"/>
                                </a:lnTo>
                                <a:lnTo>
                                  <a:pt x="82295" y="88392"/>
                                </a:lnTo>
                                <a:lnTo>
                                  <a:pt x="82295" y="82296"/>
                                </a:lnTo>
                                <a:close/>
                              </a:path>
                              <a:path w="91440" h="91440">
                                <a:moveTo>
                                  <a:pt x="82295" y="3048"/>
                                </a:moveTo>
                                <a:lnTo>
                                  <a:pt x="82295" y="88392"/>
                                </a:lnTo>
                                <a:lnTo>
                                  <a:pt x="88391" y="82296"/>
                                </a:lnTo>
                                <a:lnTo>
                                  <a:pt x="91439" y="82296"/>
                                </a:lnTo>
                                <a:lnTo>
                                  <a:pt x="91439" y="9144"/>
                                </a:lnTo>
                                <a:lnTo>
                                  <a:pt x="88391" y="9144"/>
                                </a:lnTo>
                                <a:lnTo>
                                  <a:pt x="82295" y="3048"/>
                                </a:lnTo>
                                <a:close/>
                              </a:path>
                              <a:path w="91440" h="91440">
                                <a:moveTo>
                                  <a:pt x="91439" y="82296"/>
                                </a:moveTo>
                                <a:lnTo>
                                  <a:pt x="88391" y="82296"/>
                                </a:lnTo>
                                <a:lnTo>
                                  <a:pt x="82295" y="88392"/>
                                </a:lnTo>
                                <a:lnTo>
                                  <a:pt x="91439" y="88392"/>
                                </a:lnTo>
                                <a:lnTo>
                                  <a:pt x="91439" y="82296"/>
                                </a:lnTo>
                                <a:close/>
                              </a:path>
                              <a:path w="91440" h="91440">
                                <a:moveTo>
                                  <a:pt x="9143" y="3048"/>
                                </a:moveTo>
                                <a:lnTo>
                                  <a:pt x="3047" y="9144"/>
                                </a:lnTo>
                                <a:lnTo>
                                  <a:pt x="9143" y="9144"/>
                                </a:lnTo>
                                <a:lnTo>
                                  <a:pt x="9143" y="3048"/>
                                </a:lnTo>
                                <a:close/>
                              </a:path>
                              <a:path w="91440" h="91440">
                                <a:moveTo>
                                  <a:pt x="82295" y="3048"/>
                                </a:moveTo>
                                <a:lnTo>
                                  <a:pt x="9143" y="3048"/>
                                </a:lnTo>
                                <a:lnTo>
                                  <a:pt x="9143" y="9144"/>
                                </a:lnTo>
                                <a:lnTo>
                                  <a:pt x="82295" y="9144"/>
                                </a:lnTo>
                                <a:lnTo>
                                  <a:pt x="82295" y="3048"/>
                                </a:lnTo>
                                <a:close/>
                              </a:path>
                              <a:path w="91440" h="91440">
                                <a:moveTo>
                                  <a:pt x="91439" y="3048"/>
                                </a:moveTo>
                                <a:lnTo>
                                  <a:pt x="82295" y="3048"/>
                                </a:lnTo>
                                <a:lnTo>
                                  <a:pt x="88391"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wps:wsp>
                        <wps:cNvPr id="405" name="Graphic 405"/>
                        <wps:cNvSpPr/>
                        <wps:spPr>
                          <a:xfrm>
                            <a:off x="1831848" y="3145535"/>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406" name="Graphic 406"/>
                        <wps:cNvSpPr/>
                        <wps:spPr>
                          <a:xfrm>
                            <a:off x="1828800" y="3139439"/>
                            <a:ext cx="91440" cy="94615"/>
                          </a:xfrm>
                          <a:custGeom>
                            <a:avLst/>
                            <a:gdLst/>
                            <a:ahLst/>
                            <a:cxnLst/>
                            <a:rect l="l" t="t" r="r" b="b"/>
                            <a:pathLst>
                              <a:path w="91440" h="94615">
                                <a:moveTo>
                                  <a:pt x="88391" y="0"/>
                                </a:moveTo>
                                <a:lnTo>
                                  <a:pt x="0" y="0"/>
                                </a:lnTo>
                                <a:lnTo>
                                  <a:pt x="0" y="94487"/>
                                </a:lnTo>
                                <a:lnTo>
                                  <a:pt x="88391" y="94487"/>
                                </a:lnTo>
                                <a:lnTo>
                                  <a:pt x="91439" y="91439"/>
                                </a:lnTo>
                                <a:lnTo>
                                  <a:pt x="91439" y="88391"/>
                                </a:lnTo>
                                <a:lnTo>
                                  <a:pt x="6096" y="88391"/>
                                </a:lnTo>
                                <a:lnTo>
                                  <a:pt x="3048" y="85343"/>
                                </a:lnTo>
                                <a:lnTo>
                                  <a:pt x="6096" y="85343"/>
                                </a:lnTo>
                                <a:lnTo>
                                  <a:pt x="6096" y="9143"/>
                                </a:lnTo>
                                <a:lnTo>
                                  <a:pt x="3048" y="9143"/>
                                </a:lnTo>
                                <a:lnTo>
                                  <a:pt x="6096" y="6096"/>
                                </a:lnTo>
                                <a:lnTo>
                                  <a:pt x="91439" y="6096"/>
                                </a:lnTo>
                                <a:lnTo>
                                  <a:pt x="91439" y="3048"/>
                                </a:lnTo>
                                <a:lnTo>
                                  <a:pt x="88391" y="0"/>
                                </a:lnTo>
                                <a:close/>
                              </a:path>
                              <a:path w="91440" h="94615">
                                <a:moveTo>
                                  <a:pt x="6096" y="85343"/>
                                </a:moveTo>
                                <a:lnTo>
                                  <a:pt x="3048" y="85343"/>
                                </a:lnTo>
                                <a:lnTo>
                                  <a:pt x="6096" y="88391"/>
                                </a:lnTo>
                                <a:lnTo>
                                  <a:pt x="6096" y="85343"/>
                                </a:lnTo>
                                <a:close/>
                              </a:path>
                              <a:path w="91440" h="94615">
                                <a:moveTo>
                                  <a:pt x="82296" y="85343"/>
                                </a:moveTo>
                                <a:lnTo>
                                  <a:pt x="6096" y="85343"/>
                                </a:lnTo>
                                <a:lnTo>
                                  <a:pt x="6096" y="88391"/>
                                </a:lnTo>
                                <a:lnTo>
                                  <a:pt x="82296" y="88391"/>
                                </a:lnTo>
                                <a:lnTo>
                                  <a:pt x="82296" y="85343"/>
                                </a:lnTo>
                                <a:close/>
                              </a:path>
                              <a:path w="91440" h="94615">
                                <a:moveTo>
                                  <a:pt x="82296" y="6096"/>
                                </a:moveTo>
                                <a:lnTo>
                                  <a:pt x="82296" y="88391"/>
                                </a:lnTo>
                                <a:lnTo>
                                  <a:pt x="85343" y="85343"/>
                                </a:lnTo>
                                <a:lnTo>
                                  <a:pt x="91439" y="85343"/>
                                </a:lnTo>
                                <a:lnTo>
                                  <a:pt x="91439" y="9143"/>
                                </a:lnTo>
                                <a:lnTo>
                                  <a:pt x="85343" y="9143"/>
                                </a:lnTo>
                                <a:lnTo>
                                  <a:pt x="82296" y="6096"/>
                                </a:lnTo>
                                <a:close/>
                              </a:path>
                              <a:path w="91440" h="94615">
                                <a:moveTo>
                                  <a:pt x="91439" y="85343"/>
                                </a:moveTo>
                                <a:lnTo>
                                  <a:pt x="85343" y="85343"/>
                                </a:lnTo>
                                <a:lnTo>
                                  <a:pt x="82296" y="88391"/>
                                </a:lnTo>
                                <a:lnTo>
                                  <a:pt x="91439" y="88391"/>
                                </a:lnTo>
                                <a:lnTo>
                                  <a:pt x="91439" y="85343"/>
                                </a:lnTo>
                                <a:close/>
                              </a:path>
                              <a:path w="91440" h="94615">
                                <a:moveTo>
                                  <a:pt x="6096" y="6096"/>
                                </a:moveTo>
                                <a:lnTo>
                                  <a:pt x="3048" y="9143"/>
                                </a:lnTo>
                                <a:lnTo>
                                  <a:pt x="6096" y="9143"/>
                                </a:lnTo>
                                <a:lnTo>
                                  <a:pt x="6096" y="6096"/>
                                </a:lnTo>
                                <a:close/>
                              </a:path>
                              <a:path w="91440" h="94615">
                                <a:moveTo>
                                  <a:pt x="82296" y="6096"/>
                                </a:moveTo>
                                <a:lnTo>
                                  <a:pt x="6096" y="6096"/>
                                </a:lnTo>
                                <a:lnTo>
                                  <a:pt x="6096" y="9143"/>
                                </a:lnTo>
                                <a:lnTo>
                                  <a:pt x="82296" y="9143"/>
                                </a:lnTo>
                                <a:lnTo>
                                  <a:pt x="82296" y="6096"/>
                                </a:lnTo>
                                <a:close/>
                              </a:path>
                              <a:path w="91440" h="94615">
                                <a:moveTo>
                                  <a:pt x="91439" y="6096"/>
                                </a:moveTo>
                                <a:lnTo>
                                  <a:pt x="82296" y="6096"/>
                                </a:lnTo>
                                <a:lnTo>
                                  <a:pt x="85343" y="9143"/>
                                </a:lnTo>
                                <a:lnTo>
                                  <a:pt x="91439" y="9143"/>
                                </a:lnTo>
                                <a:lnTo>
                                  <a:pt x="91439" y="6096"/>
                                </a:lnTo>
                                <a:close/>
                              </a:path>
                            </a:pathLst>
                          </a:custGeom>
                          <a:solidFill>
                            <a:srgbClr val="BD4A47"/>
                          </a:solidFill>
                        </wps:spPr>
                        <wps:bodyPr wrap="square" lIns="0" tIns="0" rIns="0" bIns="0" rtlCol="0">
                          <a:prstTxWarp prst="textNoShape">
                            <a:avLst/>
                          </a:prstTxWarp>
                          <a:noAutofit/>
                        </wps:bodyPr>
                      </wps:wsp>
                      <wps:wsp>
                        <wps:cNvPr id="407" name="Graphic 407"/>
                        <wps:cNvSpPr/>
                        <wps:spPr>
                          <a:xfrm>
                            <a:off x="2566416" y="3145535"/>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BF4F4C"/>
                          </a:solidFill>
                        </wps:spPr>
                        <wps:bodyPr wrap="square" lIns="0" tIns="0" rIns="0" bIns="0" rtlCol="0">
                          <a:prstTxWarp prst="textNoShape">
                            <a:avLst/>
                          </a:prstTxWarp>
                          <a:noAutofit/>
                        </wps:bodyPr>
                      </wps:wsp>
                      <wps:wsp>
                        <wps:cNvPr id="408" name="Graphic 408"/>
                        <wps:cNvSpPr/>
                        <wps:spPr>
                          <a:xfrm>
                            <a:off x="2560320" y="3139439"/>
                            <a:ext cx="91440" cy="94615"/>
                          </a:xfrm>
                          <a:custGeom>
                            <a:avLst/>
                            <a:gdLst/>
                            <a:ahLst/>
                            <a:cxnLst/>
                            <a:rect l="l" t="t" r="r" b="b"/>
                            <a:pathLst>
                              <a:path w="91440" h="94615">
                                <a:moveTo>
                                  <a:pt x="91439" y="0"/>
                                </a:moveTo>
                                <a:lnTo>
                                  <a:pt x="3047" y="0"/>
                                </a:lnTo>
                                <a:lnTo>
                                  <a:pt x="0" y="3048"/>
                                </a:lnTo>
                                <a:lnTo>
                                  <a:pt x="0" y="91439"/>
                                </a:lnTo>
                                <a:lnTo>
                                  <a:pt x="3047" y="94487"/>
                                </a:lnTo>
                                <a:lnTo>
                                  <a:pt x="91439" y="94487"/>
                                </a:lnTo>
                                <a:lnTo>
                                  <a:pt x="91439" y="88391"/>
                                </a:lnTo>
                                <a:lnTo>
                                  <a:pt x="9143" y="88391"/>
                                </a:lnTo>
                                <a:lnTo>
                                  <a:pt x="6095" y="85343"/>
                                </a:lnTo>
                                <a:lnTo>
                                  <a:pt x="9143" y="85343"/>
                                </a:lnTo>
                                <a:lnTo>
                                  <a:pt x="9143" y="9143"/>
                                </a:lnTo>
                                <a:lnTo>
                                  <a:pt x="6095" y="9143"/>
                                </a:lnTo>
                                <a:lnTo>
                                  <a:pt x="9143" y="6096"/>
                                </a:lnTo>
                                <a:lnTo>
                                  <a:pt x="91439" y="6096"/>
                                </a:lnTo>
                                <a:lnTo>
                                  <a:pt x="91439" y="0"/>
                                </a:lnTo>
                                <a:close/>
                              </a:path>
                              <a:path w="91440" h="94615">
                                <a:moveTo>
                                  <a:pt x="9143" y="85343"/>
                                </a:moveTo>
                                <a:lnTo>
                                  <a:pt x="6095" y="85343"/>
                                </a:lnTo>
                                <a:lnTo>
                                  <a:pt x="9143" y="88391"/>
                                </a:lnTo>
                                <a:lnTo>
                                  <a:pt x="9143" y="85343"/>
                                </a:lnTo>
                                <a:close/>
                              </a:path>
                              <a:path w="91440" h="94615">
                                <a:moveTo>
                                  <a:pt x="82295" y="85343"/>
                                </a:moveTo>
                                <a:lnTo>
                                  <a:pt x="9143" y="85343"/>
                                </a:lnTo>
                                <a:lnTo>
                                  <a:pt x="9143" y="88391"/>
                                </a:lnTo>
                                <a:lnTo>
                                  <a:pt x="82295" y="88391"/>
                                </a:lnTo>
                                <a:lnTo>
                                  <a:pt x="82295" y="85343"/>
                                </a:lnTo>
                                <a:close/>
                              </a:path>
                              <a:path w="91440" h="94615">
                                <a:moveTo>
                                  <a:pt x="82295" y="6096"/>
                                </a:moveTo>
                                <a:lnTo>
                                  <a:pt x="82295" y="88391"/>
                                </a:lnTo>
                                <a:lnTo>
                                  <a:pt x="88391" y="85343"/>
                                </a:lnTo>
                                <a:lnTo>
                                  <a:pt x="91439" y="85343"/>
                                </a:lnTo>
                                <a:lnTo>
                                  <a:pt x="91439" y="9143"/>
                                </a:lnTo>
                                <a:lnTo>
                                  <a:pt x="88391" y="9143"/>
                                </a:lnTo>
                                <a:lnTo>
                                  <a:pt x="82295" y="6096"/>
                                </a:lnTo>
                                <a:close/>
                              </a:path>
                              <a:path w="91440" h="94615">
                                <a:moveTo>
                                  <a:pt x="91439" y="85343"/>
                                </a:moveTo>
                                <a:lnTo>
                                  <a:pt x="88391" y="85343"/>
                                </a:lnTo>
                                <a:lnTo>
                                  <a:pt x="82295" y="88391"/>
                                </a:lnTo>
                                <a:lnTo>
                                  <a:pt x="91439" y="88391"/>
                                </a:lnTo>
                                <a:lnTo>
                                  <a:pt x="91439" y="85343"/>
                                </a:lnTo>
                                <a:close/>
                              </a:path>
                              <a:path w="91440" h="94615">
                                <a:moveTo>
                                  <a:pt x="9143" y="6096"/>
                                </a:moveTo>
                                <a:lnTo>
                                  <a:pt x="6095" y="9143"/>
                                </a:lnTo>
                                <a:lnTo>
                                  <a:pt x="9143" y="9143"/>
                                </a:lnTo>
                                <a:lnTo>
                                  <a:pt x="9143" y="6096"/>
                                </a:lnTo>
                                <a:close/>
                              </a:path>
                              <a:path w="91440" h="94615">
                                <a:moveTo>
                                  <a:pt x="82295" y="6096"/>
                                </a:moveTo>
                                <a:lnTo>
                                  <a:pt x="9143" y="6096"/>
                                </a:lnTo>
                                <a:lnTo>
                                  <a:pt x="9143" y="9143"/>
                                </a:lnTo>
                                <a:lnTo>
                                  <a:pt x="82295" y="9143"/>
                                </a:lnTo>
                                <a:lnTo>
                                  <a:pt x="82295" y="6096"/>
                                </a:lnTo>
                                <a:close/>
                              </a:path>
                              <a:path w="91440" h="94615">
                                <a:moveTo>
                                  <a:pt x="91439" y="6096"/>
                                </a:moveTo>
                                <a:lnTo>
                                  <a:pt x="82295" y="6096"/>
                                </a:lnTo>
                                <a:lnTo>
                                  <a:pt x="88391" y="9143"/>
                                </a:lnTo>
                                <a:lnTo>
                                  <a:pt x="91439" y="9143"/>
                                </a:lnTo>
                                <a:lnTo>
                                  <a:pt x="91439" y="6096"/>
                                </a:lnTo>
                                <a:close/>
                              </a:path>
                            </a:pathLst>
                          </a:custGeom>
                          <a:solidFill>
                            <a:srgbClr val="BD4A47"/>
                          </a:solidFill>
                        </wps:spPr>
                        <wps:bodyPr wrap="square" lIns="0" tIns="0" rIns="0" bIns="0" rtlCol="0">
                          <a:prstTxWarp prst="textNoShape">
                            <a:avLst/>
                          </a:prstTxWarp>
                          <a:noAutofit/>
                        </wps:bodyPr>
                      </wps:wsp>
                      <wps:wsp>
                        <wps:cNvPr id="409" name="Graphic 409"/>
                        <wps:cNvSpPr/>
                        <wps:spPr>
                          <a:xfrm>
                            <a:off x="3300984" y="3121151"/>
                            <a:ext cx="82550" cy="85725"/>
                          </a:xfrm>
                          <a:custGeom>
                            <a:avLst/>
                            <a:gdLst/>
                            <a:ahLst/>
                            <a:cxnLst/>
                            <a:rect l="l" t="t" r="r" b="b"/>
                            <a:pathLst>
                              <a:path w="82550" h="85725">
                                <a:moveTo>
                                  <a:pt x="82296" y="0"/>
                                </a:moveTo>
                                <a:lnTo>
                                  <a:pt x="0" y="0"/>
                                </a:lnTo>
                                <a:lnTo>
                                  <a:pt x="0" y="85344"/>
                                </a:lnTo>
                                <a:lnTo>
                                  <a:pt x="82296" y="85344"/>
                                </a:lnTo>
                                <a:lnTo>
                                  <a:pt x="82296" y="0"/>
                                </a:lnTo>
                                <a:close/>
                              </a:path>
                            </a:pathLst>
                          </a:custGeom>
                          <a:solidFill>
                            <a:srgbClr val="BF4F4C"/>
                          </a:solidFill>
                        </wps:spPr>
                        <wps:bodyPr wrap="square" lIns="0" tIns="0" rIns="0" bIns="0" rtlCol="0">
                          <a:prstTxWarp prst="textNoShape">
                            <a:avLst/>
                          </a:prstTxWarp>
                          <a:noAutofit/>
                        </wps:bodyPr>
                      </wps:wsp>
                      <wps:wsp>
                        <wps:cNvPr id="410" name="Graphic 410"/>
                        <wps:cNvSpPr/>
                        <wps:spPr>
                          <a:xfrm>
                            <a:off x="3297935" y="3118104"/>
                            <a:ext cx="91440" cy="91440"/>
                          </a:xfrm>
                          <a:custGeom>
                            <a:avLst/>
                            <a:gdLst/>
                            <a:ahLst/>
                            <a:cxnLst/>
                            <a:rect l="l" t="t" r="r" b="b"/>
                            <a:pathLst>
                              <a:path w="91440" h="91440">
                                <a:moveTo>
                                  <a:pt x="88391" y="0"/>
                                </a:moveTo>
                                <a:lnTo>
                                  <a:pt x="0" y="0"/>
                                </a:lnTo>
                                <a:lnTo>
                                  <a:pt x="0" y="91439"/>
                                </a:lnTo>
                                <a:lnTo>
                                  <a:pt x="88391" y="91439"/>
                                </a:lnTo>
                                <a:lnTo>
                                  <a:pt x="91439" y="88391"/>
                                </a:lnTo>
                                <a:lnTo>
                                  <a:pt x="9143" y="88391"/>
                                </a:lnTo>
                                <a:lnTo>
                                  <a:pt x="3048" y="82296"/>
                                </a:lnTo>
                                <a:lnTo>
                                  <a:pt x="9143" y="82296"/>
                                </a:lnTo>
                                <a:lnTo>
                                  <a:pt x="9143" y="9144"/>
                                </a:lnTo>
                                <a:lnTo>
                                  <a:pt x="3048" y="9144"/>
                                </a:lnTo>
                                <a:lnTo>
                                  <a:pt x="9143" y="3048"/>
                                </a:lnTo>
                                <a:lnTo>
                                  <a:pt x="91439" y="3048"/>
                                </a:lnTo>
                                <a:lnTo>
                                  <a:pt x="88391" y="0"/>
                                </a:lnTo>
                                <a:close/>
                              </a:path>
                              <a:path w="91440" h="91440">
                                <a:moveTo>
                                  <a:pt x="9143" y="82296"/>
                                </a:moveTo>
                                <a:lnTo>
                                  <a:pt x="3048" y="82296"/>
                                </a:lnTo>
                                <a:lnTo>
                                  <a:pt x="9143" y="88391"/>
                                </a:lnTo>
                                <a:lnTo>
                                  <a:pt x="9143" y="82296"/>
                                </a:lnTo>
                                <a:close/>
                              </a:path>
                              <a:path w="91440" h="91440">
                                <a:moveTo>
                                  <a:pt x="82295" y="82296"/>
                                </a:moveTo>
                                <a:lnTo>
                                  <a:pt x="9143" y="82296"/>
                                </a:lnTo>
                                <a:lnTo>
                                  <a:pt x="9143" y="88391"/>
                                </a:lnTo>
                                <a:lnTo>
                                  <a:pt x="82295" y="88391"/>
                                </a:lnTo>
                                <a:lnTo>
                                  <a:pt x="82295" y="82296"/>
                                </a:lnTo>
                                <a:close/>
                              </a:path>
                              <a:path w="91440" h="91440">
                                <a:moveTo>
                                  <a:pt x="82295" y="3048"/>
                                </a:moveTo>
                                <a:lnTo>
                                  <a:pt x="82295" y="88391"/>
                                </a:lnTo>
                                <a:lnTo>
                                  <a:pt x="85343" y="82296"/>
                                </a:lnTo>
                                <a:lnTo>
                                  <a:pt x="91439" y="82296"/>
                                </a:lnTo>
                                <a:lnTo>
                                  <a:pt x="91439" y="9144"/>
                                </a:lnTo>
                                <a:lnTo>
                                  <a:pt x="85343" y="9144"/>
                                </a:lnTo>
                                <a:lnTo>
                                  <a:pt x="82295" y="3048"/>
                                </a:lnTo>
                                <a:close/>
                              </a:path>
                              <a:path w="91440" h="91440">
                                <a:moveTo>
                                  <a:pt x="91439" y="82296"/>
                                </a:moveTo>
                                <a:lnTo>
                                  <a:pt x="85343" y="82296"/>
                                </a:lnTo>
                                <a:lnTo>
                                  <a:pt x="82295" y="88391"/>
                                </a:lnTo>
                                <a:lnTo>
                                  <a:pt x="91439" y="88391"/>
                                </a:lnTo>
                                <a:lnTo>
                                  <a:pt x="91439" y="82296"/>
                                </a:lnTo>
                                <a:close/>
                              </a:path>
                              <a:path w="91440" h="91440">
                                <a:moveTo>
                                  <a:pt x="9143" y="3048"/>
                                </a:moveTo>
                                <a:lnTo>
                                  <a:pt x="3048" y="9144"/>
                                </a:lnTo>
                                <a:lnTo>
                                  <a:pt x="9143" y="9144"/>
                                </a:lnTo>
                                <a:lnTo>
                                  <a:pt x="9143" y="3048"/>
                                </a:lnTo>
                                <a:close/>
                              </a:path>
                              <a:path w="91440" h="91440">
                                <a:moveTo>
                                  <a:pt x="82295" y="3048"/>
                                </a:moveTo>
                                <a:lnTo>
                                  <a:pt x="9143" y="3048"/>
                                </a:lnTo>
                                <a:lnTo>
                                  <a:pt x="9143" y="9144"/>
                                </a:lnTo>
                                <a:lnTo>
                                  <a:pt x="82295" y="9144"/>
                                </a:lnTo>
                                <a:lnTo>
                                  <a:pt x="82295" y="3048"/>
                                </a:lnTo>
                                <a:close/>
                              </a:path>
                              <a:path w="91440" h="91440">
                                <a:moveTo>
                                  <a:pt x="91439" y="3048"/>
                                </a:moveTo>
                                <a:lnTo>
                                  <a:pt x="82295" y="3048"/>
                                </a:lnTo>
                                <a:lnTo>
                                  <a:pt x="85343" y="9144"/>
                                </a:lnTo>
                                <a:lnTo>
                                  <a:pt x="91439" y="9144"/>
                                </a:lnTo>
                                <a:lnTo>
                                  <a:pt x="91439" y="3048"/>
                                </a:lnTo>
                                <a:close/>
                              </a:path>
                            </a:pathLst>
                          </a:custGeom>
                          <a:solidFill>
                            <a:srgbClr val="BD4A47"/>
                          </a:solidFill>
                        </wps:spPr>
                        <wps:bodyPr wrap="square" lIns="0" tIns="0" rIns="0" bIns="0" rtlCol="0">
                          <a:prstTxWarp prst="textNoShape">
                            <a:avLst/>
                          </a:prstTxWarp>
                          <a:noAutofit/>
                        </wps:bodyPr>
                      </wps:wsp>
                      <wps:wsp>
                        <wps:cNvPr id="411" name="Graphic 411"/>
                        <wps:cNvSpPr/>
                        <wps:spPr>
                          <a:xfrm>
                            <a:off x="393191" y="3197351"/>
                            <a:ext cx="2966085" cy="198120"/>
                          </a:xfrm>
                          <a:custGeom>
                            <a:avLst/>
                            <a:gdLst/>
                            <a:ahLst/>
                            <a:cxnLst/>
                            <a:rect l="l" t="t" r="r" b="b"/>
                            <a:pathLst>
                              <a:path w="2966085" h="198120">
                                <a:moveTo>
                                  <a:pt x="12191" y="0"/>
                                </a:moveTo>
                                <a:lnTo>
                                  <a:pt x="6095" y="0"/>
                                </a:lnTo>
                                <a:lnTo>
                                  <a:pt x="0" y="6096"/>
                                </a:lnTo>
                                <a:lnTo>
                                  <a:pt x="0" y="18287"/>
                                </a:lnTo>
                                <a:lnTo>
                                  <a:pt x="6095" y="24384"/>
                                </a:lnTo>
                                <a:lnTo>
                                  <a:pt x="12191" y="24384"/>
                                </a:lnTo>
                                <a:lnTo>
                                  <a:pt x="563879" y="60960"/>
                                </a:lnTo>
                                <a:lnTo>
                                  <a:pt x="655319" y="70103"/>
                                </a:lnTo>
                                <a:lnTo>
                                  <a:pt x="746759" y="76200"/>
                                </a:lnTo>
                                <a:lnTo>
                                  <a:pt x="929639" y="100584"/>
                                </a:lnTo>
                                <a:lnTo>
                                  <a:pt x="1112520" y="128015"/>
                                </a:lnTo>
                                <a:lnTo>
                                  <a:pt x="1203959" y="140208"/>
                                </a:lnTo>
                                <a:lnTo>
                                  <a:pt x="1298447" y="152400"/>
                                </a:lnTo>
                                <a:lnTo>
                                  <a:pt x="1481328" y="170687"/>
                                </a:lnTo>
                                <a:lnTo>
                                  <a:pt x="1572768" y="176784"/>
                                </a:lnTo>
                                <a:lnTo>
                                  <a:pt x="1758695" y="182879"/>
                                </a:lnTo>
                                <a:lnTo>
                                  <a:pt x="1850135" y="182879"/>
                                </a:lnTo>
                                <a:lnTo>
                                  <a:pt x="2033016" y="185927"/>
                                </a:lnTo>
                                <a:lnTo>
                                  <a:pt x="2218944" y="185927"/>
                                </a:lnTo>
                                <a:lnTo>
                                  <a:pt x="2959608" y="198120"/>
                                </a:lnTo>
                                <a:lnTo>
                                  <a:pt x="2965704" y="192024"/>
                                </a:lnTo>
                                <a:lnTo>
                                  <a:pt x="2965704" y="176784"/>
                                </a:lnTo>
                                <a:lnTo>
                                  <a:pt x="2959608" y="170687"/>
                                </a:lnTo>
                                <a:lnTo>
                                  <a:pt x="2584704" y="164591"/>
                                </a:lnTo>
                                <a:lnTo>
                                  <a:pt x="2218944" y="161543"/>
                                </a:lnTo>
                                <a:lnTo>
                                  <a:pt x="2033016" y="158496"/>
                                </a:lnTo>
                                <a:lnTo>
                                  <a:pt x="1850135" y="158496"/>
                                </a:lnTo>
                                <a:lnTo>
                                  <a:pt x="1758695" y="155448"/>
                                </a:lnTo>
                                <a:lnTo>
                                  <a:pt x="1667256" y="155448"/>
                                </a:lnTo>
                                <a:lnTo>
                                  <a:pt x="1575816" y="152400"/>
                                </a:lnTo>
                                <a:lnTo>
                                  <a:pt x="1484375" y="146303"/>
                                </a:lnTo>
                                <a:lnTo>
                                  <a:pt x="1301495" y="128015"/>
                                </a:lnTo>
                                <a:lnTo>
                                  <a:pt x="1210056" y="115824"/>
                                </a:lnTo>
                                <a:lnTo>
                                  <a:pt x="1118616" y="100584"/>
                                </a:lnTo>
                                <a:lnTo>
                                  <a:pt x="932687" y="73151"/>
                                </a:lnTo>
                                <a:lnTo>
                                  <a:pt x="841247" y="60960"/>
                                </a:lnTo>
                                <a:lnTo>
                                  <a:pt x="658367" y="42672"/>
                                </a:lnTo>
                                <a:lnTo>
                                  <a:pt x="563879" y="36575"/>
                                </a:lnTo>
                                <a:lnTo>
                                  <a:pt x="12191" y="0"/>
                                </a:lnTo>
                                <a:close/>
                              </a:path>
                            </a:pathLst>
                          </a:custGeom>
                          <a:solidFill>
                            <a:srgbClr val="97B853"/>
                          </a:solidFill>
                        </wps:spPr>
                        <wps:bodyPr wrap="square" lIns="0" tIns="0" rIns="0" bIns="0" rtlCol="0">
                          <a:prstTxWarp prst="textNoShape">
                            <a:avLst/>
                          </a:prstTxWarp>
                          <a:noAutofit/>
                        </wps:bodyPr>
                      </wps:wsp>
                      <pic:pic>
                        <pic:nvPicPr>
                          <pic:cNvPr id="412" name="Image 412"/>
                          <pic:cNvPicPr/>
                        </pic:nvPicPr>
                        <pic:blipFill>
                          <a:blip r:embed="rId143" cstate="print"/>
                          <a:stretch>
                            <a:fillRect/>
                          </a:stretch>
                        </pic:blipFill>
                        <pic:spPr>
                          <a:xfrm>
                            <a:off x="356615" y="3160776"/>
                            <a:ext cx="97536" cy="97536"/>
                          </a:xfrm>
                          <a:prstGeom prst="rect">
                            <a:avLst/>
                          </a:prstGeom>
                        </pic:spPr>
                      </pic:pic>
                      <pic:pic>
                        <pic:nvPicPr>
                          <pic:cNvPr id="413" name="Image 413"/>
                          <pic:cNvPicPr/>
                        </pic:nvPicPr>
                        <pic:blipFill>
                          <a:blip r:embed="rId144" cstate="print"/>
                          <a:stretch>
                            <a:fillRect/>
                          </a:stretch>
                        </pic:blipFill>
                        <pic:spPr>
                          <a:xfrm>
                            <a:off x="1088136" y="3212592"/>
                            <a:ext cx="100584" cy="97536"/>
                          </a:xfrm>
                          <a:prstGeom prst="rect">
                            <a:avLst/>
                          </a:prstGeom>
                        </pic:spPr>
                      </pic:pic>
                      <pic:pic>
                        <pic:nvPicPr>
                          <pic:cNvPr id="414" name="Image 414"/>
                          <pic:cNvPicPr/>
                        </pic:nvPicPr>
                        <pic:blipFill>
                          <a:blip r:embed="rId145" cstate="print"/>
                          <a:stretch>
                            <a:fillRect/>
                          </a:stretch>
                        </pic:blipFill>
                        <pic:spPr>
                          <a:xfrm>
                            <a:off x="1825751" y="3307079"/>
                            <a:ext cx="97536" cy="97536"/>
                          </a:xfrm>
                          <a:prstGeom prst="rect">
                            <a:avLst/>
                          </a:prstGeom>
                        </pic:spPr>
                      </pic:pic>
                      <pic:pic>
                        <pic:nvPicPr>
                          <pic:cNvPr id="415" name="Image 415"/>
                          <pic:cNvPicPr/>
                        </pic:nvPicPr>
                        <pic:blipFill>
                          <a:blip r:embed="rId72" cstate="print"/>
                          <a:stretch>
                            <a:fillRect/>
                          </a:stretch>
                        </pic:blipFill>
                        <pic:spPr>
                          <a:xfrm>
                            <a:off x="2560320" y="3322320"/>
                            <a:ext cx="97535" cy="97536"/>
                          </a:xfrm>
                          <a:prstGeom prst="rect">
                            <a:avLst/>
                          </a:prstGeom>
                        </pic:spPr>
                      </pic:pic>
                      <pic:pic>
                        <pic:nvPicPr>
                          <pic:cNvPr id="416" name="Image 416"/>
                          <pic:cNvPicPr/>
                        </pic:nvPicPr>
                        <pic:blipFill>
                          <a:blip r:embed="rId146" cstate="print"/>
                          <a:stretch>
                            <a:fillRect/>
                          </a:stretch>
                        </pic:blipFill>
                        <pic:spPr>
                          <a:xfrm>
                            <a:off x="3294888" y="3334511"/>
                            <a:ext cx="97536" cy="94487"/>
                          </a:xfrm>
                          <a:prstGeom prst="rect">
                            <a:avLst/>
                          </a:prstGeom>
                        </pic:spPr>
                      </pic:pic>
                      <pic:pic>
                        <pic:nvPicPr>
                          <pic:cNvPr id="417" name="Image 417"/>
                          <pic:cNvPicPr/>
                        </pic:nvPicPr>
                        <pic:blipFill>
                          <a:blip r:embed="rId147" cstate="print"/>
                          <a:stretch>
                            <a:fillRect/>
                          </a:stretch>
                        </pic:blipFill>
                        <pic:spPr>
                          <a:xfrm>
                            <a:off x="3617976" y="1527047"/>
                            <a:ext cx="252984" cy="76200"/>
                          </a:xfrm>
                          <a:prstGeom prst="rect">
                            <a:avLst/>
                          </a:prstGeom>
                        </pic:spPr>
                      </pic:pic>
                      <pic:pic>
                        <pic:nvPicPr>
                          <pic:cNvPr id="418" name="Image 418"/>
                          <pic:cNvPicPr/>
                        </pic:nvPicPr>
                        <pic:blipFill>
                          <a:blip r:embed="rId148" cstate="print"/>
                          <a:stretch>
                            <a:fillRect/>
                          </a:stretch>
                        </pic:blipFill>
                        <pic:spPr>
                          <a:xfrm>
                            <a:off x="3617976" y="1871472"/>
                            <a:ext cx="252984" cy="79248"/>
                          </a:xfrm>
                          <a:prstGeom prst="rect">
                            <a:avLst/>
                          </a:prstGeom>
                        </pic:spPr>
                      </pic:pic>
                      <pic:pic>
                        <pic:nvPicPr>
                          <pic:cNvPr id="419" name="Image 419"/>
                          <pic:cNvPicPr/>
                        </pic:nvPicPr>
                        <pic:blipFill>
                          <a:blip r:embed="rId149" cstate="print"/>
                          <a:stretch>
                            <a:fillRect/>
                          </a:stretch>
                        </pic:blipFill>
                        <pic:spPr>
                          <a:xfrm>
                            <a:off x="3617976" y="2215895"/>
                            <a:ext cx="252984" cy="79248"/>
                          </a:xfrm>
                          <a:prstGeom prst="rect">
                            <a:avLst/>
                          </a:prstGeom>
                        </pic:spPr>
                      </pic:pic>
                    </wpg:wgp>
                  </a:graphicData>
                </a:graphic>
              </wp:anchor>
            </w:drawing>
          </mc:Choice>
          <mc:Fallback>
            <w:pict>
              <v:group style="position:absolute;margin-left:171.119995pt;margin-top:7.36pt;width:304.8pt;height:273.4pt;mso-position-horizontal-relative:page;mso-position-vertical-relative:paragraph;z-index:15771648" id="docshapegroup377" coordorigin="3422,147" coordsize="6096,5468">
                <v:shape style="position:absolute;left:3422;top:147;width:5856;height:5468" id="docshape378" coordorigin="3422,147" coordsize="5856,5468" path="m9278,5557l9269,5557,9269,5547,3490,5547,3490,152,3485,152,3485,147,3422,147,3422,162,3480,162,3480,819,3422,819,3422,834,3480,834,3480,1496,3422,1496,3422,1510,3480,1510,3480,2173,3422,2173,3422,2187,3480,2187,3480,2845,3422,2845,3422,2859,3480,2859,3480,3522,3422,3522,3422,3536,3480,3536,3480,4198,3422,4198,3422,4213,3480,4213,3480,4875,3422,4875,3422,4885,3480,4885,3480,5552,3422,5552,3422,5562,3475,5562,3475,5614,3490,5614,3490,5562,4637,5562,4637,5614,4651,5614,4651,5562,5789,5562,5789,5614,5803,5614,5803,5562,6950,5562,6950,5614,6965,5614,6965,5562,8107,5562,8107,5614,8117,5614,8117,5562,9264,5562,9264,5614,9278,5614,9278,5557xe" filled="true" fillcolor="#858585" stroked="false">
                  <v:path arrowok="t"/>
                  <v:fill type="solid"/>
                </v:shape>
                <v:shape style="position:absolute;left:4041;top:1001;width:4671;height:1503" id="docshape379" coordorigin="4042,1002" coordsize="4671,1503" path="m4066,1002l4056,1002,4046,1011,4042,1021,4042,1030,4046,1040,4190,1174,4339,1318,4483,1467,4699,1683,4843,1818,4987,1942,5064,2000,5136,2053,5208,2101,5352,2192,5424,2230,5501,2274,5645,2350,5717,2384,5789,2413,5866,2437,5938,2461,6010,2480,6082,2494,6158,2504,6307,2504,6379,2494,6456,2475,6528,2442,6566,2418,6605,2398,6643,2370,6677,2346,6754,2283,6826,2221,6898,2154,6970,2082,7114,1947,7186,1890,7219,1861,7258,1832,7291,1808,7330,1789,7397,1750,7435,1741,7469,1726,7536,1717,7570,1717,7603,1722,7642,1726,7675,1731,7709,1741,7742,1755,7781,1765,7814,1784,7886,1818,7958,1861,8102,1957,8174,2010,8246,2067,8390,2178,8462,2235,8534,2288,8606,2336,8678,2379,8688,2389,8702,2384,8712,2365,8712,2350,8702,2346,8630,2302,8558,2254,8414,2149,8270,2034,8198,1981,8126,1923,8050,1870,7978,1822,7834,1746,7757,1717,7718,1702,7685,1693,7646,1683,7608,1678,7531,1678,7454,1688,7416,1702,7382,1717,7344,1731,7306,1755,7267,1774,7234,1803,7195,1827,7157,1856,7085,1918,6725,2254,6653,2312,6619,2336,6581,2360,6547,2384,6480,2422,6408,2446,6302,2461,6235,2466,6163,2461,6019,2442,5947,2422,5875,2398,5808,2374,5736,2346,5592,2278,5520,2240,5232,2067,5160,2019,5016,1914,4872,1789,4728,1654,4512,1438,4368,1290,4219,1146,4075,1011,4066,1002xe" filled="true" fillcolor="#497dba" stroked="false">
                  <v:path arrowok="t"/>
                  <v:fill type="solid"/>
                </v:shape>
                <v:shape style="position:absolute;left:3984;top:948;width:149;height:154" type="#_x0000_t75" id="docshape380" stroked="false">
                  <v:imagedata r:id="rId138" o:title=""/>
                </v:shape>
                <v:shape style="position:absolute;left:5136;top:2009;width:154;height:154" type="#_x0000_t75" id="docshape381" stroked="false">
                  <v:imagedata r:id="rId139" o:title=""/>
                </v:shape>
                <v:shape style="position:absolute;left:6297;top:2398;width:154;height:149" type="#_x0000_t75" id="docshape382" stroked="false">
                  <v:imagedata r:id="rId140" o:title=""/>
                </v:shape>
                <v:shape style="position:absolute;left:7454;top:1620;width:149;height:154" type="#_x0000_t75" id="docshape383" stroked="false">
                  <v:imagedata r:id="rId141" o:title=""/>
                </v:shape>
                <v:shape style="position:absolute;left:8611;top:2288;width:154;height:154" type="#_x0000_t75" id="docshape384" stroked="false">
                  <v:imagedata r:id="rId142" o:title=""/>
                </v:shape>
                <v:shape style="position:absolute;left:4036;top:3550;width:4676;height:1676" id="docshape385" coordorigin="4037,3550" coordsize="4676,1676" path="m4070,3550l4061,3550,4051,3555,4042,3565,4037,3579,4046,3584,4118,3680,4262,3882,4334,3987,4478,4203,4622,4414,4766,4616,4843,4707,4915,4798,5059,4952,5136,5019,5208,5077,5280,5120,5357,5158,5429,5187,5506,5206,5650,5226,5798,5226,5942,5216,6091,5197,6235,5187,6374,5187,6518,5192,6667,5192,6811,5197,6955,5197,7536,5187,8693,5149,8702,5149,8712,5139,8712,5115,8702,5110,8693,5110,7824,5139,6955,5154,6667,5154,6379,5144,6302,5144,6086,5158,5942,5173,5870,5182,5798,5187,5654,5187,5582,5178,5515,5163,5477,5158,5443,5149,5410,5134,5371,5120,5338,5106,5304,5086,5266,5067,5232,5043,5194,5019,5160,4990,5126,4957,5088,4923,5016,4851,4982,4813,4944,4770,4872,4683,4800,4592,4656,4390,4224,3757,4152,3656,4080,3560,4070,3550xe" filled="true" fillcolor="#bd4a47" stroked="false">
                  <v:path arrowok="t"/>
                  <v:fill type="solid"/>
                </v:shape>
                <v:rect style="position:absolute;left:3993;top:3507;width:130;height:130" id="docshape386" filled="true" fillcolor="#bf4f4c" stroked="false">
                  <v:fill type="solid"/>
                </v:rect>
                <v:shape style="position:absolute;left:3984;top:3502;width:149;height:144" id="docshape387" coordorigin="3984,3502" coordsize="149,144" path="m4133,3502l3984,3502,3984,3642,3989,3646,4128,3646,4133,3642,4133,3637,3998,3637,3994,3632,3998,3632,3998,3517,3994,3517,3998,3507,4133,3507,4133,3502xm3998,3632l3994,3632,3998,3637,3998,3632xm4118,3632l3998,3632,3998,3637,4118,3637,4118,3632xm4118,3507l4118,3637,4123,3632,4133,3632,4133,3517,4123,3517,4118,3507xm4133,3632l4123,3632,4118,3637,4133,3637,4133,3632xm3998,3507l3994,3517,3998,3517,3998,3507xm4118,3507l3998,3507,3998,3517,4118,3517,4118,3507xm4133,3507l4118,3507,4123,3517,4133,3517,4133,3507xe" filled="true" fillcolor="#bd4a47" stroked="false">
                  <v:path arrowok="t"/>
                  <v:fill type="solid"/>
                </v:shape>
                <v:rect style="position:absolute;left:5145;top:4990;width:135;height:135" id="docshape388" filled="true" fillcolor="#bf4f4c" stroked="false">
                  <v:fill type="solid"/>
                </v:rect>
                <v:shape style="position:absolute;left:5140;top:4985;width:144;height:144" id="docshape389" coordorigin="5141,4986" coordsize="144,144" path="m5280,4986l5146,4986,5141,4990,5141,5125,5146,5130,5280,5130,5285,5125,5155,5125,5146,5115,5155,5115,5155,5000,5146,5000,5155,4990,5285,4990,5280,4986xm5155,5115l5146,5115,5155,5125,5155,5115xm5270,5115l5155,5115,5155,5125,5270,5125,5270,5115xm5270,4990l5270,5125,5280,5115,5285,5115,5285,5000,5280,5000,5270,4990xm5285,5115l5280,5115,5270,5125,5285,5125,5285,5115xm5155,4990l5146,5000,5155,5000,5155,4990xm5270,4990l5155,4990,5155,5000,5270,5000,5270,4990xm5285,4990l5270,4990,5280,5000,5285,5000,5285,4990xe" filled="true" fillcolor="#bd4a47" stroked="false">
                  <v:path arrowok="t"/>
                  <v:fill type="solid"/>
                </v:shape>
                <v:rect style="position:absolute;left:6307;top:5100;width:130;height:130" id="docshape390" filled="true" fillcolor="#bf4f4c" stroked="false">
                  <v:fill type="solid"/>
                </v:rect>
                <v:shape style="position:absolute;left:6302;top:5091;width:144;height:149" id="docshape391" coordorigin="6302,5091" coordsize="144,149" path="m6442,5091l6302,5091,6302,5240,6442,5240,6446,5235,6446,5230,6312,5230,6307,5226,6312,5226,6312,5106,6307,5106,6312,5101,6446,5101,6446,5096,6442,5091xm6312,5226l6307,5226,6312,5230,6312,5226xm6432,5226l6312,5226,6312,5230,6432,5230,6432,5226xm6432,5101l6432,5230,6437,5226,6446,5226,6446,5106,6437,5106,6432,5101xm6446,5226l6437,5226,6432,5230,6446,5230,6446,5226xm6312,5101l6307,5106,6312,5106,6312,5101xm6432,5101l6312,5101,6312,5106,6432,5106,6432,5101xm6446,5101l6432,5101,6437,5106,6446,5106,6446,5101xe" filled="true" fillcolor="#bd4a47" stroked="false">
                  <v:path arrowok="t"/>
                  <v:fill type="solid"/>
                </v:shape>
                <v:rect style="position:absolute;left:7464;top:5100;width:130;height:130" id="docshape392" filled="true" fillcolor="#bf4f4c" stroked="false">
                  <v:fill type="solid"/>
                </v:rect>
                <v:shape style="position:absolute;left:7454;top:5091;width:144;height:149" id="docshape393" coordorigin="7454,5091" coordsize="144,149" path="m7598,5091l7459,5091,7454,5096,7454,5235,7459,5240,7598,5240,7598,5230,7469,5230,7464,5226,7469,5226,7469,5106,7464,5106,7469,5101,7598,5101,7598,5091xm7469,5226l7464,5226,7469,5230,7469,5226xm7584,5226l7469,5226,7469,5230,7584,5230,7584,5226xm7584,5101l7584,5230,7594,5226,7598,5226,7598,5106,7594,5106,7584,5101xm7598,5226l7594,5226,7584,5230,7598,5230,7598,5226xm7469,5101l7464,5106,7469,5106,7469,5101xm7584,5101l7469,5101,7469,5106,7584,5106,7584,5101xm7598,5101l7584,5101,7594,5106,7598,5106,7598,5101xe" filled="true" fillcolor="#bd4a47" stroked="false">
                  <v:path arrowok="t"/>
                  <v:fill type="solid"/>
                </v:shape>
                <v:rect style="position:absolute;left:8620;top:5062;width:130;height:135" id="docshape394" filled="true" fillcolor="#bf4f4c" stroked="false">
                  <v:fill type="solid"/>
                </v:rect>
                <v:shape style="position:absolute;left:8616;top:5057;width:144;height:144" id="docshape395" coordorigin="8616,5058" coordsize="144,144" path="m8755,5058l8616,5058,8616,5202,8755,5202,8760,5197,8630,5197,8621,5187,8630,5187,8630,5072,8621,5072,8630,5062,8760,5062,8755,5058xm8630,5187l8621,5187,8630,5197,8630,5187xm8746,5187l8630,5187,8630,5197,8746,5197,8746,5187xm8746,5062l8746,5197,8750,5187,8760,5187,8760,5072,8750,5072,8746,5062xm8760,5187l8750,5187,8746,5197,8760,5197,8760,5187xm8630,5062l8621,5072,8630,5072,8630,5062xm8746,5062l8630,5062,8630,5072,8746,5072,8746,5062xm8760,5062l8746,5062,8750,5072,8760,5072,8760,5062xe" filled="true" fillcolor="#bd4a47" stroked="false">
                  <v:path arrowok="t"/>
                  <v:fill type="solid"/>
                </v:shape>
                <v:shape style="position:absolute;left:4041;top:5182;width:4671;height:312" id="docshape396" coordorigin="4042,5182" coordsize="4671,312" path="m4061,5182l4051,5182,4042,5192,4042,5211,4051,5221,4061,5221,4930,5278,5074,5293,5218,5302,5506,5341,5794,5384,5938,5403,6086,5422,6374,5451,6518,5461,6811,5470,6955,5470,7243,5475,7536,5475,8702,5494,8712,5485,8712,5461,8702,5451,8112,5442,7536,5437,7243,5432,6955,5432,6811,5427,6667,5427,6523,5422,6379,5413,6091,5384,5947,5365,5803,5341,5510,5298,5366,5278,5078,5250,4930,5240,4061,5182xe" filled="true" fillcolor="#97b853" stroked="false">
                  <v:path arrowok="t"/>
                  <v:fill type="solid"/>
                </v:shape>
                <v:shape style="position:absolute;left:3984;top:5124;width:154;height:154" type="#_x0000_t75" id="docshape397" stroked="false">
                  <v:imagedata r:id="rId143" o:title=""/>
                </v:shape>
                <v:shape style="position:absolute;left:5136;top:5206;width:159;height:154" type="#_x0000_t75" id="docshape398" stroked="false">
                  <v:imagedata r:id="rId144" o:title=""/>
                </v:shape>
                <v:shape style="position:absolute;left:6297;top:5355;width:154;height:154" type="#_x0000_t75" id="docshape399" stroked="false">
                  <v:imagedata r:id="rId145" o:title=""/>
                </v:shape>
                <v:shape style="position:absolute;left:7454;top:5379;width:154;height:154" type="#_x0000_t75" id="docshape400" stroked="false">
                  <v:imagedata r:id="rId72" o:title=""/>
                </v:shape>
                <v:shape style="position:absolute;left:8611;top:5398;width:154;height:149" type="#_x0000_t75" id="docshape401" stroked="false">
                  <v:imagedata r:id="rId146" o:title=""/>
                </v:shape>
                <v:shape style="position:absolute;left:9120;top:2552;width:399;height:120" type="#_x0000_t75" id="docshape402" stroked="false">
                  <v:imagedata r:id="rId147" o:title=""/>
                </v:shape>
                <v:shape style="position:absolute;left:9120;top:3094;width:399;height:125" type="#_x0000_t75" id="docshape403" stroked="false">
                  <v:imagedata r:id="rId148" o:title=""/>
                </v:shape>
                <v:shape style="position:absolute;left:9120;top:3636;width:399;height:125" type="#_x0000_t75" id="docshape404" stroked="false">
                  <v:imagedata r:id="rId149" o:title=""/>
                </v:shape>
                <w10:wrap type="none"/>
              </v:group>
            </w:pict>
          </mc:Fallback>
        </mc:AlternateContent>
      </w:r>
      <w:r>
        <w:rPr>
          <w:rFonts w:ascii="Calibri"/>
          <w:spacing w:val="-5"/>
          <w:sz w:val="19"/>
        </w:rPr>
        <w:t>40</w:t>
      </w:r>
    </w:p>
    <w:p>
      <w:pPr>
        <w:pStyle w:val="BodyText"/>
        <w:spacing w:before="208"/>
        <w:rPr>
          <w:rFonts w:ascii="Calibri"/>
          <w:sz w:val="19"/>
        </w:rPr>
      </w:pPr>
    </w:p>
    <w:p>
      <w:pPr>
        <w:spacing w:before="0"/>
        <w:ind w:left="1395" w:right="0" w:firstLine="0"/>
        <w:jc w:val="left"/>
        <w:rPr>
          <w:rFonts w:ascii="Calibri"/>
          <w:sz w:val="19"/>
        </w:rPr>
      </w:pPr>
      <w:r>
        <w:rPr>
          <w:rFonts w:ascii="Calibri"/>
          <w:spacing w:val="-5"/>
          <w:sz w:val="19"/>
        </w:rPr>
        <w:t>35</w:t>
      </w:r>
    </w:p>
    <w:p>
      <w:pPr>
        <w:pStyle w:val="BodyText"/>
        <w:spacing w:before="213"/>
        <w:rPr>
          <w:rFonts w:ascii="Calibri"/>
          <w:sz w:val="19"/>
        </w:rPr>
      </w:pPr>
    </w:p>
    <w:p>
      <w:pPr>
        <w:spacing w:before="0"/>
        <w:ind w:left="1395" w:right="0" w:firstLine="0"/>
        <w:jc w:val="left"/>
        <w:rPr>
          <w:rFonts w:ascii="Calibri"/>
          <w:sz w:val="19"/>
        </w:rPr>
      </w:pPr>
      <w:r>
        <w:rPr>
          <w:rFonts w:ascii="Calibri"/>
          <w:spacing w:val="-5"/>
          <w:sz w:val="19"/>
        </w:rPr>
        <w:t>30</w:t>
      </w:r>
    </w:p>
    <w:p>
      <w:pPr>
        <w:pStyle w:val="BodyText"/>
        <w:spacing w:before="213"/>
        <w:rPr>
          <w:rFonts w:ascii="Calibri"/>
          <w:sz w:val="19"/>
        </w:rPr>
      </w:pPr>
    </w:p>
    <w:p>
      <w:pPr>
        <w:spacing w:before="0"/>
        <w:ind w:left="1395" w:right="0" w:firstLine="0"/>
        <w:jc w:val="left"/>
        <w:rPr>
          <w:rFonts w:ascii="Calibri"/>
          <w:sz w:val="19"/>
        </w:rPr>
      </w:pPr>
      <w:r>
        <w:rPr>
          <w:rFonts w:ascii="Calibri"/>
          <w:spacing w:val="-5"/>
          <w:sz w:val="19"/>
        </w:rPr>
        <w:t>25</w:t>
      </w:r>
    </w:p>
    <w:p>
      <w:pPr>
        <w:spacing w:before="195"/>
        <w:ind w:left="7817" w:right="0" w:firstLine="0"/>
        <w:jc w:val="left"/>
        <w:rPr>
          <w:rFonts w:ascii="Calibri"/>
          <w:sz w:val="19"/>
        </w:rPr>
      </w:pPr>
      <w:r>
        <w:rPr/>
        <mc:AlternateContent>
          <mc:Choice Requires="wps">
            <w:drawing>
              <wp:anchor distT="0" distB="0" distL="0" distR="0" allowOverlap="1" layoutInCell="1" locked="0" behindDoc="0" simplePos="0" relativeHeight="15772160">
                <wp:simplePos x="0" y="0"/>
                <wp:positionH relativeFrom="page">
                  <wp:posOffset>1808145</wp:posOffset>
                </wp:positionH>
                <wp:positionV relativeFrom="paragraph">
                  <wp:posOffset>102980</wp:posOffset>
                </wp:positionV>
                <wp:extent cx="146050" cy="518159"/>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46050" cy="518159"/>
                        </a:xfrm>
                        <a:prstGeom prst="rect">
                          <a:avLst/>
                        </a:prstGeom>
                      </wps:spPr>
                      <wps:txbx>
                        <w:txbxContent>
                          <w:p>
                            <w:pPr>
                              <w:spacing w:line="213" w:lineRule="exact" w:before="0"/>
                              <w:ind w:left="20" w:right="0" w:firstLine="0"/>
                              <w:jc w:val="left"/>
                              <w:rPr>
                                <w:rFonts w:ascii="Calibri"/>
                                <w:b/>
                                <w:sz w:val="19"/>
                              </w:rPr>
                            </w:pPr>
                            <w:r>
                              <w:rPr>
                                <w:rFonts w:ascii="Calibri"/>
                                <w:b/>
                                <w:sz w:val="19"/>
                              </w:rPr>
                              <w:t>CS</w:t>
                            </w:r>
                            <w:r>
                              <w:rPr>
                                <w:rFonts w:ascii="Calibri"/>
                                <w:b/>
                                <w:spacing w:val="-7"/>
                                <w:sz w:val="19"/>
                              </w:rPr>
                              <w:t> </w:t>
                            </w:r>
                            <w:r>
                              <w:rPr>
                                <w:rFonts w:ascii="Calibri"/>
                                <w:b/>
                                <w:sz w:val="19"/>
                              </w:rPr>
                              <w:t>-</w:t>
                            </w:r>
                            <w:r>
                              <w:rPr>
                                <w:rFonts w:ascii="Calibri"/>
                                <w:b/>
                                <w:spacing w:val="-2"/>
                                <w:sz w:val="19"/>
                              </w:rPr>
                              <w:t>FR/DT</w:t>
                            </w:r>
                          </w:p>
                        </w:txbxContent>
                      </wps:txbx>
                      <wps:bodyPr wrap="square" lIns="0" tIns="0" rIns="0" bIns="0" rtlCol="0" vert="vert270">
                        <a:noAutofit/>
                      </wps:bodyPr>
                    </wps:wsp>
                  </a:graphicData>
                </a:graphic>
              </wp:anchor>
            </w:drawing>
          </mc:Choice>
          <mc:Fallback>
            <w:pict>
              <v:shape style="position:absolute;margin-left:142.373672pt;margin-top:8.108663pt;width:11.5pt;height:40.8pt;mso-position-horizontal-relative:page;mso-position-vertical-relative:paragraph;z-index:15772160" type="#_x0000_t202" id="docshape405"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z w:val="19"/>
                        </w:rPr>
                        <w:t>CS</w:t>
                      </w:r>
                      <w:r>
                        <w:rPr>
                          <w:rFonts w:ascii="Calibri"/>
                          <w:b/>
                          <w:spacing w:val="-7"/>
                          <w:sz w:val="19"/>
                        </w:rPr>
                        <w:t> </w:t>
                      </w:r>
                      <w:r>
                        <w:rPr>
                          <w:rFonts w:ascii="Calibri"/>
                          <w:b/>
                          <w:sz w:val="19"/>
                        </w:rPr>
                        <w:t>-</w:t>
                      </w:r>
                      <w:r>
                        <w:rPr>
                          <w:rFonts w:ascii="Calibri"/>
                          <w:b/>
                          <w:spacing w:val="-2"/>
                          <w:sz w:val="19"/>
                        </w:rPr>
                        <w:t>FR/DT</w:t>
                      </w:r>
                    </w:p>
                  </w:txbxContent>
                </v:textbox>
                <w10:wrap type="none"/>
              </v:shape>
            </w:pict>
          </mc:Fallback>
        </mc:AlternateContent>
      </w:r>
      <w:r>
        <w:rPr>
          <w:rFonts w:ascii="Calibri"/>
          <w:spacing w:val="-5"/>
          <w:sz w:val="19"/>
        </w:rPr>
        <w:t>DS</w:t>
      </w:r>
    </w:p>
    <w:p>
      <w:pPr>
        <w:spacing w:before="13"/>
        <w:ind w:left="1395" w:right="0" w:firstLine="0"/>
        <w:jc w:val="left"/>
        <w:rPr>
          <w:rFonts w:ascii="Calibri"/>
          <w:sz w:val="19"/>
        </w:rPr>
      </w:pPr>
      <w:r>
        <w:rPr>
          <w:rFonts w:ascii="Calibri"/>
          <w:spacing w:val="-5"/>
          <w:sz w:val="19"/>
        </w:rPr>
        <w:t>20</w:t>
      </w:r>
    </w:p>
    <w:p>
      <w:pPr>
        <w:spacing w:before="71"/>
        <w:ind w:left="7817" w:right="0" w:firstLine="0"/>
        <w:jc w:val="left"/>
        <w:rPr>
          <w:rFonts w:ascii="Calibri"/>
          <w:sz w:val="19"/>
        </w:rPr>
      </w:pPr>
      <w:r>
        <w:rPr>
          <w:rFonts w:ascii="Calibri"/>
          <w:spacing w:val="-5"/>
          <w:sz w:val="19"/>
        </w:rPr>
        <w:t>MCS</w:t>
      </w:r>
    </w:p>
    <w:p>
      <w:pPr>
        <w:spacing w:line="200" w:lineRule="exact" w:before="142"/>
        <w:ind w:left="1395" w:right="0" w:firstLine="0"/>
        <w:jc w:val="left"/>
        <w:rPr>
          <w:rFonts w:ascii="Calibri"/>
          <w:sz w:val="19"/>
        </w:rPr>
      </w:pPr>
      <w:r>
        <w:rPr>
          <w:rFonts w:ascii="Calibri"/>
          <w:spacing w:val="-5"/>
          <w:sz w:val="19"/>
        </w:rPr>
        <w:t>15</w:t>
      </w:r>
    </w:p>
    <w:p>
      <w:pPr>
        <w:spacing w:line="200" w:lineRule="exact" w:before="0"/>
        <w:ind w:left="7817" w:right="0" w:firstLine="0"/>
        <w:jc w:val="left"/>
        <w:rPr>
          <w:rFonts w:ascii="Calibri"/>
          <w:sz w:val="19"/>
        </w:rPr>
      </w:pPr>
      <w:r>
        <w:rPr>
          <w:rFonts w:ascii="Calibri"/>
          <w:spacing w:val="-5"/>
          <w:sz w:val="19"/>
        </w:rPr>
        <w:t>GEL</w:t>
      </w:r>
    </w:p>
    <w:p>
      <w:pPr>
        <w:pStyle w:val="BodyText"/>
        <w:spacing w:before="45"/>
        <w:rPr>
          <w:rFonts w:ascii="Calibri"/>
          <w:sz w:val="19"/>
        </w:rPr>
      </w:pPr>
    </w:p>
    <w:p>
      <w:pPr>
        <w:spacing w:before="0"/>
        <w:ind w:left="1395" w:right="0" w:firstLine="0"/>
        <w:jc w:val="left"/>
        <w:rPr>
          <w:rFonts w:ascii="Calibri"/>
          <w:sz w:val="19"/>
        </w:rPr>
      </w:pPr>
      <w:r>
        <w:rPr>
          <w:rFonts w:ascii="Calibri"/>
          <w:spacing w:val="-5"/>
          <w:sz w:val="19"/>
        </w:rPr>
        <w:t>10</w:t>
      </w:r>
    </w:p>
    <w:p>
      <w:pPr>
        <w:pStyle w:val="BodyText"/>
        <w:spacing w:before="208"/>
        <w:rPr>
          <w:rFonts w:ascii="Calibri"/>
          <w:sz w:val="19"/>
        </w:rPr>
      </w:pPr>
    </w:p>
    <w:p>
      <w:pPr>
        <w:spacing w:before="0"/>
        <w:ind w:left="1491" w:right="0" w:firstLine="0"/>
        <w:jc w:val="left"/>
        <w:rPr>
          <w:rFonts w:ascii="Calibri"/>
          <w:sz w:val="19"/>
        </w:rPr>
      </w:pPr>
      <w:r>
        <w:rPr>
          <w:rFonts w:ascii="Calibri"/>
          <w:spacing w:val="-10"/>
          <w:sz w:val="19"/>
        </w:rPr>
        <w:t>5</w:t>
      </w:r>
    </w:p>
    <w:p>
      <w:pPr>
        <w:pStyle w:val="BodyText"/>
        <w:spacing w:before="213"/>
        <w:rPr>
          <w:rFonts w:ascii="Calibri"/>
          <w:sz w:val="19"/>
        </w:rPr>
      </w:pPr>
    </w:p>
    <w:p>
      <w:pPr>
        <w:spacing w:before="0"/>
        <w:ind w:left="1491" w:right="0" w:firstLine="0"/>
        <w:jc w:val="left"/>
        <w:rPr>
          <w:rFonts w:ascii="Calibri"/>
          <w:sz w:val="19"/>
        </w:rPr>
      </w:pPr>
      <w:r>
        <w:rPr>
          <w:rFonts w:ascii="Calibri"/>
          <w:spacing w:val="-10"/>
          <w:sz w:val="19"/>
        </w:rPr>
        <w:t>0</w:t>
      </w:r>
    </w:p>
    <w:p>
      <w:pPr>
        <w:tabs>
          <w:tab w:pos="3449" w:val="left" w:leader="none"/>
          <w:tab w:pos="4534" w:val="left" w:leader="none"/>
          <w:tab w:pos="5715" w:val="left" w:leader="none"/>
          <w:tab w:pos="6804" w:val="left" w:leader="none"/>
        </w:tabs>
        <w:spacing w:before="13"/>
        <w:ind w:left="2220"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1"/>
        <w:ind w:left="3483" w:right="0" w:firstLine="0"/>
        <w:jc w:val="left"/>
        <w:rPr>
          <w:rFonts w:ascii="Calibri"/>
          <w:b/>
          <w:sz w:val="19"/>
        </w:rPr>
      </w:pPr>
      <w:r>
        <w:rPr>
          <w:rFonts w:ascii="Calibri"/>
          <w:b/>
          <w:sz w:val="19"/>
        </w:rPr>
        <w:t>Binder</w:t>
      </w:r>
      <w:r>
        <w:rPr>
          <w:rFonts w:ascii="Calibri"/>
          <w:b/>
          <w:spacing w:val="-11"/>
          <w:sz w:val="19"/>
        </w:rPr>
        <w:t> </w:t>
      </w:r>
      <w:r>
        <w:rPr>
          <w:rFonts w:ascii="Calibri"/>
          <w:b/>
          <w:sz w:val="19"/>
        </w:rPr>
        <w:t>concentration</w:t>
      </w:r>
      <w:r>
        <w:rPr>
          <w:rFonts w:ascii="Calibri"/>
          <w:b/>
          <w:spacing w:val="-16"/>
          <w:sz w:val="19"/>
        </w:rPr>
        <w:t> </w:t>
      </w:r>
      <w:r>
        <w:rPr>
          <w:rFonts w:ascii="Calibri"/>
          <w:b/>
          <w:sz w:val="19"/>
        </w:rPr>
        <w:t>(%</w:t>
      </w:r>
      <w:r>
        <w:rPr>
          <w:rFonts w:ascii="Calibri"/>
          <w:b/>
          <w:spacing w:val="23"/>
          <w:sz w:val="19"/>
        </w:rPr>
        <w:t> </w:t>
      </w:r>
      <w:r>
        <w:rPr>
          <w:rFonts w:ascii="Calibri"/>
          <w:b/>
          <w:spacing w:val="-4"/>
          <w:sz w:val="19"/>
        </w:rPr>
        <w:t>w/v)</w:t>
      </w:r>
    </w:p>
    <w:p>
      <w:pPr>
        <w:pStyle w:val="BodyText"/>
        <w:spacing w:before="267"/>
        <w:rPr>
          <w:rFonts w:ascii="Calibri"/>
          <w:b/>
        </w:rPr>
      </w:pPr>
    </w:p>
    <w:p>
      <w:pPr>
        <w:pStyle w:val="Heading2"/>
        <w:spacing w:line="244" w:lineRule="auto"/>
        <w:ind w:left="1961" w:right="1799" w:hanging="1296"/>
      </w:pPr>
      <w:r>
        <w:rPr/>
        <w:t>Figure A.15: Graph of crushing strength-friability/disintegration time index against</w:t>
      </w:r>
      <w:r>
        <w:rPr>
          <w:spacing w:val="40"/>
        </w:rPr>
        <w:t> </w:t>
      </w:r>
      <w:r>
        <w:rPr/>
        <w:t>binder concentration (% w/v) of metronidazole tablet produced by wet granulation.</w:t>
      </w:r>
    </w:p>
    <w:p>
      <w:pPr>
        <w:spacing w:after="0" w:line="244" w:lineRule="auto"/>
        <w:sectPr>
          <w:pgSz w:w="12240" w:h="15840"/>
          <w:pgMar w:header="0" w:footer="999" w:top="1360" w:bottom="1180" w:left="1720" w:right="760"/>
        </w:sectPr>
      </w:pPr>
    </w:p>
    <w:p>
      <w:pPr>
        <w:spacing w:before="101"/>
        <w:ind w:left="1414" w:right="0" w:firstLine="0"/>
        <w:jc w:val="left"/>
        <w:rPr>
          <w:rFonts w:ascii="Calibri"/>
          <w:sz w:val="19"/>
        </w:rPr>
      </w:pPr>
      <w:r>
        <w:rPr/>
        <mc:AlternateContent>
          <mc:Choice Requires="wps">
            <w:drawing>
              <wp:anchor distT="0" distB="0" distL="0" distR="0" allowOverlap="1" layoutInCell="1" locked="0" behindDoc="1" simplePos="0" relativeHeight="482023424">
                <wp:simplePos x="0" y="0"/>
                <wp:positionH relativeFrom="page">
                  <wp:posOffset>2185416</wp:posOffset>
                </wp:positionH>
                <wp:positionV relativeFrom="paragraph">
                  <wp:posOffset>136652</wp:posOffset>
                </wp:positionV>
                <wp:extent cx="3794760" cy="3700779"/>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3794760" cy="3700779"/>
                          <a:chExt cx="3794760" cy="3700779"/>
                        </a:xfrm>
                      </wpg:grpSpPr>
                      <wps:wsp>
                        <wps:cNvPr id="422" name="Graphic 422"/>
                        <wps:cNvSpPr/>
                        <wps:spPr>
                          <a:xfrm>
                            <a:off x="0" y="0"/>
                            <a:ext cx="3633470" cy="3700779"/>
                          </a:xfrm>
                          <a:custGeom>
                            <a:avLst/>
                            <a:gdLst/>
                            <a:ahLst/>
                            <a:cxnLst/>
                            <a:rect l="l" t="t" r="r" b="b"/>
                            <a:pathLst>
                              <a:path w="3633470" h="3700779">
                                <a:moveTo>
                                  <a:pt x="3633216" y="3663696"/>
                                </a:moveTo>
                                <a:lnTo>
                                  <a:pt x="3630168" y="3663696"/>
                                </a:lnTo>
                                <a:lnTo>
                                  <a:pt x="3630168" y="3657600"/>
                                </a:lnTo>
                                <a:lnTo>
                                  <a:pt x="42672" y="3657600"/>
                                </a:lnTo>
                                <a:lnTo>
                                  <a:pt x="42672" y="6096"/>
                                </a:lnTo>
                                <a:lnTo>
                                  <a:pt x="36576" y="6096"/>
                                </a:lnTo>
                                <a:lnTo>
                                  <a:pt x="36576" y="0"/>
                                </a:lnTo>
                                <a:lnTo>
                                  <a:pt x="0" y="0"/>
                                </a:lnTo>
                                <a:lnTo>
                                  <a:pt x="0" y="9144"/>
                                </a:lnTo>
                                <a:lnTo>
                                  <a:pt x="33528" y="9144"/>
                                </a:lnTo>
                                <a:lnTo>
                                  <a:pt x="33528" y="524256"/>
                                </a:lnTo>
                                <a:lnTo>
                                  <a:pt x="0" y="524256"/>
                                </a:lnTo>
                                <a:lnTo>
                                  <a:pt x="0" y="533400"/>
                                </a:lnTo>
                                <a:lnTo>
                                  <a:pt x="33528" y="533400"/>
                                </a:lnTo>
                                <a:lnTo>
                                  <a:pt x="33528" y="1045464"/>
                                </a:lnTo>
                                <a:lnTo>
                                  <a:pt x="0" y="1045464"/>
                                </a:lnTo>
                                <a:lnTo>
                                  <a:pt x="0" y="1054608"/>
                                </a:lnTo>
                                <a:lnTo>
                                  <a:pt x="33528" y="1054608"/>
                                </a:lnTo>
                                <a:lnTo>
                                  <a:pt x="33528" y="1569720"/>
                                </a:lnTo>
                                <a:lnTo>
                                  <a:pt x="0" y="1569720"/>
                                </a:lnTo>
                                <a:lnTo>
                                  <a:pt x="0" y="1575816"/>
                                </a:lnTo>
                                <a:lnTo>
                                  <a:pt x="33528" y="1575816"/>
                                </a:lnTo>
                                <a:lnTo>
                                  <a:pt x="33528" y="2093976"/>
                                </a:lnTo>
                                <a:lnTo>
                                  <a:pt x="0" y="2093976"/>
                                </a:lnTo>
                                <a:lnTo>
                                  <a:pt x="0" y="2100072"/>
                                </a:lnTo>
                                <a:lnTo>
                                  <a:pt x="33528" y="2100072"/>
                                </a:lnTo>
                                <a:lnTo>
                                  <a:pt x="33528" y="2615184"/>
                                </a:lnTo>
                                <a:lnTo>
                                  <a:pt x="0" y="2615184"/>
                                </a:lnTo>
                                <a:lnTo>
                                  <a:pt x="0" y="2621280"/>
                                </a:lnTo>
                                <a:lnTo>
                                  <a:pt x="33528" y="2621280"/>
                                </a:lnTo>
                                <a:lnTo>
                                  <a:pt x="33528" y="3136392"/>
                                </a:lnTo>
                                <a:lnTo>
                                  <a:pt x="0" y="3136392"/>
                                </a:lnTo>
                                <a:lnTo>
                                  <a:pt x="0" y="3142488"/>
                                </a:lnTo>
                                <a:lnTo>
                                  <a:pt x="33528" y="3142488"/>
                                </a:lnTo>
                                <a:lnTo>
                                  <a:pt x="33528" y="3660648"/>
                                </a:lnTo>
                                <a:lnTo>
                                  <a:pt x="0" y="3660648"/>
                                </a:lnTo>
                                <a:lnTo>
                                  <a:pt x="0" y="3669792"/>
                                </a:lnTo>
                                <a:lnTo>
                                  <a:pt x="33528" y="3669792"/>
                                </a:lnTo>
                                <a:lnTo>
                                  <a:pt x="33528" y="3700272"/>
                                </a:lnTo>
                                <a:lnTo>
                                  <a:pt x="42672" y="3700272"/>
                                </a:lnTo>
                                <a:lnTo>
                                  <a:pt x="42672" y="3666744"/>
                                </a:lnTo>
                                <a:lnTo>
                                  <a:pt x="752856" y="3666744"/>
                                </a:lnTo>
                                <a:lnTo>
                                  <a:pt x="752856" y="3700272"/>
                                </a:lnTo>
                                <a:lnTo>
                                  <a:pt x="762000" y="3700272"/>
                                </a:lnTo>
                                <a:lnTo>
                                  <a:pt x="762000" y="3666744"/>
                                </a:lnTo>
                                <a:lnTo>
                                  <a:pt x="1472184" y="3666744"/>
                                </a:lnTo>
                                <a:lnTo>
                                  <a:pt x="1472184" y="3700272"/>
                                </a:lnTo>
                                <a:lnTo>
                                  <a:pt x="1481328" y="3700272"/>
                                </a:lnTo>
                                <a:lnTo>
                                  <a:pt x="1481328" y="3666744"/>
                                </a:lnTo>
                                <a:lnTo>
                                  <a:pt x="2191512" y="3666744"/>
                                </a:lnTo>
                                <a:lnTo>
                                  <a:pt x="2191512" y="3700272"/>
                                </a:lnTo>
                                <a:lnTo>
                                  <a:pt x="2197608" y="3700272"/>
                                </a:lnTo>
                                <a:lnTo>
                                  <a:pt x="2197608" y="3666744"/>
                                </a:lnTo>
                                <a:lnTo>
                                  <a:pt x="2910840" y="3666744"/>
                                </a:lnTo>
                                <a:lnTo>
                                  <a:pt x="2910840" y="3700272"/>
                                </a:lnTo>
                                <a:lnTo>
                                  <a:pt x="2916936" y="3700272"/>
                                </a:lnTo>
                                <a:lnTo>
                                  <a:pt x="2916936" y="3666744"/>
                                </a:lnTo>
                                <a:lnTo>
                                  <a:pt x="3627120" y="3666744"/>
                                </a:lnTo>
                                <a:lnTo>
                                  <a:pt x="3627120" y="3700272"/>
                                </a:lnTo>
                                <a:lnTo>
                                  <a:pt x="3633216" y="3700272"/>
                                </a:lnTo>
                                <a:lnTo>
                                  <a:pt x="3633216" y="3663696"/>
                                </a:lnTo>
                                <a:close/>
                              </a:path>
                            </a:pathLst>
                          </a:custGeom>
                          <a:solidFill>
                            <a:srgbClr val="858585"/>
                          </a:solidFill>
                        </wps:spPr>
                        <wps:bodyPr wrap="square" lIns="0" tIns="0" rIns="0" bIns="0" rtlCol="0">
                          <a:prstTxWarp prst="textNoShape">
                            <a:avLst/>
                          </a:prstTxWarp>
                          <a:noAutofit/>
                        </wps:bodyPr>
                      </wps:wsp>
                      <pic:pic>
                        <pic:nvPicPr>
                          <pic:cNvPr id="423" name="Image 423"/>
                          <pic:cNvPicPr/>
                        </pic:nvPicPr>
                        <pic:blipFill>
                          <a:blip r:embed="rId150" cstate="print"/>
                          <a:stretch>
                            <a:fillRect/>
                          </a:stretch>
                        </pic:blipFill>
                        <pic:spPr>
                          <a:xfrm>
                            <a:off x="347472" y="429768"/>
                            <a:ext cx="2971800" cy="1060703"/>
                          </a:xfrm>
                          <a:prstGeom prst="rect">
                            <a:avLst/>
                          </a:prstGeom>
                        </pic:spPr>
                      </pic:pic>
                      <wps:wsp>
                        <wps:cNvPr id="424" name="Graphic 424"/>
                        <wps:cNvSpPr/>
                        <wps:spPr>
                          <a:xfrm>
                            <a:off x="3538728" y="1850135"/>
                            <a:ext cx="256540" cy="27940"/>
                          </a:xfrm>
                          <a:custGeom>
                            <a:avLst/>
                            <a:gdLst/>
                            <a:ahLst/>
                            <a:cxnLst/>
                            <a:rect l="l" t="t" r="r" b="b"/>
                            <a:pathLst>
                              <a:path w="256540" h="27940">
                                <a:moveTo>
                                  <a:pt x="249935" y="0"/>
                                </a:moveTo>
                                <a:lnTo>
                                  <a:pt x="12191" y="0"/>
                                </a:lnTo>
                                <a:lnTo>
                                  <a:pt x="6095" y="0"/>
                                </a:lnTo>
                                <a:lnTo>
                                  <a:pt x="0" y="6095"/>
                                </a:lnTo>
                                <a:lnTo>
                                  <a:pt x="0" y="21335"/>
                                </a:lnTo>
                                <a:lnTo>
                                  <a:pt x="6095" y="27431"/>
                                </a:lnTo>
                                <a:lnTo>
                                  <a:pt x="249935" y="27431"/>
                                </a:lnTo>
                                <a:lnTo>
                                  <a:pt x="256031" y="21335"/>
                                </a:lnTo>
                                <a:lnTo>
                                  <a:pt x="256031" y="6095"/>
                                </a:lnTo>
                                <a:lnTo>
                                  <a:pt x="249935" y="0"/>
                                </a:lnTo>
                                <a:close/>
                              </a:path>
                            </a:pathLst>
                          </a:custGeom>
                          <a:solidFill>
                            <a:srgbClr val="497DBA"/>
                          </a:solidFill>
                        </wps:spPr>
                        <wps:bodyPr wrap="square" lIns="0" tIns="0" rIns="0" bIns="0" rtlCol="0">
                          <a:prstTxWarp prst="textNoShape">
                            <a:avLst/>
                          </a:prstTxWarp>
                          <a:noAutofit/>
                        </wps:bodyPr>
                      </wps:wsp>
                      <pic:pic>
                        <pic:nvPicPr>
                          <pic:cNvPr id="425" name="Image 425"/>
                          <pic:cNvPicPr/>
                        </pic:nvPicPr>
                        <pic:blipFill>
                          <a:blip r:embed="rId110" cstate="print"/>
                          <a:stretch>
                            <a:fillRect/>
                          </a:stretch>
                        </pic:blipFill>
                        <pic:spPr>
                          <a:xfrm>
                            <a:off x="3627120" y="1822704"/>
                            <a:ext cx="76200" cy="79248"/>
                          </a:xfrm>
                          <a:prstGeom prst="rect">
                            <a:avLst/>
                          </a:prstGeom>
                        </pic:spPr>
                      </pic:pic>
                      <wps:wsp>
                        <wps:cNvPr id="426" name="Graphic 426"/>
                        <wps:cNvSpPr/>
                        <wps:spPr>
                          <a:xfrm>
                            <a:off x="3538728" y="2066544"/>
                            <a:ext cx="256540" cy="24765"/>
                          </a:xfrm>
                          <a:custGeom>
                            <a:avLst/>
                            <a:gdLst/>
                            <a:ahLst/>
                            <a:cxnLst/>
                            <a:rect l="l" t="t" r="r" b="b"/>
                            <a:pathLst>
                              <a:path w="256540" h="24765">
                                <a:moveTo>
                                  <a:pt x="249935" y="0"/>
                                </a:moveTo>
                                <a:lnTo>
                                  <a:pt x="12191" y="0"/>
                                </a:lnTo>
                                <a:lnTo>
                                  <a:pt x="6095" y="0"/>
                                </a:lnTo>
                                <a:lnTo>
                                  <a:pt x="0" y="6096"/>
                                </a:lnTo>
                                <a:lnTo>
                                  <a:pt x="0" y="18287"/>
                                </a:lnTo>
                                <a:lnTo>
                                  <a:pt x="6095" y="24383"/>
                                </a:lnTo>
                                <a:lnTo>
                                  <a:pt x="249935" y="24383"/>
                                </a:lnTo>
                                <a:lnTo>
                                  <a:pt x="256031" y="18287"/>
                                </a:lnTo>
                                <a:lnTo>
                                  <a:pt x="256031" y="6096"/>
                                </a:lnTo>
                                <a:lnTo>
                                  <a:pt x="249935" y="0"/>
                                </a:lnTo>
                                <a:close/>
                              </a:path>
                            </a:pathLst>
                          </a:custGeom>
                          <a:solidFill>
                            <a:srgbClr val="BD4A47"/>
                          </a:solidFill>
                        </wps:spPr>
                        <wps:bodyPr wrap="square" lIns="0" tIns="0" rIns="0" bIns="0" rtlCol="0">
                          <a:prstTxWarp prst="textNoShape">
                            <a:avLst/>
                          </a:prstTxWarp>
                          <a:noAutofit/>
                        </wps:bodyPr>
                      </wps:wsp>
                      <wps:wsp>
                        <wps:cNvPr id="427" name="Graphic 427"/>
                        <wps:cNvSpPr/>
                        <wps:spPr>
                          <a:xfrm>
                            <a:off x="3630167" y="2045207"/>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BF4F4C"/>
                          </a:solidFill>
                        </wps:spPr>
                        <wps:bodyPr wrap="square" lIns="0" tIns="0" rIns="0" bIns="0" rtlCol="0">
                          <a:prstTxWarp prst="textNoShape">
                            <a:avLst/>
                          </a:prstTxWarp>
                          <a:noAutofit/>
                        </wps:bodyPr>
                      </wps:wsp>
                      <wps:wsp>
                        <wps:cNvPr id="428" name="Graphic 428"/>
                        <wps:cNvSpPr/>
                        <wps:spPr>
                          <a:xfrm>
                            <a:off x="3624071" y="2039111"/>
                            <a:ext cx="79375" cy="79375"/>
                          </a:xfrm>
                          <a:custGeom>
                            <a:avLst/>
                            <a:gdLst/>
                            <a:ahLst/>
                            <a:cxnLst/>
                            <a:rect l="l" t="t" r="r" b="b"/>
                            <a:pathLst>
                              <a:path w="79375" h="79375">
                                <a:moveTo>
                                  <a:pt x="76200" y="0"/>
                                </a:moveTo>
                                <a:lnTo>
                                  <a:pt x="6096" y="0"/>
                                </a:lnTo>
                                <a:lnTo>
                                  <a:pt x="0" y="6095"/>
                                </a:lnTo>
                                <a:lnTo>
                                  <a:pt x="0" y="76200"/>
                                </a:lnTo>
                                <a:lnTo>
                                  <a:pt x="6096" y="79247"/>
                                </a:lnTo>
                                <a:lnTo>
                                  <a:pt x="76200" y="79247"/>
                                </a:lnTo>
                                <a:lnTo>
                                  <a:pt x="79248" y="76200"/>
                                </a:lnTo>
                                <a:lnTo>
                                  <a:pt x="9144" y="76200"/>
                                </a:lnTo>
                                <a:lnTo>
                                  <a:pt x="6096" y="73151"/>
                                </a:lnTo>
                                <a:lnTo>
                                  <a:pt x="9144" y="73151"/>
                                </a:lnTo>
                                <a:lnTo>
                                  <a:pt x="9144" y="9143"/>
                                </a:lnTo>
                                <a:lnTo>
                                  <a:pt x="6096" y="9143"/>
                                </a:lnTo>
                                <a:lnTo>
                                  <a:pt x="9144" y="6095"/>
                                </a:lnTo>
                                <a:lnTo>
                                  <a:pt x="79248" y="6095"/>
                                </a:lnTo>
                                <a:lnTo>
                                  <a:pt x="76200" y="0"/>
                                </a:lnTo>
                                <a:close/>
                              </a:path>
                              <a:path w="79375" h="79375">
                                <a:moveTo>
                                  <a:pt x="9144" y="73151"/>
                                </a:moveTo>
                                <a:lnTo>
                                  <a:pt x="6096" y="73151"/>
                                </a:lnTo>
                                <a:lnTo>
                                  <a:pt x="9144" y="76200"/>
                                </a:lnTo>
                                <a:lnTo>
                                  <a:pt x="9144" y="73151"/>
                                </a:lnTo>
                                <a:close/>
                              </a:path>
                              <a:path w="79375" h="79375">
                                <a:moveTo>
                                  <a:pt x="73151" y="73151"/>
                                </a:moveTo>
                                <a:lnTo>
                                  <a:pt x="9144" y="73151"/>
                                </a:lnTo>
                                <a:lnTo>
                                  <a:pt x="9144" y="76200"/>
                                </a:lnTo>
                                <a:lnTo>
                                  <a:pt x="73151" y="76200"/>
                                </a:lnTo>
                                <a:lnTo>
                                  <a:pt x="73151" y="73151"/>
                                </a:lnTo>
                                <a:close/>
                              </a:path>
                              <a:path w="79375" h="79375">
                                <a:moveTo>
                                  <a:pt x="73151" y="6095"/>
                                </a:moveTo>
                                <a:lnTo>
                                  <a:pt x="73151" y="76200"/>
                                </a:lnTo>
                                <a:lnTo>
                                  <a:pt x="76200" y="73151"/>
                                </a:lnTo>
                                <a:lnTo>
                                  <a:pt x="79248" y="73151"/>
                                </a:lnTo>
                                <a:lnTo>
                                  <a:pt x="79248" y="9143"/>
                                </a:lnTo>
                                <a:lnTo>
                                  <a:pt x="76200" y="9143"/>
                                </a:lnTo>
                                <a:lnTo>
                                  <a:pt x="73151" y="6095"/>
                                </a:lnTo>
                                <a:close/>
                              </a:path>
                              <a:path w="79375" h="79375">
                                <a:moveTo>
                                  <a:pt x="79248" y="73151"/>
                                </a:moveTo>
                                <a:lnTo>
                                  <a:pt x="76200" y="73151"/>
                                </a:lnTo>
                                <a:lnTo>
                                  <a:pt x="73151" y="76200"/>
                                </a:lnTo>
                                <a:lnTo>
                                  <a:pt x="79248" y="76200"/>
                                </a:lnTo>
                                <a:lnTo>
                                  <a:pt x="79248" y="73151"/>
                                </a:lnTo>
                                <a:close/>
                              </a:path>
                              <a:path w="79375" h="79375">
                                <a:moveTo>
                                  <a:pt x="9144" y="6095"/>
                                </a:moveTo>
                                <a:lnTo>
                                  <a:pt x="6096" y="9143"/>
                                </a:lnTo>
                                <a:lnTo>
                                  <a:pt x="9144" y="9143"/>
                                </a:lnTo>
                                <a:lnTo>
                                  <a:pt x="9144" y="6095"/>
                                </a:lnTo>
                                <a:close/>
                              </a:path>
                              <a:path w="79375" h="79375">
                                <a:moveTo>
                                  <a:pt x="73151" y="6095"/>
                                </a:moveTo>
                                <a:lnTo>
                                  <a:pt x="9144" y="6095"/>
                                </a:lnTo>
                                <a:lnTo>
                                  <a:pt x="9144" y="9143"/>
                                </a:lnTo>
                                <a:lnTo>
                                  <a:pt x="73151" y="9143"/>
                                </a:lnTo>
                                <a:lnTo>
                                  <a:pt x="73151" y="6095"/>
                                </a:lnTo>
                                <a:close/>
                              </a:path>
                              <a:path w="79375" h="79375">
                                <a:moveTo>
                                  <a:pt x="79248" y="6095"/>
                                </a:moveTo>
                                <a:lnTo>
                                  <a:pt x="73151" y="6095"/>
                                </a:lnTo>
                                <a:lnTo>
                                  <a:pt x="76200" y="9143"/>
                                </a:lnTo>
                                <a:lnTo>
                                  <a:pt x="79248" y="9143"/>
                                </a:lnTo>
                                <a:lnTo>
                                  <a:pt x="79248" y="6095"/>
                                </a:lnTo>
                                <a:close/>
                              </a:path>
                            </a:pathLst>
                          </a:custGeom>
                          <a:solidFill>
                            <a:srgbClr val="BD4A47"/>
                          </a:solidFill>
                        </wps:spPr>
                        <wps:bodyPr wrap="square" lIns="0" tIns="0" rIns="0" bIns="0" rtlCol="0">
                          <a:prstTxWarp prst="textNoShape">
                            <a:avLst/>
                          </a:prstTxWarp>
                          <a:noAutofit/>
                        </wps:bodyPr>
                      </wps:wsp>
                      <wps:wsp>
                        <wps:cNvPr id="429" name="Graphic 429"/>
                        <wps:cNvSpPr/>
                        <wps:spPr>
                          <a:xfrm>
                            <a:off x="3538728" y="2282951"/>
                            <a:ext cx="256540" cy="27940"/>
                          </a:xfrm>
                          <a:custGeom>
                            <a:avLst/>
                            <a:gdLst/>
                            <a:ahLst/>
                            <a:cxnLst/>
                            <a:rect l="l" t="t" r="r" b="b"/>
                            <a:pathLst>
                              <a:path w="256540" h="27940">
                                <a:moveTo>
                                  <a:pt x="249935" y="0"/>
                                </a:moveTo>
                                <a:lnTo>
                                  <a:pt x="12191" y="0"/>
                                </a:lnTo>
                                <a:lnTo>
                                  <a:pt x="6095" y="0"/>
                                </a:lnTo>
                                <a:lnTo>
                                  <a:pt x="0" y="6096"/>
                                </a:lnTo>
                                <a:lnTo>
                                  <a:pt x="0" y="21336"/>
                                </a:lnTo>
                                <a:lnTo>
                                  <a:pt x="6095" y="27432"/>
                                </a:lnTo>
                                <a:lnTo>
                                  <a:pt x="249935" y="27432"/>
                                </a:lnTo>
                                <a:lnTo>
                                  <a:pt x="256031" y="21336"/>
                                </a:lnTo>
                                <a:lnTo>
                                  <a:pt x="256031" y="6096"/>
                                </a:lnTo>
                                <a:lnTo>
                                  <a:pt x="249935" y="0"/>
                                </a:lnTo>
                                <a:close/>
                              </a:path>
                            </a:pathLst>
                          </a:custGeom>
                          <a:solidFill>
                            <a:srgbClr val="97B853"/>
                          </a:solidFill>
                        </wps:spPr>
                        <wps:bodyPr wrap="square" lIns="0" tIns="0" rIns="0" bIns="0" rtlCol="0">
                          <a:prstTxWarp prst="textNoShape">
                            <a:avLst/>
                          </a:prstTxWarp>
                          <a:noAutofit/>
                        </wps:bodyPr>
                      </wps:wsp>
                      <pic:pic>
                        <pic:nvPicPr>
                          <pic:cNvPr id="430" name="Image 430"/>
                          <pic:cNvPicPr/>
                        </pic:nvPicPr>
                        <pic:blipFill>
                          <a:blip r:embed="rId151" cstate="print"/>
                          <a:stretch>
                            <a:fillRect/>
                          </a:stretch>
                        </pic:blipFill>
                        <pic:spPr>
                          <a:xfrm>
                            <a:off x="3627120" y="2255520"/>
                            <a:ext cx="79248" cy="79248"/>
                          </a:xfrm>
                          <a:prstGeom prst="rect">
                            <a:avLst/>
                          </a:prstGeom>
                        </pic:spPr>
                      </pic:pic>
                    </wpg:wgp>
                  </a:graphicData>
                </a:graphic>
              </wp:anchor>
            </w:drawing>
          </mc:Choice>
          <mc:Fallback>
            <w:pict>
              <v:group style="position:absolute;margin-left:172.080002pt;margin-top:10.76pt;width:298.8pt;height:291.4pt;mso-position-horizontal-relative:page;mso-position-vertical-relative:paragraph;z-index:-21293056" id="docshapegroup406" coordorigin="3442,215" coordsize="5976,5828">
                <v:shape style="position:absolute;left:3441;top:215;width:5722;height:5828" id="docshape407" coordorigin="3442,215" coordsize="5722,5828" path="m9163,5985l9158,5985,9158,5975,3509,5975,3509,225,3499,225,3499,215,3442,215,3442,230,3494,230,3494,1041,3442,1041,3442,1055,3494,1055,3494,1862,3442,1862,3442,1876,3494,1876,3494,2687,3442,2687,3442,2697,3494,2697,3494,3513,3442,3513,3442,3522,3494,3522,3494,4334,3442,4334,3442,4343,3494,4343,3494,5154,3442,5154,3442,5164,3494,5164,3494,5980,3442,5980,3442,5994,3494,5994,3494,6042,3509,6042,3509,5990,4627,5990,4627,6042,4642,6042,4642,5990,5760,5990,5760,6042,5774,6042,5774,5990,6893,5990,6893,6042,6902,6042,6902,5990,8026,5990,8026,6042,8035,6042,8035,5990,9154,5990,9154,6042,9163,6042,9163,5985xe" filled="true" fillcolor="#858585" stroked="false">
                  <v:path arrowok="t"/>
                  <v:fill type="solid"/>
                </v:shape>
                <v:shape style="position:absolute;left:3988;top:892;width:4680;height:1671" type="#_x0000_t75" id="docshape408" stroked="false">
                  <v:imagedata r:id="rId150" o:title=""/>
                </v:shape>
                <v:shape style="position:absolute;left:9014;top:3128;width:404;height:44" id="docshape409" coordorigin="9014,3129" coordsize="404,44" path="m9408,3129l9034,3129,9024,3129,9014,3138,9014,3162,9024,3172,9408,3172,9418,3162,9418,3138,9408,3129xe" filled="true" fillcolor="#497dba" stroked="false">
                  <v:path arrowok="t"/>
                  <v:fill type="solid"/>
                </v:shape>
                <v:shape style="position:absolute;left:9153;top:3085;width:120;height:125" type="#_x0000_t75" id="docshape410" stroked="false">
                  <v:imagedata r:id="rId110" o:title=""/>
                </v:shape>
                <v:shape style="position:absolute;left:9014;top:3469;width:404;height:39" id="docshape411" coordorigin="9014,3470" coordsize="404,39" path="m9408,3470l9034,3470,9024,3470,9014,3479,9014,3498,9024,3508,9408,3508,9418,3498,9418,3479,9408,3470xe" filled="true" fillcolor="#bd4a47" stroked="false">
                  <v:path arrowok="t"/>
                  <v:fill type="solid"/>
                </v:shape>
                <v:rect style="position:absolute;left:9158;top:3436;width:111;height:111" id="docshape412" filled="true" fillcolor="#bf4f4c" stroked="false">
                  <v:fill type="solid"/>
                </v:rect>
                <v:shape style="position:absolute;left:9148;top:3426;width:125;height:125" id="docshape413" coordorigin="9149,3426" coordsize="125,125" path="m9269,3426l9158,3426,9149,3436,9149,3546,9158,3551,9269,3551,9274,3546,9163,3546,9158,3542,9163,3542,9163,3441,9158,3441,9163,3436,9274,3436,9269,3426xm9163,3542l9158,3542,9163,3546,9163,3542xm9264,3542l9163,3542,9163,3546,9264,3546,9264,3542xm9264,3436l9264,3546,9269,3542,9274,3542,9274,3441,9269,3441,9264,3436xm9274,3542l9269,3542,9264,3546,9274,3546,9274,3542xm9163,3436l9158,3441,9163,3441,9163,3436xm9264,3436l9163,3436,9163,3441,9264,3441,9264,3436xm9274,3436l9264,3436,9269,3441,9274,3441,9274,3436xe" filled="true" fillcolor="#bd4a47" stroked="false">
                  <v:path arrowok="t"/>
                  <v:fill type="solid"/>
                </v:shape>
                <v:shape style="position:absolute;left:9014;top:3810;width:404;height:44" id="docshape414" coordorigin="9014,3810" coordsize="404,44" path="m9408,3810l9034,3810,9024,3810,9014,3820,9014,3844,9024,3854,9408,3854,9418,3844,9418,3820,9408,3810xe" filled="true" fillcolor="#97b853" stroked="false">
                  <v:path arrowok="t"/>
                  <v:fill type="solid"/>
                </v:shape>
                <v:shape style="position:absolute;left:9153;top:3767;width:125;height:125" type="#_x0000_t75" id="docshape415" stroked="false">
                  <v:imagedata r:id="rId151" o:title=""/>
                </v:shape>
                <w10:wrap type="none"/>
              </v:group>
            </w:pict>
          </mc:Fallback>
        </mc:AlternateContent>
      </w:r>
      <w:r>
        <w:rPr>
          <w:rFonts w:ascii="Calibri"/>
          <w:spacing w:val="-5"/>
          <w:sz w:val="19"/>
        </w:rPr>
        <w:t>14</w:t>
      </w:r>
    </w:p>
    <w:p>
      <w:pPr>
        <w:pStyle w:val="BodyText"/>
        <w:rPr>
          <w:rFonts w:ascii="Calibri"/>
          <w:sz w:val="19"/>
        </w:rPr>
      </w:pPr>
    </w:p>
    <w:p>
      <w:pPr>
        <w:pStyle w:val="BodyText"/>
        <w:spacing w:before="130"/>
        <w:rPr>
          <w:rFonts w:ascii="Calibri"/>
          <w:sz w:val="19"/>
        </w:rPr>
      </w:pPr>
    </w:p>
    <w:p>
      <w:pPr>
        <w:spacing w:before="0"/>
        <w:ind w:left="1414" w:right="0" w:firstLine="0"/>
        <w:jc w:val="left"/>
        <w:rPr>
          <w:rFonts w:ascii="Calibri"/>
          <w:sz w:val="19"/>
        </w:rPr>
      </w:pPr>
      <w:r>
        <w:rPr>
          <w:rFonts w:ascii="Calibri"/>
          <w:spacing w:val="-5"/>
          <w:sz w:val="19"/>
        </w:rPr>
        <w:t>12</w:t>
      </w:r>
    </w:p>
    <w:p>
      <w:pPr>
        <w:pStyle w:val="BodyText"/>
        <w:rPr>
          <w:rFonts w:ascii="Calibri"/>
          <w:sz w:val="19"/>
        </w:rPr>
      </w:pPr>
    </w:p>
    <w:p>
      <w:pPr>
        <w:pStyle w:val="BodyText"/>
        <w:spacing w:before="125"/>
        <w:rPr>
          <w:rFonts w:ascii="Calibri"/>
          <w:sz w:val="19"/>
        </w:rPr>
      </w:pPr>
    </w:p>
    <w:p>
      <w:pPr>
        <w:spacing w:before="0"/>
        <w:ind w:left="1414" w:right="0" w:firstLine="0"/>
        <w:jc w:val="left"/>
        <w:rPr>
          <w:rFonts w:ascii="Calibri"/>
          <w:sz w:val="19"/>
        </w:rPr>
      </w:pPr>
      <w:r>
        <w:rPr>
          <w:rFonts w:ascii="Calibri"/>
          <w:spacing w:val="-5"/>
          <w:sz w:val="19"/>
        </w:rPr>
        <w:t>10</w:t>
      </w:r>
    </w:p>
    <w:p>
      <w:pPr>
        <w:pStyle w:val="BodyText"/>
        <w:rPr>
          <w:rFonts w:ascii="Calibri"/>
          <w:sz w:val="19"/>
        </w:rPr>
      </w:pPr>
    </w:p>
    <w:p>
      <w:pPr>
        <w:pStyle w:val="BodyText"/>
        <w:spacing w:before="125"/>
        <w:rPr>
          <w:rFonts w:ascii="Calibri"/>
          <w:sz w:val="19"/>
        </w:rPr>
      </w:pPr>
    </w:p>
    <w:p>
      <w:pPr>
        <w:spacing w:before="0"/>
        <w:ind w:left="1510" w:right="0" w:firstLine="0"/>
        <w:jc w:val="left"/>
        <w:rPr>
          <w:rFonts w:ascii="Calibri"/>
          <w:sz w:val="19"/>
        </w:rPr>
      </w:pPr>
      <w:r>
        <w:rPr/>
        <mc:AlternateContent>
          <mc:Choice Requires="wps">
            <w:drawing>
              <wp:anchor distT="0" distB="0" distL="0" distR="0" allowOverlap="1" layoutInCell="1" locked="0" behindDoc="0" simplePos="0" relativeHeight="15773184">
                <wp:simplePos x="0" y="0"/>
                <wp:positionH relativeFrom="page">
                  <wp:posOffset>1820337</wp:posOffset>
                </wp:positionH>
                <wp:positionV relativeFrom="paragraph">
                  <wp:posOffset>-236587</wp:posOffset>
                </wp:positionV>
                <wp:extent cx="146050" cy="115697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46050" cy="115697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Crushing</w:t>
                            </w:r>
                            <w:r>
                              <w:rPr>
                                <w:rFonts w:ascii="Calibri"/>
                                <w:b/>
                                <w:spacing w:val="4"/>
                                <w:sz w:val="19"/>
                              </w:rPr>
                              <w:t> </w:t>
                            </w:r>
                            <w:r>
                              <w:rPr>
                                <w:rFonts w:ascii="Calibri"/>
                                <w:b/>
                                <w:spacing w:val="-2"/>
                                <w:sz w:val="19"/>
                              </w:rPr>
                              <w:t>strength</w:t>
                            </w:r>
                            <w:r>
                              <w:rPr>
                                <w:rFonts w:ascii="Calibri"/>
                                <w:b/>
                                <w:sz w:val="19"/>
                              </w:rPr>
                              <w:t> </w:t>
                            </w:r>
                            <w:r>
                              <w:rPr>
                                <w:rFonts w:ascii="Calibri"/>
                                <w:b/>
                                <w:spacing w:val="-4"/>
                                <w:sz w:val="19"/>
                              </w:rPr>
                              <w:t>(kgf)</w:t>
                            </w:r>
                          </w:p>
                        </w:txbxContent>
                      </wps:txbx>
                      <wps:bodyPr wrap="square" lIns="0" tIns="0" rIns="0" bIns="0" rtlCol="0" vert="vert270">
                        <a:noAutofit/>
                      </wps:bodyPr>
                    </wps:wsp>
                  </a:graphicData>
                </a:graphic>
              </wp:anchor>
            </w:drawing>
          </mc:Choice>
          <mc:Fallback>
            <w:pict>
              <v:shape style="position:absolute;margin-left:143.333679pt;margin-top:-18.628963pt;width:11.5pt;height:91.1pt;mso-position-horizontal-relative:page;mso-position-vertical-relative:paragraph;z-index:15773184" type="#_x0000_t202" id="docshape416"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Crushing</w:t>
                      </w:r>
                      <w:r>
                        <w:rPr>
                          <w:rFonts w:ascii="Calibri"/>
                          <w:b/>
                          <w:spacing w:val="4"/>
                          <w:sz w:val="19"/>
                        </w:rPr>
                        <w:t> </w:t>
                      </w:r>
                      <w:r>
                        <w:rPr>
                          <w:rFonts w:ascii="Calibri"/>
                          <w:b/>
                          <w:spacing w:val="-2"/>
                          <w:sz w:val="19"/>
                        </w:rPr>
                        <w:t>strength</w:t>
                      </w:r>
                      <w:r>
                        <w:rPr>
                          <w:rFonts w:ascii="Calibri"/>
                          <w:b/>
                          <w:sz w:val="19"/>
                        </w:rPr>
                        <w:t> </w:t>
                      </w:r>
                      <w:r>
                        <w:rPr>
                          <w:rFonts w:ascii="Calibri"/>
                          <w:b/>
                          <w:spacing w:val="-4"/>
                          <w:sz w:val="19"/>
                        </w:rPr>
                        <w:t>(kgf)</w:t>
                      </w:r>
                    </w:p>
                  </w:txbxContent>
                </v:textbox>
                <w10:wrap type="none"/>
              </v:shape>
            </w:pict>
          </mc:Fallback>
        </mc:AlternateContent>
      </w:r>
      <w:r>
        <w:rPr>
          <w:rFonts w:ascii="Calibri"/>
          <w:spacing w:val="-10"/>
          <w:sz w:val="19"/>
        </w:rPr>
        <w:t>8</w:t>
      </w:r>
    </w:p>
    <w:p>
      <w:pPr>
        <w:spacing w:before="224"/>
        <w:ind w:left="0" w:right="1843" w:firstLine="0"/>
        <w:jc w:val="right"/>
        <w:rPr>
          <w:rFonts w:ascii="Calibri"/>
          <w:sz w:val="19"/>
        </w:rPr>
      </w:pPr>
      <w:r>
        <w:rPr>
          <w:rFonts w:ascii="Calibri"/>
          <w:spacing w:val="-5"/>
          <w:sz w:val="19"/>
        </w:rPr>
        <w:t>DS</w:t>
      </w:r>
    </w:p>
    <w:p>
      <w:pPr>
        <w:tabs>
          <w:tab w:pos="6201" w:val="left" w:leader="none"/>
        </w:tabs>
        <w:spacing w:before="109"/>
        <w:ind w:left="0" w:right="1699" w:firstLine="0"/>
        <w:jc w:val="right"/>
        <w:rPr>
          <w:rFonts w:ascii="Calibri"/>
          <w:sz w:val="19"/>
        </w:rPr>
      </w:pPr>
      <w:r>
        <w:rPr>
          <w:rFonts w:ascii="Calibri"/>
          <w:spacing w:val="-10"/>
          <w:position w:val="-2"/>
          <w:sz w:val="19"/>
        </w:rPr>
        <w:t>6</w:t>
      </w:r>
      <w:r>
        <w:rPr>
          <w:rFonts w:ascii="Calibri"/>
          <w:position w:val="-2"/>
          <w:sz w:val="19"/>
        </w:rPr>
        <w:tab/>
      </w:r>
      <w:r>
        <w:rPr>
          <w:rFonts w:ascii="Calibri"/>
          <w:spacing w:val="-5"/>
          <w:sz w:val="19"/>
        </w:rPr>
        <w:t>MCS</w:t>
      </w:r>
    </w:p>
    <w:p>
      <w:pPr>
        <w:spacing w:before="79"/>
        <w:ind w:left="0" w:right="1795" w:firstLine="0"/>
        <w:jc w:val="right"/>
        <w:rPr>
          <w:rFonts w:ascii="Calibri"/>
          <w:sz w:val="19"/>
        </w:rPr>
      </w:pPr>
      <w:r>
        <w:rPr>
          <w:rFonts w:ascii="Calibri"/>
          <w:spacing w:val="-5"/>
          <w:sz w:val="19"/>
        </w:rPr>
        <w:t>MS</w:t>
      </w:r>
    </w:p>
    <w:p>
      <w:pPr>
        <w:pStyle w:val="BodyText"/>
        <w:spacing w:before="45"/>
        <w:rPr>
          <w:rFonts w:ascii="Calibri"/>
          <w:sz w:val="19"/>
        </w:rPr>
      </w:pPr>
    </w:p>
    <w:p>
      <w:pPr>
        <w:spacing w:before="0"/>
        <w:ind w:left="1510" w:right="0" w:firstLine="0"/>
        <w:jc w:val="left"/>
        <w:rPr>
          <w:rFonts w:ascii="Calibri"/>
          <w:sz w:val="19"/>
        </w:rPr>
      </w:pPr>
      <w:r>
        <w:rPr>
          <w:rFonts w:ascii="Calibri"/>
          <w:spacing w:val="-10"/>
          <w:sz w:val="19"/>
        </w:rPr>
        <w:t>4</w:t>
      </w:r>
    </w:p>
    <w:p>
      <w:pPr>
        <w:pStyle w:val="BodyText"/>
        <w:rPr>
          <w:rFonts w:ascii="Calibri"/>
          <w:sz w:val="19"/>
        </w:rPr>
      </w:pPr>
    </w:p>
    <w:p>
      <w:pPr>
        <w:pStyle w:val="BodyText"/>
        <w:spacing w:before="129"/>
        <w:rPr>
          <w:rFonts w:ascii="Calibri"/>
          <w:sz w:val="19"/>
        </w:rPr>
      </w:pPr>
    </w:p>
    <w:p>
      <w:pPr>
        <w:spacing w:before="1"/>
        <w:ind w:left="1510" w:right="0" w:firstLine="0"/>
        <w:jc w:val="left"/>
        <w:rPr>
          <w:rFonts w:ascii="Calibri"/>
          <w:sz w:val="19"/>
        </w:rPr>
      </w:pPr>
      <w:r>
        <w:rPr>
          <w:rFonts w:ascii="Calibri"/>
          <w:spacing w:val="-10"/>
          <w:sz w:val="19"/>
        </w:rPr>
        <w:t>2</w:t>
      </w:r>
    </w:p>
    <w:p>
      <w:pPr>
        <w:pStyle w:val="BodyText"/>
        <w:rPr>
          <w:rFonts w:ascii="Calibri"/>
          <w:sz w:val="19"/>
        </w:rPr>
      </w:pPr>
    </w:p>
    <w:p>
      <w:pPr>
        <w:pStyle w:val="BodyText"/>
        <w:spacing w:before="124"/>
        <w:rPr>
          <w:rFonts w:ascii="Calibri"/>
          <w:sz w:val="19"/>
        </w:rPr>
      </w:pPr>
    </w:p>
    <w:p>
      <w:pPr>
        <w:spacing w:before="1"/>
        <w:ind w:left="1510" w:right="0" w:firstLine="0"/>
        <w:jc w:val="left"/>
        <w:rPr>
          <w:rFonts w:ascii="Calibri"/>
          <w:sz w:val="19"/>
        </w:rPr>
      </w:pPr>
      <w:r>
        <w:rPr>
          <w:rFonts w:ascii="Calibri"/>
          <w:spacing w:val="-10"/>
          <w:sz w:val="19"/>
        </w:rPr>
        <w:t>0</w:t>
      </w:r>
    </w:p>
    <w:p>
      <w:pPr>
        <w:tabs>
          <w:tab w:pos="3430" w:val="left" w:leader="none"/>
          <w:tab w:pos="4491" w:val="left" w:leader="none"/>
          <w:tab w:pos="5643" w:val="left" w:leader="none"/>
          <w:tab w:pos="6703" w:val="left" w:leader="none"/>
        </w:tabs>
        <w:spacing w:before="12"/>
        <w:ind w:left="2225"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2"/>
        <w:ind w:left="3209" w:right="0" w:firstLine="0"/>
        <w:jc w:val="left"/>
        <w:rPr>
          <w:rFonts w:ascii="Calibri"/>
          <w:b/>
          <w:sz w:val="19"/>
        </w:rPr>
      </w:pPr>
      <w:r>
        <w:rPr>
          <w:rFonts w:ascii="Calibri"/>
          <w:b/>
          <w:spacing w:val="-2"/>
          <w:sz w:val="19"/>
        </w:rPr>
        <w:t>Disintegrant</w:t>
      </w:r>
      <w:r>
        <w:rPr>
          <w:rFonts w:ascii="Calibri"/>
          <w:b/>
          <w:spacing w:val="-5"/>
          <w:sz w:val="19"/>
        </w:rPr>
        <w:t> </w:t>
      </w:r>
      <w:r>
        <w:rPr>
          <w:rFonts w:ascii="Calibri"/>
          <w:b/>
          <w:spacing w:val="-2"/>
          <w:sz w:val="19"/>
        </w:rPr>
        <w:t>concentration</w:t>
      </w:r>
      <w:r>
        <w:rPr>
          <w:rFonts w:ascii="Calibri"/>
          <w:b/>
          <w:spacing w:val="-8"/>
          <w:sz w:val="19"/>
        </w:rPr>
        <w:t> </w:t>
      </w:r>
      <w:r>
        <w:rPr>
          <w:rFonts w:ascii="Calibri"/>
          <w:b/>
          <w:spacing w:val="-2"/>
          <w:sz w:val="19"/>
        </w:rPr>
        <w:t>(%</w:t>
      </w:r>
      <w:r>
        <w:rPr>
          <w:rFonts w:ascii="Calibri"/>
          <w:b/>
          <w:spacing w:val="14"/>
          <w:sz w:val="19"/>
        </w:rPr>
        <w:t> </w:t>
      </w:r>
      <w:r>
        <w:rPr>
          <w:rFonts w:ascii="Calibri"/>
          <w:b/>
          <w:spacing w:val="-4"/>
          <w:sz w:val="19"/>
        </w:rPr>
        <w:t>w/w)</w:t>
      </w:r>
    </w:p>
    <w:p>
      <w:pPr>
        <w:pStyle w:val="BodyText"/>
        <w:rPr>
          <w:rFonts w:ascii="Calibri"/>
          <w:b/>
        </w:rPr>
      </w:pPr>
    </w:p>
    <w:p>
      <w:pPr>
        <w:pStyle w:val="BodyText"/>
        <w:spacing w:before="56"/>
        <w:rPr>
          <w:rFonts w:ascii="Calibri"/>
          <w:b/>
        </w:rPr>
      </w:pPr>
    </w:p>
    <w:p>
      <w:pPr>
        <w:pStyle w:val="Heading2"/>
        <w:spacing w:line="249" w:lineRule="auto"/>
        <w:ind w:left="1966" w:right="1231" w:hanging="1301"/>
      </w:pPr>
      <w:bookmarkStart w:name="_TOC_250009" w:id="152"/>
      <w:bookmarkEnd w:id="152"/>
      <w:r>
        <w:rPr/>
        <w:t>Figure A.16: Graph of crushing strength (kgf) against disintegrant concentration (% w/w) of metronidazole tablets produced by wet granulation.</w:t>
      </w:r>
    </w:p>
    <w:p>
      <w:pPr>
        <w:spacing w:after="0" w:line="249" w:lineRule="auto"/>
        <w:sectPr>
          <w:pgSz w:w="12240" w:h="15840"/>
          <w:pgMar w:header="0" w:footer="999" w:top="182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93"/>
        <w:rPr>
          <w:b/>
          <w:sz w:val="19"/>
        </w:rPr>
      </w:pPr>
    </w:p>
    <w:p>
      <w:pPr>
        <w:spacing w:before="1"/>
        <w:ind w:left="1601" w:right="0" w:firstLine="0"/>
        <w:jc w:val="left"/>
        <w:rPr>
          <w:rFonts w:ascii="Calibri"/>
          <w:sz w:val="19"/>
        </w:rPr>
      </w:pPr>
      <w:r>
        <w:rPr/>
        <mc:AlternateContent>
          <mc:Choice Requires="wps">
            <w:drawing>
              <wp:anchor distT="0" distB="0" distL="0" distR="0" allowOverlap="1" layoutInCell="1" locked="0" behindDoc="1" simplePos="0" relativeHeight="482024448">
                <wp:simplePos x="0" y="0"/>
                <wp:positionH relativeFrom="page">
                  <wp:posOffset>2334767</wp:posOffset>
                </wp:positionH>
                <wp:positionV relativeFrom="paragraph">
                  <wp:posOffset>75814</wp:posOffset>
                </wp:positionV>
                <wp:extent cx="3767454" cy="456311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3767454" cy="4563110"/>
                          <a:chExt cx="3767454" cy="4563110"/>
                        </a:xfrm>
                      </wpg:grpSpPr>
                      <wps:wsp>
                        <wps:cNvPr id="433" name="Graphic 433"/>
                        <wps:cNvSpPr/>
                        <wps:spPr>
                          <a:xfrm>
                            <a:off x="0" y="0"/>
                            <a:ext cx="3691254" cy="4563110"/>
                          </a:xfrm>
                          <a:custGeom>
                            <a:avLst/>
                            <a:gdLst/>
                            <a:ahLst/>
                            <a:cxnLst/>
                            <a:rect l="l" t="t" r="r" b="b"/>
                            <a:pathLst>
                              <a:path w="3691254" h="4563110">
                                <a:moveTo>
                                  <a:pt x="3691128" y="4523232"/>
                                </a:moveTo>
                                <a:lnTo>
                                  <a:pt x="3688080" y="4523232"/>
                                </a:lnTo>
                                <a:lnTo>
                                  <a:pt x="3688080" y="4520184"/>
                                </a:lnTo>
                                <a:lnTo>
                                  <a:pt x="39624" y="4520184"/>
                                </a:lnTo>
                                <a:lnTo>
                                  <a:pt x="39624" y="3048"/>
                                </a:lnTo>
                                <a:lnTo>
                                  <a:pt x="36576" y="3048"/>
                                </a:lnTo>
                                <a:lnTo>
                                  <a:pt x="36576" y="0"/>
                                </a:lnTo>
                                <a:lnTo>
                                  <a:pt x="0" y="0"/>
                                </a:lnTo>
                                <a:lnTo>
                                  <a:pt x="0" y="9144"/>
                                </a:lnTo>
                                <a:lnTo>
                                  <a:pt x="30480" y="9144"/>
                                </a:lnTo>
                                <a:lnTo>
                                  <a:pt x="30480" y="902208"/>
                                </a:lnTo>
                                <a:lnTo>
                                  <a:pt x="0" y="902208"/>
                                </a:lnTo>
                                <a:lnTo>
                                  <a:pt x="0" y="911352"/>
                                </a:lnTo>
                                <a:lnTo>
                                  <a:pt x="30480" y="911352"/>
                                </a:lnTo>
                                <a:lnTo>
                                  <a:pt x="30480" y="1807464"/>
                                </a:lnTo>
                                <a:lnTo>
                                  <a:pt x="0" y="1807464"/>
                                </a:lnTo>
                                <a:lnTo>
                                  <a:pt x="0" y="1816608"/>
                                </a:lnTo>
                                <a:lnTo>
                                  <a:pt x="30480" y="1816608"/>
                                </a:lnTo>
                                <a:lnTo>
                                  <a:pt x="30480" y="2709672"/>
                                </a:lnTo>
                                <a:lnTo>
                                  <a:pt x="0" y="2709672"/>
                                </a:lnTo>
                                <a:lnTo>
                                  <a:pt x="0" y="2718816"/>
                                </a:lnTo>
                                <a:lnTo>
                                  <a:pt x="30480" y="2718816"/>
                                </a:lnTo>
                                <a:lnTo>
                                  <a:pt x="30480" y="3614928"/>
                                </a:lnTo>
                                <a:lnTo>
                                  <a:pt x="0" y="3614928"/>
                                </a:lnTo>
                                <a:lnTo>
                                  <a:pt x="0" y="3624072"/>
                                </a:lnTo>
                                <a:lnTo>
                                  <a:pt x="30480" y="3624072"/>
                                </a:lnTo>
                                <a:lnTo>
                                  <a:pt x="30480" y="4517136"/>
                                </a:lnTo>
                                <a:lnTo>
                                  <a:pt x="0" y="4517136"/>
                                </a:lnTo>
                                <a:lnTo>
                                  <a:pt x="0" y="4526280"/>
                                </a:lnTo>
                                <a:lnTo>
                                  <a:pt x="33528" y="4526280"/>
                                </a:lnTo>
                                <a:lnTo>
                                  <a:pt x="33528" y="4562856"/>
                                </a:lnTo>
                                <a:lnTo>
                                  <a:pt x="42672" y="4562856"/>
                                </a:lnTo>
                                <a:lnTo>
                                  <a:pt x="42672" y="4526280"/>
                                </a:lnTo>
                                <a:lnTo>
                                  <a:pt x="762000" y="4526280"/>
                                </a:lnTo>
                                <a:lnTo>
                                  <a:pt x="762000" y="4562856"/>
                                </a:lnTo>
                                <a:lnTo>
                                  <a:pt x="771144" y="4562856"/>
                                </a:lnTo>
                                <a:lnTo>
                                  <a:pt x="771144" y="4526280"/>
                                </a:lnTo>
                                <a:lnTo>
                                  <a:pt x="1493520" y="4526280"/>
                                </a:lnTo>
                                <a:lnTo>
                                  <a:pt x="1493520" y="4562856"/>
                                </a:lnTo>
                                <a:lnTo>
                                  <a:pt x="1502664" y="4562856"/>
                                </a:lnTo>
                                <a:lnTo>
                                  <a:pt x="1502664" y="4526280"/>
                                </a:lnTo>
                                <a:lnTo>
                                  <a:pt x="2221992" y="4526280"/>
                                </a:lnTo>
                                <a:lnTo>
                                  <a:pt x="2221992" y="4562856"/>
                                </a:lnTo>
                                <a:lnTo>
                                  <a:pt x="2231136" y="4562856"/>
                                </a:lnTo>
                                <a:lnTo>
                                  <a:pt x="2231136" y="4526280"/>
                                </a:lnTo>
                                <a:lnTo>
                                  <a:pt x="2953512" y="4526280"/>
                                </a:lnTo>
                                <a:lnTo>
                                  <a:pt x="2953512" y="4562856"/>
                                </a:lnTo>
                                <a:lnTo>
                                  <a:pt x="2959608" y="4562856"/>
                                </a:lnTo>
                                <a:lnTo>
                                  <a:pt x="2959608" y="4526280"/>
                                </a:lnTo>
                                <a:lnTo>
                                  <a:pt x="3681984" y="4526280"/>
                                </a:lnTo>
                                <a:lnTo>
                                  <a:pt x="3681984" y="4562856"/>
                                </a:lnTo>
                                <a:lnTo>
                                  <a:pt x="3691128" y="4562856"/>
                                </a:lnTo>
                                <a:lnTo>
                                  <a:pt x="3691128" y="4523232"/>
                                </a:lnTo>
                                <a:close/>
                              </a:path>
                            </a:pathLst>
                          </a:custGeom>
                          <a:solidFill>
                            <a:srgbClr val="858585"/>
                          </a:solidFill>
                        </wps:spPr>
                        <wps:bodyPr wrap="square" lIns="0" tIns="0" rIns="0" bIns="0" rtlCol="0">
                          <a:prstTxWarp prst="textNoShape">
                            <a:avLst/>
                          </a:prstTxWarp>
                          <a:noAutofit/>
                        </wps:bodyPr>
                      </wps:wsp>
                      <pic:pic>
                        <pic:nvPicPr>
                          <pic:cNvPr id="434" name="Image 434"/>
                          <pic:cNvPicPr/>
                        </pic:nvPicPr>
                        <pic:blipFill>
                          <a:blip r:embed="rId152" cstate="print"/>
                          <a:stretch>
                            <a:fillRect/>
                          </a:stretch>
                        </pic:blipFill>
                        <pic:spPr>
                          <a:xfrm>
                            <a:off x="353568" y="804672"/>
                            <a:ext cx="3014472" cy="1395983"/>
                          </a:xfrm>
                          <a:prstGeom prst="rect">
                            <a:avLst/>
                          </a:prstGeom>
                        </pic:spPr>
                      </pic:pic>
                      <wps:wsp>
                        <wps:cNvPr id="435" name="Graphic 435"/>
                        <wps:cNvSpPr/>
                        <wps:spPr>
                          <a:xfrm>
                            <a:off x="3511296" y="2334767"/>
                            <a:ext cx="256540" cy="27940"/>
                          </a:xfrm>
                          <a:custGeom>
                            <a:avLst/>
                            <a:gdLst/>
                            <a:ahLst/>
                            <a:cxnLst/>
                            <a:rect l="l" t="t" r="r" b="b"/>
                            <a:pathLst>
                              <a:path w="256540" h="27940">
                                <a:moveTo>
                                  <a:pt x="249936" y="0"/>
                                </a:moveTo>
                                <a:lnTo>
                                  <a:pt x="15239" y="0"/>
                                </a:lnTo>
                                <a:lnTo>
                                  <a:pt x="6096" y="0"/>
                                </a:lnTo>
                                <a:lnTo>
                                  <a:pt x="0" y="6096"/>
                                </a:lnTo>
                                <a:lnTo>
                                  <a:pt x="0" y="21336"/>
                                </a:lnTo>
                                <a:lnTo>
                                  <a:pt x="6096" y="27432"/>
                                </a:lnTo>
                                <a:lnTo>
                                  <a:pt x="249936" y="27432"/>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436" name="Image 436"/>
                          <pic:cNvPicPr/>
                        </pic:nvPicPr>
                        <pic:blipFill>
                          <a:blip r:embed="rId36" cstate="print"/>
                          <a:stretch>
                            <a:fillRect/>
                          </a:stretch>
                        </pic:blipFill>
                        <pic:spPr>
                          <a:xfrm>
                            <a:off x="3599688" y="2310383"/>
                            <a:ext cx="79248" cy="76200"/>
                          </a:xfrm>
                          <a:prstGeom prst="rect">
                            <a:avLst/>
                          </a:prstGeom>
                        </pic:spPr>
                      </pic:pic>
                      <wps:wsp>
                        <wps:cNvPr id="437" name="Graphic 437"/>
                        <wps:cNvSpPr/>
                        <wps:spPr>
                          <a:xfrm>
                            <a:off x="3511296" y="2551176"/>
                            <a:ext cx="256540" cy="24765"/>
                          </a:xfrm>
                          <a:custGeom>
                            <a:avLst/>
                            <a:gdLst/>
                            <a:ahLst/>
                            <a:cxnLst/>
                            <a:rect l="l" t="t" r="r" b="b"/>
                            <a:pathLst>
                              <a:path w="256540" h="24765">
                                <a:moveTo>
                                  <a:pt x="249936" y="0"/>
                                </a:moveTo>
                                <a:lnTo>
                                  <a:pt x="15239" y="0"/>
                                </a:lnTo>
                                <a:lnTo>
                                  <a:pt x="6096" y="0"/>
                                </a:lnTo>
                                <a:lnTo>
                                  <a:pt x="0" y="6096"/>
                                </a:lnTo>
                                <a:lnTo>
                                  <a:pt x="0" y="18287"/>
                                </a:lnTo>
                                <a:lnTo>
                                  <a:pt x="6096" y="24384"/>
                                </a:lnTo>
                                <a:lnTo>
                                  <a:pt x="249936" y="24384"/>
                                </a:lnTo>
                                <a:lnTo>
                                  <a:pt x="256032" y="18287"/>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438" name="Graphic 438"/>
                        <wps:cNvSpPr/>
                        <wps:spPr>
                          <a:xfrm>
                            <a:off x="3602735" y="2529839"/>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BF4F4C"/>
                          </a:solidFill>
                        </wps:spPr>
                        <wps:bodyPr wrap="square" lIns="0" tIns="0" rIns="0" bIns="0" rtlCol="0">
                          <a:prstTxWarp prst="textNoShape">
                            <a:avLst/>
                          </a:prstTxWarp>
                          <a:noAutofit/>
                        </wps:bodyPr>
                      </wps:wsp>
                      <wps:wsp>
                        <wps:cNvPr id="439" name="Graphic 439"/>
                        <wps:cNvSpPr/>
                        <wps:spPr>
                          <a:xfrm>
                            <a:off x="3599688" y="2523744"/>
                            <a:ext cx="79375" cy="82550"/>
                          </a:xfrm>
                          <a:custGeom>
                            <a:avLst/>
                            <a:gdLst/>
                            <a:ahLst/>
                            <a:cxnLst/>
                            <a:rect l="l" t="t" r="r" b="b"/>
                            <a:pathLst>
                              <a:path w="79375" h="82550">
                                <a:moveTo>
                                  <a:pt x="73152" y="0"/>
                                </a:moveTo>
                                <a:lnTo>
                                  <a:pt x="3048" y="0"/>
                                </a:lnTo>
                                <a:lnTo>
                                  <a:pt x="0" y="6096"/>
                                </a:lnTo>
                                <a:lnTo>
                                  <a:pt x="0" y="76200"/>
                                </a:lnTo>
                                <a:lnTo>
                                  <a:pt x="3048" y="82296"/>
                                </a:lnTo>
                                <a:lnTo>
                                  <a:pt x="73152" y="82296"/>
                                </a:lnTo>
                                <a:lnTo>
                                  <a:pt x="79248" y="76200"/>
                                </a:lnTo>
                                <a:lnTo>
                                  <a:pt x="6096" y="76200"/>
                                </a:lnTo>
                                <a:lnTo>
                                  <a:pt x="3048" y="73152"/>
                                </a:lnTo>
                                <a:lnTo>
                                  <a:pt x="6096" y="73152"/>
                                </a:lnTo>
                                <a:lnTo>
                                  <a:pt x="6096" y="9144"/>
                                </a:lnTo>
                                <a:lnTo>
                                  <a:pt x="3048" y="9144"/>
                                </a:lnTo>
                                <a:lnTo>
                                  <a:pt x="6096" y="6096"/>
                                </a:lnTo>
                                <a:lnTo>
                                  <a:pt x="79248" y="6096"/>
                                </a:lnTo>
                                <a:lnTo>
                                  <a:pt x="73152" y="0"/>
                                </a:lnTo>
                                <a:close/>
                              </a:path>
                              <a:path w="79375" h="82550">
                                <a:moveTo>
                                  <a:pt x="6096" y="73152"/>
                                </a:moveTo>
                                <a:lnTo>
                                  <a:pt x="3048" y="73152"/>
                                </a:lnTo>
                                <a:lnTo>
                                  <a:pt x="6096" y="76200"/>
                                </a:lnTo>
                                <a:lnTo>
                                  <a:pt x="6096" y="73152"/>
                                </a:lnTo>
                                <a:close/>
                              </a:path>
                              <a:path w="79375" h="82550">
                                <a:moveTo>
                                  <a:pt x="70104" y="73152"/>
                                </a:moveTo>
                                <a:lnTo>
                                  <a:pt x="6096" y="73152"/>
                                </a:lnTo>
                                <a:lnTo>
                                  <a:pt x="6096" y="76200"/>
                                </a:lnTo>
                                <a:lnTo>
                                  <a:pt x="70104" y="76200"/>
                                </a:lnTo>
                                <a:lnTo>
                                  <a:pt x="70104" y="73152"/>
                                </a:lnTo>
                                <a:close/>
                              </a:path>
                              <a:path w="79375" h="82550">
                                <a:moveTo>
                                  <a:pt x="70104" y="6096"/>
                                </a:moveTo>
                                <a:lnTo>
                                  <a:pt x="70104" y="76200"/>
                                </a:lnTo>
                                <a:lnTo>
                                  <a:pt x="73152" y="73152"/>
                                </a:lnTo>
                                <a:lnTo>
                                  <a:pt x="79248" y="73152"/>
                                </a:lnTo>
                                <a:lnTo>
                                  <a:pt x="79248" y="9144"/>
                                </a:lnTo>
                                <a:lnTo>
                                  <a:pt x="73152" y="9144"/>
                                </a:lnTo>
                                <a:lnTo>
                                  <a:pt x="70104" y="6096"/>
                                </a:lnTo>
                                <a:close/>
                              </a:path>
                              <a:path w="79375" h="82550">
                                <a:moveTo>
                                  <a:pt x="79248" y="73152"/>
                                </a:moveTo>
                                <a:lnTo>
                                  <a:pt x="73152" y="73152"/>
                                </a:lnTo>
                                <a:lnTo>
                                  <a:pt x="70104" y="76200"/>
                                </a:lnTo>
                                <a:lnTo>
                                  <a:pt x="79248" y="76200"/>
                                </a:lnTo>
                                <a:lnTo>
                                  <a:pt x="79248" y="73152"/>
                                </a:lnTo>
                                <a:close/>
                              </a:path>
                              <a:path w="79375" h="82550">
                                <a:moveTo>
                                  <a:pt x="6096" y="6096"/>
                                </a:moveTo>
                                <a:lnTo>
                                  <a:pt x="3048" y="9144"/>
                                </a:lnTo>
                                <a:lnTo>
                                  <a:pt x="6096" y="9144"/>
                                </a:lnTo>
                                <a:lnTo>
                                  <a:pt x="6096" y="6096"/>
                                </a:lnTo>
                                <a:close/>
                              </a:path>
                              <a:path w="79375" h="82550">
                                <a:moveTo>
                                  <a:pt x="70104" y="6096"/>
                                </a:moveTo>
                                <a:lnTo>
                                  <a:pt x="6096" y="6096"/>
                                </a:lnTo>
                                <a:lnTo>
                                  <a:pt x="6096" y="9144"/>
                                </a:lnTo>
                                <a:lnTo>
                                  <a:pt x="70104" y="9144"/>
                                </a:lnTo>
                                <a:lnTo>
                                  <a:pt x="70104" y="6096"/>
                                </a:lnTo>
                                <a:close/>
                              </a:path>
                              <a:path w="79375" h="82550">
                                <a:moveTo>
                                  <a:pt x="79248" y="6096"/>
                                </a:moveTo>
                                <a:lnTo>
                                  <a:pt x="70104" y="6096"/>
                                </a:lnTo>
                                <a:lnTo>
                                  <a:pt x="73152" y="9144"/>
                                </a:lnTo>
                                <a:lnTo>
                                  <a:pt x="79248" y="9144"/>
                                </a:lnTo>
                                <a:lnTo>
                                  <a:pt x="79248" y="6096"/>
                                </a:lnTo>
                                <a:close/>
                              </a:path>
                            </a:pathLst>
                          </a:custGeom>
                          <a:solidFill>
                            <a:srgbClr val="BD4A47"/>
                          </a:solidFill>
                        </wps:spPr>
                        <wps:bodyPr wrap="square" lIns="0" tIns="0" rIns="0" bIns="0" rtlCol="0">
                          <a:prstTxWarp prst="textNoShape">
                            <a:avLst/>
                          </a:prstTxWarp>
                          <a:noAutofit/>
                        </wps:bodyPr>
                      </wps:wsp>
                      <wps:wsp>
                        <wps:cNvPr id="440" name="Graphic 440"/>
                        <wps:cNvSpPr/>
                        <wps:spPr>
                          <a:xfrm>
                            <a:off x="3511296" y="2764535"/>
                            <a:ext cx="256540" cy="27940"/>
                          </a:xfrm>
                          <a:custGeom>
                            <a:avLst/>
                            <a:gdLst/>
                            <a:ahLst/>
                            <a:cxnLst/>
                            <a:rect l="l" t="t" r="r" b="b"/>
                            <a:pathLst>
                              <a:path w="256540" h="27940">
                                <a:moveTo>
                                  <a:pt x="249936" y="0"/>
                                </a:moveTo>
                                <a:lnTo>
                                  <a:pt x="15239" y="0"/>
                                </a:lnTo>
                                <a:lnTo>
                                  <a:pt x="6096" y="0"/>
                                </a:lnTo>
                                <a:lnTo>
                                  <a:pt x="0" y="6095"/>
                                </a:lnTo>
                                <a:lnTo>
                                  <a:pt x="0" y="21336"/>
                                </a:lnTo>
                                <a:lnTo>
                                  <a:pt x="6096" y="27431"/>
                                </a:lnTo>
                                <a:lnTo>
                                  <a:pt x="249936" y="27431"/>
                                </a:lnTo>
                                <a:lnTo>
                                  <a:pt x="256032" y="21336"/>
                                </a:lnTo>
                                <a:lnTo>
                                  <a:pt x="256032" y="6095"/>
                                </a:lnTo>
                                <a:lnTo>
                                  <a:pt x="249936" y="0"/>
                                </a:lnTo>
                                <a:close/>
                              </a:path>
                            </a:pathLst>
                          </a:custGeom>
                          <a:solidFill>
                            <a:srgbClr val="97B853"/>
                          </a:solidFill>
                        </wps:spPr>
                        <wps:bodyPr wrap="square" lIns="0" tIns="0" rIns="0" bIns="0" rtlCol="0">
                          <a:prstTxWarp prst="textNoShape">
                            <a:avLst/>
                          </a:prstTxWarp>
                          <a:noAutofit/>
                        </wps:bodyPr>
                      </wps:wsp>
                      <pic:pic>
                        <pic:nvPicPr>
                          <pic:cNvPr id="441" name="Image 441"/>
                          <pic:cNvPicPr/>
                        </pic:nvPicPr>
                        <pic:blipFill>
                          <a:blip r:embed="rId153" cstate="print"/>
                          <a:stretch>
                            <a:fillRect/>
                          </a:stretch>
                        </pic:blipFill>
                        <pic:spPr>
                          <a:xfrm>
                            <a:off x="3599688" y="2740151"/>
                            <a:ext cx="79248" cy="79248"/>
                          </a:xfrm>
                          <a:prstGeom prst="rect">
                            <a:avLst/>
                          </a:prstGeom>
                        </pic:spPr>
                      </pic:pic>
                    </wpg:wgp>
                  </a:graphicData>
                </a:graphic>
              </wp:anchor>
            </w:drawing>
          </mc:Choice>
          <mc:Fallback>
            <w:pict>
              <v:group style="position:absolute;margin-left:183.839996pt;margin-top:5.969639pt;width:296.650pt;height:359.3pt;mso-position-horizontal-relative:page;mso-position-vertical-relative:paragraph;z-index:-21292032" id="docshapegroup417" coordorigin="3677,119" coordsize="5933,7186">
                <v:shape style="position:absolute;left:3676;top:119;width:5813;height:7186" id="docshape418" coordorigin="3677,119" coordsize="5813,7186" path="m9490,7243l9485,7243,9485,7238,3739,7238,3739,124,3734,124,3734,119,3677,119,3677,134,3725,134,3725,1540,3677,1540,3677,1555,3725,1555,3725,2966,3677,2966,3677,2980,3725,2980,3725,4387,3677,4387,3677,4401,3725,4401,3725,5812,3677,5812,3677,5827,3725,5827,3725,7233,3677,7233,3677,7247,3730,7247,3730,7305,3744,7305,3744,7247,4877,7247,4877,7305,4891,7305,4891,7247,6029,7247,6029,7305,6043,7305,6043,7247,7176,7247,7176,7305,7190,7305,7190,7247,8328,7247,8328,7305,8338,7305,8338,7247,9475,7247,9475,7305,9490,7305,9490,7243xe" filled="true" fillcolor="#858585" stroked="false">
                  <v:path arrowok="t"/>
                  <v:fill type="solid"/>
                </v:shape>
                <v:shape style="position:absolute;left:4233;top:1386;width:4748;height:2199" type="#_x0000_t75" id="docshape419" stroked="false">
                  <v:imagedata r:id="rId152" o:title=""/>
                </v:shape>
                <v:shape style="position:absolute;left:9206;top:3796;width:404;height:44" id="docshape420" coordorigin="9206,3796" coordsize="404,44" path="m9600,3796l9230,3796,9216,3796,9206,3806,9206,3830,9216,3839,9600,3839,9610,3830,9610,3806,9600,3796xe" filled="true" fillcolor="#497dba" stroked="false">
                  <v:path arrowok="t"/>
                  <v:fill type="solid"/>
                </v:shape>
                <v:shape style="position:absolute;left:9345;top:3757;width:125;height:120" type="#_x0000_t75" id="docshape421" stroked="false">
                  <v:imagedata r:id="rId36" o:title=""/>
                </v:shape>
                <v:shape style="position:absolute;left:9206;top:4137;width:404;height:39" id="docshape422" coordorigin="9206,4137" coordsize="404,39" path="m9600,4137l9230,4137,9216,4137,9206,4147,9206,4166,9216,4175,9600,4175,9610,4166,9610,4147,9600,4137xe" filled="true" fillcolor="#bd4a47" stroked="false">
                  <v:path arrowok="t"/>
                  <v:fill type="solid"/>
                </v:shape>
                <v:rect style="position:absolute;left:9350;top:4103;width:111;height:111" id="docshape423" filled="true" fillcolor="#bf4f4c" stroked="false">
                  <v:fill type="solid"/>
                </v:rect>
                <v:shape style="position:absolute;left:9345;top:4093;width:125;height:130" id="docshape424" coordorigin="9346,4094" coordsize="125,130" path="m9461,4094l9350,4094,9346,4103,9346,4214,9350,4223,9461,4223,9470,4214,9355,4214,9350,4209,9355,4209,9355,4108,9350,4108,9355,4103,9470,4103,9461,4094xm9355,4209l9350,4209,9355,4214,9355,4209xm9456,4209l9355,4209,9355,4214,9456,4214,9456,4209xm9456,4103l9456,4214,9461,4209,9470,4209,9470,4108,9461,4108,9456,4103xm9470,4209l9461,4209,9456,4214,9470,4214,9470,4209xm9355,4103l9350,4108,9355,4108,9355,4103xm9456,4103l9355,4103,9355,4108,9456,4108,9456,4103xm9470,4103l9456,4103,9461,4108,9470,4108,9470,4103xe" filled="true" fillcolor="#bd4a47" stroked="false">
                  <v:path arrowok="t"/>
                  <v:fill type="solid"/>
                </v:shape>
                <v:shape style="position:absolute;left:9206;top:4473;width:404;height:44" id="docshape425" coordorigin="9206,4473" coordsize="404,44" path="m9600,4473l9230,4473,9216,4473,9206,4483,9206,4507,9216,4516,9600,4516,9610,4507,9610,4483,9600,4473xe" filled="true" fillcolor="#97b853" stroked="false">
                  <v:path arrowok="t"/>
                  <v:fill type="solid"/>
                </v:shape>
                <v:shape style="position:absolute;left:9345;top:4434;width:125;height:125" type="#_x0000_t75" id="docshape426" stroked="false">
                  <v:imagedata r:id="rId153" o:title=""/>
                </v:shape>
                <w10:wrap type="none"/>
              </v:group>
            </w:pict>
          </mc:Fallback>
        </mc:AlternateContent>
      </w:r>
      <w:r>
        <w:rPr>
          <w:rFonts w:ascii="Calibri"/>
          <w:spacing w:val="-5"/>
          <w:sz w:val="19"/>
        </w:rPr>
        <w:t>2.5</w:t>
      </w: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33"/>
        <w:rPr>
          <w:rFonts w:ascii="Calibri"/>
          <w:sz w:val="19"/>
        </w:rPr>
      </w:pPr>
    </w:p>
    <w:p>
      <w:pPr>
        <w:spacing w:before="1"/>
        <w:ind w:left="1745" w:right="0" w:firstLine="0"/>
        <w:jc w:val="left"/>
        <w:rPr>
          <w:rFonts w:ascii="Calibri"/>
          <w:sz w:val="19"/>
        </w:rPr>
      </w:pPr>
      <w:r>
        <w:rPr>
          <w:rFonts w:ascii="Calibri"/>
          <w:spacing w:val="-10"/>
          <w:sz w:val="19"/>
        </w:rPr>
        <w:t>2</w:t>
      </w: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29"/>
        <w:rPr>
          <w:rFonts w:ascii="Calibri"/>
          <w:sz w:val="19"/>
        </w:rPr>
      </w:pPr>
    </w:p>
    <w:p>
      <w:pPr>
        <w:spacing w:before="0"/>
        <w:ind w:left="1601" w:right="0" w:firstLine="0"/>
        <w:jc w:val="left"/>
        <w:rPr>
          <w:rFonts w:ascii="Calibri"/>
          <w:sz w:val="19"/>
        </w:rPr>
      </w:pPr>
      <w:r>
        <w:rPr>
          <w:rFonts w:ascii="Calibri"/>
          <w:spacing w:val="-5"/>
          <w:sz w:val="19"/>
        </w:rPr>
        <w:t>1.5</w:t>
      </w:r>
    </w:p>
    <w:p>
      <w:pPr>
        <w:pStyle w:val="BodyText"/>
        <w:rPr>
          <w:rFonts w:ascii="Calibri"/>
          <w:sz w:val="19"/>
        </w:rPr>
      </w:pPr>
    </w:p>
    <w:p>
      <w:pPr>
        <w:pStyle w:val="BodyText"/>
        <w:spacing w:before="149"/>
        <w:rPr>
          <w:rFonts w:ascii="Calibri"/>
          <w:sz w:val="19"/>
        </w:rPr>
      </w:pPr>
    </w:p>
    <w:p>
      <w:pPr>
        <w:spacing w:line="352" w:lineRule="auto" w:before="0"/>
        <w:ind w:left="7904" w:right="1496" w:firstLine="0"/>
        <w:jc w:val="left"/>
        <w:rPr>
          <w:rFonts w:ascii="Calibri"/>
          <w:sz w:val="19"/>
        </w:rPr>
      </w:pPr>
      <w:r>
        <w:rPr/>
        <mc:AlternateContent>
          <mc:Choice Requires="wps">
            <w:drawing>
              <wp:anchor distT="0" distB="0" distL="0" distR="0" allowOverlap="1" layoutInCell="1" locked="0" behindDoc="0" simplePos="0" relativeHeight="15774208">
                <wp:simplePos x="0" y="0"/>
                <wp:positionH relativeFrom="page">
                  <wp:posOffset>1939209</wp:posOffset>
                </wp:positionH>
                <wp:positionV relativeFrom="paragraph">
                  <wp:posOffset>-328481</wp:posOffset>
                </wp:positionV>
                <wp:extent cx="146050" cy="65151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146050" cy="65151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Friability</w:t>
                            </w:r>
                            <w:r>
                              <w:rPr>
                                <w:rFonts w:ascii="Calibri"/>
                                <w:b/>
                                <w:spacing w:val="-1"/>
                                <w:sz w:val="19"/>
                              </w:rPr>
                              <w:t> </w:t>
                            </w:r>
                            <w:r>
                              <w:rPr>
                                <w:rFonts w:ascii="Calibri"/>
                                <w:b/>
                                <w:spacing w:val="-5"/>
                                <w:sz w:val="19"/>
                              </w:rPr>
                              <w:t>(%)</w:t>
                            </w:r>
                          </w:p>
                        </w:txbxContent>
                      </wps:txbx>
                      <wps:bodyPr wrap="square" lIns="0" tIns="0" rIns="0" bIns="0" rtlCol="0" vert="vert270">
                        <a:noAutofit/>
                      </wps:bodyPr>
                    </wps:wsp>
                  </a:graphicData>
                </a:graphic>
              </wp:anchor>
            </w:drawing>
          </mc:Choice>
          <mc:Fallback>
            <w:pict>
              <v:shape style="position:absolute;margin-left:152.69368pt;margin-top:-25.864719pt;width:11.5pt;height:51.3pt;mso-position-horizontal-relative:page;mso-position-vertical-relative:paragraph;z-index:15774208" type="#_x0000_t202" id="docshape427"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Friability</w:t>
                      </w:r>
                      <w:r>
                        <w:rPr>
                          <w:rFonts w:ascii="Calibri"/>
                          <w:b/>
                          <w:spacing w:val="-1"/>
                          <w:sz w:val="19"/>
                        </w:rPr>
                        <w:t> </w:t>
                      </w:r>
                      <w:r>
                        <w:rPr>
                          <w:rFonts w:ascii="Calibri"/>
                          <w:b/>
                          <w:spacing w:val="-5"/>
                          <w:sz w:val="19"/>
                        </w:rPr>
                        <w:t>(%)</w:t>
                      </w:r>
                    </w:p>
                  </w:txbxContent>
                </v:textbox>
                <w10:wrap type="none"/>
              </v:shape>
            </w:pict>
          </mc:Fallback>
        </mc:AlternateContent>
      </w:r>
      <w:r>
        <w:rPr>
          <w:rFonts w:ascii="Calibri"/>
          <w:spacing w:val="-6"/>
          <w:sz w:val="19"/>
        </w:rPr>
        <w:t>DS</w:t>
      </w:r>
      <w:r>
        <w:rPr>
          <w:rFonts w:ascii="Calibri"/>
          <w:sz w:val="19"/>
        </w:rPr>
        <w:t> </w:t>
      </w:r>
      <w:r>
        <w:rPr>
          <w:rFonts w:ascii="Calibri"/>
          <w:spacing w:val="-4"/>
          <w:sz w:val="19"/>
        </w:rPr>
        <w:t>MCS</w:t>
      </w:r>
    </w:p>
    <w:p>
      <w:pPr>
        <w:tabs>
          <w:tab w:pos="7903" w:val="left" w:leader="none"/>
        </w:tabs>
        <w:spacing w:line="237" w:lineRule="auto" w:before="0"/>
        <w:ind w:left="1745" w:right="0" w:firstLine="0"/>
        <w:jc w:val="left"/>
        <w:rPr>
          <w:rFonts w:ascii="Calibri"/>
          <w:sz w:val="19"/>
        </w:rPr>
      </w:pPr>
      <w:r>
        <w:rPr>
          <w:rFonts w:ascii="Calibri"/>
          <w:spacing w:val="-10"/>
          <w:position w:val="10"/>
          <w:sz w:val="19"/>
        </w:rPr>
        <w:t>1</w:t>
      </w:r>
      <w:r>
        <w:rPr>
          <w:rFonts w:ascii="Calibri"/>
          <w:position w:val="10"/>
          <w:sz w:val="19"/>
        </w:rPr>
        <w:tab/>
      </w:r>
      <w:r>
        <w:rPr>
          <w:rFonts w:ascii="Calibri"/>
          <w:spacing w:val="-5"/>
          <w:sz w:val="19"/>
        </w:rPr>
        <w:t>MS</w:t>
      </w: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60"/>
        <w:rPr>
          <w:rFonts w:ascii="Calibri"/>
          <w:sz w:val="19"/>
        </w:rPr>
      </w:pPr>
    </w:p>
    <w:p>
      <w:pPr>
        <w:spacing w:before="0"/>
        <w:ind w:left="1601" w:right="0" w:firstLine="0"/>
        <w:jc w:val="left"/>
        <w:rPr>
          <w:rFonts w:ascii="Calibri"/>
          <w:sz w:val="19"/>
        </w:rPr>
      </w:pPr>
      <w:r>
        <w:rPr>
          <w:rFonts w:ascii="Calibri"/>
          <w:spacing w:val="-5"/>
          <w:sz w:val="19"/>
        </w:rPr>
        <w:t>0.5</w:t>
      </w:r>
    </w:p>
    <w:p>
      <w:pPr>
        <w:pStyle w:val="BodyText"/>
        <w:rPr>
          <w:rFonts w:ascii="Calibri"/>
          <w:sz w:val="19"/>
        </w:rPr>
      </w:pP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34"/>
        <w:rPr>
          <w:rFonts w:ascii="Calibri"/>
          <w:sz w:val="19"/>
        </w:rPr>
      </w:pPr>
    </w:p>
    <w:p>
      <w:pPr>
        <w:spacing w:before="0"/>
        <w:ind w:left="1745" w:right="0" w:firstLine="0"/>
        <w:jc w:val="left"/>
        <w:rPr>
          <w:rFonts w:ascii="Calibri"/>
          <w:sz w:val="19"/>
        </w:rPr>
      </w:pPr>
      <w:r>
        <w:rPr>
          <w:rFonts w:ascii="Calibri"/>
          <w:spacing w:val="-10"/>
          <w:sz w:val="19"/>
        </w:rPr>
        <w:t>0</w:t>
      </w:r>
    </w:p>
    <w:p>
      <w:pPr>
        <w:tabs>
          <w:tab w:pos="3689" w:val="left" w:leader="none"/>
          <w:tab w:pos="4769" w:val="left" w:leader="none"/>
          <w:tab w:pos="5940" w:val="left" w:leader="none"/>
          <w:tab w:pos="7020" w:val="left" w:leader="none"/>
        </w:tabs>
        <w:spacing w:before="13"/>
        <w:ind w:left="2470"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1"/>
        <w:ind w:left="3487" w:right="0" w:firstLine="0"/>
        <w:jc w:val="left"/>
        <w:rPr>
          <w:rFonts w:ascii="Calibri"/>
          <w:b/>
          <w:sz w:val="19"/>
        </w:rPr>
      </w:pPr>
      <w:r>
        <w:rPr>
          <w:rFonts w:ascii="Calibri"/>
          <w:b/>
          <w:spacing w:val="-2"/>
          <w:sz w:val="19"/>
        </w:rPr>
        <w:t>Disintegrant</w:t>
      </w:r>
      <w:r>
        <w:rPr>
          <w:rFonts w:ascii="Calibri"/>
          <w:b/>
          <w:spacing w:val="-5"/>
          <w:sz w:val="19"/>
        </w:rPr>
        <w:t> </w:t>
      </w:r>
      <w:r>
        <w:rPr>
          <w:rFonts w:ascii="Calibri"/>
          <w:b/>
          <w:spacing w:val="-2"/>
          <w:sz w:val="19"/>
        </w:rPr>
        <w:t>concentration</w:t>
      </w:r>
      <w:r>
        <w:rPr>
          <w:rFonts w:ascii="Calibri"/>
          <w:b/>
          <w:spacing w:val="-8"/>
          <w:sz w:val="19"/>
        </w:rPr>
        <w:t> </w:t>
      </w:r>
      <w:r>
        <w:rPr>
          <w:rFonts w:ascii="Calibri"/>
          <w:b/>
          <w:spacing w:val="-2"/>
          <w:sz w:val="19"/>
        </w:rPr>
        <w:t>(%</w:t>
      </w:r>
      <w:r>
        <w:rPr>
          <w:rFonts w:ascii="Calibri"/>
          <w:b/>
          <w:spacing w:val="14"/>
          <w:sz w:val="19"/>
        </w:rPr>
        <w:t> </w:t>
      </w:r>
      <w:r>
        <w:rPr>
          <w:rFonts w:ascii="Calibri"/>
          <w:b/>
          <w:spacing w:val="-4"/>
          <w:sz w:val="19"/>
        </w:rPr>
        <w:t>w/w)</w:t>
      </w:r>
    </w:p>
    <w:p>
      <w:pPr>
        <w:pStyle w:val="BodyText"/>
        <w:rPr>
          <w:rFonts w:ascii="Calibri"/>
          <w:b/>
        </w:rPr>
      </w:pPr>
    </w:p>
    <w:p>
      <w:pPr>
        <w:pStyle w:val="BodyText"/>
        <w:rPr>
          <w:rFonts w:ascii="Calibri"/>
          <w:b/>
        </w:rPr>
      </w:pPr>
    </w:p>
    <w:p>
      <w:pPr>
        <w:pStyle w:val="BodyText"/>
        <w:spacing w:before="18"/>
        <w:rPr>
          <w:rFonts w:ascii="Calibri"/>
          <w:b/>
        </w:rPr>
      </w:pPr>
    </w:p>
    <w:p>
      <w:pPr>
        <w:pStyle w:val="Heading2"/>
        <w:spacing w:line="244" w:lineRule="auto"/>
        <w:ind w:left="1966" w:hanging="1301"/>
      </w:pPr>
      <w:bookmarkStart w:name="_TOC_250008" w:id="153"/>
      <w:bookmarkEnd w:id="153"/>
      <w:r>
        <w:rPr/>
        <w:t>Figure A.17: Graph of friability (%) against disintegrant concentration (% w/w) of metronidazole tablets produced by wet granulation.</w:t>
      </w:r>
    </w:p>
    <w:p>
      <w:pPr>
        <w:spacing w:after="0" w:line="244" w:lineRule="auto"/>
        <w:sectPr>
          <w:pgSz w:w="12240" w:h="15840"/>
          <w:pgMar w:header="0" w:footer="999" w:top="182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50"/>
        <w:rPr>
          <w:b/>
          <w:sz w:val="19"/>
        </w:rPr>
      </w:pPr>
    </w:p>
    <w:p>
      <w:pPr>
        <w:spacing w:before="0"/>
        <w:ind w:left="1318" w:right="0" w:firstLine="0"/>
        <w:jc w:val="left"/>
        <w:rPr>
          <w:rFonts w:ascii="Calibri"/>
          <w:sz w:val="19"/>
        </w:rPr>
      </w:pPr>
      <w:r>
        <w:rPr/>
        <mc:AlternateContent>
          <mc:Choice Requires="wps">
            <w:drawing>
              <wp:anchor distT="0" distB="0" distL="0" distR="0" allowOverlap="1" layoutInCell="1" locked="0" behindDoc="1" simplePos="0" relativeHeight="482025472">
                <wp:simplePos x="0" y="0"/>
                <wp:positionH relativeFrom="page">
                  <wp:posOffset>2066544</wp:posOffset>
                </wp:positionH>
                <wp:positionV relativeFrom="paragraph">
                  <wp:posOffset>75687</wp:posOffset>
                </wp:positionV>
                <wp:extent cx="4036060" cy="380111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4036060" cy="3801110"/>
                          <a:chExt cx="4036060" cy="3801110"/>
                        </a:xfrm>
                      </wpg:grpSpPr>
                      <wps:wsp>
                        <wps:cNvPr id="444" name="Graphic 444"/>
                        <wps:cNvSpPr/>
                        <wps:spPr>
                          <a:xfrm>
                            <a:off x="0" y="0"/>
                            <a:ext cx="3794760" cy="3801110"/>
                          </a:xfrm>
                          <a:custGeom>
                            <a:avLst/>
                            <a:gdLst/>
                            <a:ahLst/>
                            <a:cxnLst/>
                            <a:rect l="l" t="t" r="r" b="b"/>
                            <a:pathLst>
                              <a:path w="3794760" h="3801110">
                                <a:moveTo>
                                  <a:pt x="3794760" y="3764280"/>
                                </a:moveTo>
                                <a:lnTo>
                                  <a:pt x="3791712" y="3764280"/>
                                </a:lnTo>
                                <a:lnTo>
                                  <a:pt x="3791712" y="3758184"/>
                                </a:lnTo>
                                <a:lnTo>
                                  <a:pt x="42672" y="3758184"/>
                                </a:lnTo>
                                <a:lnTo>
                                  <a:pt x="42672" y="3048"/>
                                </a:lnTo>
                                <a:lnTo>
                                  <a:pt x="36576" y="3048"/>
                                </a:lnTo>
                                <a:lnTo>
                                  <a:pt x="36576" y="0"/>
                                </a:lnTo>
                                <a:lnTo>
                                  <a:pt x="0" y="0"/>
                                </a:lnTo>
                                <a:lnTo>
                                  <a:pt x="0" y="9144"/>
                                </a:lnTo>
                                <a:lnTo>
                                  <a:pt x="33528" y="9144"/>
                                </a:lnTo>
                                <a:lnTo>
                                  <a:pt x="33528" y="417576"/>
                                </a:lnTo>
                                <a:lnTo>
                                  <a:pt x="0" y="417576"/>
                                </a:lnTo>
                                <a:lnTo>
                                  <a:pt x="0" y="426720"/>
                                </a:lnTo>
                                <a:lnTo>
                                  <a:pt x="33528" y="426720"/>
                                </a:lnTo>
                                <a:lnTo>
                                  <a:pt x="33528" y="835152"/>
                                </a:lnTo>
                                <a:lnTo>
                                  <a:pt x="0" y="835152"/>
                                </a:lnTo>
                                <a:lnTo>
                                  <a:pt x="0" y="844296"/>
                                </a:lnTo>
                                <a:lnTo>
                                  <a:pt x="33528" y="844296"/>
                                </a:lnTo>
                                <a:lnTo>
                                  <a:pt x="33528" y="1252728"/>
                                </a:lnTo>
                                <a:lnTo>
                                  <a:pt x="0" y="1252728"/>
                                </a:lnTo>
                                <a:lnTo>
                                  <a:pt x="0" y="1261872"/>
                                </a:lnTo>
                                <a:lnTo>
                                  <a:pt x="33528" y="1261872"/>
                                </a:lnTo>
                                <a:lnTo>
                                  <a:pt x="33528" y="1670304"/>
                                </a:lnTo>
                                <a:lnTo>
                                  <a:pt x="0" y="1670304"/>
                                </a:lnTo>
                                <a:lnTo>
                                  <a:pt x="0" y="1679448"/>
                                </a:lnTo>
                                <a:lnTo>
                                  <a:pt x="33528" y="1679448"/>
                                </a:lnTo>
                                <a:lnTo>
                                  <a:pt x="33528" y="2090928"/>
                                </a:lnTo>
                                <a:lnTo>
                                  <a:pt x="0" y="2090928"/>
                                </a:lnTo>
                                <a:lnTo>
                                  <a:pt x="0" y="2097024"/>
                                </a:lnTo>
                                <a:lnTo>
                                  <a:pt x="33528" y="2097024"/>
                                </a:lnTo>
                                <a:lnTo>
                                  <a:pt x="33528" y="2505456"/>
                                </a:lnTo>
                                <a:lnTo>
                                  <a:pt x="0" y="2505456"/>
                                </a:lnTo>
                                <a:lnTo>
                                  <a:pt x="0" y="2514600"/>
                                </a:lnTo>
                                <a:lnTo>
                                  <a:pt x="33528" y="2514600"/>
                                </a:lnTo>
                                <a:lnTo>
                                  <a:pt x="33528" y="2923032"/>
                                </a:lnTo>
                                <a:lnTo>
                                  <a:pt x="0" y="2923032"/>
                                </a:lnTo>
                                <a:lnTo>
                                  <a:pt x="0" y="2932176"/>
                                </a:lnTo>
                                <a:lnTo>
                                  <a:pt x="33528" y="2932176"/>
                                </a:lnTo>
                                <a:lnTo>
                                  <a:pt x="33528" y="3340608"/>
                                </a:lnTo>
                                <a:lnTo>
                                  <a:pt x="0" y="3340608"/>
                                </a:lnTo>
                                <a:lnTo>
                                  <a:pt x="0" y="3349752"/>
                                </a:lnTo>
                                <a:lnTo>
                                  <a:pt x="33528" y="3349752"/>
                                </a:lnTo>
                                <a:lnTo>
                                  <a:pt x="33528" y="3761232"/>
                                </a:lnTo>
                                <a:lnTo>
                                  <a:pt x="0" y="3761232"/>
                                </a:lnTo>
                                <a:lnTo>
                                  <a:pt x="0" y="3767328"/>
                                </a:lnTo>
                                <a:lnTo>
                                  <a:pt x="30480" y="3767328"/>
                                </a:lnTo>
                                <a:lnTo>
                                  <a:pt x="30480" y="3800856"/>
                                </a:lnTo>
                                <a:lnTo>
                                  <a:pt x="39624" y="3800856"/>
                                </a:lnTo>
                                <a:lnTo>
                                  <a:pt x="39624" y="3767328"/>
                                </a:lnTo>
                                <a:lnTo>
                                  <a:pt x="783336" y="3767328"/>
                                </a:lnTo>
                                <a:lnTo>
                                  <a:pt x="783336" y="3800856"/>
                                </a:lnTo>
                                <a:lnTo>
                                  <a:pt x="789432" y="3800856"/>
                                </a:lnTo>
                                <a:lnTo>
                                  <a:pt x="789432" y="3767328"/>
                                </a:lnTo>
                                <a:lnTo>
                                  <a:pt x="1533144" y="3767328"/>
                                </a:lnTo>
                                <a:lnTo>
                                  <a:pt x="1533144" y="3800856"/>
                                </a:lnTo>
                                <a:lnTo>
                                  <a:pt x="1542288" y="3800856"/>
                                </a:lnTo>
                                <a:lnTo>
                                  <a:pt x="1542288" y="3767328"/>
                                </a:lnTo>
                                <a:lnTo>
                                  <a:pt x="2282952" y="3767328"/>
                                </a:lnTo>
                                <a:lnTo>
                                  <a:pt x="2282952" y="3800856"/>
                                </a:lnTo>
                                <a:lnTo>
                                  <a:pt x="2292096" y="3800856"/>
                                </a:lnTo>
                                <a:lnTo>
                                  <a:pt x="2292096" y="3767328"/>
                                </a:lnTo>
                                <a:lnTo>
                                  <a:pt x="3032760" y="3767328"/>
                                </a:lnTo>
                                <a:lnTo>
                                  <a:pt x="3032760" y="3800856"/>
                                </a:lnTo>
                                <a:lnTo>
                                  <a:pt x="3041904" y="3800856"/>
                                </a:lnTo>
                                <a:lnTo>
                                  <a:pt x="3041904" y="3767328"/>
                                </a:lnTo>
                                <a:lnTo>
                                  <a:pt x="3788664" y="3767328"/>
                                </a:lnTo>
                                <a:lnTo>
                                  <a:pt x="3788664" y="3800856"/>
                                </a:lnTo>
                                <a:lnTo>
                                  <a:pt x="3794760" y="3800856"/>
                                </a:lnTo>
                                <a:lnTo>
                                  <a:pt x="3794760" y="3764280"/>
                                </a:lnTo>
                                <a:close/>
                              </a:path>
                            </a:pathLst>
                          </a:custGeom>
                          <a:solidFill>
                            <a:srgbClr val="858585"/>
                          </a:solidFill>
                        </wps:spPr>
                        <wps:bodyPr wrap="square" lIns="0" tIns="0" rIns="0" bIns="0" rtlCol="0">
                          <a:prstTxWarp prst="textNoShape">
                            <a:avLst/>
                          </a:prstTxWarp>
                          <a:noAutofit/>
                        </wps:bodyPr>
                      </wps:wsp>
                      <pic:pic>
                        <pic:nvPicPr>
                          <pic:cNvPr id="445" name="Image 445"/>
                          <pic:cNvPicPr/>
                        </pic:nvPicPr>
                        <pic:blipFill>
                          <a:blip r:embed="rId154" cstate="print"/>
                          <a:stretch>
                            <a:fillRect/>
                          </a:stretch>
                        </pic:blipFill>
                        <pic:spPr>
                          <a:xfrm>
                            <a:off x="362711" y="268224"/>
                            <a:ext cx="3099816" cy="859535"/>
                          </a:xfrm>
                          <a:prstGeom prst="rect">
                            <a:avLst/>
                          </a:prstGeom>
                        </pic:spPr>
                      </pic:pic>
                      <wps:wsp>
                        <wps:cNvPr id="446" name="Graphic 446"/>
                        <wps:cNvSpPr/>
                        <wps:spPr>
                          <a:xfrm>
                            <a:off x="399288" y="1981200"/>
                            <a:ext cx="3030220" cy="372110"/>
                          </a:xfrm>
                          <a:custGeom>
                            <a:avLst/>
                            <a:gdLst/>
                            <a:ahLst/>
                            <a:cxnLst/>
                            <a:rect l="l" t="t" r="r" b="b"/>
                            <a:pathLst>
                              <a:path w="3030220" h="372110">
                                <a:moveTo>
                                  <a:pt x="12192" y="0"/>
                                </a:moveTo>
                                <a:lnTo>
                                  <a:pt x="6095" y="0"/>
                                </a:lnTo>
                                <a:lnTo>
                                  <a:pt x="0" y="3048"/>
                                </a:lnTo>
                                <a:lnTo>
                                  <a:pt x="0" y="18287"/>
                                </a:lnTo>
                                <a:lnTo>
                                  <a:pt x="6095" y="24384"/>
                                </a:lnTo>
                                <a:lnTo>
                                  <a:pt x="12192" y="24384"/>
                                </a:lnTo>
                                <a:lnTo>
                                  <a:pt x="576072" y="51816"/>
                                </a:lnTo>
                                <a:lnTo>
                                  <a:pt x="856488" y="60960"/>
                                </a:lnTo>
                                <a:lnTo>
                                  <a:pt x="950976" y="57912"/>
                                </a:lnTo>
                                <a:lnTo>
                                  <a:pt x="1045464" y="57912"/>
                                </a:lnTo>
                                <a:lnTo>
                                  <a:pt x="1139952" y="54863"/>
                                </a:lnTo>
                                <a:lnTo>
                                  <a:pt x="1231392" y="54863"/>
                                </a:lnTo>
                                <a:lnTo>
                                  <a:pt x="1325880" y="57912"/>
                                </a:lnTo>
                                <a:lnTo>
                                  <a:pt x="1371600" y="60960"/>
                                </a:lnTo>
                                <a:lnTo>
                                  <a:pt x="1420368" y="67056"/>
                                </a:lnTo>
                                <a:lnTo>
                                  <a:pt x="1511808" y="79248"/>
                                </a:lnTo>
                                <a:lnTo>
                                  <a:pt x="1557528" y="88392"/>
                                </a:lnTo>
                                <a:lnTo>
                                  <a:pt x="1606295" y="97536"/>
                                </a:lnTo>
                                <a:lnTo>
                                  <a:pt x="1652016" y="109728"/>
                                </a:lnTo>
                                <a:lnTo>
                                  <a:pt x="1697735" y="124968"/>
                                </a:lnTo>
                                <a:lnTo>
                                  <a:pt x="1746504" y="140208"/>
                                </a:lnTo>
                                <a:lnTo>
                                  <a:pt x="1792223" y="155448"/>
                                </a:lnTo>
                                <a:lnTo>
                                  <a:pt x="1886712" y="188975"/>
                                </a:lnTo>
                                <a:lnTo>
                                  <a:pt x="1978152" y="225551"/>
                                </a:lnTo>
                                <a:lnTo>
                                  <a:pt x="2072640" y="256032"/>
                                </a:lnTo>
                                <a:lnTo>
                                  <a:pt x="2121408" y="271272"/>
                                </a:lnTo>
                                <a:lnTo>
                                  <a:pt x="2167128" y="286512"/>
                                </a:lnTo>
                                <a:lnTo>
                                  <a:pt x="2215896" y="298704"/>
                                </a:lnTo>
                                <a:lnTo>
                                  <a:pt x="2261616" y="307848"/>
                                </a:lnTo>
                                <a:lnTo>
                                  <a:pt x="2310384" y="316992"/>
                                </a:lnTo>
                                <a:lnTo>
                                  <a:pt x="2356104" y="323088"/>
                                </a:lnTo>
                                <a:lnTo>
                                  <a:pt x="2450592" y="335280"/>
                                </a:lnTo>
                                <a:lnTo>
                                  <a:pt x="2545080" y="344424"/>
                                </a:lnTo>
                                <a:lnTo>
                                  <a:pt x="2734056" y="356616"/>
                                </a:lnTo>
                                <a:lnTo>
                                  <a:pt x="2828544" y="359663"/>
                                </a:lnTo>
                                <a:lnTo>
                                  <a:pt x="3014472" y="371856"/>
                                </a:lnTo>
                                <a:lnTo>
                                  <a:pt x="3023616" y="371856"/>
                                </a:lnTo>
                                <a:lnTo>
                                  <a:pt x="3029712" y="365760"/>
                                </a:lnTo>
                                <a:lnTo>
                                  <a:pt x="3029712" y="353568"/>
                                </a:lnTo>
                                <a:lnTo>
                                  <a:pt x="3023616" y="344424"/>
                                </a:lnTo>
                                <a:lnTo>
                                  <a:pt x="3017520" y="344424"/>
                                </a:lnTo>
                                <a:lnTo>
                                  <a:pt x="2828544" y="332232"/>
                                </a:lnTo>
                                <a:lnTo>
                                  <a:pt x="2734056" y="329184"/>
                                </a:lnTo>
                                <a:lnTo>
                                  <a:pt x="2642616" y="323088"/>
                                </a:lnTo>
                                <a:lnTo>
                                  <a:pt x="2548128" y="320039"/>
                                </a:lnTo>
                                <a:lnTo>
                                  <a:pt x="2453640" y="310896"/>
                                </a:lnTo>
                                <a:lnTo>
                                  <a:pt x="2362200" y="298704"/>
                                </a:lnTo>
                                <a:lnTo>
                                  <a:pt x="2313432" y="292608"/>
                                </a:lnTo>
                                <a:lnTo>
                                  <a:pt x="2221992" y="274320"/>
                                </a:lnTo>
                                <a:lnTo>
                                  <a:pt x="2176272" y="262128"/>
                                </a:lnTo>
                                <a:lnTo>
                                  <a:pt x="2127504" y="246887"/>
                                </a:lnTo>
                                <a:lnTo>
                                  <a:pt x="2081783" y="231648"/>
                                </a:lnTo>
                                <a:lnTo>
                                  <a:pt x="1987295" y="201168"/>
                                </a:lnTo>
                                <a:lnTo>
                                  <a:pt x="1892808" y="164592"/>
                                </a:lnTo>
                                <a:lnTo>
                                  <a:pt x="1801368" y="131063"/>
                                </a:lnTo>
                                <a:lnTo>
                                  <a:pt x="1752600" y="115824"/>
                                </a:lnTo>
                                <a:lnTo>
                                  <a:pt x="1706880" y="100584"/>
                                </a:lnTo>
                                <a:lnTo>
                                  <a:pt x="1658112" y="85344"/>
                                </a:lnTo>
                                <a:lnTo>
                                  <a:pt x="1612392" y="73151"/>
                                </a:lnTo>
                                <a:lnTo>
                                  <a:pt x="1563623" y="60960"/>
                                </a:lnTo>
                                <a:lnTo>
                                  <a:pt x="1514856" y="51816"/>
                                </a:lnTo>
                                <a:lnTo>
                                  <a:pt x="1469135" y="45720"/>
                                </a:lnTo>
                                <a:lnTo>
                                  <a:pt x="1420368" y="39624"/>
                                </a:lnTo>
                                <a:lnTo>
                                  <a:pt x="1325880" y="33528"/>
                                </a:lnTo>
                                <a:lnTo>
                                  <a:pt x="1231392" y="30480"/>
                                </a:lnTo>
                                <a:lnTo>
                                  <a:pt x="1045464" y="30480"/>
                                </a:lnTo>
                                <a:lnTo>
                                  <a:pt x="950976" y="33528"/>
                                </a:lnTo>
                                <a:lnTo>
                                  <a:pt x="765048" y="33528"/>
                                </a:lnTo>
                                <a:lnTo>
                                  <a:pt x="390144" y="15239"/>
                                </a:lnTo>
                                <a:lnTo>
                                  <a:pt x="12192" y="0"/>
                                </a:lnTo>
                                <a:close/>
                              </a:path>
                            </a:pathLst>
                          </a:custGeom>
                          <a:solidFill>
                            <a:srgbClr val="97B853"/>
                          </a:solidFill>
                        </wps:spPr>
                        <wps:bodyPr wrap="square" lIns="0" tIns="0" rIns="0" bIns="0" rtlCol="0">
                          <a:prstTxWarp prst="textNoShape">
                            <a:avLst/>
                          </a:prstTxWarp>
                          <a:noAutofit/>
                        </wps:bodyPr>
                      </wps:wsp>
                      <pic:pic>
                        <pic:nvPicPr>
                          <pic:cNvPr id="447" name="Image 447"/>
                          <pic:cNvPicPr/>
                        </pic:nvPicPr>
                        <pic:blipFill>
                          <a:blip r:embed="rId155" cstate="print"/>
                          <a:stretch>
                            <a:fillRect/>
                          </a:stretch>
                        </pic:blipFill>
                        <pic:spPr>
                          <a:xfrm>
                            <a:off x="362711" y="1944623"/>
                            <a:ext cx="97536" cy="97536"/>
                          </a:xfrm>
                          <a:prstGeom prst="rect">
                            <a:avLst/>
                          </a:prstGeom>
                        </pic:spPr>
                      </pic:pic>
                      <pic:pic>
                        <pic:nvPicPr>
                          <pic:cNvPr id="448" name="Image 448"/>
                          <pic:cNvPicPr/>
                        </pic:nvPicPr>
                        <pic:blipFill>
                          <a:blip r:embed="rId92" cstate="print"/>
                          <a:stretch>
                            <a:fillRect/>
                          </a:stretch>
                        </pic:blipFill>
                        <pic:spPr>
                          <a:xfrm>
                            <a:off x="1112519" y="1978151"/>
                            <a:ext cx="97536" cy="97536"/>
                          </a:xfrm>
                          <a:prstGeom prst="rect">
                            <a:avLst/>
                          </a:prstGeom>
                        </pic:spPr>
                      </pic:pic>
                      <pic:pic>
                        <pic:nvPicPr>
                          <pic:cNvPr id="449" name="Image 449"/>
                          <pic:cNvPicPr/>
                        </pic:nvPicPr>
                        <pic:blipFill>
                          <a:blip r:embed="rId156" cstate="print"/>
                          <a:stretch>
                            <a:fillRect/>
                          </a:stretch>
                        </pic:blipFill>
                        <pic:spPr>
                          <a:xfrm>
                            <a:off x="1862327" y="1999488"/>
                            <a:ext cx="100583" cy="94487"/>
                          </a:xfrm>
                          <a:prstGeom prst="rect">
                            <a:avLst/>
                          </a:prstGeom>
                        </pic:spPr>
                      </pic:pic>
                      <pic:pic>
                        <pic:nvPicPr>
                          <pic:cNvPr id="450" name="Image 450"/>
                          <pic:cNvPicPr/>
                        </pic:nvPicPr>
                        <pic:blipFill>
                          <a:blip r:embed="rId157" cstate="print"/>
                          <a:stretch>
                            <a:fillRect/>
                          </a:stretch>
                        </pic:blipFill>
                        <pic:spPr>
                          <a:xfrm>
                            <a:off x="2615183" y="2228088"/>
                            <a:ext cx="97536" cy="97536"/>
                          </a:xfrm>
                          <a:prstGeom prst="rect">
                            <a:avLst/>
                          </a:prstGeom>
                        </pic:spPr>
                      </pic:pic>
                      <pic:pic>
                        <pic:nvPicPr>
                          <pic:cNvPr id="451" name="Image 451"/>
                          <pic:cNvPicPr/>
                        </pic:nvPicPr>
                        <pic:blipFill>
                          <a:blip r:embed="rId158" cstate="print"/>
                          <a:stretch>
                            <a:fillRect/>
                          </a:stretch>
                        </pic:blipFill>
                        <pic:spPr>
                          <a:xfrm>
                            <a:off x="3364991" y="2292095"/>
                            <a:ext cx="97536" cy="94487"/>
                          </a:xfrm>
                          <a:prstGeom prst="rect">
                            <a:avLst/>
                          </a:prstGeom>
                        </pic:spPr>
                      </pic:pic>
                      <wps:wsp>
                        <wps:cNvPr id="452" name="Graphic 452"/>
                        <wps:cNvSpPr/>
                        <wps:spPr>
                          <a:xfrm>
                            <a:off x="3779520" y="1905000"/>
                            <a:ext cx="256540" cy="24765"/>
                          </a:xfrm>
                          <a:custGeom>
                            <a:avLst/>
                            <a:gdLst/>
                            <a:ahLst/>
                            <a:cxnLst/>
                            <a:rect l="l" t="t" r="r" b="b"/>
                            <a:pathLst>
                              <a:path w="256540" h="24765">
                                <a:moveTo>
                                  <a:pt x="249936" y="0"/>
                                </a:moveTo>
                                <a:lnTo>
                                  <a:pt x="15239" y="0"/>
                                </a:lnTo>
                                <a:lnTo>
                                  <a:pt x="6096" y="0"/>
                                </a:lnTo>
                                <a:lnTo>
                                  <a:pt x="0" y="6096"/>
                                </a:lnTo>
                                <a:lnTo>
                                  <a:pt x="0" y="21336"/>
                                </a:lnTo>
                                <a:lnTo>
                                  <a:pt x="6096" y="24384"/>
                                </a:lnTo>
                                <a:lnTo>
                                  <a:pt x="249936" y="24384"/>
                                </a:lnTo>
                                <a:lnTo>
                                  <a:pt x="256032" y="21336"/>
                                </a:lnTo>
                                <a:lnTo>
                                  <a:pt x="256032" y="6096"/>
                                </a:lnTo>
                                <a:lnTo>
                                  <a:pt x="249936" y="0"/>
                                </a:lnTo>
                                <a:close/>
                              </a:path>
                            </a:pathLst>
                          </a:custGeom>
                          <a:solidFill>
                            <a:srgbClr val="497DBA"/>
                          </a:solidFill>
                        </wps:spPr>
                        <wps:bodyPr wrap="square" lIns="0" tIns="0" rIns="0" bIns="0" rtlCol="0">
                          <a:prstTxWarp prst="textNoShape">
                            <a:avLst/>
                          </a:prstTxWarp>
                          <a:noAutofit/>
                        </wps:bodyPr>
                      </wps:wsp>
                      <pic:pic>
                        <pic:nvPicPr>
                          <pic:cNvPr id="453" name="Image 453"/>
                          <pic:cNvPicPr/>
                        </pic:nvPicPr>
                        <pic:blipFill>
                          <a:blip r:embed="rId159" cstate="print"/>
                          <a:stretch>
                            <a:fillRect/>
                          </a:stretch>
                        </pic:blipFill>
                        <pic:spPr>
                          <a:xfrm>
                            <a:off x="3867911" y="1880616"/>
                            <a:ext cx="79248" cy="76200"/>
                          </a:xfrm>
                          <a:prstGeom prst="rect">
                            <a:avLst/>
                          </a:prstGeom>
                        </pic:spPr>
                      </pic:pic>
                      <wps:wsp>
                        <wps:cNvPr id="454" name="Graphic 454"/>
                        <wps:cNvSpPr/>
                        <wps:spPr>
                          <a:xfrm>
                            <a:off x="3779520" y="2121407"/>
                            <a:ext cx="256540" cy="27940"/>
                          </a:xfrm>
                          <a:custGeom>
                            <a:avLst/>
                            <a:gdLst/>
                            <a:ahLst/>
                            <a:cxnLst/>
                            <a:rect l="l" t="t" r="r" b="b"/>
                            <a:pathLst>
                              <a:path w="256540" h="27940">
                                <a:moveTo>
                                  <a:pt x="249936" y="0"/>
                                </a:moveTo>
                                <a:lnTo>
                                  <a:pt x="15239" y="0"/>
                                </a:lnTo>
                                <a:lnTo>
                                  <a:pt x="6096" y="0"/>
                                </a:lnTo>
                                <a:lnTo>
                                  <a:pt x="0" y="6096"/>
                                </a:lnTo>
                                <a:lnTo>
                                  <a:pt x="0" y="21336"/>
                                </a:lnTo>
                                <a:lnTo>
                                  <a:pt x="6096" y="27431"/>
                                </a:lnTo>
                                <a:lnTo>
                                  <a:pt x="249936" y="27431"/>
                                </a:lnTo>
                                <a:lnTo>
                                  <a:pt x="256032" y="21336"/>
                                </a:lnTo>
                                <a:lnTo>
                                  <a:pt x="256032" y="6096"/>
                                </a:lnTo>
                                <a:lnTo>
                                  <a:pt x="249936" y="0"/>
                                </a:lnTo>
                                <a:close/>
                              </a:path>
                            </a:pathLst>
                          </a:custGeom>
                          <a:solidFill>
                            <a:srgbClr val="BD4A47"/>
                          </a:solidFill>
                        </wps:spPr>
                        <wps:bodyPr wrap="square" lIns="0" tIns="0" rIns="0" bIns="0" rtlCol="0">
                          <a:prstTxWarp prst="textNoShape">
                            <a:avLst/>
                          </a:prstTxWarp>
                          <a:noAutofit/>
                        </wps:bodyPr>
                      </wps:wsp>
                      <wps:wsp>
                        <wps:cNvPr id="455" name="Graphic 455"/>
                        <wps:cNvSpPr/>
                        <wps:spPr>
                          <a:xfrm>
                            <a:off x="3870959" y="2097023"/>
                            <a:ext cx="70485" cy="73660"/>
                          </a:xfrm>
                          <a:custGeom>
                            <a:avLst/>
                            <a:gdLst/>
                            <a:ahLst/>
                            <a:cxnLst/>
                            <a:rect l="l" t="t" r="r" b="b"/>
                            <a:pathLst>
                              <a:path w="70485" h="73660">
                                <a:moveTo>
                                  <a:pt x="70103" y="0"/>
                                </a:moveTo>
                                <a:lnTo>
                                  <a:pt x="0" y="0"/>
                                </a:lnTo>
                                <a:lnTo>
                                  <a:pt x="0" y="73151"/>
                                </a:lnTo>
                                <a:lnTo>
                                  <a:pt x="70103" y="73151"/>
                                </a:lnTo>
                                <a:lnTo>
                                  <a:pt x="70103" y="0"/>
                                </a:lnTo>
                                <a:close/>
                              </a:path>
                            </a:pathLst>
                          </a:custGeom>
                          <a:solidFill>
                            <a:srgbClr val="BF4F4C"/>
                          </a:solidFill>
                        </wps:spPr>
                        <wps:bodyPr wrap="square" lIns="0" tIns="0" rIns="0" bIns="0" rtlCol="0">
                          <a:prstTxWarp prst="textNoShape">
                            <a:avLst/>
                          </a:prstTxWarp>
                          <a:noAutofit/>
                        </wps:bodyPr>
                      </wps:wsp>
                      <wps:wsp>
                        <wps:cNvPr id="456" name="Graphic 456"/>
                        <wps:cNvSpPr/>
                        <wps:spPr>
                          <a:xfrm>
                            <a:off x="3867911" y="2093976"/>
                            <a:ext cx="79375" cy="79375"/>
                          </a:xfrm>
                          <a:custGeom>
                            <a:avLst/>
                            <a:gdLst/>
                            <a:ahLst/>
                            <a:cxnLst/>
                            <a:rect l="l" t="t" r="r" b="b"/>
                            <a:pathLst>
                              <a:path w="79375" h="79375">
                                <a:moveTo>
                                  <a:pt x="73152" y="0"/>
                                </a:moveTo>
                                <a:lnTo>
                                  <a:pt x="3048" y="0"/>
                                </a:lnTo>
                                <a:lnTo>
                                  <a:pt x="0" y="6096"/>
                                </a:lnTo>
                                <a:lnTo>
                                  <a:pt x="0" y="76200"/>
                                </a:lnTo>
                                <a:lnTo>
                                  <a:pt x="3048" y="79248"/>
                                </a:lnTo>
                                <a:lnTo>
                                  <a:pt x="73152" y="79248"/>
                                </a:lnTo>
                                <a:lnTo>
                                  <a:pt x="79248" y="76200"/>
                                </a:lnTo>
                                <a:lnTo>
                                  <a:pt x="6096" y="76200"/>
                                </a:lnTo>
                                <a:lnTo>
                                  <a:pt x="3048" y="73152"/>
                                </a:lnTo>
                                <a:lnTo>
                                  <a:pt x="6096" y="73152"/>
                                </a:lnTo>
                                <a:lnTo>
                                  <a:pt x="6096" y="9144"/>
                                </a:lnTo>
                                <a:lnTo>
                                  <a:pt x="3048" y="9144"/>
                                </a:lnTo>
                                <a:lnTo>
                                  <a:pt x="6096" y="6096"/>
                                </a:lnTo>
                                <a:lnTo>
                                  <a:pt x="79248" y="6096"/>
                                </a:lnTo>
                                <a:lnTo>
                                  <a:pt x="73152" y="0"/>
                                </a:lnTo>
                                <a:close/>
                              </a:path>
                              <a:path w="79375" h="79375">
                                <a:moveTo>
                                  <a:pt x="6096" y="73152"/>
                                </a:moveTo>
                                <a:lnTo>
                                  <a:pt x="3048" y="73152"/>
                                </a:lnTo>
                                <a:lnTo>
                                  <a:pt x="6096" y="76200"/>
                                </a:lnTo>
                                <a:lnTo>
                                  <a:pt x="6096" y="73152"/>
                                </a:lnTo>
                                <a:close/>
                              </a:path>
                              <a:path w="79375" h="79375">
                                <a:moveTo>
                                  <a:pt x="70104" y="73152"/>
                                </a:moveTo>
                                <a:lnTo>
                                  <a:pt x="6096" y="73152"/>
                                </a:lnTo>
                                <a:lnTo>
                                  <a:pt x="6096" y="76200"/>
                                </a:lnTo>
                                <a:lnTo>
                                  <a:pt x="70104" y="76200"/>
                                </a:lnTo>
                                <a:lnTo>
                                  <a:pt x="70104" y="73152"/>
                                </a:lnTo>
                                <a:close/>
                              </a:path>
                              <a:path w="79375" h="79375">
                                <a:moveTo>
                                  <a:pt x="70104" y="6096"/>
                                </a:moveTo>
                                <a:lnTo>
                                  <a:pt x="70104" y="76200"/>
                                </a:lnTo>
                                <a:lnTo>
                                  <a:pt x="73152" y="73152"/>
                                </a:lnTo>
                                <a:lnTo>
                                  <a:pt x="79248" y="73152"/>
                                </a:lnTo>
                                <a:lnTo>
                                  <a:pt x="79248" y="9144"/>
                                </a:lnTo>
                                <a:lnTo>
                                  <a:pt x="73152" y="9144"/>
                                </a:lnTo>
                                <a:lnTo>
                                  <a:pt x="70104" y="6096"/>
                                </a:lnTo>
                                <a:close/>
                              </a:path>
                              <a:path w="79375" h="79375">
                                <a:moveTo>
                                  <a:pt x="79248" y="73152"/>
                                </a:moveTo>
                                <a:lnTo>
                                  <a:pt x="73152" y="73152"/>
                                </a:lnTo>
                                <a:lnTo>
                                  <a:pt x="70104" y="76200"/>
                                </a:lnTo>
                                <a:lnTo>
                                  <a:pt x="79248" y="76200"/>
                                </a:lnTo>
                                <a:lnTo>
                                  <a:pt x="79248" y="73152"/>
                                </a:lnTo>
                                <a:close/>
                              </a:path>
                              <a:path w="79375" h="79375">
                                <a:moveTo>
                                  <a:pt x="6096" y="6096"/>
                                </a:moveTo>
                                <a:lnTo>
                                  <a:pt x="3048" y="9144"/>
                                </a:lnTo>
                                <a:lnTo>
                                  <a:pt x="6096" y="9144"/>
                                </a:lnTo>
                                <a:lnTo>
                                  <a:pt x="6096" y="6096"/>
                                </a:lnTo>
                                <a:close/>
                              </a:path>
                              <a:path w="79375" h="79375">
                                <a:moveTo>
                                  <a:pt x="70104" y="6096"/>
                                </a:moveTo>
                                <a:lnTo>
                                  <a:pt x="6096" y="6096"/>
                                </a:lnTo>
                                <a:lnTo>
                                  <a:pt x="6096" y="9144"/>
                                </a:lnTo>
                                <a:lnTo>
                                  <a:pt x="70104" y="9144"/>
                                </a:lnTo>
                                <a:lnTo>
                                  <a:pt x="70104" y="6096"/>
                                </a:lnTo>
                                <a:close/>
                              </a:path>
                              <a:path w="79375" h="79375">
                                <a:moveTo>
                                  <a:pt x="79248" y="6096"/>
                                </a:moveTo>
                                <a:lnTo>
                                  <a:pt x="70104" y="6096"/>
                                </a:lnTo>
                                <a:lnTo>
                                  <a:pt x="73152" y="9144"/>
                                </a:lnTo>
                                <a:lnTo>
                                  <a:pt x="79248" y="9144"/>
                                </a:lnTo>
                                <a:lnTo>
                                  <a:pt x="79248" y="6096"/>
                                </a:lnTo>
                                <a:close/>
                              </a:path>
                            </a:pathLst>
                          </a:custGeom>
                          <a:solidFill>
                            <a:srgbClr val="BD4A47"/>
                          </a:solidFill>
                        </wps:spPr>
                        <wps:bodyPr wrap="square" lIns="0" tIns="0" rIns="0" bIns="0" rtlCol="0">
                          <a:prstTxWarp prst="textNoShape">
                            <a:avLst/>
                          </a:prstTxWarp>
                          <a:noAutofit/>
                        </wps:bodyPr>
                      </wps:wsp>
                      <wps:wsp>
                        <wps:cNvPr id="457" name="Graphic 457"/>
                        <wps:cNvSpPr/>
                        <wps:spPr>
                          <a:xfrm>
                            <a:off x="3779520" y="2337816"/>
                            <a:ext cx="256540" cy="24765"/>
                          </a:xfrm>
                          <a:custGeom>
                            <a:avLst/>
                            <a:gdLst/>
                            <a:ahLst/>
                            <a:cxnLst/>
                            <a:rect l="l" t="t" r="r" b="b"/>
                            <a:pathLst>
                              <a:path w="256540" h="24765">
                                <a:moveTo>
                                  <a:pt x="249936" y="0"/>
                                </a:moveTo>
                                <a:lnTo>
                                  <a:pt x="15239" y="0"/>
                                </a:lnTo>
                                <a:lnTo>
                                  <a:pt x="6096" y="0"/>
                                </a:lnTo>
                                <a:lnTo>
                                  <a:pt x="0" y="6095"/>
                                </a:lnTo>
                                <a:lnTo>
                                  <a:pt x="0" y="21335"/>
                                </a:lnTo>
                                <a:lnTo>
                                  <a:pt x="6096" y="24383"/>
                                </a:lnTo>
                                <a:lnTo>
                                  <a:pt x="249936" y="24383"/>
                                </a:lnTo>
                                <a:lnTo>
                                  <a:pt x="256032" y="21335"/>
                                </a:lnTo>
                                <a:lnTo>
                                  <a:pt x="256032" y="6095"/>
                                </a:lnTo>
                                <a:lnTo>
                                  <a:pt x="249936" y="0"/>
                                </a:lnTo>
                                <a:close/>
                              </a:path>
                            </a:pathLst>
                          </a:custGeom>
                          <a:solidFill>
                            <a:srgbClr val="97B853"/>
                          </a:solidFill>
                        </wps:spPr>
                        <wps:bodyPr wrap="square" lIns="0" tIns="0" rIns="0" bIns="0" rtlCol="0">
                          <a:prstTxWarp prst="textNoShape">
                            <a:avLst/>
                          </a:prstTxWarp>
                          <a:noAutofit/>
                        </wps:bodyPr>
                      </wps:wsp>
                      <pic:pic>
                        <pic:nvPicPr>
                          <pic:cNvPr id="458" name="Image 458"/>
                          <pic:cNvPicPr/>
                        </pic:nvPicPr>
                        <pic:blipFill>
                          <a:blip r:embed="rId160" cstate="print"/>
                          <a:stretch>
                            <a:fillRect/>
                          </a:stretch>
                        </pic:blipFill>
                        <pic:spPr>
                          <a:xfrm>
                            <a:off x="3867911" y="2310383"/>
                            <a:ext cx="79248" cy="79248"/>
                          </a:xfrm>
                          <a:prstGeom prst="rect">
                            <a:avLst/>
                          </a:prstGeom>
                        </pic:spPr>
                      </pic:pic>
                    </wpg:wgp>
                  </a:graphicData>
                </a:graphic>
              </wp:anchor>
            </w:drawing>
          </mc:Choice>
          <mc:Fallback>
            <w:pict>
              <v:group style="position:absolute;margin-left:162.720001pt;margin-top:5.959639pt;width:317.8pt;height:299.3pt;mso-position-horizontal-relative:page;mso-position-vertical-relative:paragraph;z-index:-21291008" id="docshapegroup428" coordorigin="3254,119" coordsize="6356,5986">
                <v:shape style="position:absolute;left:3254;top:119;width:5976;height:5986" id="docshape429" coordorigin="3254,119" coordsize="5976,5986" path="m9230,6047l9226,6047,9226,6038,3322,6038,3322,124,3312,124,3312,119,3254,119,3254,134,3307,134,3307,777,3254,777,3254,791,3307,791,3307,1434,3254,1434,3254,1449,3307,1449,3307,2092,3254,2092,3254,2106,3307,2106,3307,2750,3254,2750,3254,2764,3307,2764,3307,3412,3254,3412,3254,3422,3307,3422,3307,4065,3254,4065,3254,4079,3307,4079,3307,4722,3254,4722,3254,4737,3307,4737,3307,5380,3254,5380,3254,5394,3307,5394,3307,6042,3254,6042,3254,6052,3302,6052,3302,6105,3317,6105,3317,6052,4488,6052,4488,6105,4498,6105,4498,6052,5669,6052,5669,6105,5683,6105,5683,6052,6850,6052,6850,6105,6864,6105,6864,6052,8030,6052,8030,6105,8045,6105,8045,6052,9221,6052,9221,6105,9230,6105,9230,6047xe" filled="true" fillcolor="#858585" stroked="false">
                  <v:path arrowok="t"/>
                  <v:fill type="solid"/>
                </v:shape>
                <v:shape style="position:absolute;left:3825;top:541;width:4882;height:1354" type="#_x0000_t75" id="docshape430" stroked="false">
                  <v:imagedata r:id="rId154" o:title=""/>
                </v:shape>
                <v:shape style="position:absolute;left:3883;top:3239;width:4772;height:586" id="docshape431" coordorigin="3883,3239" coordsize="4772,586" path="m3902,3239l3893,3239,3883,3244,3883,3268,3893,3278,3902,3278,4790,3321,5232,3335,5381,3330,5530,3330,5678,3326,5822,3326,5971,3330,6043,3335,6120,3345,6264,3364,6336,3378,6413,3393,6485,3412,6557,3436,6634,3460,6706,3484,6854,3537,6998,3594,7147,3642,7224,3666,7296,3690,7373,3710,7445,3724,7522,3738,7594,3748,7742,3767,7891,3782,8189,3801,8338,3806,8630,3825,8645,3825,8654,3815,8654,3796,8645,3782,8635,3782,8338,3762,8189,3758,8045,3748,7896,3743,7747,3729,7603,3710,7526,3700,7382,3671,7310,3652,7234,3628,7162,3604,7013,3556,6864,3498,6720,3446,6643,3422,6571,3398,6494,3374,6422,3354,6346,3335,6269,3321,6197,3311,6120,3302,5971,3292,5822,3287,5530,3287,5381,3292,5088,3292,4498,3263,3902,3239xe" filled="true" fillcolor="#97b853" stroked="false">
                  <v:path arrowok="t"/>
                  <v:fill type="solid"/>
                </v:shape>
                <v:shape style="position:absolute;left:3825;top:3181;width:154;height:154" type="#_x0000_t75" id="docshape432" stroked="false">
                  <v:imagedata r:id="rId155" o:title=""/>
                </v:shape>
                <v:shape style="position:absolute;left:5006;top:3234;width:154;height:154" type="#_x0000_t75" id="docshape433" stroked="false">
                  <v:imagedata r:id="rId92" o:title=""/>
                </v:shape>
                <v:shape style="position:absolute;left:6187;top:3268;width:159;height:149" type="#_x0000_t75" id="docshape434" stroked="false">
                  <v:imagedata r:id="rId156" o:title=""/>
                </v:shape>
                <v:shape style="position:absolute;left:7372;top:3628;width:154;height:154" type="#_x0000_t75" id="docshape435" stroked="false">
                  <v:imagedata r:id="rId157" o:title=""/>
                </v:shape>
                <v:shape style="position:absolute;left:8553;top:3728;width:154;height:149" type="#_x0000_t75" id="docshape436" stroked="false">
                  <v:imagedata r:id="rId158" o:title=""/>
                </v:shape>
                <v:shape style="position:absolute;left:9206;top:3119;width:404;height:39" id="docshape437" coordorigin="9206,3119" coordsize="404,39" path="m9600,3119l9230,3119,9216,3119,9206,3129,9206,3153,9216,3158,9600,3158,9610,3153,9610,3129,9600,3119xe" filled="true" fillcolor="#497dba" stroked="false">
                  <v:path arrowok="t"/>
                  <v:fill type="solid"/>
                </v:shape>
                <v:shape style="position:absolute;left:9345;top:3080;width:125;height:120" type="#_x0000_t75" id="docshape438" stroked="false">
                  <v:imagedata r:id="rId159" o:title=""/>
                </v:shape>
                <v:shape style="position:absolute;left:9206;top:3460;width:404;height:44" id="docshape439" coordorigin="9206,3460" coordsize="404,44" path="m9600,3460l9230,3460,9216,3460,9206,3470,9206,3494,9216,3503,9600,3503,9610,3494,9610,3470,9600,3460xe" filled="true" fillcolor="#bd4a47" stroked="false">
                  <v:path arrowok="t"/>
                  <v:fill type="solid"/>
                </v:shape>
                <v:rect style="position:absolute;left:9350;top:3421;width:111;height:116" id="docshape440" filled="true" fillcolor="#bf4f4c" stroked="false">
                  <v:fill type="solid"/>
                </v:rect>
                <v:shape style="position:absolute;left:9345;top:3416;width:125;height:125" id="docshape441" coordorigin="9346,3417" coordsize="125,125" path="m9461,3417l9350,3417,9346,3426,9346,3537,9350,3542,9461,3542,9470,3537,9355,3537,9350,3532,9355,3532,9355,3431,9350,3431,9355,3426,9470,3426,9461,3417xm9355,3532l9350,3532,9355,3537,9355,3532xm9456,3532l9355,3532,9355,3537,9456,3537,9456,3532xm9456,3426l9456,3537,9461,3532,9470,3532,9470,3431,9461,3431,9456,3426xm9470,3532l9461,3532,9456,3537,9470,3537,9470,3532xm9355,3426l9350,3431,9355,3431,9355,3426xm9456,3426l9355,3426,9355,3431,9456,3431,9456,3426xm9470,3426l9456,3426,9461,3431,9470,3431,9470,3426xe" filled="true" fillcolor="#bd4a47" stroked="false">
                  <v:path arrowok="t"/>
                  <v:fill type="solid"/>
                </v:shape>
                <v:shape style="position:absolute;left:9206;top:3800;width:404;height:39" id="docshape442" coordorigin="9206,3801" coordsize="404,39" path="m9600,3801l9230,3801,9216,3801,9206,3810,9206,3834,9216,3839,9600,3839,9610,3834,9610,3810,9600,3801xe" filled="true" fillcolor="#97b853" stroked="false">
                  <v:path arrowok="t"/>
                  <v:fill type="solid"/>
                </v:shape>
                <v:shape style="position:absolute;left:9345;top:3757;width:125;height:125" type="#_x0000_t75" id="docshape443" stroked="false">
                  <v:imagedata r:id="rId160" o:title=""/>
                </v:shape>
                <w10:wrap type="none"/>
              </v:group>
            </w:pict>
          </mc:Fallback>
        </mc:AlternateContent>
      </w:r>
      <w:r>
        <w:rPr>
          <w:rFonts w:ascii="Calibri"/>
          <w:spacing w:val="-10"/>
          <w:sz w:val="19"/>
        </w:rPr>
        <w:t>9</w:t>
      </w:r>
    </w:p>
    <w:p>
      <w:pPr>
        <w:pStyle w:val="BodyText"/>
        <w:spacing w:before="199"/>
        <w:rPr>
          <w:rFonts w:ascii="Calibri"/>
          <w:sz w:val="19"/>
        </w:rPr>
      </w:pPr>
    </w:p>
    <w:p>
      <w:pPr>
        <w:spacing w:before="0"/>
        <w:ind w:left="1318" w:right="0" w:firstLine="0"/>
        <w:jc w:val="left"/>
        <w:rPr>
          <w:rFonts w:ascii="Calibri"/>
          <w:sz w:val="19"/>
        </w:rPr>
      </w:pPr>
      <w:r>
        <w:rPr>
          <w:rFonts w:ascii="Calibri"/>
          <w:spacing w:val="-10"/>
          <w:sz w:val="19"/>
        </w:rPr>
        <w:t>8</w:t>
      </w:r>
    </w:p>
    <w:p>
      <w:pPr>
        <w:pStyle w:val="BodyText"/>
        <w:spacing w:before="193"/>
        <w:rPr>
          <w:rFonts w:ascii="Calibri"/>
          <w:sz w:val="19"/>
        </w:rPr>
      </w:pPr>
    </w:p>
    <w:p>
      <w:pPr>
        <w:spacing w:before="1"/>
        <w:ind w:left="1318" w:right="0" w:firstLine="0"/>
        <w:jc w:val="left"/>
        <w:rPr>
          <w:rFonts w:ascii="Calibri"/>
          <w:sz w:val="19"/>
        </w:rPr>
      </w:pPr>
      <w:r>
        <w:rPr>
          <w:rFonts w:ascii="Calibri"/>
          <w:spacing w:val="-10"/>
          <w:sz w:val="19"/>
        </w:rPr>
        <w:t>7</w:t>
      </w:r>
    </w:p>
    <w:p>
      <w:pPr>
        <w:pStyle w:val="BodyText"/>
        <w:spacing w:before="193"/>
        <w:rPr>
          <w:rFonts w:ascii="Calibri"/>
          <w:sz w:val="19"/>
        </w:rPr>
      </w:pPr>
    </w:p>
    <w:p>
      <w:pPr>
        <w:spacing w:before="0"/>
        <w:ind w:left="1318" w:right="0" w:firstLine="0"/>
        <w:jc w:val="left"/>
        <w:rPr>
          <w:rFonts w:ascii="Calibri"/>
          <w:sz w:val="19"/>
        </w:rPr>
      </w:pPr>
      <w:r>
        <w:rPr/>
        <mc:AlternateContent>
          <mc:Choice Requires="wps">
            <w:drawing>
              <wp:anchor distT="0" distB="0" distL="0" distR="0" allowOverlap="1" layoutInCell="1" locked="0" behindDoc="0" simplePos="0" relativeHeight="15775232">
                <wp:simplePos x="0" y="0"/>
                <wp:positionH relativeFrom="page">
                  <wp:posOffset>1759377</wp:posOffset>
                </wp:positionH>
                <wp:positionV relativeFrom="paragraph">
                  <wp:posOffset>68333</wp:posOffset>
                </wp:positionV>
                <wp:extent cx="146050" cy="127635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46050" cy="127635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Disintegration</w:t>
                            </w:r>
                            <w:r>
                              <w:rPr>
                                <w:rFonts w:ascii="Calibri"/>
                                <w:b/>
                                <w:spacing w:val="-9"/>
                                <w:sz w:val="19"/>
                              </w:rPr>
                              <w:t> </w:t>
                            </w:r>
                            <w:r>
                              <w:rPr>
                                <w:rFonts w:ascii="Calibri"/>
                                <w:b/>
                                <w:spacing w:val="-2"/>
                                <w:sz w:val="19"/>
                              </w:rPr>
                              <w:t>time</w:t>
                            </w:r>
                            <w:r>
                              <w:rPr>
                                <w:rFonts w:ascii="Calibri"/>
                                <w:b/>
                                <w:spacing w:val="7"/>
                                <w:sz w:val="19"/>
                              </w:rPr>
                              <w:t> </w:t>
                            </w:r>
                            <w:r>
                              <w:rPr>
                                <w:rFonts w:ascii="Calibri"/>
                                <w:b/>
                                <w:spacing w:val="-4"/>
                                <w:sz w:val="19"/>
                              </w:rPr>
                              <w:t>(min)</w:t>
                            </w:r>
                          </w:p>
                        </w:txbxContent>
                      </wps:txbx>
                      <wps:bodyPr wrap="square" lIns="0" tIns="0" rIns="0" bIns="0" rtlCol="0" vert="vert270">
                        <a:noAutofit/>
                      </wps:bodyPr>
                    </wps:wsp>
                  </a:graphicData>
                </a:graphic>
              </wp:anchor>
            </w:drawing>
          </mc:Choice>
          <mc:Fallback>
            <w:pict>
              <v:shape style="position:absolute;margin-left:138.533676pt;margin-top:5.380621pt;width:11.5pt;height:100.5pt;mso-position-horizontal-relative:page;mso-position-vertical-relative:paragraph;z-index:15775232" type="#_x0000_t202" id="docshape444"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Disintegration</w:t>
                      </w:r>
                      <w:r>
                        <w:rPr>
                          <w:rFonts w:ascii="Calibri"/>
                          <w:b/>
                          <w:spacing w:val="-9"/>
                          <w:sz w:val="19"/>
                        </w:rPr>
                        <w:t> </w:t>
                      </w:r>
                      <w:r>
                        <w:rPr>
                          <w:rFonts w:ascii="Calibri"/>
                          <w:b/>
                          <w:spacing w:val="-2"/>
                          <w:sz w:val="19"/>
                        </w:rPr>
                        <w:t>time</w:t>
                      </w:r>
                      <w:r>
                        <w:rPr>
                          <w:rFonts w:ascii="Calibri"/>
                          <w:b/>
                          <w:spacing w:val="7"/>
                          <w:sz w:val="19"/>
                        </w:rPr>
                        <w:t> </w:t>
                      </w:r>
                      <w:r>
                        <w:rPr>
                          <w:rFonts w:ascii="Calibri"/>
                          <w:b/>
                          <w:spacing w:val="-4"/>
                          <w:sz w:val="19"/>
                        </w:rPr>
                        <w:t>(min)</w:t>
                      </w:r>
                    </w:p>
                  </w:txbxContent>
                </v:textbox>
                <w10:wrap type="none"/>
              </v:shape>
            </w:pict>
          </mc:Fallback>
        </mc:AlternateContent>
      </w:r>
      <w:r>
        <w:rPr>
          <w:rFonts w:ascii="Calibri"/>
          <w:spacing w:val="-10"/>
          <w:sz w:val="19"/>
        </w:rPr>
        <w:t>6</w:t>
      </w:r>
    </w:p>
    <w:p>
      <w:pPr>
        <w:pStyle w:val="BodyText"/>
        <w:spacing w:before="194"/>
        <w:rPr>
          <w:rFonts w:ascii="Calibri"/>
          <w:sz w:val="19"/>
        </w:rPr>
      </w:pPr>
    </w:p>
    <w:p>
      <w:pPr>
        <w:spacing w:before="0"/>
        <w:ind w:left="1318" w:right="0" w:firstLine="0"/>
        <w:jc w:val="left"/>
        <w:rPr>
          <w:rFonts w:ascii="Calibri"/>
          <w:sz w:val="19"/>
        </w:rPr>
      </w:pPr>
      <w:r>
        <w:rPr>
          <w:rFonts w:ascii="Calibri"/>
          <w:spacing w:val="-10"/>
          <w:sz w:val="19"/>
        </w:rPr>
        <w:t>5</w:t>
      </w:r>
    </w:p>
    <w:p>
      <w:pPr>
        <w:spacing w:before="152"/>
        <w:ind w:left="7904" w:right="0" w:firstLine="0"/>
        <w:jc w:val="left"/>
        <w:rPr>
          <w:rFonts w:ascii="Calibri"/>
          <w:sz w:val="19"/>
        </w:rPr>
      </w:pPr>
      <w:r>
        <w:rPr>
          <w:rFonts w:ascii="Calibri"/>
          <w:spacing w:val="-5"/>
          <w:sz w:val="19"/>
        </w:rPr>
        <w:t>DS</w:t>
      </w:r>
    </w:p>
    <w:p>
      <w:pPr>
        <w:tabs>
          <w:tab w:pos="7903" w:val="left" w:leader="none"/>
        </w:tabs>
        <w:spacing w:before="44"/>
        <w:ind w:left="1318" w:right="0" w:firstLine="0"/>
        <w:jc w:val="left"/>
        <w:rPr>
          <w:rFonts w:ascii="Calibri"/>
          <w:sz w:val="19"/>
        </w:rPr>
      </w:pPr>
      <w:r>
        <w:rPr>
          <w:rFonts w:ascii="Calibri"/>
          <w:spacing w:val="-10"/>
          <w:position w:val="6"/>
          <w:sz w:val="19"/>
        </w:rPr>
        <w:t>4</w:t>
      </w:r>
      <w:r>
        <w:rPr>
          <w:rFonts w:ascii="Calibri"/>
          <w:position w:val="6"/>
          <w:sz w:val="19"/>
        </w:rPr>
        <w:tab/>
      </w:r>
      <w:r>
        <w:rPr>
          <w:rFonts w:ascii="Calibri"/>
          <w:spacing w:val="-5"/>
          <w:sz w:val="19"/>
        </w:rPr>
        <w:t>MCS</w:t>
      </w:r>
    </w:p>
    <w:p>
      <w:pPr>
        <w:spacing w:before="109"/>
        <w:ind w:left="7904" w:right="0" w:firstLine="0"/>
        <w:jc w:val="left"/>
        <w:rPr>
          <w:rFonts w:ascii="Calibri"/>
          <w:sz w:val="19"/>
        </w:rPr>
      </w:pPr>
      <w:r>
        <w:rPr>
          <w:rFonts w:ascii="Calibri"/>
          <w:spacing w:val="-5"/>
          <w:sz w:val="19"/>
        </w:rPr>
        <w:t>MS</w:t>
      </w:r>
    </w:p>
    <w:p>
      <w:pPr>
        <w:spacing w:before="23"/>
        <w:ind w:left="1318" w:right="0" w:firstLine="0"/>
        <w:jc w:val="left"/>
        <w:rPr>
          <w:rFonts w:ascii="Calibri"/>
          <w:sz w:val="19"/>
        </w:rPr>
      </w:pPr>
      <w:r>
        <w:rPr>
          <w:rFonts w:ascii="Calibri"/>
          <w:spacing w:val="-10"/>
          <w:sz w:val="19"/>
        </w:rPr>
        <w:t>3</w:t>
      </w:r>
    </w:p>
    <w:p>
      <w:pPr>
        <w:pStyle w:val="BodyText"/>
        <w:spacing w:before="193"/>
        <w:rPr>
          <w:rFonts w:ascii="Calibri"/>
          <w:sz w:val="19"/>
        </w:rPr>
      </w:pPr>
    </w:p>
    <w:p>
      <w:pPr>
        <w:spacing w:before="0"/>
        <w:ind w:left="1318" w:right="0" w:firstLine="0"/>
        <w:jc w:val="left"/>
        <w:rPr>
          <w:rFonts w:ascii="Calibri"/>
          <w:sz w:val="19"/>
        </w:rPr>
      </w:pPr>
      <w:r>
        <w:rPr>
          <w:rFonts w:ascii="Calibri"/>
          <w:spacing w:val="-10"/>
          <w:sz w:val="19"/>
        </w:rPr>
        <w:t>2</w:t>
      </w:r>
    </w:p>
    <w:p>
      <w:pPr>
        <w:pStyle w:val="BodyText"/>
        <w:spacing w:before="194"/>
        <w:rPr>
          <w:rFonts w:ascii="Calibri"/>
          <w:sz w:val="19"/>
        </w:rPr>
      </w:pPr>
    </w:p>
    <w:p>
      <w:pPr>
        <w:spacing w:before="0"/>
        <w:ind w:left="1318" w:right="0" w:firstLine="0"/>
        <w:jc w:val="left"/>
        <w:rPr>
          <w:rFonts w:ascii="Calibri"/>
          <w:sz w:val="19"/>
        </w:rPr>
      </w:pPr>
      <w:r>
        <w:rPr>
          <w:rFonts w:ascii="Calibri"/>
          <w:spacing w:val="-10"/>
          <w:sz w:val="19"/>
        </w:rPr>
        <w:t>1</w:t>
      </w:r>
    </w:p>
    <w:p>
      <w:pPr>
        <w:pStyle w:val="BodyText"/>
        <w:spacing w:before="194"/>
        <w:rPr>
          <w:rFonts w:ascii="Calibri"/>
          <w:sz w:val="19"/>
        </w:rPr>
      </w:pPr>
    </w:p>
    <w:p>
      <w:pPr>
        <w:spacing w:before="0"/>
        <w:ind w:left="1318" w:right="0" w:firstLine="0"/>
        <w:jc w:val="left"/>
        <w:rPr>
          <w:rFonts w:ascii="Calibri"/>
          <w:sz w:val="19"/>
        </w:rPr>
      </w:pPr>
      <w:r>
        <w:rPr>
          <w:rFonts w:ascii="Calibri"/>
          <w:spacing w:val="-10"/>
          <w:sz w:val="19"/>
        </w:rPr>
        <w:t>0</w:t>
      </w:r>
    </w:p>
    <w:p>
      <w:pPr>
        <w:tabs>
          <w:tab w:pos="3315" w:val="left" w:leader="none"/>
          <w:tab w:pos="4428" w:val="left" w:leader="none"/>
          <w:tab w:pos="5633" w:val="left" w:leader="none"/>
          <w:tab w:pos="6742" w:val="left" w:leader="none"/>
        </w:tabs>
        <w:spacing w:before="13"/>
        <w:ind w:left="2062"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1"/>
        <w:ind w:left="3147" w:right="0" w:firstLine="0"/>
        <w:jc w:val="left"/>
        <w:rPr>
          <w:rFonts w:ascii="Calibri"/>
          <w:b/>
          <w:sz w:val="19"/>
        </w:rPr>
      </w:pPr>
      <w:r>
        <w:rPr>
          <w:rFonts w:ascii="Calibri"/>
          <w:b/>
          <w:spacing w:val="-2"/>
          <w:sz w:val="19"/>
        </w:rPr>
        <w:t>Disintegrant</w:t>
      </w:r>
      <w:r>
        <w:rPr>
          <w:rFonts w:ascii="Calibri"/>
          <w:b/>
          <w:spacing w:val="-6"/>
          <w:sz w:val="19"/>
        </w:rPr>
        <w:t> </w:t>
      </w:r>
      <w:r>
        <w:rPr>
          <w:rFonts w:ascii="Calibri"/>
          <w:b/>
          <w:spacing w:val="-2"/>
          <w:sz w:val="19"/>
        </w:rPr>
        <w:t>concentration</w:t>
      </w:r>
      <w:r>
        <w:rPr>
          <w:rFonts w:ascii="Calibri"/>
          <w:b/>
          <w:spacing w:val="-4"/>
          <w:sz w:val="19"/>
        </w:rPr>
        <w:t> </w:t>
      </w:r>
      <w:r>
        <w:rPr>
          <w:rFonts w:ascii="Calibri"/>
          <w:b/>
          <w:spacing w:val="-2"/>
          <w:sz w:val="19"/>
        </w:rPr>
        <w:t>(%</w:t>
      </w:r>
      <w:r>
        <w:rPr>
          <w:rFonts w:ascii="Calibri"/>
          <w:b/>
          <w:spacing w:val="12"/>
          <w:sz w:val="19"/>
        </w:rPr>
        <w:t> </w:t>
      </w:r>
      <w:r>
        <w:rPr>
          <w:rFonts w:ascii="Calibri"/>
          <w:b/>
          <w:spacing w:val="-4"/>
          <w:sz w:val="19"/>
        </w:rPr>
        <w:t>w/w)</w:t>
      </w:r>
    </w:p>
    <w:p>
      <w:pPr>
        <w:pStyle w:val="BodyText"/>
        <w:rPr>
          <w:rFonts w:ascii="Calibri"/>
          <w:b/>
        </w:rPr>
      </w:pPr>
    </w:p>
    <w:p>
      <w:pPr>
        <w:pStyle w:val="BodyText"/>
        <w:spacing w:before="85"/>
        <w:rPr>
          <w:rFonts w:ascii="Calibri"/>
          <w:b/>
        </w:rPr>
      </w:pPr>
    </w:p>
    <w:p>
      <w:pPr>
        <w:pStyle w:val="Heading2"/>
        <w:spacing w:line="244" w:lineRule="auto"/>
        <w:ind w:left="1966" w:right="1231" w:hanging="1301"/>
      </w:pPr>
      <w:bookmarkStart w:name="_TOC_250007" w:id="154"/>
      <w:bookmarkEnd w:id="154"/>
      <w:r>
        <w:rPr/>
        <w:t>Figure A.18: Graph of disintegration time (min) against disintegrant concentration (% w/w) of metronidazole tablets produced by wet granulation.</w:t>
      </w:r>
    </w:p>
    <w:p>
      <w:pPr>
        <w:spacing w:after="0" w:line="244" w:lineRule="auto"/>
        <w:sectPr>
          <w:pgSz w:w="12240" w:h="15840"/>
          <w:pgMar w:header="0" w:footer="999" w:top="182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41"/>
        <w:rPr>
          <w:b/>
          <w:sz w:val="19"/>
        </w:rPr>
      </w:pPr>
    </w:p>
    <w:p>
      <w:pPr>
        <w:spacing w:before="0"/>
        <w:ind w:left="1270" w:right="0" w:firstLine="0"/>
        <w:jc w:val="left"/>
        <w:rPr>
          <w:rFonts w:ascii="Calibri"/>
          <w:sz w:val="19"/>
        </w:rPr>
      </w:pPr>
      <w:r>
        <w:rPr/>
        <mc:AlternateContent>
          <mc:Choice Requires="wps">
            <w:drawing>
              <wp:anchor distT="0" distB="0" distL="0" distR="0" allowOverlap="1" layoutInCell="1" locked="0" behindDoc="1" simplePos="0" relativeHeight="482026496">
                <wp:simplePos x="0" y="0"/>
                <wp:positionH relativeFrom="page">
                  <wp:posOffset>2093976</wp:posOffset>
                </wp:positionH>
                <wp:positionV relativeFrom="paragraph">
                  <wp:posOffset>72662</wp:posOffset>
                </wp:positionV>
                <wp:extent cx="4008120" cy="3929379"/>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4008120" cy="3929379"/>
                          <a:chExt cx="4008120" cy="3929379"/>
                        </a:xfrm>
                      </wpg:grpSpPr>
                      <wps:wsp>
                        <wps:cNvPr id="461" name="Graphic 461"/>
                        <wps:cNvSpPr/>
                        <wps:spPr>
                          <a:xfrm>
                            <a:off x="0" y="0"/>
                            <a:ext cx="3724910" cy="3929379"/>
                          </a:xfrm>
                          <a:custGeom>
                            <a:avLst/>
                            <a:gdLst/>
                            <a:ahLst/>
                            <a:cxnLst/>
                            <a:rect l="l" t="t" r="r" b="b"/>
                            <a:pathLst>
                              <a:path w="3724910" h="3929379">
                                <a:moveTo>
                                  <a:pt x="3724656" y="3889248"/>
                                </a:moveTo>
                                <a:lnTo>
                                  <a:pt x="3721608" y="3889248"/>
                                </a:lnTo>
                                <a:lnTo>
                                  <a:pt x="3721608" y="3886200"/>
                                </a:lnTo>
                                <a:lnTo>
                                  <a:pt x="42672" y="3886200"/>
                                </a:lnTo>
                                <a:lnTo>
                                  <a:pt x="42672" y="6096"/>
                                </a:lnTo>
                                <a:lnTo>
                                  <a:pt x="36576" y="6096"/>
                                </a:lnTo>
                                <a:lnTo>
                                  <a:pt x="36576" y="0"/>
                                </a:lnTo>
                                <a:lnTo>
                                  <a:pt x="0" y="0"/>
                                </a:lnTo>
                                <a:lnTo>
                                  <a:pt x="0" y="9144"/>
                                </a:lnTo>
                                <a:lnTo>
                                  <a:pt x="33528" y="9144"/>
                                </a:lnTo>
                                <a:lnTo>
                                  <a:pt x="33528" y="390144"/>
                                </a:lnTo>
                                <a:lnTo>
                                  <a:pt x="0" y="390144"/>
                                </a:lnTo>
                                <a:lnTo>
                                  <a:pt x="0" y="399288"/>
                                </a:lnTo>
                                <a:lnTo>
                                  <a:pt x="33528" y="399288"/>
                                </a:lnTo>
                                <a:lnTo>
                                  <a:pt x="33528" y="777240"/>
                                </a:lnTo>
                                <a:lnTo>
                                  <a:pt x="0" y="777240"/>
                                </a:lnTo>
                                <a:lnTo>
                                  <a:pt x="0" y="786384"/>
                                </a:lnTo>
                                <a:lnTo>
                                  <a:pt x="33528" y="786384"/>
                                </a:lnTo>
                                <a:lnTo>
                                  <a:pt x="33528" y="1167384"/>
                                </a:lnTo>
                                <a:lnTo>
                                  <a:pt x="0" y="1167384"/>
                                </a:lnTo>
                                <a:lnTo>
                                  <a:pt x="0" y="1176528"/>
                                </a:lnTo>
                                <a:lnTo>
                                  <a:pt x="33528" y="1176528"/>
                                </a:lnTo>
                                <a:lnTo>
                                  <a:pt x="33528" y="1554480"/>
                                </a:lnTo>
                                <a:lnTo>
                                  <a:pt x="0" y="1554480"/>
                                </a:lnTo>
                                <a:lnTo>
                                  <a:pt x="0" y="1563624"/>
                                </a:lnTo>
                                <a:lnTo>
                                  <a:pt x="33528" y="1563624"/>
                                </a:lnTo>
                                <a:lnTo>
                                  <a:pt x="33528" y="1944624"/>
                                </a:lnTo>
                                <a:lnTo>
                                  <a:pt x="0" y="1944624"/>
                                </a:lnTo>
                                <a:lnTo>
                                  <a:pt x="0" y="1953768"/>
                                </a:lnTo>
                                <a:lnTo>
                                  <a:pt x="33528" y="1953768"/>
                                </a:lnTo>
                                <a:lnTo>
                                  <a:pt x="33528" y="2331720"/>
                                </a:lnTo>
                                <a:lnTo>
                                  <a:pt x="0" y="2331720"/>
                                </a:lnTo>
                                <a:lnTo>
                                  <a:pt x="0" y="2337816"/>
                                </a:lnTo>
                                <a:lnTo>
                                  <a:pt x="33528" y="2337816"/>
                                </a:lnTo>
                                <a:lnTo>
                                  <a:pt x="33528" y="2718816"/>
                                </a:lnTo>
                                <a:lnTo>
                                  <a:pt x="0" y="2718816"/>
                                </a:lnTo>
                                <a:lnTo>
                                  <a:pt x="0" y="2727960"/>
                                </a:lnTo>
                                <a:lnTo>
                                  <a:pt x="33528" y="2727960"/>
                                </a:lnTo>
                                <a:lnTo>
                                  <a:pt x="33528" y="3108960"/>
                                </a:lnTo>
                                <a:lnTo>
                                  <a:pt x="0" y="3108960"/>
                                </a:lnTo>
                                <a:lnTo>
                                  <a:pt x="0" y="3118104"/>
                                </a:lnTo>
                                <a:lnTo>
                                  <a:pt x="33528" y="3118104"/>
                                </a:lnTo>
                                <a:lnTo>
                                  <a:pt x="33528" y="3496056"/>
                                </a:lnTo>
                                <a:lnTo>
                                  <a:pt x="0" y="3496056"/>
                                </a:lnTo>
                                <a:lnTo>
                                  <a:pt x="0" y="3505200"/>
                                </a:lnTo>
                                <a:lnTo>
                                  <a:pt x="33528" y="3505200"/>
                                </a:lnTo>
                                <a:lnTo>
                                  <a:pt x="33528" y="3886200"/>
                                </a:lnTo>
                                <a:lnTo>
                                  <a:pt x="0" y="3886200"/>
                                </a:lnTo>
                                <a:lnTo>
                                  <a:pt x="0" y="3895344"/>
                                </a:lnTo>
                                <a:lnTo>
                                  <a:pt x="33528" y="3895344"/>
                                </a:lnTo>
                                <a:lnTo>
                                  <a:pt x="33528" y="3928872"/>
                                </a:lnTo>
                                <a:lnTo>
                                  <a:pt x="42672" y="3928872"/>
                                </a:lnTo>
                                <a:lnTo>
                                  <a:pt x="42672" y="3892296"/>
                                </a:lnTo>
                                <a:lnTo>
                                  <a:pt x="768096" y="3892296"/>
                                </a:lnTo>
                                <a:lnTo>
                                  <a:pt x="768096" y="3928872"/>
                                </a:lnTo>
                                <a:lnTo>
                                  <a:pt x="777240" y="3928872"/>
                                </a:lnTo>
                                <a:lnTo>
                                  <a:pt x="777240" y="3892296"/>
                                </a:lnTo>
                                <a:lnTo>
                                  <a:pt x="1508760" y="3892296"/>
                                </a:lnTo>
                                <a:lnTo>
                                  <a:pt x="1508760" y="3928872"/>
                                </a:lnTo>
                                <a:lnTo>
                                  <a:pt x="1517904" y="3928872"/>
                                </a:lnTo>
                                <a:lnTo>
                                  <a:pt x="1517904" y="3892296"/>
                                </a:lnTo>
                                <a:lnTo>
                                  <a:pt x="2243328" y="3892296"/>
                                </a:lnTo>
                                <a:lnTo>
                                  <a:pt x="2243328" y="3928872"/>
                                </a:lnTo>
                                <a:lnTo>
                                  <a:pt x="2252472" y="3928872"/>
                                </a:lnTo>
                                <a:lnTo>
                                  <a:pt x="2252472" y="3892296"/>
                                </a:lnTo>
                                <a:lnTo>
                                  <a:pt x="2980944" y="3892296"/>
                                </a:lnTo>
                                <a:lnTo>
                                  <a:pt x="2980944" y="3928872"/>
                                </a:lnTo>
                                <a:lnTo>
                                  <a:pt x="2990088" y="3928872"/>
                                </a:lnTo>
                                <a:lnTo>
                                  <a:pt x="2990088" y="3892296"/>
                                </a:lnTo>
                                <a:lnTo>
                                  <a:pt x="3718560" y="3892296"/>
                                </a:lnTo>
                                <a:lnTo>
                                  <a:pt x="3718560" y="3928872"/>
                                </a:lnTo>
                                <a:lnTo>
                                  <a:pt x="3724656" y="3928872"/>
                                </a:lnTo>
                                <a:lnTo>
                                  <a:pt x="3724656" y="3889248"/>
                                </a:lnTo>
                                <a:close/>
                              </a:path>
                            </a:pathLst>
                          </a:custGeom>
                          <a:solidFill>
                            <a:srgbClr val="858585"/>
                          </a:solidFill>
                        </wps:spPr>
                        <wps:bodyPr wrap="square" lIns="0" tIns="0" rIns="0" bIns="0" rtlCol="0">
                          <a:prstTxWarp prst="textNoShape">
                            <a:avLst/>
                          </a:prstTxWarp>
                          <a:noAutofit/>
                        </wps:bodyPr>
                      </wps:wsp>
                      <pic:pic>
                        <pic:nvPicPr>
                          <pic:cNvPr id="462" name="Image 462"/>
                          <pic:cNvPicPr/>
                        </pic:nvPicPr>
                        <pic:blipFill>
                          <a:blip r:embed="rId161" cstate="print"/>
                          <a:stretch>
                            <a:fillRect/>
                          </a:stretch>
                        </pic:blipFill>
                        <pic:spPr>
                          <a:xfrm>
                            <a:off x="356615" y="228600"/>
                            <a:ext cx="3044952" cy="2081784"/>
                          </a:xfrm>
                          <a:prstGeom prst="rect">
                            <a:avLst/>
                          </a:prstGeom>
                        </pic:spPr>
                      </pic:pic>
                      <wps:wsp>
                        <wps:cNvPr id="463" name="Graphic 463"/>
                        <wps:cNvSpPr/>
                        <wps:spPr>
                          <a:xfrm>
                            <a:off x="3752088" y="1978151"/>
                            <a:ext cx="256540" cy="24765"/>
                          </a:xfrm>
                          <a:custGeom>
                            <a:avLst/>
                            <a:gdLst/>
                            <a:ahLst/>
                            <a:cxnLst/>
                            <a:rect l="l" t="t" r="r" b="b"/>
                            <a:pathLst>
                              <a:path w="256540" h="24765">
                                <a:moveTo>
                                  <a:pt x="249936" y="0"/>
                                </a:moveTo>
                                <a:lnTo>
                                  <a:pt x="15239" y="0"/>
                                </a:lnTo>
                                <a:lnTo>
                                  <a:pt x="6096" y="0"/>
                                </a:lnTo>
                                <a:lnTo>
                                  <a:pt x="0" y="3048"/>
                                </a:lnTo>
                                <a:lnTo>
                                  <a:pt x="0" y="18287"/>
                                </a:lnTo>
                                <a:lnTo>
                                  <a:pt x="6096" y="24384"/>
                                </a:lnTo>
                                <a:lnTo>
                                  <a:pt x="249936" y="24384"/>
                                </a:lnTo>
                                <a:lnTo>
                                  <a:pt x="256032" y="18287"/>
                                </a:lnTo>
                                <a:lnTo>
                                  <a:pt x="256032" y="3048"/>
                                </a:lnTo>
                                <a:lnTo>
                                  <a:pt x="249936" y="0"/>
                                </a:lnTo>
                                <a:close/>
                              </a:path>
                            </a:pathLst>
                          </a:custGeom>
                          <a:solidFill>
                            <a:srgbClr val="497DBA"/>
                          </a:solidFill>
                        </wps:spPr>
                        <wps:bodyPr wrap="square" lIns="0" tIns="0" rIns="0" bIns="0" rtlCol="0">
                          <a:prstTxWarp prst="textNoShape">
                            <a:avLst/>
                          </a:prstTxWarp>
                          <a:noAutofit/>
                        </wps:bodyPr>
                      </wps:wsp>
                      <pic:pic>
                        <pic:nvPicPr>
                          <pic:cNvPr id="464" name="Image 464"/>
                          <pic:cNvPicPr/>
                        </pic:nvPicPr>
                        <pic:blipFill>
                          <a:blip r:embed="rId50" cstate="print"/>
                          <a:stretch>
                            <a:fillRect/>
                          </a:stretch>
                        </pic:blipFill>
                        <pic:spPr>
                          <a:xfrm>
                            <a:off x="3840479" y="1950720"/>
                            <a:ext cx="79248" cy="79248"/>
                          </a:xfrm>
                          <a:prstGeom prst="rect">
                            <a:avLst/>
                          </a:prstGeom>
                        </pic:spPr>
                      </pic:pic>
                      <wps:wsp>
                        <wps:cNvPr id="465" name="Graphic 465"/>
                        <wps:cNvSpPr/>
                        <wps:spPr>
                          <a:xfrm>
                            <a:off x="3752088" y="2194560"/>
                            <a:ext cx="256540" cy="24765"/>
                          </a:xfrm>
                          <a:custGeom>
                            <a:avLst/>
                            <a:gdLst/>
                            <a:ahLst/>
                            <a:cxnLst/>
                            <a:rect l="l" t="t" r="r" b="b"/>
                            <a:pathLst>
                              <a:path w="256540" h="24765">
                                <a:moveTo>
                                  <a:pt x="249936" y="0"/>
                                </a:moveTo>
                                <a:lnTo>
                                  <a:pt x="15239" y="0"/>
                                </a:lnTo>
                                <a:lnTo>
                                  <a:pt x="6096" y="0"/>
                                </a:lnTo>
                                <a:lnTo>
                                  <a:pt x="0" y="6095"/>
                                </a:lnTo>
                                <a:lnTo>
                                  <a:pt x="0" y="21336"/>
                                </a:lnTo>
                                <a:lnTo>
                                  <a:pt x="6096" y="24383"/>
                                </a:lnTo>
                                <a:lnTo>
                                  <a:pt x="249936" y="24383"/>
                                </a:lnTo>
                                <a:lnTo>
                                  <a:pt x="256032" y="21336"/>
                                </a:lnTo>
                                <a:lnTo>
                                  <a:pt x="256032" y="6095"/>
                                </a:lnTo>
                                <a:lnTo>
                                  <a:pt x="249936" y="0"/>
                                </a:lnTo>
                                <a:close/>
                              </a:path>
                            </a:pathLst>
                          </a:custGeom>
                          <a:solidFill>
                            <a:srgbClr val="BD4A47"/>
                          </a:solidFill>
                        </wps:spPr>
                        <wps:bodyPr wrap="square" lIns="0" tIns="0" rIns="0" bIns="0" rtlCol="0">
                          <a:prstTxWarp prst="textNoShape">
                            <a:avLst/>
                          </a:prstTxWarp>
                          <a:noAutofit/>
                        </wps:bodyPr>
                      </wps:wsp>
                      <wps:wsp>
                        <wps:cNvPr id="466" name="Graphic 466"/>
                        <wps:cNvSpPr/>
                        <wps:spPr>
                          <a:xfrm>
                            <a:off x="3843528" y="2170176"/>
                            <a:ext cx="70485" cy="73660"/>
                          </a:xfrm>
                          <a:custGeom>
                            <a:avLst/>
                            <a:gdLst/>
                            <a:ahLst/>
                            <a:cxnLst/>
                            <a:rect l="l" t="t" r="r" b="b"/>
                            <a:pathLst>
                              <a:path w="70485" h="73660">
                                <a:moveTo>
                                  <a:pt x="70103" y="0"/>
                                </a:moveTo>
                                <a:lnTo>
                                  <a:pt x="0" y="0"/>
                                </a:lnTo>
                                <a:lnTo>
                                  <a:pt x="0" y="73151"/>
                                </a:lnTo>
                                <a:lnTo>
                                  <a:pt x="70103" y="73151"/>
                                </a:lnTo>
                                <a:lnTo>
                                  <a:pt x="70103" y="0"/>
                                </a:lnTo>
                                <a:close/>
                              </a:path>
                            </a:pathLst>
                          </a:custGeom>
                          <a:solidFill>
                            <a:srgbClr val="BF4F4C"/>
                          </a:solidFill>
                        </wps:spPr>
                        <wps:bodyPr wrap="square" lIns="0" tIns="0" rIns="0" bIns="0" rtlCol="0">
                          <a:prstTxWarp prst="textNoShape">
                            <a:avLst/>
                          </a:prstTxWarp>
                          <a:noAutofit/>
                        </wps:bodyPr>
                      </wps:wsp>
                      <wps:wsp>
                        <wps:cNvPr id="467" name="Graphic 467"/>
                        <wps:cNvSpPr/>
                        <wps:spPr>
                          <a:xfrm>
                            <a:off x="3840479" y="2167127"/>
                            <a:ext cx="79375" cy="79375"/>
                          </a:xfrm>
                          <a:custGeom>
                            <a:avLst/>
                            <a:gdLst/>
                            <a:ahLst/>
                            <a:cxnLst/>
                            <a:rect l="l" t="t" r="r" b="b"/>
                            <a:pathLst>
                              <a:path w="79375" h="79375">
                                <a:moveTo>
                                  <a:pt x="73152" y="0"/>
                                </a:moveTo>
                                <a:lnTo>
                                  <a:pt x="3048" y="0"/>
                                </a:lnTo>
                                <a:lnTo>
                                  <a:pt x="0" y="3048"/>
                                </a:lnTo>
                                <a:lnTo>
                                  <a:pt x="0" y="76200"/>
                                </a:lnTo>
                                <a:lnTo>
                                  <a:pt x="3048" y="79248"/>
                                </a:lnTo>
                                <a:lnTo>
                                  <a:pt x="73152" y="79248"/>
                                </a:lnTo>
                                <a:lnTo>
                                  <a:pt x="79248" y="76200"/>
                                </a:lnTo>
                                <a:lnTo>
                                  <a:pt x="6096" y="76200"/>
                                </a:lnTo>
                                <a:lnTo>
                                  <a:pt x="3048" y="70103"/>
                                </a:lnTo>
                                <a:lnTo>
                                  <a:pt x="6096" y="70103"/>
                                </a:lnTo>
                                <a:lnTo>
                                  <a:pt x="6096" y="6096"/>
                                </a:lnTo>
                                <a:lnTo>
                                  <a:pt x="3048" y="6096"/>
                                </a:lnTo>
                                <a:lnTo>
                                  <a:pt x="6096" y="3048"/>
                                </a:lnTo>
                                <a:lnTo>
                                  <a:pt x="79248" y="3048"/>
                                </a:lnTo>
                                <a:lnTo>
                                  <a:pt x="73152" y="0"/>
                                </a:lnTo>
                                <a:close/>
                              </a:path>
                              <a:path w="79375" h="79375">
                                <a:moveTo>
                                  <a:pt x="6096" y="70103"/>
                                </a:moveTo>
                                <a:lnTo>
                                  <a:pt x="3048" y="70103"/>
                                </a:lnTo>
                                <a:lnTo>
                                  <a:pt x="6096" y="76200"/>
                                </a:lnTo>
                                <a:lnTo>
                                  <a:pt x="6096" y="70103"/>
                                </a:lnTo>
                                <a:close/>
                              </a:path>
                              <a:path w="79375" h="79375">
                                <a:moveTo>
                                  <a:pt x="70104" y="70103"/>
                                </a:moveTo>
                                <a:lnTo>
                                  <a:pt x="6096" y="70103"/>
                                </a:lnTo>
                                <a:lnTo>
                                  <a:pt x="6096" y="76200"/>
                                </a:lnTo>
                                <a:lnTo>
                                  <a:pt x="70104" y="76200"/>
                                </a:lnTo>
                                <a:lnTo>
                                  <a:pt x="70104" y="70103"/>
                                </a:lnTo>
                                <a:close/>
                              </a:path>
                              <a:path w="79375" h="79375">
                                <a:moveTo>
                                  <a:pt x="70104" y="3048"/>
                                </a:moveTo>
                                <a:lnTo>
                                  <a:pt x="70104" y="76200"/>
                                </a:lnTo>
                                <a:lnTo>
                                  <a:pt x="73152" y="70103"/>
                                </a:lnTo>
                                <a:lnTo>
                                  <a:pt x="79248" y="70103"/>
                                </a:lnTo>
                                <a:lnTo>
                                  <a:pt x="79248" y="6096"/>
                                </a:lnTo>
                                <a:lnTo>
                                  <a:pt x="73152" y="6096"/>
                                </a:lnTo>
                                <a:lnTo>
                                  <a:pt x="70104" y="3048"/>
                                </a:lnTo>
                                <a:close/>
                              </a:path>
                              <a:path w="79375" h="79375">
                                <a:moveTo>
                                  <a:pt x="79248" y="70103"/>
                                </a:moveTo>
                                <a:lnTo>
                                  <a:pt x="73152" y="70103"/>
                                </a:lnTo>
                                <a:lnTo>
                                  <a:pt x="70104" y="76200"/>
                                </a:lnTo>
                                <a:lnTo>
                                  <a:pt x="79248" y="76200"/>
                                </a:lnTo>
                                <a:lnTo>
                                  <a:pt x="79248" y="70103"/>
                                </a:lnTo>
                                <a:close/>
                              </a:path>
                              <a:path w="79375" h="79375">
                                <a:moveTo>
                                  <a:pt x="6096" y="3048"/>
                                </a:moveTo>
                                <a:lnTo>
                                  <a:pt x="3048" y="6096"/>
                                </a:lnTo>
                                <a:lnTo>
                                  <a:pt x="6096" y="6096"/>
                                </a:lnTo>
                                <a:lnTo>
                                  <a:pt x="6096" y="3048"/>
                                </a:lnTo>
                                <a:close/>
                              </a:path>
                              <a:path w="79375" h="79375">
                                <a:moveTo>
                                  <a:pt x="70104" y="3048"/>
                                </a:moveTo>
                                <a:lnTo>
                                  <a:pt x="6096" y="3048"/>
                                </a:lnTo>
                                <a:lnTo>
                                  <a:pt x="6096" y="6096"/>
                                </a:lnTo>
                                <a:lnTo>
                                  <a:pt x="70104" y="6096"/>
                                </a:lnTo>
                                <a:lnTo>
                                  <a:pt x="70104" y="3048"/>
                                </a:lnTo>
                                <a:close/>
                              </a:path>
                              <a:path w="79375" h="79375">
                                <a:moveTo>
                                  <a:pt x="79248" y="3048"/>
                                </a:moveTo>
                                <a:lnTo>
                                  <a:pt x="70104" y="3048"/>
                                </a:lnTo>
                                <a:lnTo>
                                  <a:pt x="73152" y="6096"/>
                                </a:lnTo>
                                <a:lnTo>
                                  <a:pt x="79248" y="6096"/>
                                </a:lnTo>
                                <a:lnTo>
                                  <a:pt x="79248" y="3048"/>
                                </a:lnTo>
                                <a:close/>
                              </a:path>
                            </a:pathLst>
                          </a:custGeom>
                          <a:solidFill>
                            <a:srgbClr val="BD4A47"/>
                          </a:solidFill>
                        </wps:spPr>
                        <wps:bodyPr wrap="square" lIns="0" tIns="0" rIns="0" bIns="0" rtlCol="0">
                          <a:prstTxWarp prst="textNoShape">
                            <a:avLst/>
                          </a:prstTxWarp>
                          <a:noAutofit/>
                        </wps:bodyPr>
                      </wps:wsp>
                      <wps:wsp>
                        <wps:cNvPr id="468" name="Graphic 468"/>
                        <wps:cNvSpPr/>
                        <wps:spPr>
                          <a:xfrm>
                            <a:off x="3752088" y="2410967"/>
                            <a:ext cx="256540" cy="24765"/>
                          </a:xfrm>
                          <a:custGeom>
                            <a:avLst/>
                            <a:gdLst/>
                            <a:ahLst/>
                            <a:cxnLst/>
                            <a:rect l="l" t="t" r="r" b="b"/>
                            <a:pathLst>
                              <a:path w="256540" h="24765">
                                <a:moveTo>
                                  <a:pt x="249936" y="0"/>
                                </a:moveTo>
                                <a:lnTo>
                                  <a:pt x="15239" y="0"/>
                                </a:lnTo>
                                <a:lnTo>
                                  <a:pt x="6096" y="0"/>
                                </a:lnTo>
                                <a:lnTo>
                                  <a:pt x="0" y="3048"/>
                                </a:lnTo>
                                <a:lnTo>
                                  <a:pt x="0" y="18287"/>
                                </a:lnTo>
                                <a:lnTo>
                                  <a:pt x="6096" y="24384"/>
                                </a:lnTo>
                                <a:lnTo>
                                  <a:pt x="249936" y="24384"/>
                                </a:lnTo>
                                <a:lnTo>
                                  <a:pt x="256032" y="18287"/>
                                </a:lnTo>
                                <a:lnTo>
                                  <a:pt x="256032" y="3048"/>
                                </a:lnTo>
                                <a:lnTo>
                                  <a:pt x="249936" y="0"/>
                                </a:lnTo>
                                <a:close/>
                              </a:path>
                            </a:pathLst>
                          </a:custGeom>
                          <a:solidFill>
                            <a:srgbClr val="97B853"/>
                          </a:solidFill>
                        </wps:spPr>
                        <wps:bodyPr wrap="square" lIns="0" tIns="0" rIns="0" bIns="0" rtlCol="0">
                          <a:prstTxWarp prst="textNoShape">
                            <a:avLst/>
                          </a:prstTxWarp>
                          <a:noAutofit/>
                        </wps:bodyPr>
                      </wps:wsp>
                      <pic:pic>
                        <pic:nvPicPr>
                          <pic:cNvPr id="469" name="Image 469"/>
                          <pic:cNvPicPr/>
                        </pic:nvPicPr>
                        <pic:blipFill>
                          <a:blip r:embed="rId162" cstate="print"/>
                          <a:stretch>
                            <a:fillRect/>
                          </a:stretch>
                        </pic:blipFill>
                        <pic:spPr>
                          <a:xfrm>
                            <a:off x="3840479" y="2383535"/>
                            <a:ext cx="79248" cy="79248"/>
                          </a:xfrm>
                          <a:prstGeom prst="rect">
                            <a:avLst/>
                          </a:prstGeom>
                        </pic:spPr>
                      </pic:pic>
                    </wpg:wgp>
                  </a:graphicData>
                </a:graphic>
              </wp:anchor>
            </w:drawing>
          </mc:Choice>
          <mc:Fallback>
            <w:pict>
              <v:group style="position:absolute;margin-left:164.880005pt;margin-top:5.721494pt;width:315.6pt;height:309.4pt;mso-position-horizontal-relative:page;mso-position-vertical-relative:paragraph;z-index:-21289984" id="docshapegroup445" coordorigin="3298,114" coordsize="6312,6188">
                <v:shape style="position:absolute;left:3297;top:114;width:5866;height:6188" id="docshape446" coordorigin="3298,114" coordsize="5866,6188" path="m9163,6239l9158,6239,9158,6234,3365,6234,3365,124,3355,124,3355,114,3298,114,3298,129,3350,129,3350,729,3298,729,3298,743,3350,743,3350,1338,3298,1338,3298,1353,3350,1353,3350,1953,3298,1953,3298,1967,3350,1967,3350,2562,3298,2562,3298,2577,3350,2577,3350,3177,3298,3177,3298,3191,3350,3191,3350,3786,3298,3786,3298,3796,3350,3796,3350,4396,3298,4396,3298,4410,3350,4410,3350,5010,3298,5010,3298,5025,3350,5025,3350,5620,3298,5620,3298,5634,3350,5634,3350,6234,3298,6234,3298,6249,3350,6249,3350,6302,3365,6302,3365,6244,4507,6244,4507,6302,4522,6302,4522,6244,5674,6244,5674,6302,5688,6302,5688,6244,6830,6244,6830,6302,6845,6302,6845,6244,7992,6244,7992,6302,8006,6302,8006,6244,9154,6244,9154,6302,9163,6302,9163,6239xe" filled="true" fillcolor="#858585" stroked="false">
                  <v:path arrowok="t"/>
                  <v:fill type="solid"/>
                </v:shape>
                <v:shape style="position:absolute;left:3859;top:474;width:4796;height:3279" type="#_x0000_t75" id="docshape447" stroked="false">
                  <v:imagedata r:id="rId161" o:title=""/>
                </v:shape>
                <v:shape style="position:absolute;left:9206;top:3229;width:404;height:39" id="docshape448" coordorigin="9206,3230" coordsize="404,39" path="m9600,3230l9230,3230,9216,3230,9206,3234,9206,3258,9216,3268,9600,3268,9610,3258,9610,3234,9600,3230xe" filled="true" fillcolor="#497dba" stroked="false">
                  <v:path arrowok="t"/>
                  <v:fill type="solid"/>
                </v:shape>
                <v:shape style="position:absolute;left:9345;top:3186;width:125;height:125" type="#_x0000_t75" id="docshape449" stroked="false">
                  <v:imagedata r:id="rId50" o:title=""/>
                </v:shape>
                <v:shape style="position:absolute;left:9206;top:3570;width:404;height:39" id="docshape450" coordorigin="9206,3570" coordsize="404,39" path="m9600,3570l9230,3570,9216,3570,9206,3580,9206,3604,9216,3609,9600,3609,9610,3604,9610,3580,9600,3570xe" filled="true" fillcolor="#bd4a47" stroked="false">
                  <v:path arrowok="t"/>
                  <v:fill type="solid"/>
                </v:shape>
                <v:rect style="position:absolute;left:9350;top:3532;width:111;height:116" id="docshape451" filled="true" fillcolor="#bf4f4c" stroked="false">
                  <v:fill type="solid"/>
                </v:rect>
                <v:shape style="position:absolute;left:9345;top:3527;width:125;height:125" id="docshape452" coordorigin="9346,3527" coordsize="125,125" path="m9461,3527l9350,3527,9346,3532,9346,3647,9350,3652,9461,3652,9470,3647,9355,3647,9350,3638,9355,3638,9355,3537,9350,3537,9355,3532,9470,3532,9461,3527xm9355,3638l9350,3638,9355,3647,9355,3638xm9456,3638l9355,3638,9355,3647,9456,3647,9456,3638xm9456,3532l9456,3647,9461,3638,9470,3638,9470,3537,9461,3537,9456,3532xm9470,3638l9461,3638,9456,3647,9470,3647,9470,3638xm9355,3532l9350,3537,9355,3537,9355,3532xm9456,3532l9355,3532,9355,3537,9456,3537,9456,3532xm9470,3532l9456,3532,9461,3537,9470,3537,9470,3532xe" filled="true" fillcolor="#bd4a47" stroked="false">
                  <v:path arrowok="t"/>
                  <v:fill type="solid"/>
                </v:shape>
                <v:shape style="position:absolute;left:9206;top:3911;width:404;height:39" id="docshape453" coordorigin="9206,3911" coordsize="404,39" path="m9600,3911l9230,3911,9216,3911,9206,3916,9206,3940,9216,3950,9600,3950,9610,3940,9610,3916,9600,3911xe" filled="true" fillcolor="#97b853" stroked="false">
                  <v:path arrowok="t"/>
                  <v:fill type="solid"/>
                </v:shape>
                <v:shape style="position:absolute;left:9345;top:3868;width:125;height:125" type="#_x0000_t75" id="docshape454" stroked="false">
                  <v:imagedata r:id="rId162" o:title=""/>
                </v:shape>
                <w10:wrap type="none"/>
              </v:group>
            </w:pict>
          </mc:Fallback>
        </mc:AlternateContent>
      </w:r>
      <w:r>
        <w:rPr>
          <w:rFonts w:ascii="Calibri"/>
          <w:spacing w:val="-5"/>
          <w:sz w:val="19"/>
        </w:rPr>
        <w:t>10</w:t>
      </w:r>
    </w:p>
    <w:p>
      <w:pPr>
        <w:pStyle w:val="BodyText"/>
        <w:spacing w:before="146"/>
        <w:rPr>
          <w:rFonts w:ascii="Calibri"/>
          <w:sz w:val="19"/>
        </w:rPr>
      </w:pPr>
    </w:p>
    <w:p>
      <w:pPr>
        <w:spacing w:before="0"/>
        <w:ind w:left="1366" w:right="0" w:firstLine="0"/>
        <w:jc w:val="left"/>
        <w:rPr>
          <w:rFonts w:ascii="Calibri"/>
          <w:sz w:val="19"/>
        </w:rPr>
      </w:pPr>
      <w:r>
        <w:rPr>
          <w:rFonts w:ascii="Calibri"/>
          <w:spacing w:val="-10"/>
          <w:sz w:val="19"/>
        </w:rPr>
        <w:t>9</w:t>
      </w:r>
    </w:p>
    <w:p>
      <w:pPr>
        <w:pStyle w:val="BodyText"/>
        <w:spacing w:before="150"/>
        <w:rPr>
          <w:rFonts w:ascii="Calibri"/>
          <w:sz w:val="19"/>
        </w:rPr>
      </w:pPr>
    </w:p>
    <w:p>
      <w:pPr>
        <w:spacing w:before="1"/>
        <w:ind w:left="1366" w:right="0" w:firstLine="0"/>
        <w:jc w:val="left"/>
        <w:rPr>
          <w:rFonts w:ascii="Calibri"/>
          <w:sz w:val="19"/>
        </w:rPr>
      </w:pPr>
      <w:r>
        <w:rPr>
          <w:rFonts w:ascii="Calibri"/>
          <w:spacing w:val="-10"/>
          <w:sz w:val="19"/>
        </w:rPr>
        <w:t>8</w:t>
      </w:r>
    </w:p>
    <w:p>
      <w:pPr>
        <w:pStyle w:val="BodyText"/>
        <w:spacing w:before="145"/>
        <w:rPr>
          <w:rFonts w:ascii="Calibri"/>
          <w:sz w:val="19"/>
        </w:rPr>
      </w:pPr>
    </w:p>
    <w:p>
      <w:pPr>
        <w:spacing w:before="0"/>
        <w:ind w:left="1366" w:right="0" w:firstLine="0"/>
        <w:jc w:val="left"/>
        <w:rPr>
          <w:rFonts w:ascii="Calibri"/>
          <w:sz w:val="19"/>
        </w:rPr>
      </w:pPr>
      <w:r>
        <w:rPr>
          <w:rFonts w:ascii="Calibri"/>
          <w:spacing w:val="-10"/>
          <w:sz w:val="19"/>
        </w:rPr>
        <w:t>7</w:t>
      </w:r>
    </w:p>
    <w:p>
      <w:pPr>
        <w:pStyle w:val="BodyText"/>
        <w:spacing w:before="151"/>
        <w:rPr>
          <w:rFonts w:ascii="Calibri"/>
          <w:sz w:val="19"/>
        </w:rPr>
      </w:pPr>
    </w:p>
    <w:p>
      <w:pPr>
        <w:spacing w:before="0"/>
        <w:ind w:left="1366" w:right="0" w:firstLine="0"/>
        <w:jc w:val="left"/>
        <w:rPr>
          <w:rFonts w:ascii="Calibri"/>
          <w:sz w:val="19"/>
        </w:rPr>
      </w:pPr>
      <w:r>
        <w:rPr>
          <w:rFonts w:ascii="Calibri"/>
          <w:spacing w:val="-10"/>
          <w:sz w:val="19"/>
        </w:rPr>
        <w:t>6</w:t>
      </w:r>
    </w:p>
    <w:p>
      <w:pPr>
        <w:pStyle w:val="BodyText"/>
        <w:spacing w:before="143"/>
        <w:rPr>
          <w:rFonts w:ascii="Calibri"/>
          <w:sz w:val="19"/>
        </w:rPr>
      </w:pPr>
    </w:p>
    <w:p>
      <w:pPr>
        <w:tabs>
          <w:tab w:pos="7903" w:val="left" w:leader="none"/>
        </w:tabs>
        <w:spacing w:before="0"/>
        <w:ind w:left="1366" w:right="0" w:firstLine="0"/>
        <w:jc w:val="left"/>
        <w:rPr>
          <w:rFonts w:ascii="Calibri"/>
          <w:sz w:val="19"/>
        </w:rPr>
      </w:pPr>
      <w:r>
        <w:rPr/>
        <mc:AlternateContent>
          <mc:Choice Requires="wps">
            <w:drawing>
              <wp:anchor distT="0" distB="0" distL="0" distR="0" allowOverlap="1" layoutInCell="1" locked="0" behindDoc="0" simplePos="0" relativeHeight="15776256">
                <wp:simplePos x="0" y="0"/>
                <wp:positionH relativeFrom="page">
                  <wp:posOffset>1728897</wp:posOffset>
                </wp:positionH>
                <wp:positionV relativeFrom="paragraph">
                  <wp:posOffset>-82553</wp:posOffset>
                </wp:positionV>
                <wp:extent cx="146050" cy="33147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46050" cy="331470"/>
                        </a:xfrm>
                        <a:prstGeom prst="rect">
                          <a:avLst/>
                        </a:prstGeom>
                      </wps:spPr>
                      <wps:txbx>
                        <w:txbxContent>
                          <w:p>
                            <w:pPr>
                              <w:spacing w:line="213" w:lineRule="exact" w:before="0"/>
                              <w:ind w:left="20" w:right="0" w:firstLine="0"/>
                              <w:jc w:val="left"/>
                              <w:rPr>
                                <w:rFonts w:ascii="Calibri"/>
                                <w:b/>
                                <w:sz w:val="19"/>
                              </w:rPr>
                            </w:pPr>
                            <w:r>
                              <w:rPr>
                                <w:rFonts w:ascii="Calibri"/>
                                <w:b/>
                                <w:sz w:val="19"/>
                              </w:rPr>
                              <w:t>CS</w:t>
                            </w:r>
                            <w:r>
                              <w:rPr>
                                <w:rFonts w:ascii="Calibri"/>
                                <w:b/>
                                <w:spacing w:val="-8"/>
                                <w:sz w:val="19"/>
                              </w:rPr>
                              <w:t> </w:t>
                            </w:r>
                            <w:r>
                              <w:rPr>
                                <w:rFonts w:ascii="Calibri"/>
                                <w:b/>
                                <w:sz w:val="19"/>
                              </w:rPr>
                              <w:t>-</w:t>
                            </w:r>
                            <w:r>
                              <w:rPr>
                                <w:rFonts w:ascii="Calibri"/>
                                <w:b/>
                                <w:spacing w:val="-5"/>
                                <w:sz w:val="19"/>
                              </w:rPr>
                              <w:t>FR</w:t>
                            </w:r>
                          </w:p>
                        </w:txbxContent>
                      </wps:txbx>
                      <wps:bodyPr wrap="square" lIns="0" tIns="0" rIns="0" bIns="0" rtlCol="0" vert="vert270">
                        <a:noAutofit/>
                      </wps:bodyPr>
                    </wps:wsp>
                  </a:graphicData>
                </a:graphic>
              </wp:anchor>
            </w:drawing>
          </mc:Choice>
          <mc:Fallback>
            <w:pict>
              <v:shape style="position:absolute;margin-left:136.133682pt;margin-top:-6.500314pt;width:11.5pt;height:26.1pt;mso-position-horizontal-relative:page;mso-position-vertical-relative:paragraph;z-index:15776256" type="#_x0000_t202" id="docshape455"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z w:val="19"/>
                        </w:rPr>
                        <w:t>CS</w:t>
                      </w:r>
                      <w:r>
                        <w:rPr>
                          <w:rFonts w:ascii="Calibri"/>
                          <w:b/>
                          <w:spacing w:val="-8"/>
                          <w:sz w:val="19"/>
                        </w:rPr>
                        <w:t> </w:t>
                      </w:r>
                      <w:r>
                        <w:rPr>
                          <w:rFonts w:ascii="Calibri"/>
                          <w:b/>
                          <w:sz w:val="19"/>
                        </w:rPr>
                        <w:t>-</w:t>
                      </w:r>
                      <w:r>
                        <w:rPr>
                          <w:rFonts w:ascii="Calibri"/>
                          <w:b/>
                          <w:spacing w:val="-5"/>
                          <w:sz w:val="19"/>
                        </w:rPr>
                        <w:t>FR</w:t>
                      </w:r>
                    </w:p>
                  </w:txbxContent>
                </v:textbox>
                <w10:wrap type="none"/>
              </v:shape>
            </w:pict>
          </mc:Fallback>
        </mc:AlternateContent>
      </w:r>
      <w:r>
        <w:rPr>
          <w:rFonts w:ascii="Calibri"/>
          <w:spacing w:val="-10"/>
          <w:position w:val="7"/>
          <w:sz w:val="19"/>
        </w:rPr>
        <w:t>5</w:t>
      </w:r>
      <w:r>
        <w:rPr>
          <w:rFonts w:ascii="Calibri"/>
          <w:position w:val="7"/>
          <w:sz w:val="19"/>
        </w:rPr>
        <w:tab/>
      </w:r>
      <w:r>
        <w:rPr>
          <w:rFonts w:ascii="Calibri"/>
          <w:spacing w:val="-5"/>
          <w:sz w:val="19"/>
        </w:rPr>
        <w:t>DS</w:t>
      </w:r>
    </w:p>
    <w:p>
      <w:pPr>
        <w:spacing w:line="219" w:lineRule="exact" w:before="109"/>
        <w:ind w:left="7904" w:right="0" w:firstLine="0"/>
        <w:jc w:val="left"/>
        <w:rPr>
          <w:rFonts w:ascii="Calibri"/>
          <w:sz w:val="19"/>
        </w:rPr>
      </w:pPr>
      <w:r>
        <w:rPr>
          <w:rFonts w:ascii="Calibri"/>
          <w:spacing w:val="-5"/>
          <w:sz w:val="19"/>
        </w:rPr>
        <w:t>MCS</w:t>
      </w:r>
    </w:p>
    <w:p>
      <w:pPr>
        <w:spacing w:line="170" w:lineRule="exact" w:before="0"/>
        <w:ind w:left="1366" w:right="0" w:firstLine="0"/>
        <w:jc w:val="left"/>
        <w:rPr>
          <w:rFonts w:ascii="Calibri"/>
          <w:sz w:val="19"/>
        </w:rPr>
      </w:pPr>
      <w:r>
        <w:rPr>
          <w:rFonts w:ascii="Calibri"/>
          <w:spacing w:val="-10"/>
          <w:sz w:val="19"/>
        </w:rPr>
        <w:t>4</w:t>
      </w:r>
    </w:p>
    <w:p>
      <w:pPr>
        <w:spacing w:line="183" w:lineRule="exact" w:before="0"/>
        <w:ind w:left="7904" w:right="0" w:firstLine="0"/>
        <w:jc w:val="left"/>
        <w:rPr>
          <w:rFonts w:ascii="Calibri"/>
          <w:sz w:val="19"/>
        </w:rPr>
      </w:pPr>
      <w:r>
        <w:rPr>
          <w:rFonts w:ascii="Calibri"/>
          <w:spacing w:val="-5"/>
          <w:sz w:val="19"/>
        </w:rPr>
        <w:t>MS</w:t>
      </w:r>
    </w:p>
    <w:p>
      <w:pPr>
        <w:pStyle w:val="BodyText"/>
        <w:spacing w:before="11"/>
        <w:rPr>
          <w:rFonts w:ascii="Calibri"/>
          <w:sz w:val="19"/>
        </w:rPr>
      </w:pPr>
    </w:p>
    <w:p>
      <w:pPr>
        <w:spacing w:before="0"/>
        <w:ind w:left="1366" w:right="0" w:firstLine="0"/>
        <w:jc w:val="left"/>
        <w:rPr>
          <w:rFonts w:ascii="Calibri"/>
          <w:sz w:val="19"/>
        </w:rPr>
      </w:pPr>
      <w:r>
        <w:rPr>
          <w:rFonts w:ascii="Calibri"/>
          <w:spacing w:val="-10"/>
          <w:sz w:val="19"/>
        </w:rPr>
        <w:t>3</w:t>
      </w:r>
    </w:p>
    <w:p>
      <w:pPr>
        <w:pStyle w:val="BodyText"/>
        <w:spacing w:before="146"/>
        <w:rPr>
          <w:rFonts w:ascii="Calibri"/>
          <w:sz w:val="19"/>
        </w:rPr>
      </w:pPr>
    </w:p>
    <w:p>
      <w:pPr>
        <w:spacing w:before="0"/>
        <w:ind w:left="1366" w:right="0" w:firstLine="0"/>
        <w:jc w:val="left"/>
        <w:rPr>
          <w:rFonts w:ascii="Calibri"/>
          <w:sz w:val="19"/>
        </w:rPr>
      </w:pPr>
      <w:r>
        <w:rPr>
          <w:rFonts w:ascii="Calibri"/>
          <w:spacing w:val="-10"/>
          <w:sz w:val="19"/>
        </w:rPr>
        <w:t>2</w:t>
      </w:r>
    </w:p>
    <w:p>
      <w:pPr>
        <w:pStyle w:val="BodyText"/>
        <w:spacing w:before="150"/>
        <w:rPr>
          <w:rFonts w:ascii="Calibri"/>
          <w:sz w:val="19"/>
        </w:rPr>
      </w:pPr>
    </w:p>
    <w:p>
      <w:pPr>
        <w:spacing w:before="0"/>
        <w:ind w:left="1366" w:right="0" w:firstLine="0"/>
        <w:jc w:val="left"/>
        <w:rPr>
          <w:rFonts w:ascii="Calibri"/>
          <w:sz w:val="19"/>
        </w:rPr>
      </w:pPr>
      <w:r>
        <w:rPr>
          <w:rFonts w:ascii="Calibri"/>
          <w:spacing w:val="-10"/>
          <w:sz w:val="19"/>
        </w:rPr>
        <w:t>1</w:t>
      </w:r>
    </w:p>
    <w:p>
      <w:pPr>
        <w:pStyle w:val="BodyText"/>
        <w:spacing w:before="146"/>
        <w:rPr>
          <w:rFonts w:ascii="Calibri"/>
          <w:sz w:val="19"/>
        </w:rPr>
      </w:pPr>
    </w:p>
    <w:p>
      <w:pPr>
        <w:spacing w:before="0"/>
        <w:ind w:left="1366" w:right="0" w:firstLine="0"/>
        <w:jc w:val="left"/>
        <w:rPr>
          <w:rFonts w:ascii="Calibri"/>
          <w:sz w:val="19"/>
        </w:rPr>
      </w:pPr>
      <w:r>
        <w:rPr>
          <w:rFonts w:ascii="Calibri"/>
          <w:spacing w:val="-10"/>
          <w:sz w:val="19"/>
        </w:rPr>
        <w:t>0</w:t>
      </w:r>
    </w:p>
    <w:p>
      <w:pPr>
        <w:tabs>
          <w:tab w:pos="3329" w:val="left" w:leader="none"/>
          <w:tab w:pos="4419" w:val="left" w:leader="none"/>
          <w:tab w:pos="5599" w:val="left" w:leader="none"/>
          <w:tab w:pos="6689" w:val="left" w:leader="none"/>
        </w:tabs>
        <w:spacing w:before="13"/>
        <w:ind w:left="2096"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6"/>
        <w:ind w:left="3137" w:right="0" w:firstLine="0"/>
        <w:jc w:val="left"/>
        <w:rPr>
          <w:rFonts w:ascii="Calibri"/>
          <w:b/>
          <w:sz w:val="19"/>
        </w:rPr>
      </w:pPr>
      <w:r>
        <w:rPr>
          <w:rFonts w:ascii="Calibri"/>
          <w:b/>
          <w:spacing w:val="-2"/>
          <w:sz w:val="19"/>
        </w:rPr>
        <w:t>Disintegrant</w:t>
      </w:r>
      <w:r>
        <w:rPr>
          <w:rFonts w:ascii="Calibri"/>
          <w:b/>
          <w:spacing w:val="-6"/>
          <w:sz w:val="19"/>
        </w:rPr>
        <w:t> </w:t>
      </w:r>
      <w:r>
        <w:rPr>
          <w:rFonts w:ascii="Calibri"/>
          <w:b/>
          <w:spacing w:val="-2"/>
          <w:sz w:val="19"/>
        </w:rPr>
        <w:t>concentration</w:t>
      </w:r>
      <w:r>
        <w:rPr>
          <w:rFonts w:ascii="Calibri"/>
          <w:b/>
          <w:spacing w:val="-3"/>
          <w:sz w:val="19"/>
        </w:rPr>
        <w:t> </w:t>
      </w:r>
      <w:r>
        <w:rPr>
          <w:rFonts w:ascii="Calibri"/>
          <w:b/>
          <w:spacing w:val="-2"/>
          <w:sz w:val="19"/>
        </w:rPr>
        <w:t>(%</w:t>
      </w:r>
      <w:r>
        <w:rPr>
          <w:rFonts w:ascii="Calibri"/>
          <w:b/>
          <w:spacing w:val="6"/>
          <w:sz w:val="19"/>
        </w:rPr>
        <w:t> </w:t>
      </w:r>
      <w:r>
        <w:rPr>
          <w:rFonts w:ascii="Calibri"/>
          <w:b/>
          <w:spacing w:val="-4"/>
          <w:sz w:val="19"/>
        </w:rPr>
        <w:t>w/w)</w:t>
      </w:r>
    </w:p>
    <w:p>
      <w:pPr>
        <w:pStyle w:val="BodyText"/>
        <w:rPr>
          <w:rFonts w:ascii="Calibri"/>
          <w:b/>
        </w:rPr>
      </w:pPr>
    </w:p>
    <w:p>
      <w:pPr>
        <w:pStyle w:val="BodyText"/>
        <w:spacing w:before="114"/>
        <w:rPr>
          <w:rFonts w:ascii="Calibri"/>
          <w:b/>
        </w:rPr>
      </w:pPr>
    </w:p>
    <w:p>
      <w:pPr>
        <w:pStyle w:val="Heading2"/>
        <w:spacing w:line="244" w:lineRule="auto"/>
        <w:ind w:left="1961" w:right="1108" w:hanging="1296"/>
      </w:pPr>
      <w:bookmarkStart w:name="_TOC_250006" w:id="155"/>
      <w:r>
        <w:rPr/>
        <w:t>Figure A.19: Graph of crushing strength-friability index against disintegrant concentration (% w/w) of metronidazole tablets produced by wet </w:t>
      </w:r>
      <w:bookmarkEnd w:id="155"/>
      <w:r>
        <w:rPr>
          <w:spacing w:val="-2"/>
        </w:rPr>
        <w:t>granulation.</w:t>
      </w:r>
    </w:p>
    <w:p>
      <w:pPr>
        <w:spacing w:after="0" w:line="244" w:lineRule="auto"/>
        <w:sectPr>
          <w:pgSz w:w="12240" w:h="15840"/>
          <w:pgMar w:header="0" w:footer="999" w:top="1820" w:bottom="1180" w:left="1720" w:right="760"/>
        </w:sect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41"/>
        <w:rPr>
          <w:b/>
          <w:sz w:val="19"/>
        </w:rPr>
      </w:pPr>
    </w:p>
    <w:p>
      <w:pPr>
        <w:spacing w:before="0"/>
        <w:ind w:left="1102" w:right="0" w:firstLine="0"/>
        <w:jc w:val="left"/>
        <w:rPr>
          <w:rFonts w:ascii="Calibri"/>
          <w:sz w:val="19"/>
        </w:rPr>
      </w:pPr>
      <w:r>
        <w:rPr/>
        <mc:AlternateContent>
          <mc:Choice Requires="wps">
            <w:drawing>
              <wp:anchor distT="0" distB="0" distL="0" distR="0" allowOverlap="1" layoutInCell="1" locked="0" behindDoc="0" simplePos="0" relativeHeight="15776768">
                <wp:simplePos x="0" y="0"/>
                <wp:positionH relativeFrom="page">
                  <wp:posOffset>2020823</wp:posOffset>
                </wp:positionH>
                <wp:positionV relativeFrom="paragraph">
                  <wp:posOffset>72662</wp:posOffset>
                </wp:positionV>
                <wp:extent cx="3691254" cy="3929379"/>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3691254" cy="3929379"/>
                          <a:chExt cx="3691254" cy="3929379"/>
                        </a:xfrm>
                      </wpg:grpSpPr>
                      <wps:wsp>
                        <wps:cNvPr id="472" name="Graphic 472"/>
                        <wps:cNvSpPr/>
                        <wps:spPr>
                          <a:xfrm>
                            <a:off x="0" y="0"/>
                            <a:ext cx="3691254" cy="3929379"/>
                          </a:xfrm>
                          <a:custGeom>
                            <a:avLst/>
                            <a:gdLst/>
                            <a:ahLst/>
                            <a:cxnLst/>
                            <a:rect l="l" t="t" r="r" b="b"/>
                            <a:pathLst>
                              <a:path w="3691254" h="3929379">
                                <a:moveTo>
                                  <a:pt x="3691128" y="3889248"/>
                                </a:moveTo>
                                <a:lnTo>
                                  <a:pt x="3685032" y="3889248"/>
                                </a:lnTo>
                                <a:lnTo>
                                  <a:pt x="3685032" y="3886200"/>
                                </a:lnTo>
                                <a:lnTo>
                                  <a:pt x="39624" y="3886200"/>
                                </a:lnTo>
                                <a:lnTo>
                                  <a:pt x="39624" y="6096"/>
                                </a:lnTo>
                                <a:lnTo>
                                  <a:pt x="36576" y="6096"/>
                                </a:lnTo>
                                <a:lnTo>
                                  <a:pt x="36576" y="0"/>
                                </a:lnTo>
                                <a:lnTo>
                                  <a:pt x="0" y="0"/>
                                </a:lnTo>
                                <a:lnTo>
                                  <a:pt x="0" y="9144"/>
                                </a:lnTo>
                                <a:lnTo>
                                  <a:pt x="30480" y="9144"/>
                                </a:lnTo>
                                <a:lnTo>
                                  <a:pt x="30480" y="777240"/>
                                </a:lnTo>
                                <a:lnTo>
                                  <a:pt x="0" y="777240"/>
                                </a:lnTo>
                                <a:lnTo>
                                  <a:pt x="0" y="786384"/>
                                </a:lnTo>
                                <a:lnTo>
                                  <a:pt x="30480" y="786384"/>
                                </a:lnTo>
                                <a:lnTo>
                                  <a:pt x="30480" y="1554480"/>
                                </a:lnTo>
                                <a:lnTo>
                                  <a:pt x="0" y="1554480"/>
                                </a:lnTo>
                                <a:lnTo>
                                  <a:pt x="0" y="1563624"/>
                                </a:lnTo>
                                <a:lnTo>
                                  <a:pt x="30480" y="1563624"/>
                                </a:lnTo>
                                <a:lnTo>
                                  <a:pt x="30480" y="2331720"/>
                                </a:lnTo>
                                <a:lnTo>
                                  <a:pt x="0" y="2331720"/>
                                </a:lnTo>
                                <a:lnTo>
                                  <a:pt x="0" y="2337816"/>
                                </a:lnTo>
                                <a:lnTo>
                                  <a:pt x="30480" y="2337816"/>
                                </a:lnTo>
                                <a:lnTo>
                                  <a:pt x="30480" y="3108960"/>
                                </a:lnTo>
                                <a:lnTo>
                                  <a:pt x="0" y="3108960"/>
                                </a:lnTo>
                                <a:lnTo>
                                  <a:pt x="0" y="3118104"/>
                                </a:lnTo>
                                <a:lnTo>
                                  <a:pt x="30480" y="3118104"/>
                                </a:lnTo>
                                <a:lnTo>
                                  <a:pt x="30480" y="3886200"/>
                                </a:lnTo>
                                <a:lnTo>
                                  <a:pt x="0" y="3886200"/>
                                </a:lnTo>
                                <a:lnTo>
                                  <a:pt x="0" y="3895344"/>
                                </a:lnTo>
                                <a:lnTo>
                                  <a:pt x="30480" y="3895344"/>
                                </a:lnTo>
                                <a:lnTo>
                                  <a:pt x="30480" y="3928872"/>
                                </a:lnTo>
                                <a:lnTo>
                                  <a:pt x="39624" y="3928872"/>
                                </a:lnTo>
                                <a:lnTo>
                                  <a:pt x="39624" y="3892296"/>
                                </a:lnTo>
                                <a:lnTo>
                                  <a:pt x="762000" y="3892296"/>
                                </a:lnTo>
                                <a:lnTo>
                                  <a:pt x="762000" y="3928872"/>
                                </a:lnTo>
                                <a:lnTo>
                                  <a:pt x="771144" y="3928872"/>
                                </a:lnTo>
                                <a:lnTo>
                                  <a:pt x="771144" y="3892296"/>
                                </a:lnTo>
                                <a:lnTo>
                                  <a:pt x="1490472" y="3892296"/>
                                </a:lnTo>
                                <a:lnTo>
                                  <a:pt x="1490472" y="3928872"/>
                                </a:lnTo>
                                <a:lnTo>
                                  <a:pt x="1499616" y="3928872"/>
                                </a:lnTo>
                                <a:lnTo>
                                  <a:pt x="1499616" y="3892296"/>
                                </a:lnTo>
                                <a:lnTo>
                                  <a:pt x="2218944" y="3892296"/>
                                </a:lnTo>
                                <a:lnTo>
                                  <a:pt x="2218944" y="3928872"/>
                                </a:lnTo>
                                <a:lnTo>
                                  <a:pt x="2228088" y="3928872"/>
                                </a:lnTo>
                                <a:lnTo>
                                  <a:pt x="2228088" y="3892296"/>
                                </a:lnTo>
                                <a:lnTo>
                                  <a:pt x="2950464" y="3892296"/>
                                </a:lnTo>
                                <a:lnTo>
                                  <a:pt x="2950464" y="3928872"/>
                                </a:lnTo>
                                <a:lnTo>
                                  <a:pt x="2959608" y="3928872"/>
                                </a:lnTo>
                                <a:lnTo>
                                  <a:pt x="2959608" y="3892296"/>
                                </a:lnTo>
                                <a:lnTo>
                                  <a:pt x="3681984" y="3892296"/>
                                </a:lnTo>
                                <a:lnTo>
                                  <a:pt x="3681984" y="3928872"/>
                                </a:lnTo>
                                <a:lnTo>
                                  <a:pt x="3691128" y="3928872"/>
                                </a:lnTo>
                                <a:lnTo>
                                  <a:pt x="3691128" y="3889248"/>
                                </a:lnTo>
                                <a:close/>
                              </a:path>
                            </a:pathLst>
                          </a:custGeom>
                          <a:solidFill>
                            <a:srgbClr val="858585"/>
                          </a:solidFill>
                        </wps:spPr>
                        <wps:bodyPr wrap="square" lIns="0" tIns="0" rIns="0" bIns="0" rtlCol="0">
                          <a:prstTxWarp prst="textNoShape">
                            <a:avLst/>
                          </a:prstTxWarp>
                          <a:noAutofit/>
                        </wps:bodyPr>
                      </wps:wsp>
                      <pic:pic>
                        <pic:nvPicPr>
                          <pic:cNvPr id="473" name="Image 473"/>
                          <pic:cNvPicPr/>
                        </pic:nvPicPr>
                        <pic:blipFill>
                          <a:blip r:embed="rId163" cstate="print"/>
                          <a:stretch>
                            <a:fillRect/>
                          </a:stretch>
                        </pic:blipFill>
                        <pic:spPr>
                          <a:xfrm>
                            <a:off x="350520" y="518159"/>
                            <a:ext cx="3017520" cy="2365248"/>
                          </a:xfrm>
                          <a:prstGeom prst="rect">
                            <a:avLst/>
                          </a:prstGeom>
                        </pic:spPr>
                      </pic:pic>
                    </wpg:wgp>
                  </a:graphicData>
                </a:graphic>
              </wp:anchor>
            </w:drawing>
          </mc:Choice>
          <mc:Fallback>
            <w:pict>
              <v:group style="position:absolute;margin-left:159.119995pt;margin-top:5.721494pt;width:290.650pt;height:309.4pt;mso-position-horizontal-relative:page;mso-position-vertical-relative:paragraph;z-index:15776768" id="docshapegroup456" coordorigin="3182,114" coordsize="5813,6188">
                <v:shape style="position:absolute;left:3182;top:114;width:5813;height:6188" id="docshape457" coordorigin="3182,114" coordsize="5813,6188" path="m8995,6239l8986,6239,8986,6234,3245,6234,3245,124,3240,124,3240,114,3182,114,3182,129,3230,129,3230,1338,3182,1338,3182,1353,3230,1353,3230,2562,3182,2562,3182,2577,3230,2577,3230,3786,3182,3786,3182,3796,3230,3796,3230,5010,3182,5010,3182,5025,3230,5025,3230,6234,3182,6234,3182,6249,3230,6249,3230,6302,3245,6302,3245,6244,4382,6244,4382,6302,4397,6302,4397,6244,5530,6244,5530,6302,5544,6302,5544,6244,6677,6244,6677,6302,6691,6302,6691,6244,7829,6244,7829,6302,7843,6302,7843,6244,8981,6244,8981,6302,8995,6302,8995,6239xe" filled="true" fillcolor="#858585" stroked="false">
                  <v:path arrowok="t"/>
                  <v:fill type="solid"/>
                </v:shape>
                <v:shape style="position:absolute;left:3734;top:930;width:4752;height:3725" type="#_x0000_t75" id="docshape458" stroked="false">
                  <v:imagedata r:id="rId163" o:title=""/>
                </v:shape>
                <w10:wrap type="none"/>
              </v:group>
            </w:pict>
          </mc:Fallback>
        </mc:AlternateContent>
      </w:r>
      <w:r>
        <w:rPr>
          <w:rFonts w:ascii="Calibri"/>
          <w:spacing w:val="-5"/>
          <w:sz w:val="19"/>
        </w:rPr>
        <w:t>2.5</w:t>
      </w: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65"/>
        <w:rPr>
          <w:rFonts w:ascii="Calibri"/>
          <w:sz w:val="19"/>
        </w:rPr>
      </w:pPr>
    </w:p>
    <w:p>
      <w:pPr>
        <w:spacing w:before="0"/>
        <w:ind w:left="1246" w:right="0" w:firstLine="0"/>
        <w:jc w:val="left"/>
        <w:rPr>
          <w:rFonts w:ascii="Calibri"/>
          <w:sz w:val="19"/>
        </w:rPr>
      </w:pPr>
      <w:r>
        <w:rPr>
          <w:rFonts w:ascii="Calibri"/>
          <w:spacing w:val="-10"/>
          <w:sz w:val="19"/>
        </w:rPr>
        <w:t>2</w:t>
      </w: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64"/>
        <w:rPr>
          <w:rFonts w:ascii="Calibri"/>
          <w:sz w:val="19"/>
        </w:rPr>
      </w:pPr>
    </w:p>
    <w:p>
      <w:pPr>
        <w:spacing w:before="0"/>
        <w:ind w:left="1102" w:right="0" w:firstLine="0"/>
        <w:jc w:val="left"/>
        <w:rPr>
          <w:rFonts w:ascii="Calibri"/>
          <w:sz w:val="19"/>
        </w:rPr>
      </w:pPr>
      <w:r>
        <w:rPr>
          <w:rFonts w:ascii="Calibri"/>
          <w:spacing w:val="-5"/>
          <w:sz w:val="19"/>
        </w:rPr>
        <w:t>1.5</w:t>
      </w:r>
    </w:p>
    <w:p>
      <w:pPr>
        <w:pStyle w:val="BodyText"/>
        <w:spacing w:before="110"/>
        <w:rPr>
          <w:rFonts w:ascii="Calibri"/>
          <w:sz w:val="19"/>
        </w:rPr>
      </w:pPr>
    </w:p>
    <w:p>
      <w:pPr>
        <w:spacing w:line="340" w:lineRule="atLeast" w:before="0"/>
        <w:ind w:left="7486" w:right="1304" w:firstLine="0"/>
        <w:jc w:val="left"/>
        <w:rPr>
          <w:rFonts w:ascii="Calibri"/>
          <w:sz w:val="19"/>
        </w:rPr>
      </w:pPr>
      <w:r>
        <w:rPr/>
        <mc:AlternateContent>
          <mc:Choice Requires="wps">
            <w:drawing>
              <wp:anchor distT="0" distB="0" distL="0" distR="0" allowOverlap="1" layoutInCell="1" locked="0" behindDoc="0" simplePos="0" relativeHeight="15777280">
                <wp:simplePos x="0" y="0"/>
                <wp:positionH relativeFrom="page">
                  <wp:posOffset>1622217</wp:posOffset>
                </wp:positionH>
                <wp:positionV relativeFrom="paragraph">
                  <wp:posOffset>-156886</wp:posOffset>
                </wp:positionV>
                <wp:extent cx="146050" cy="518159"/>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46050" cy="518159"/>
                        </a:xfrm>
                        <a:prstGeom prst="rect">
                          <a:avLst/>
                        </a:prstGeom>
                      </wps:spPr>
                      <wps:txbx>
                        <w:txbxContent>
                          <w:p>
                            <w:pPr>
                              <w:spacing w:line="213" w:lineRule="exact" w:before="0"/>
                              <w:ind w:left="20" w:right="0" w:firstLine="0"/>
                              <w:jc w:val="left"/>
                              <w:rPr>
                                <w:rFonts w:ascii="Calibri"/>
                                <w:b/>
                                <w:sz w:val="19"/>
                              </w:rPr>
                            </w:pPr>
                            <w:r>
                              <w:rPr>
                                <w:rFonts w:ascii="Calibri"/>
                                <w:b/>
                                <w:sz w:val="19"/>
                              </w:rPr>
                              <w:t>CS</w:t>
                            </w:r>
                            <w:r>
                              <w:rPr>
                                <w:rFonts w:ascii="Calibri"/>
                                <w:b/>
                                <w:spacing w:val="-8"/>
                                <w:sz w:val="19"/>
                              </w:rPr>
                              <w:t> </w:t>
                            </w:r>
                            <w:r>
                              <w:rPr>
                                <w:rFonts w:ascii="Calibri"/>
                                <w:b/>
                                <w:sz w:val="19"/>
                              </w:rPr>
                              <w:t>-</w:t>
                            </w:r>
                            <w:r>
                              <w:rPr>
                                <w:rFonts w:ascii="Calibri"/>
                                <w:b/>
                                <w:spacing w:val="-2"/>
                                <w:sz w:val="19"/>
                              </w:rPr>
                              <w:t>FR/DT</w:t>
                            </w:r>
                          </w:p>
                        </w:txbxContent>
                      </wps:txbx>
                      <wps:bodyPr wrap="square" lIns="0" tIns="0" rIns="0" bIns="0" rtlCol="0" vert="vert270">
                        <a:noAutofit/>
                      </wps:bodyPr>
                    </wps:wsp>
                  </a:graphicData>
                </a:graphic>
              </wp:anchor>
            </w:drawing>
          </mc:Choice>
          <mc:Fallback>
            <w:pict>
              <v:shape style="position:absolute;margin-left:127.733681pt;margin-top:-12.353242pt;width:11.5pt;height:40.8pt;mso-position-horizontal-relative:page;mso-position-vertical-relative:paragraph;z-index:15777280" type="#_x0000_t202" id="docshape459"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z w:val="19"/>
                        </w:rPr>
                        <w:t>CS</w:t>
                      </w:r>
                      <w:r>
                        <w:rPr>
                          <w:rFonts w:ascii="Calibri"/>
                          <w:b/>
                          <w:spacing w:val="-8"/>
                          <w:sz w:val="19"/>
                        </w:rPr>
                        <w:t> </w:t>
                      </w:r>
                      <w:r>
                        <w:rPr>
                          <w:rFonts w:ascii="Calibri"/>
                          <w:b/>
                          <w:sz w:val="19"/>
                        </w:rPr>
                        <w:t>-</w:t>
                      </w:r>
                      <w:r>
                        <w:rPr>
                          <w:rFonts w:ascii="Calibri"/>
                          <w:b/>
                          <w:spacing w:val="-2"/>
                          <w:sz w:val="19"/>
                        </w:rPr>
                        <w:t>FR/DT</w:t>
                      </w:r>
                    </w:p>
                  </w:txbxContent>
                </v:textbox>
                <w10:wrap type="none"/>
              </v:shape>
            </w:pict>
          </mc:Fallback>
        </mc:AlternateContent>
      </w:r>
      <w:r>
        <w:rPr/>
        <w:drawing>
          <wp:inline distT="0" distB="0" distL="0" distR="0">
            <wp:extent cx="256032" cy="7924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164" cstate="print"/>
                    <a:stretch>
                      <a:fillRect/>
                    </a:stretch>
                  </pic:blipFill>
                  <pic:spPr>
                    <a:xfrm>
                      <a:off x="0" y="0"/>
                      <a:ext cx="256032" cy="79248"/>
                    </a:xfrm>
                    <a:prstGeom prst="rect">
                      <a:avLst/>
                    </a:prstGeom>
                  </pic:spPr>
                </pic:pic>
              </a:graphicData>
            </a:graphic>
          </wp:inline>
        </w:drawing>
      </w:r>
      <w:r>
        <w:rPr/>
      </w:r>
      <w:r>
        <w:rPr>
          <w:rFonts w:ascii="Calibri"/>
          <w:spacing w:val="-6"/>
          <w:sz w:val="19"/>
        </w:rPr>
        <w:t>DS</w:t>
      </w:r>
      <w:r>
        <w:rPr>
          <w:rFonts w:ascii="Calibri"/>
          <w:sz w:val="19"/>
        </w:rPr>
        <w:t> </w:t>
      </w:r>
      <w:r>
        <w:rPr>
          <w:rFonts w:ascii="Calibri"/>
          <w:sz w:val="19"/>
        </w:rPr>
        <w:drawing>
          <wp:inline distT="0" distB="0" distL="0" distR="0">
            <wp:extent cx="256032" cy="79248"/>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165" cstate="print"/>
                    <a:stretch>
                      <a:fillRect/>
                    </a:stretch>
                  </pic:blipFill>
                  <pic:spPr>
                    <a:xfrm>
                      <a:off x="0" y="0"/>
                      <a:ext cx="256032" cy="79248"/>
                    </a:xfrm>
                    <a:prstGeom prst="rect">
                      <a:avLst/>
                    </a:prstGeom>
                  </pic:spPr>
                </pic:pic>
              </a:graphicData>
            </a:graphic>
          </wp:inline>
        </w:drawing>
      </w:r>
      <w:r>
        <w:rPr>
          <w:rFonts w:ascii="Calibri"/>
          <w:sz w:val="19"/>
        </w:rPr>
      </w:r>
      <w:r>
        <w:rPr>
          <w:rFonts w:ascii="Calibri"/>
          <w:spacing w:val="-4"/>
          <w:sz w:val="19"/>
        </w:rPr>
        <w:t>MCS</w:t>
      </w:r>
    </w:p>
    <w:p>
      <w:pPr>
        <w:spacing w:line="156" w:lineRule="exact" w:before="0"/>
        <w:ind w:left="1246" w:right="0" w:firstLine="0"/>
        <w:jc w:val="left"/>
        <w:rPr>
          <w:rFonts w:ascii="Calibri"/>
          <w:sz w:val="19"/>
        </w:rPr>
      </w:pPr>
      <w:r>
        <w:rPr>
          <w:rFonts w:ascii="Calibri"/>
          <w:spacing w:val="-10"/>
          <w:sz w:val="19"/>
        </w:rPr>
        <w:t>1</w:t>
      </w:r>
    </w:p>
    <w:p>
      <w:pPr>
        <w:spacing w:line="186" w:lineRule="exact" w:before="0"/>
        <w:ind w:left="7486" w:right="0" w:firstLine="0"/>
        <w:jc w:val="left"/>
        <w:rPr>
          <w:rFonts w:ascii="Calibri"/>
          <w:sz w:val="19"/>
        </w:rPr>
      </w:pPr>
      <w:r>
        <w:rPr/>
        <w:drawing>
          <wp:inline distT="0" distB="0" distL="0" distR="0">
            <wp:extent cx="256032" cy="79248"/>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66" cstate="print"/>
                    <a:stretch>
                      <a:fillRect/>
                    </a:stretch>
                  </pic:blipFill>
                  <pic:spPr>
                    <a:xfrm>
                      <a:off x="0" y="0"/>
                      <a:ext cx="256032" cy="79248"/>
                    </a:xfrm>
                    <a:prstGeom prst="rect">
                      <a:avLst/>
                    </a:prstGeom>
                  </pic:spPr>
                </pic:pic>
              </a:graphicData>
            </a:graphic>
          </wp:inline>
        </w:drawing>
      </w:r>
      <w:r>
        <w:rPr/>
      </w:r>
      <w:r>
        <w:rPr>
          <w:rFonts w:ascii="Calibri"/>
          <w:spacing w:val="-5"/>
          <w:sz w:val="19"/>
        </w:rPr>
        <w:t>MS</w:t>
      </w:r>
    </w:p>
    <w:p>
      <w:pPr>
        <w:pStyle w:val="BodyText"/>
        <w:rPr>
          <w:rFonts w:ascii="Calibri"/>
          <w:sz w:val="19"/>
        </w:rPr>
      </w:pPr>
    </w:p>
    <w:p>
      <w:pPr>
        <w:pStyle w:val="BodyText"/>
        <w:rPr>
          <w:rFonts w:ascii="Calibri"/>
          <w:sz w:val="19"/>
        </w:rPr>
      </w:pPr>
    </w:p>
    <w:p>
      <w:pPr>
        <w:pStyle w:val="BodyText"/>
        <w:spacing w:before="152"/>
        <w:rPr>
          <w:rFonts w:ascii="Calibri"/>
          <w:sz w:val="19"/>
        </w:rPr>
      </w:pPr>
    </w:p>
    <w:p>
      <w:pPr>
        <w:spacing w:before="0"/>
        <w:ind w:left="1102" w:right="0" w:firstLine="0"/>
        <w:jc w:val="left"/>
        <w:rPr>
          <w:rFonts w:ascii="Calibri"/>
          <w:sz w:val="19"/>
        </w:rPr>
      </w:pPr>
      <w:r>
        <w:rPr>
          <w:rFonts w:ascii="Calibri"/>
          <w:spacing w:val="-5"/>
          <w:sz w:val="19"/>
        </w:rPr>
        <w:t>0.5</w:t>
      </w:r>
    </w:p>
    <w:p>
      <w:pPr>
        <w:pStyle w:val="BodyText"/>
        <w:rPr>
          <w:rFonts w:ascii="Calibri"/>
          <w:sz w:val="19"/>
        </w:rPr>
      </w:pPr>
    </w:p>
    <w:p>
      <w:pPr>
        <w:pStyle w:val="BodyText"/>
        <w:rPr>
          <w:rFonts w:ascii="Calibri"/>
          <w:sz w:val="19"/>
        </w:rPr>
      </w:pPr>
    </w:p>
    <w:p>
      <w:pPr>
        <w:pStyle w:val="BodyText"/>
        <w:rPr>
          <w:rFonts w:ascii="Calibri"/>
          <w:sz w:val="19"/>
        </w:rPr>
      </w:pPr>
    </w:p>
    <w:p>
      <w:pPr>
        <w:pStyle w:val="BodyText"/>
        <w:spacing w:before="64"/>
        <w:rPr>
          <w:rFonts w:ascii="Calibri"/>
          <w:sz w:val="19"/>
        </w:rPr>
      </w:pPr>
    </w:p>
    <w:p>
      <w:pPr>
        <w:spacing w:before="0"/>
        <w:ind w:left="1246" w:right="0" w:firstLine="0"/>
        <w:jc w:val="left"/>
        <w:rPr>
          <w:rFonts w:ascii="Calibri"/>
          <w:sz w:val="19"/>
        </w:rPr>
      </w:pPr>
      <w:r>
        <w:rPr>
          <w:rFonts w:ascii="Calibri"/>
          <w:spacing w:val="-10"/>
          <w:sz w:val="19"/>
        </w:rPr>
        <w:t>0</w:t>
      </w:r>
    </w:p>
    <w:p>
      <w:pPr>
        <w:tabs>
          <w:tab w:pos="3195" w:val="left" w:leader="none"/>
          <w:tab w:pos="4270" w:val="left" w:leader="none"/>
          <w:tab w:pos="5446" w:val="left" w:leader="none"/>
          <w:tab w:pos="6521" w:val="left" w:leader="none"/>
        </w:tabs>
        <w:spacing w:before="13"/>
        <w:ind w:left="1971" w:right="0" w:firstLine="0"/>
        <w:jc w:val="left"/>
        <w:rPr>
          <w:rFonts w:ascii="Calibri"/>
          <w:sz w:val="19"/>
        </w:rPr>
      </w:pPr>
      <w:r>
        <w:rPr>
          <w:rFonts w:ascii="Calibri"/>
          <w:spacing w:val="-5"/>
          <w:sz w:val="19"/>
        </w:rPr>
        <w:t>2.5</w:t>
      </w:r>
      <w:r>
        <w:rPr>
          <w:rFonts w:ascii="Calibri"/>
          <w:sz w:val="19"/>
        </w:rPr>
        <w:tab/>
      </w:r>
      <w:r>
        <w:rPr>
          <w:rFonts w:ascii="Calibri"/>
          <w:spacing w:val="-10"/>
          <w:sz w:val="19"/>
        </w:rPr>
        <w:t>5</w:t>
      </w:r>
      <w:r>
        <w:rPr>
          <w:rFonts w:ascii="Calibri"/>
          <w:sz w:val="19"/>
        </w:rPr>
        <w:tab/>
      </w:r>
      <w:r>
        <w:rPr>
          <w:rFonts w:ascii="Calibri"/>
          <w:spacing w:val="-5"/>
          <w:sz w:val="19"/>
        </w:rPr>
        <w:t>7.5</w:t>
      </w:r>
      <w:r>
        <w:rPr>
          <w:rFonts w:ascii="Calibri"/>
          <w:sz w:val="19"/>
        </w:rPr>
        <w:tab/>
      </w:r>
      <w:r>
        <w:rPr>
          <w:rFonts w:ascii="Calibri"/>
          <w:spacing w:val="-5"/>
          <w:sz w:val="19"/>
        </w:rPr>
        <w:t>10</w:t>
      </w:r>
      <w:r>
        <w:rPr>
          <w:rFonts w:ascii="Calibri"/>
          <w:sz w:val="19"/>
        </w:rPr>
        <w:tab/>
      </w:r>
      <w:r>
        <w:rPr>
          <w:rFonts w:ascii="Calibri"/>
          <w:spacing w:val="-4"/>
          <w:sz w:val="19"/>
        </w:rPr>
        <w:t>12.5</w:t>
      </w:r>
    </w:p>
    <w:p>
      <w:pPr>
        <w:spacing w:before="56"/>
        <w:ind w:left="2993" w:right="0" w:firstLine="0"/>
        <w:jc w:val="left"/>
        <w:rPr>
          <w:rFonts w:ascii="Calibri"/>
          <w:b/>
          <w:sz w:val="19"/>
        </w:rPr>
      </w:pPr>
      <w:r>
        <w:rPr>
          <w:rFonts w:ascii="Calibri"/>
          <w:b/>
          <w:spacing w:val="-2"/>
          <w:sz w:val="19"/>
        </w:rPr>
        <w:t>Disintegrant</w:t>
      </w:r>
      <w:r>
        <w:rPr>
          <w:rFonts w:ascii="Calibri"/>
          <w:b/>
          <w:spacing w:val="-11"/>
          <w:sz w:val="19"/>
        </w:rPr>
        <w:t> </w:t>
      </w:r>
      <w:r>
        <w:rPr>
          <w:rFonts w:ascii="Calibri"/>
          <w:b/>
          <w:spacing w:val="-2"/>
          <w:sz w:val="19"/>
        </w:rPr>
        <w:t>concentration</w:t>
      </w:r>
      <w:r>
        <w:rPr>
          <w:rFonts w:ascii="Calibri"/>
          <w:b/>
          <w:spacing w:val="-8"/>
          <w:sz w:val="19"/>
        </w:rPr>
        <w:t> </w:t>
      </w:r>
      <w:r>
        <w:rPr>
          <w:rFonts w:ascii="Calibri"/>
          <w:b/>
          <w:spacing w:val="-2"/>
          <w:sz w:val="19"/>
        </w:rPr>
        <w:t>(%</w:t>
      </w:r>
      <w:r>
        <w:rPr>
          <w:rFonts w:ascii="Calibri"/>
          <w:b/>
          <w:spacing w:val="14"/>
          <w:sz w:val="19"/>
        </w:rPr>
        <w:t> </w:t>
      </w:r>
      <w:r>
        <w:rPr>
          <w:rFonts w:ascii="Calibri"/>
          <w:b/>
          <w:spacing w:val="-4"/>
          <w:sz w:val="19"/>
        </w:rPr>
        <w:t>w/w)</w:t>
      </w:r>
    </w:p>
    <w:p>
      <w:pPr>
        <w:pStyle w:val="BodyText"/>
        <w:rPr>
          <w:rFonts w:ascii="Calibri"/>
          <w:b/>
        </w:rPr>
      </w:pPr>
    </w:p>
    <w:p>
      <w:pPr>
        <w:pStyle w:val="BodyText"/>
        <w:spacing w:before="114"/>
        <w:rPr>
          <w:rFonts w:ascii="Calibri"/>
          <w:b/>
        </w:rPr>
      </w:pPr>
    </w:p>
    <w:p>
      <w:pPr>
        <w:pStyle w:val="Heading2"/>
        <w:spacing w:line="244" w:lineRule="auto"/>
        <w:ind w:left="1961" w:right="1304" w:hanging="1296"/>
      </w:pPr>
      <w:bookmarkStart w:name="_TOC_250005" w:id="156"/>
      <w:r>
        <w:rPr/>
        <w:t>Figure A.20: Graph of crushing strength-friability/disintegration time index</w:t>
      </w:r>
      <w:r>
        <w:rPr>
          <w:spacing w:val="40"/>
        </w:rPr>
        <w:t> </w:t>
      </w:r>
      <w:bookmarkEnd w:id="156"/>
      <w:r>
        <w:rPr/>
        <w:t>against disintegrant concentration (% w/w) of metronidazole tablets produced by wet granulation.</w:t>
      </w:r>
    </w:p>
    <w:p>
      <w:pPr>
        <w:spacing w:after="0" w:line="244" w:lineRule="auto"/>
        <w:sectPr>
          <w:pgSz w:w="12240" w:h="15840"/>
          <w:pgMar w:header="0" w:footer="999" w:top="1820" w:bottom="1180" w:left="1720" w:right="760"/>
        </w:sectPr>
      </w:pPr>
    </w:p>
    <w:p>
      <w:pPr>
        <w:pStyle w:val="Heading2"/>
        <w:numPr>
          <w:ilvl w:val="1"/>
          <w:numId w:val="38"/>
        </w:numPr>
        <w:tabs>
          <w:tab w:pos="1342" w:val="left" w:leader="none"/>
        </w:tabs>
        <w:spacing w:line="240" w:lineRule="auto" w:before="80" w:after="0"/>
        <w:ind w:left="1342" w:right="0" w:hanging="677"/>
        <w:jc w:val="left"/>
      </w:pPr>
      <w:bookmarkStart w:name="_TOC_250004" w:id="157"/>
      <w:r>
        <w:rPr/>
        <w:t>Calibration</w:t>
      </w:r>
      <w:r>
        <w:rPr>
          <w:spacing w:val="17"/>
        </w:rPr>
        <w:t> </w:t>
      </w:r>
      <w:r>
        <w:rPr/>
        <w:t>Curve</w:t>
      </w:r>
      <w:r>
        <w:rPr>
          <w:spacing w:val="13"/>
        </w:rPr>
        <w:t> </w:t>
      </w:r>
      <w:r>
        <w:rPr/>
        <w:t>for</w:t>
      </w:r>
      <w:r>
        <w:rPr>
          <w:spacing w:val="14"/>
        </w:rPr>
        <w:t> </w:t>
      </w:r>
      <w:bookmarkEnd w:id="157"/>
      <w:r>
        <w:rPr>
          <w:spacing w:val="-2"/>
        </w:rPr>
        <w:t>Metronidazole</w:t>
      </w:r>
    </w:p>
    <w:p>
      <w:pPr>
        <w:pStyle w:val="BodyText"/>
        <w:spacing w:before="29" w:after="1"/>
        <w:rPr>
          <w:b/>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7"/>
        <w:gridCol w:w="5019"/>
      </w:tblGrid>
      <w:tr>
        <w:trPr>
          <w:trHeight w:val="292" w:hRule="atLeast"/>
        </w:trPr>
        <w:tc>
          <w:tcPr>
            <w:tcW w:w="2677" w:type="dxa"/>
            <w:tcBorders>
              <w:top w:val="single" w:sz="4" w:space="0" w:color="000000"/>
              <w:bottom w:val="single" w:sz="4" w:space="0" w:color="000000"/>
            </w:tcBorders>
          </w:tcPr>
          <w:p>
            <w:pPr>
              <w:pStyle w:val="TableParagraph"/>
              <w:spacing w:before="1"/>
              <w:ind w:left="108"/>
              <w:rPr>
                <w:b/>
                <w:sz w:val="22"/>
              </w:rPr>
            </w:pPr>
            <w:r>
              <w:rPr>
                <w:b/>
                <w:sz w:val="22"/>
              </w:rPr>
              <w:t>Conc.</w:t>
            </w:r>
            <w:r>
              <w:rPr>
                <w:b/>
                <w:spacing w:val="15"/>
                <w:sz w:val="22"/>
              </w:rPr>
              <w:t> </w:t>
            </w:r>
            <w:r>
              <w:rPr>
                <w:b/>
                <w:spacing w:val="-2"/>
                <w:sz w:val="22"/>
              </w:rPr>
              <w:t>(</w:t>
            </w:r>
            <w:r>
              <w:rPr>
                <w:rFonts w:ascii="Calibri" w:hAnsi="Calibri"/>
                <w:b/>
                <w:spacing w:val="-2"/>
                <w:sz w:val="22"/>
              </w:rPr>
              <w:t>µ</w:t>
            </w:r>
            <w:r>
              <w:rPr>
                <w:b/>
                <w:spacing w:val="-2"/>
                <w:sz w:val="22"/>
              </w:rPr>
              <w:t>g/ml)</w:t>
            </w:r>
          </w:p>
        </w:tc>
        <w:tc>
          <w:tcPr>
            <w:tcW w:w="5019" w:type="dxa"/>
            <w:tcBorders>
              <w:top w:val="single" w:sz="4" w:space="0" w:color="000000"/>
              <w:bottom w:val="single" w:sz="4" w:space="0" w:color="000000"/>
            </w:tcBorders>
          </w:tcPr>
          <w:p>
            <w:pPr>
              <w:pStyle w:val="TableParagraph"/>
              <w:spacing w:before="5"/>
              <w:ind w:left="1246"/>
              <w:rPr>
                <w:b/>
                <w:sz w:val="22"/>
              </w:rPr>
            </w:pPr>
            <w:r>
              <w:rPr>
                <w:b/>
                <w:sz w:val="22"/>
              </w:rPr>
              <w:t>Absorbance</w:t>
            </w:r>
            <w:r>
              <w:rPr>
                <w:b/>
                <w:spacing w:val="26"/>
                <w:sz w:val="22"/>
              </w:rPr>
              <w:t> </w:t>
            </w:r>
            <w:r>
              <w:rPr>
                <w:b/>
                <w:spacing w:val="-4"/>
                <w:sz w:val="22"/>
              </w:rPr>
              <w:t>(nm)</w:t>
            </w:r>
          </w:p>
        </w:tc>
      </w:tr>
      <w:tr>
        <w:trPr>
          <w:trHeight w:val="274" w:hRule="atLeast"/>
        </w:trPr>
        <w:tc>
          <w:tcPr>
            <w:tcW w:w="2677" w:type="dxa"/>
            <w:tcBorders>
              <w:top w:val="single" w:sz="4" w:space="0" w:color="000000"/>
            </w:tcBorders>
          </w:tcPr>
          <w:p>
            <w:pPr>
              <w:pStyle w:val="TableParagraph"/>
              <w:spacing w:line="248" w:lineRule="exact" w:before="5"/>
              <w:ind w:left="108"/>
              <w:rPr>
                <w:sz w:val="22"/>
              </w:rPr>
            </w:pPr>
            <w:r>
              <w:rPr>
                <w:spacing w:val="-4"/>
                <w:sz w:val="22"/>
              </w:rPr>
              <w:t>10.0</w:t>
            </w:r>
          </w:p>
        </w:tc>
        <w:tc>
          <w:tcPr>
            <w:tcW w:w="5019" w:type="dxa"/>
            <w:tcBorders>
              <w:top w:val="single" w:sz="4" w:space="0" w:color="000000"/>
            </w:tcBorders>
          </w:tcPr>
          <w:p>
            <w:pPr>
              <w:pStyle w:val="TableParagraph"/>
              <w:spacing w:line="248" w:lineRule="exact" w:before="5"/>
              <w:ind w:left="1246"/>
              <w:rPr>
                <w:sz w:val="22"/>
              </w:rPr>
            </w:pPr>
            <w:r>
              <w:rPr>
                <w:spacing w:val="-2"/>
                <w:sz w:val="22"/>
              </w:rPr>
              <w:t>0.529</w:t>
            </w:r>
          </w:p>
        </w:tc>
      </w:tr>
      <w:tr>
        <w:trPr>
          <w:trHeight w:val="285" w:hRule="atLeast"/>
        </w:trPr>
        <w:tc>
          <w:tcPr>
            <w:tcW w:w="2677" w:type="dxa"/>
          </w:tcPr>
          <w:p>
            <w:pPr>
              <w:pStyle w:val="TableParagraph"/>
              <w:spacing w:before="10"/>
              <w:ind w:left="108"/>
              <w:rPr>
                <w:sz w:val="22"/>
              </w:rPr>
            </w:pPr>
            <w:r>
              <w:rPr>
                <w:spacing w:val="-5"/>
                <w:sz w:val="22"/>
              </w:rPr>
              <w:t>5.0</w:t>
            </w:r>
          </w:p>
        </w:tc>
        <w:tc>
          <w:tcPr>
            <w:tcW w:w="5019" w:type="dxa"/>
          </w:tcPr>
          <w:p>
            <w:pPr>
              <w:pStyle w:val="TableParagraph"/>
              <w:spacing w:before="10"/>
              <w:ind w:left="1246"/>
              <w:rPr>
                <w:sz w:val="22"/>
              </w:rPr>
            </w:pPr>
            <w:r>
              <w:rPr>
                <w:spacing w:val="-2"/>
                <w:sz w:val="22"/>
              </w:rPr>
              <w:t>0.324</w:t>
            </w:r>
          </w:p>
        </w:tc>
      </w:tr>
      <w:tr>
        <w:trPr>
          <w:trHeight w:val="283" w:hRule="atLeast"/>
        </w:trPr>
        <w:tc>
          <w:tcPr>
            <w:tcW w:w="2677" w:type="dxa"/>
          </w:tcPr>
          <w:p>
            <w:pPr>
              <w:pStyle w:val="TableParagraph"/>
              <w:spacing w:line="246" w:lineRule="exact" w:before="17"/>
              <w:ind w:left="108"/>
              <w:rPr>
                <w:sz w:val="22"/>
              </w:rPr>
            </w:pPr>
            <w:r>
              <w:rPr>
                <w:spacing w:val="-5"/>
                <w:sz w:val="22"/>
              </w:rPr>
              <w:t>2.5</w:t>
            </w:r>
          </w:p>
        </w:tc>
        <w:tc>
          <w:tcPr>
            <w:tcW w:w="5019" w:type="dxa"/>
          </w:tcPr>
          <w:p>
            <w:pPr>
              <w:pStyle w:val="TableParagraph"/>
              <w:spacing w:line="246" w:lineRule="exact" w:before="17"/>
              <w:ind w:left="1246"/>
              <w:rPr>
                <w:sz w:val="22"/>
              </w:rPr>
            </w:pPr>
            <w:r>
              <w:rPr>
                <w:spacing w:val="-2"/>
                <w:sz w:val="22"/>
              </w:rPr>
              <w:t>0.233</w:t>
            </w:r>
          </w:p>
        </w:tc>
      </w:tr>
      <w:tr>
        <w:trPr>
          <w:trHeight w:val="283" w:hRule="atLeast"/>
        </w:trPr>
        <w:tc>
          <w:tcPr>
            <w:tcW w:w="2677" w:type="dxa"/>
          </w:tcPr>
          <w:p>
            <w:pPr>
              <w:pStyle w:val="TableParagraph"/>
              <w:spacing w:before="7"/>
              <w:ind w:left="108"/>
              <w:rPr>
                <w:sz w:val="22"/>
              </w:rPr>
            </w:pPr>
            <w:r>
              <w:rPr>
                <w:spacing w:val="-4"/>
                <w:sz w:val="22"/>
              </w:rPr>
              <w:t>1.25</w:t>
            </w:r>
          </w:p>
        </w:tc>
        <w:tc>
          <w:tcPr>
            <w:tcW w:w="5019" w:type="dxa"/>
          </w:tcPr>
          <w:p>
            <w:pPr>
              <w:pStyle w:val="TableParagraph"/>
              <w:spacing w:before="7"/>
              <w:ind w:left="1246"/>
              <w:rPr>
                <w:sz w:val="22"/>
              </w:rPr>
            </w:pPr>
            <w:r>
              <w:rPr>
                <w:spacing w:val="-2"/>
                <w:sz w:val="22"/>
              </w:rPr>
              <w:t>0.170</w:t>
            </w:r>
          </w:p>
        </w:tc>
      </w:tr>
      <w:tr>
        <w:trPr>
          <w:trHeight w:val="292" w:hRule="atLeast"/>
        </w:trPr>
        <w:tc>
          <w:tcPr>
            <w:tcW w:w="2677" w:type="dxa"/>
          </w:tcPr>
          <w:p>
            <w:pPr>
              <w:pStyle w:val="TableParagraph"/>
              <w:spacing w:before="17"/>
              <w:ind w:left="108"/>
              <w:rPr>
                <w:sz w:val="22"/>
              </w:rPr>
            </w:pPr>
            <w:r>
              <w:rPr>
                <w:spacing w:val="-2"/>
                <w:sz w:val="22"/>
              </w:rPr>
              <w:t>0.625</w:t>
            </w:r>
          </w:p>
        </w:tc>
        <w:tc>
          <w:tcPr>
            <w:tcW w:w="5019" w:type="dxa"/>
          </w:tcPr>
          <w:p>
            <w:pPr>
              <w:pStyle w:val="TableParagraph"/>
              <w:spacing w:before="17"/>
              <w:ind w:left="1246"/>
              <w:rPr>
                <w:sz w:val="22"/>
              </w:rPr>
            </w:pPr>
            <w:r>
              <w:rPr>
                <w:spacing w:val="-2"/>
                <w:sz w:val="22"/>
              </w:rPr>
              <w:t>0.160</w:t>
            </w:r>
          </w:p>
        </w:tc>
      </w:tr>
      <w:tr>
        <w:trPr>
          <w:trHeight w:val="308" w:hRule="atLeast"/>
        </w:trPr>
        <w:tc>
          <w:tcPr>
            <w:tcW w:w="2677" w:type="dxa"/>
            <w:tcBorders>
              <w:bottom w:val="single" w:sz="4" w:space="0" w:color="000000"/>
            </w:tcBorders>
          </w:tcPr>
          <w:p>
            <w:pPr>
              <w:pStyle w:val="TableParagraph"/>
              <w:spacing w:before="17"/>
              <w:ind w:left="108"/>
              <w:rPr>
                <w:sz w:val="22"/>
              </w:rPr>
            </w:pPr>
            <w:r>
              <w:rPr>
                <w:spacing w:val="-2"/>
                <w:sz w:val="22"/>
              </w:rPr>
              <w:t>0.3125</w:t>
            </w:r>
          </w:p>
        </w:tc>
        <w:tc>
          <w:tcPr>
            <w:tcW w:w="5019" w:type="dxa"/>
            <w:tcBorders>
              <w:bottom w:val="single" w:sz="4" w:space="0" w:color="000000"/>
            </w:tcBorders>
          </w:tcPr>
          <w:p>
            <w:pPr>
              <w:pStyle w:val="TableParagraph"/>
              <w:spacing w:before="17"/>
              <w:ind w:left="1246"/>
              <w:rPr>
                <w:sz w:val="22"/>
              </w:rPr>
            </w:pPr>
            <w:r>
              <w:rPr>
                <w:spacing w:val="-2"/>
                <w:sz w:val="22"/>
              </w:rPr>
              <w:t>0.150</w:t>
            </w:r>
          </w:p>
        </w:tc>
      </w:tr>
    </w:tbl>
    <w:p>
      <w:pPr>
        <w:spacing w:after="0"/>
        <w:rPr>
          <w:sz w:val="22"/>
        </w:rPr>
        <w:sectPr>
          <w:pgSz w:w="12240" w:h="15840"/>
          <w:pgMar w:header="0" w:footer="999" w:top="1260" w:bottom="1180" w:left="1720" w:right="760"/>
        </w:sectPr>
      </w:pPr>
    </w:p>
    <w:p>
      <w:pPr>
        <w:pStyle w:val="BodyText"/>
        <w:rPr>
          <w:b/>
          <w:sz w:val="19"/>
        </w:rPr>
      </w:pPr>
    </w:p>
    <w:p>
      <w:pPr>
        <w:pStyle w:val="BodyText"/>
        <w:rPr>
          <w:b/>
          <w:sz w:val="19"/>
        </w:rPr>
      </w:pPr>
    </w:p>
    <w:p>
      <w:pPr>
        <w:pStyle w:val="BodyText"/>
        <w:spacing w:before="185"/>
        <w:rPr>
          <w:b/>
          <w:sz w:val="19"/>
        </w:rPr>
      </w:pPr>
    </w:p>
    <w:p>
      <w:pPr>
        <w:spacing w:before="0"/>
        <w:ind w:left="1155" w:right="0" w:firstLine="0"/>
        <w:jc w:val="left"/>
        <w:rPr>
          <w:rFonts w:ascii="Calibri"/>
          <w:sz w:val="19"/>
        </w:rPr>
      </w:pPr>
      <w:r>
        <w:rPr/>
        <mc:AlternateContent>
          <mc:Choice Requires="wps">
            <w:drawing>
              <wp:anchor distT="0" distB="0" distL="0" distR="0" allowOverlap="1" layoutInCell="1" locked="0" behindDoc="0" simplePos="0" relativeHeight="15777792">
                <wp:simplePos x="0" y="0"/>
                <wp:positionH relativeFrom="page">
                  <wp:posOffset>2051304</wp:posOffset>
                </wp:positionH>
                <wp:positionV relativeFrom="paragraph">
                  <wp:posOffset>75409</wp:posOffset>
                </wp:positionV>
                <wp:extent cx="3889375" cy="298450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3889375" cy="2984500"/>
                          <a:chExt cx="3889375" cy="2984500"/>
                        </a:xfrm>
                      </wpg:grpSpPr>
                      <wps:wsp>
                        <wps:cNvPr id="479" name="Graphic 479"/>
                        <wps:cNvSpPr/>
                        <wps:spPr>
                          <a:xfrm>
                            <a:off x="0" y="0"/>
                            <a:ext cx="3728085" cy="2984500"/>
                          </a:xfrm>
                          <a:custGeom>
                            <a:avLst/>
                            <a:gdLst/>
                            <a:ahLst/>
                            <a:cxnLst/>
                            <a:rect l="l" t="t" r="r" b="b"/>
                            <a:pathLst>
                              <a:path w="3728085" h="2984500">
                                <a:moveTo>
                                  <a:pt x="3727704" y="2947416"/>
                                </a:moveTo>
                                <a:lnTo>
                                  <a:pt x="3724656" y="2947416"/>
                                </a:lnTo>
                                <a:lnTo>
                                  <a:pt x="3724656" y="2941320"/>
                                </a:lnTo>
                                <a:lnTo>
                                  <a:pt x="42672" y="2941320"/>
                                </a:lnTo>
                                <a:lnTo>
                                  <a:pt x="42672" y="3048"/>
                                </a:lnTo>
                                <a:lnTo>
                                  <a:pt x="36576" y="3048"/>
                                </a:lnTo>
                                <a:lnTo>
                                  <a:pt x="36576" y="0"/>
                                </a:lnTo>
                                <a:lnTo>
                                  <a:pt x="0" y="0"/>
                                </a:lnTo>
                                <a:lnTo>
                                  <a:pt x="0" y="9144"/>
                                </a:lnTo>
                                <a:lnTo>
                                  <a:pt x="33528" y="9144"/>
                                </a:lnTo>
                                <a:lnTo>
                                  <a:pt x="33528" y="490728"/>
                                </a:lnTo>
                                <a:lnTo>
                                  <a:pt x="0" y="490728"/>
                                </a:lnTo>
                                <a:lnTo>
                                  <a:pt x="0" y="499872"/>
                                </a:lnTo>
                                <a:lnTo>
                                  <a:pt x="33528" y="499872"/>
                                </a:lnTo>
                                <a:lnTo>
                                  <a:pt x="33528" y="981456"/>
                                </a:lnTo>
                                <a:lnTo>
                                  <a:pt x="0" y="981456"/>
                                </a:lnTo>
                                <a:lnTo>
                                  <a:pt x="0" y="990600"/>
                                </a:lnTo>
                                <a:lnTo>
                                  <a:pt x="33528" y="990600"/>
                                </a:lnTo>
                                <a:lnTo>
                                  <a:pt x="33528" y="1472184"/>
                                </a:lnTo>
                                <a:lnTo>
                                  <a:pt x="0" y="1472184"/>
                                </a:lnTo>
                                <a:lnTo>
                                  <a:pt x="0" y="1478280"/>
                                </a:lnTo>
                                <a:lnTo>
                                  <a:pt x="33528" y="1478280"/>
                                </a:lnTo>
                                <a:lnTo>
                                  <a:pt x="33528" y="1959864"/>
                                </a:lnTo>
                                <a:lnTo>
                                  <a:pt x="0" y="1959864"/>
                                </a:lnTo>
                                <a:lnTo>
                                  <a:pt x="0" y="1969008"/>
                                </a:lnTo>
                                <a:lnTo>
                                  <a:pt x="33528" y="1969008"/>
                                </a:lnTo>
                                <a:lnTo>
                                  <a:pt x="33528" y="2450592"/>
                                </a:lnTo>
                                <a:lnTo>
                                  <a:pt x="0" y="2450592"/>
                                </a:lnTo>
                                <a:lnTo>
                                  <a:pt x="0" y="2459736"/>
                                </a:lnTo>
                                <a:lnTo>
                                  <a:pt x="33528" y="2459736"/>
                                </a:lnTo>
                                <a:lnTo>
                                  <a:pt x="33528" y="2944368"/>
                                </a:lnTo>
                                <a:lnTo>
                                  <a:pt x="0" y="2944368"/>
                                </a:lnTo>
                                <a:lnTo>
                                  <a:pt x="0" y="2953512"/>
                                </a:lnTo>
                                <a:lnTo>
                                  <a:pt x="33528" y="2953512"/>
                                </a:lnTo>
                                <a:lnTo>
                                  <a:pt x="33528" y="2983992"/>
                                </a:lnTo>
                                <a:lnTo>
                                  <a:pt x="42672" y="2983992"/>
                                </a:lnTo>
                                <a:lnTo>
                                  <a:pt x="42672" y="2950464"/>
                                </a:lnTo>
                                <a:lnTo>
                                  <a:pt x="649224" y="2950464"/>
                                </a:lnTo>
                                <a:lnTo>
                                  <a:pt x="649224" y="2983992"/>
                                </a:lnTo>
                                <a:lnTo>
                                  <a:pt x="658368" y="2983992"/>
                                </a:lnTo>
                                <a:lnTo>
                                  <a:pt x="658368" y="2950464"/>
                                </a:lnTo>
                                <a:lnTo>
                                  <a:pt x="1261872" y="2950464"/>
                                </a:lnTo>
                                <a:lnTo>
                                  <a:pt x="1261872" y="2983992"/>
                                </a:lnTo>
                                <a:lnTo>
                                  <a:pt x="1271016" y="2983992"/>
                                </a:lnTo>
                                <a:lnTo>
                                  <a:pt x="1271016" y="2950464"/>
                                </a:lnTo>
                                <a:lnTo>
                                  <a:pt x="1877568" y="2950464"/>
                                </a:lnTo>
                                <a:lnTo>
                                  <a:pt x="1877568" y="2983992"/>
                                </a:lnTo>
                                <a:lnTo>
                                  <a:pt x="1886712" y="2983992"/>
                                </a:lnTo>
                                <a:lnTo>
                                  <a:pt x="1886712" y="2950464"/>
                                </a:lnTo>
                                <a:lnTo>
                                  <a:pt x="2490216" y="2950464"/>
                                </a:lnTo>
                                <a:lnTo>
                                  <a:pt x="2490216" y="2983992"/>
                                </a:lnTo>
                                <a:lnTo>
                                  <a:pt x="2499360" y="2983992"/>
                                </a:lnTo>
                                <a:lnTo>
                                  <a:pt x="2499360" y="2950464"/>
                                </a:lnTo>
                                <a:lnTo>
                                  <a:pt x="3105912" y="2950464"/>
                                </a:lnTo>
                                <a:lnTo>
                                  <a:pt x="3105912" y="2983992"/>
                                </a:lnTo>
                                <a:lnTo>
                                  <a:pt x="3115056" y="2983992"/>
                                </a:lnTo>
                                <a:lnTo>
                                  <a:pt x="3115056" y="2950464"/>
                                </a:lnTo>
                                <a:lnTo>
                                  <a:pt x="3718560" y="2950464"/>
                                </a:lnTo>
                                <a:lnTo>
                                  <a:pt x="3718560" y="2983992"/>
                                </a:lnTo>
                                <a:lnTo>
                                  <a:pt x="3727704" y="2983992"/>
                                </a:lnTo>
                                <a:lnTo>
                                  <a:pt x="3727704" y="2947416"/>
                                </a:lnTo>
                                <a:close/>
                              </a:path>
                            </a:pathLst>
                          </a:custGeom>
                          <a:solidFill>
                            <a:srgbClr val="858585"/>
                          </a:solidFill>
                        </wps:spPr>
                        <wps:bodyPr wrap="square" lIns="0" tIns="0" rIns="0" bIns="0" rtlCol="0">
                          <a:prstTxWarp prst="textNoShape">
                            <a:avLst/>
                          </a:prstTxWarp>
                          <a:noAutofit/>
                        </wps:bodyPr>
                      </wps:wsp>
                      <wps:wsp>
                        <wps:cNvPr id="480" name="Graphic 480"/>
                        <wps:cNvSpPr/>
                        <wps:spPr>
                          <a:xfrm>
                            <a:off x="118871" y="338327"/>
                            <a:ext cx="3005455" cy="1887220"/>
                          </a:xfrm>
                          <a:custGeom>
                            <a:avLst/>
                            <a:gdLst/>
                            <a:ahLst/>
                            <a:cxnLst/>
                            <a:rect l="l" t="t" r="r" b="b"/>
                            <a:pathLst>
                              <a:path w="3005455" h="1887220">
                                <a:moveTo>
                                  <a:pt x="2990088" y="0"/>
                                </a:moveTo>
                                <a:lnTo>
                                  <a:pt x="2983991" y="3048"/>
                                </a:lnTo>
                                <a:lnTo>
                                  <a:pt x="2886456" y="67055"/>
                                </a:lnTo>
                                <a:lnTo>
                                  <a:pt x="2685288" y="201168"/>
                                </a:lnTo>
                                <a:lnTo>
                                  <a:pt x="2581656" y="268224"/>
                                </a:lnTo>
                                <a:lnTo>
                                  <a:pt x="2374391" y="405383"/>
                                </a:lnTo>
                                <a:lnTo>
                                  <a:pt x="2270760" y="475487"/>
                                </a:lnTo>
                                <a:lnTo>
                                  <a:pt x="2167128" y="542544"/>
                                </a:lnTo>
                                <a:lnTo>
                                  <a:pt x="2066544" y="609600"/>
                                </a:lnTo>
                                <a:lnTo>
                                  <a:pt x="1871472" y="737615"/>
                                </a:lnTo>
                                <a:lnTo>
                                  <a:pt x="1776984" y="798576"/>
                                </a:lnTo>
                                <a:lnTo>
                                  <a:pt x="1688591" y="856487"/>
                                </a:lnTo>
                                <a:lnTo>
                                  <a:pt x="1603248" y="911351"/>
                                </a:lnTo>
                                <a:lnTo>
                                  <a:pt x="1563624" y="935735"/>
                                </a:lnTo>
                                <a:lnTo>
                                  <a:pt x="1524000" y="963168"/>
                                </a:lnTo>
                                <a:lnTo>
                                  <a:pt x="1484376" y="987551"/>
                                </a:lnTo>
                                <a:lnTo>
                                  <a:pt x="1447800" y="1008887"/>
                                </a:lnTo>
                                <a:lnTo>
                                  <a:pt x="1380744" y="1051559"/>
                                </a:lnTo>
                                <a:lnTo>
                                  <a:pt x="1313688" y="1091183"/>
                                </a:lnTo>
                                <a:lnTo>
                                  <a:pt x="1252727" y="1127759"/>
                                </a:lnTo>
                                <a:lnTo>
                                  <a:pt x="1197864" y="1161287"/>
                                </a:lnTo>
                                <a:lnTo>
                                  <a:pt x="1143000" y="1191768"/>
                                </a:lnTo>
                                <a:lnTo>
                                  <a:pt x="1091184" y="1222248"/>
                                </a:lnTo>
                                <a:lnTo>
                                  <a:pt x="993648" y="1274063"/>
                                </a:lnTo>
                                <a:lnTo>
                                  <a:pt x="908304" y="1322831"/>
                                </a:lnTo>
                                <a:lnTo>
                                  <a:pt x="865632" y="1344168"/>
                                </a:lnTo>
                                <a:lnTo>
                                  <a:pt x="826007" y="1365503"/>
                                </a:lnTo>
                                <a:lnTo>
                                  <a:pt x="789432" y="1389887"/>
                                </a:lnTo>
                                <a:lnTo>
                                  <a:pt x="752856" y="1411224"/>
                                </a:lnTo>
                                <a:lnTo>
                                  <a:pt x="679704" y="1456943"/>
                                </a:lnTo>
                                <a:lnTo>
                                  <a:pt x="646176" y="1478279"/>
                                </a:lnTo>
                                <a:lnTo>
                                  <a:pt x="579119" y="1527047"/>
                                </a:lnTo>
                                <a:lnTo>
                                  <a:pt x="524256" y="1572767"/>
                                </a:lnTo>
                                <a:lnTo>
                                  <a:pt x="496824" y="1594103"/>
                                </a:lnTo>
                                <a:lnTo>
                                  <a:pt x="472440" y="1615439"/>
                                </a:lnTo>
                                <a:lnTo>
                                  <a:pt x="451104" y="1636776"/>
                                </a:lnTo>
                                <a:lnTo>
                                  <a:pt x="408431" y="1676400"/>
                                </a:lnTo>
                                <a:lnTo>
                                  <a:pt x="332231" y="1740407"/>
                                </a:lnTo>
                                <a:lnTo>
                                  <a:pt x="295656" y="1764791"/>
                                </a:lnTo>
                                <a:lnTo>
                                  <a:pt x="265175" y="1780031"/>
                                </a:lnTo>
                                <a:lnTo>
                                  <a:pt x="252984" y="1786127"/>
                                </a:lnTo>
                                <a:lnTo>
                                  <a:pt x="237744" y="1789176"/>
                                </a:lnTo>
                                <a:lnTo>
                                  <a:pt x="213360" y="1795271"/>
                                </a:lnTo>
                                <a:lnTo>
                                  <a:pt x="188975" y="1798319"/>
                                </a:lnTo>
                                <a:lnTo>
                                  <a:pt x="167640" y="1798319"/>
                                </a:lnTo>
                                <a:lnTo>
                                  <a:pt x="146304" y="1801367"/>
                                </a:lnTo>
                                <a:lnTo>
                                  <a:pt x="124968" y="1801367"/>
                                </a:lnTo>
                                <a:lnTo>
                                  <a:pt x="88392" y="1813559"/>
                                </a:lnTo>
                                <a:lnTo>
                                  <a:pt x="73151" y="1819655"/>
                                </a:lnTo>
                                <a:lnTo>
                                  <a:pt x="60960" y="1828800"/>
                                </a:lnTo>
                                <a:lnTo>
                                  <a:pt x="48768" y="1834895"/>
                                </a:lnTo>
                                <a:lnTo>
                                  <a:pt x="30480" y="1850135"/>
                                </a:lnTo>
                                <a:lnTo>
                                  <a:pt x="18287" y="1856231"/>
                                </a:lnTo>
                                <a:lnTo>
                                  <a:pt x="9143" y="1862327"/>
                                </a:lnTo>
                                <a:lnTo>
                                  <a:pt x="3048" y="1865376"/>
                                </a:lnTo>
                                <a:lnTo>
                                  <a:pt x="0" y="1874519"/>
                                </a:lnTo>
                                <a:lnTo>
                                  <a:pt x="6096" y="1886712"/>
                                </a:lnTo>
                                <a:lnTo>
                                  <a:pt x="15240" y="1886712"/>
                                </a:lnTo>
                                <a:lnTo>
                                  <a:pt x="33528" y="1877567"/>
                                </a:lnTo>
                                <a:lnTo>
                                  <a:pt x="42672" y="1871471"/>
                                </a:lnTo>
                                <a:lnTo>
                                  <a:pt x="64007" y="1856231"/>
                                </a:lnTo>
                                <a:lnTo>
                                  <a:pt x="73151" y="1850135"/>
                                </a:lnTo>
                                <a:lnTo>
                                  <a:pt x="97536" y="1837943"/>
                                </a:lnTo>
                                <a:lnTo>
                                  <a:pt x="112775" y="1831847"/>
                                </a:lnTo>
                                <a:lnTo>
                                  <a:pt x="128016" y="1828800"/>
                                </a:lnTo>
                                <a:lnTo>
                                  <a:pt x="146304" y="1825752"/>
                                </a:lnTo>
                                <a:lnTo>
                                  <a:pt x="167640" y="1825752"/>
                                </a:lnTo>
                                <a:lnTo>
                                  <a:pt x="192024" y="1822703"/>
                                </a:lnTo>
                                <a:lnTo>
                                  <a:pt x="219456" y="1819655"/>
                                </a:lnTo>
                                <a:lnTo>
                                  <a:pt x="246887" y="1813559"/>
                                </a:lnTo>
                                <a:lnTo>
                                  <a:pt x="262128" y="1810512"/>
                                </a:lnTo>
                                <a:lnTo>
                                  <a:pt x="277368" y="1804415"/>
                                </a:lnTo>
                                <a:lnTo>
                                  <a:pt x="292607" y="1795271"/>
                                </a:lnTo>
                                <a:lnTo>
                                  <a:pt x="310896" y="1786127"/>
                                </a:lnTo>
                                <a:lnTo>
                                  <a:pt x="347472" y="1761743"/>
                                </a:lnTo>
                                <a:lnTo>
                                  <a:pt x="365760" y="1746503"/>
                                </a:lnTo>
                                <a:lnTo>
                                  <a:pt x="384048" y="1728215"/>
                                </a:lnTo>
                                <a:lnTo>
                                  <a:pt x="405384" y="1712976"/>
                                </a:lnTo>
                                <a:lnTo>
                                  <a:pt x="466344" y="1655064"/>
                                </a:lnTo>
                                <a:lnTo>
                                  <a:pt x="539496" y="1591055"/>
                                </a:lnTo>
                                <a:lnTo>
                                  <a:pt x="597407" y="1548383"/>
                                </a:lnTo>
                                <a:lnTo>
                                  <a:pt x="658368" y="1499615"/>
                                </a:lnTo>
                                <a:lnTo>
                                  <a:pt x="694944" y="1478279"/>
                                </a:lnTo>
                                <a:lnTo>
                                  <a:pt x="765048" y="1432559"/>
                                </a:lnTo>
                                <a:lnTo>
                                  <a:pt x="838200" y="1389887"/>
                                </a:lnTo>
                                <a:lnTo>
                                  <a:pt x="877824" y="1368552"/>
                                </a:lnTo>
                                <a:lnTo>
                                  <a:pt x="920496" y="1344168"/>
                                </a:lnTo>
                                <a:lnTo>
                                  <a:pt x="963168" y="1322831"/>
                                </a:lnTo>
                                <a:lnTo>
                                  <a:pt x="1005840" y="1298448"/>
                                </a:lnTo>
                                <a:lnTo>
                                  <a:pt x="1103376" y="1243583"/>
                                </a:lnTo>
                                <a:lnTo>
                                  <a:pt x="1155191" y="1216152"/>
                                </a:lnTo>
                                <a:lnTo>
                                  <a:pt x="1210056" y="1182624"/>
                                </a:lnTo>
                                <a:lnTo>
                                  <a:pt x="1267968" y="1149096"/>
                                </a:lnTo>
                                <a:lnTo>
                                  <a:pt x="1328927" y="1112520"/>
                                </a:lnTo>
                                <a:lnTo>
                                  <a:pt x="1392936" y="1072896"/>
                                </a:lnTo>
                                <a:lnTo>
                                  <a:pt x="1463039" y="1030224"/>
                                </a:lnTo>
                                <a:lnTo>
                                  <a:pt x="1499615" y="1008887"/>
                                </a:lnTo>
                                <a:lnTo>
                                  <a:pt x="1536191" y="984503"/>
                                </a:lnTo>
                                <a:lnTo>
                                  <a:pt x="1575815" y="957072"/>
                                </a:lnTo>
                                <a:lnTo>
                                  <a:pt x="1618488" y="932687"/>
                                </a:lnTo>
                                <a:lnTo>
                                  <a:pt x="1658112" y="905255"/>
                                </a:lnTo>
                                <a:lnTo>
                                  <a:pt x="1703832" y="877824"/>
                                </a:lnTo>
                                <a:lnTo>
                                  <a:pt x="1792224" y="819911"/>
                                </a:lnTo>
                                <a:lnTo>
                                  <a:pt x="1886712" y="758951"/>
                                </a:lnTo>
                                <a:lnTo>
                                  <a:pt x="1981200" y="694944"/>
                                </a:lnTo>
                                <a:lnTo>
                                  <a:pt x="2081784" y="630935"/>
                                </a:lnTo>
                                <a:lnTo>
                                  <a:pt x="2182368" y="563879"/>
                                </a:lnTo>
                                <a:lnTo>
                                  <a:pt x="2286000" y="496824"/>
                                </a:lnTo>
                                <a:lnTo>
                                  <a:pt x="2389632" y="426720"/>
                                </a:lnTo>
                                <a:lnTo>
                                  <a:pt x="2596896" y="289559"/>
                                </a:lnTo>
                                <a:lnTo>
                                  <a:pt x="2700528" y="222503"/>
                                </a:lnTo>
                                <a:lnTo>
                                  <a:pt x="2901696" y="88391"/>
                                </a:lnTo>
                                <a:lnTo>
                                  <a:pt x="2999232" y="27431"/>
                                </a:lnTo>
                                <a:lnTo>
                                  <a:pt x="3005328" y="21335"/>
                                </a:lnTo>
                                <a:lnTo>
                                  <a:pt x="3005328" y="15239"/>
                                </a:lnTo>
                                <a:lnTo>
                                  <a:pt x="2999232" y="3048"/>
                                </a:lnTo>
                                <a:lnTo>
                                  <a:pt x="2990088" y="0"/>
                                </a:lnTo>
                                <a:close/>
                              </a:path>
                            </a:pathLst>
                          </a:custGeom>
                          <a:solidFill>
                            <a:srgbClr val="497DBA"/>
                          </a:solidFill>
                        </wps:spPr>
                        <wps:bodyPr wrap="square" lIns="0" tIns="0" rIns="0" bIns="0" rtlCol="0">
                          <a:prstTxWarp prst="textNoShape">
                            <a:avLst/>
                          </a:prstTxWarp>
                          <a:noAutofit/>
                        </wps:bodyPr>
                      </wps:wsp>
                      <wps:wsp>
                        <wps:cNvPr id="481" name="Graphic 481"/>
                        <wps:cNvSpPr/>
                        <wps:spPr>
                          <a:xfrm>
                            <a:off x="128015" y="365759"/>
                            <a:ext cx="2984500" cy="1880870"/>
                          </a:xfrm>
                          <a:custGeom>
                            <a:avLst/>
                            <a:gdLst/>
                            <a:ahLst/>
                            <a:cxnLst/>
                            <a:rect l="l" t="t" r="r" b="b"/>
                            <a:pathLst>
                              <a:path w="2984500" h="1880870">
                                <a:moveTo>
                                  <a:pt x="2983992" y="0"/>
                                </a:moveTo>
                                <a:lnTo>
                                  <a:pt x="2977896" y="0"/>
                                </a:lnTo>
                                <a:lnTo>
                                  <a:pt x="3048" y="1871472"/>
                                </a:lnTo>
                                <a:lnTo>
                                  <a:pt x="0" y="1877568"/>
                                </a:lnTo>
                                <a:lnTo>
                                  <a:pt x="6096" y="1880615"/>
                                </a:lnTo>
                                <a:lnTo>
                                  <a:pt x="2983992" y="6096"/>
                                </a:lnTo>
                                <a:lnTo>
                                  <a:pt x="2983992"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3636264" y="1551432"/>
                            <a:ext cx="253365" cy="24765"/>
                          </a:xfrm>
                          <a:custGeom>
                            <a:avLst/>
                            <a:gdLst/>
                            <a:ahLst/>
                            <a:cxnLst/>
                            <a:rect l="l" t="t" r="r" b="b"/>
                            <a:pathLst>
                              <a:path w="253365" h="24765">
                                <a:moveTo>
                                  <a:pt x="246887" y="0"/>
                                </a:moveTo>
                                <a:lnTo>
                                  <a:pt x="12192" y="0"/>
                                </a:lnTo>
                                <a:lnTo>
                                  <a:pt x="6096" y="0"/>
                                </a:lnTo>
                                <a:lnTo>
                                  <a:pt x="0" y="3048"/>
                                </a:lnTo>
                                <a:lnTo>
                                  <a:pt x="0" y="18287"/>
                                </a:lnTo>
                                <a:lnTo>
                                  <a:pt x="6096" y="24383"/>
                                </a:lnTo>
                                <a:lnTo>
                                  <a:pt x="246887" y="24383"/>
                                </a:lnTo>
                                <a:lnTo>
                                  <a:pt x="252984" y="18287"/>
                                </a:lnTo>
                                <a:lnTo>
                                  <a:pt x="252984" y="3048"/>
                                </a:lnTo>
                                <a:lnTo>
                                  <a:pt x="246887" y="0"/>
                                </a:lnTo>
                                <a:close/>
                              </a:path>
                            </a:pathLst>
                          </a:custGeom>
                          <a:solidFill>
                            <a:srgbClr val="497DBA"/>
                          </a:solidFill>
                        </wps:spPr>
                        <wps:bodyPr wrap="square" lIns="0" tIns="0" rIns="0" bIns="0" rtlCol="0">
                          <a:prstTxWarp prst="textNoShape">
                            <a:avLst/>
                          </a:prstTxWarp>
                          <a:noAutofit/>
                        </wps:bodyPr>
                      </wps:wsp>
                      <wps:wsp>
                        <wps:cNvPr id="483" name="Graphic 483"/>
                        <wps:cNvSpPr/>
                        <wps:spPr>
                          <a:xfrm>
                            <a:off x="3646868" y="1777237"/>
                            <a:ext cx="233679" cy="8890"/>
                          </a:xfrm>
                          <a:custGeom>
                            <a:avLst/>
                            <a:gdLst/>
                            <a:ahLst/>
                            <a:cxnLst/>
                            <a:rect l="l" t="t" r="r" b="b"/>
                            <a:pathLst>
                              <a:path w="233679" h="8890">
                                <a:moveTo>
                                  <a:pt x="233349" y="2540"/>
                                </a:moveTo>
                                <a:lnTo>
                                  <a:pt x="233222" y="2540"/>
                                </a:lnTo>
                                <a:lnTo>
                                  <a:pt x="233222" y="0"/>
                                </a:lnTo>
                                <a:lnTo>
                                  <a:pt x="63" y="0"/>
                                </a:lnTo>
                                <a:lnTo>
                                  <a:pt x="63" y="2540"/>
                                </a:lnTo>
                                <a:lnTo>
                                  <a:pt x="0" y="8890"/>
                                </a:lnTo>
                                <a:lnTo>
                                  <a:pt x="233349" y="8890"/>
                                </a:lnTo>
                                <a:lnTo>
                                  <a:pt x="233349" y="2540"/>
                                </a:lnTo>
                                <a:close/>
                              </a:path>
                            </a:pathLst>
                          </a:custGeom>
                          <a:solidFill>
                            <a:srgbClr val="000000"/>
                          </a:solidFill>
                        </wps:spPr>
                        <wps:bodyPr wrap="square" lIns="0" tIns="0" rIns="0" bIns="0" rtlCol="0">
                          <a:prstTxWarp prst="textNoShape">
                            <a:avLst/>
                          </a:prstTxWarp>
                          <a:noAutofit/>
                        </wps:bodyPr>
                      </wps:wsp>
                      <wps:wsp>
                        <wps:cNvPr id="484" name="Textbox 484"/>
                        <wps:cNvSpPr txBox="1"/>
                        <wps:spPr>
                          <a:xfrm>
                            <a:off x="2005583" y="245028"/>
                            <a:ext cx="1010285" cy="266700"/>
                          </a:xfrm>
                          <a:prstGeom prst="rect">
                            <a:avLst/>
                          </a:prstGeom>
                        </wps:spPr>
                        <wps:txbx>
                          <w:txbxContent>
                            <w:p>
                              <w:pPr>
                                <w:spacing w:line="192" w:lineRule="exact" w:before="0"/>
                                <w:ind w:left="0" w:right="18" w:firstLine="0"/>
                                <w:jc w:val="center"/>
                                <w:rPr>
                                  <w:rFonts w:ascii="Calibri"/>
                                  <w:sz w:val="19"/>
                                </w:rPr>
                              </w:pPr>
                              <w:r>
                                <w:rPr>
                                  <w:rFonts w:ascii="Calibri"/>
                                  <w:sz w:val="19"/>
                                </w:rPr>
                                <w:t>y</w:t>
                              </w:r>
                              <w:r>
                                <w:rPr>
                                  <w:rFonts w:ascii="Calibri"/>
                                  <w:spacing w:val="-9"/>
                                  <w:sz w:val="19"/>
                                </w:rPr>
                                <w:t> </w:t>
                              </w:r>
                              <w:r>
                                <w:rPr>
                                  <w:rFonts w:ascii="Calibri"/>
                                  <w:sz w:val="19"/>
                                </w:rPr>
                                <w:t>=</w:t>
                              </w:r>
                              <w:r>
                                <w:rPr>
                                  <w:rFonts w:ascii="Calibri"/>
                                  <w:spacing w:val="-7"/>
                                  <w:sz w:val="19"/>
                                </w:rPr>
                                <w:t> </w:t>
                              </w:r>
                              <w:r>
                                <w:rPr>
                                  <w:rFonts w:ascii="Calibri"/>
                                  <w:sz w:val="19"/>
                                </w:rPr>
                                <w:t>0.0395x</w:t>
                              </w:r>
                              <w:r>
                                <w:rPr>
                                  <w:rFonts w:ascii="Calibri"/>
                                  <w:spacing w:val="-1"/>
                                  <w:sz w:val="19"/>
                                </w:rPr>
                                <w:t> </w:t>
                              </w:r>
                              <w:r>
                                <w:rPr>
                                  <w:rFonts w:ascii="Calibri"/>
                                  <w:sz w:val="19"/>
                                </w:rPr>
                                <w:t>+</w:t>
                              </w:r>
                              <w:r>
                                <w:rPr>
                                  <w:rFonts w:ascii="Calibri"/>
                                  <w:spacing w:val="-6"/>
                                  <w:sz w:val="19"/>
                                </w:rPr>
                                <w:t> </w:t>
                              </w:r>
                              <w:r>
                                <w:rPr>
                                  <w:rFonts w:ascii="Calibri"/>
                                  <w:spacing w:val="-2"/>
                                  <w:sz w:val="19"/>
                                </w:rPr>
                                <w:t>0.1317</w:t>
                              </w:r>
                            </w:p>
                            <w:p>
                              <w:pPr>
                                <w:spacing w:line="228" w:lineRule="exact" w:before="0"/>
                                <w:ind w:left="0" w:right="28" w:firstLine="0"/>
                                <w:jc w:val="center"/>
                                <w:rPr>
                                  <w:rFonts w:ascii="Calibri" w:hAnsi="Calibri"/>
                                  <w:sz w:val="19"/>
                                </w:rPr>
                              </w:pPr>
                              <w:r>
                                <w:rPr>
                                  <w:rFonts w:ascii="Calibri" w:hAnsi="Calibri"/>
                                  <w:sz w:val="19"/>
                                </w:rPr>
                                <w:t>R²</w:t>
                              </w:r>
                              <w:r>
                                <w:rPr>
                                  <w:rFonts w:ascii="Calibri" w:hAnsi="Calibri"/>
                                  <w:spacing w:val="-3"/>
                                  <w:sz w:val="19"/>
                                </w:rPr>
                                <w:t> </w:t>
                              </w:r>
                              <w:r>
                                <w:rPr>
                                  <w:rFonts w:ascii="Calibri" w:hAnsi="Calibri"/>
                                  <w:sz w:val="19"/>
                                </w:rPr>
                                <w:t>=</w:t>
                              </w:r>
                              <w:r>
                                <w:rPr>
                                  <w:rFonts w:ascii="Calibri" w:hAnsi="Calibri"/>
                                  <w:spacing w:val="-3"/>
                                  <w:sz w:val="19"/>
                                </w:rPr>
                                <w:t> </w:t>
                              </w:r>
                              <w:r>
                                <w:rPr>
                                  <w:rFonts w:ascii="Calibri" w:hAnsi="Calibri"/>
                                  <w:spacing w:val="-2"/>
                                  <w:sz w:val="19"/>
                                </w:rPr>
                                <w:t>0.998</w:t>
                              </w:r>
                            </w:p>
                          </w:txbxContent>
                        </wps:txbx>
                        <wps:bodyPr wrap="square" lIns="0" tIns="0" rIns="0" bIns="0" rtlCol="0">
                          <a:noAutofit/>
                        </wps:bodyPr>
                      </wps:wsp>
                    </wpg:wgp>
                  </a:graphicData>
                </a:graphic>
              </wp:anchor>
            </w:drawing>
          </mc:Choice>
          <mc:Fallback>
            <w:pict>
              <v:group style="position:absolute;margin-left:161.520004pt;margin-top:5.937783pt;width:306.25pt;height:235pt;mso-position-horizontal-relative:page;mso-position-vertical-relative:paragraph;z-index:15777792" id="docshapegroup460" coordorigin="3230,119" coordsize="6125,4700">
                <v:shape style="position:absolute;left:3230;top:118;width:5871;height:4700" id="docshape461" coordorigin="3230,119" coordsize="5871,4700" path="m9101,4760l9096,4760,9096,4751,3298,4751,3298,124,3288,124,3288,119,3230,119,3230,133,3283,133,3283,892,3230,892,3230,906,3283,906,3283,1664,3230,1664,3230,1679,3283,1679,3283,2437,3230,2437,3230,2447,3283,2447,3283,3205,3230,3205,3230,3220,3283,3220,3283,3978,3230,3978,3230,3992,3283,3992,3283,4756,3230,4756,3230,4770,3283,4770,3283,4818,3298,4818,3298,4765,4253,4765,4253,4818,4267,4818,4267,4765,5218,4765,5218,4818,5232,4818,5232,4765,6187,4765,6187,4818,6202,4818,6202,4765,7152,4765,7152,4818,7166,4818,7166,4765,8122,4765,8122,4818,8136,4818,8136,4765,9086,4765,9086,4818,9101,4818,9101,4760xe" filled="true" fillcolor="#858585" stroked="false">
                  <v:path arrowok="t"/>
                  <v:fill type="solid"/>
                </v:shape>
                <v:shape style="position:absolute;left:3417;top:651;width:4733;height:2972" id="docshape462" coordorigin="3418,652" coordsize="4733,2972" path="m8126,652l8117,656,7963,757,7646,968,7483,1074,7157,1290,6994,1400,6830,1506,6672,1612,6365,1813,6216,1909,6077,2000,5942,2087,5880,2125,5818,2168,5755,2207,5698,2240,5592,2308,5486,2370,5390,2428,5304,2480,5218,2528,5136,2576,4982,2658,4848,2735,4781,2768,4718,2802,4661,2840,4603,2874,4488,2946,4435,2980,4330,3056,4243,3128,4200,3162,4162,3196,4128,3229,4061,3292,3941,3392,3883,3431,3835,3455,3816,3464,3792,3469,3754,3479,3715,3484,3682,3484,3648,3488,3614,3488,3557,3508,3533,3517,3514,3532,3494,3541,3466,3565,3446,3575,3432,3584,3422,3589,3418,3604,3427,3623,3442,3623,3470,3608,3485,3599,3518,3575,3533,3565,3571,3546,3595,3536,3619,3532,3648,3527,3682,3527,3720,3522,3763,3517,3806,3508,3830,3503,3854,3493,3878,3479,3907,3464,3965,3426,3994,3402,4022,3373,4056,3349,4152,3258,4267,3157,4358,3090,4454,3013,4512,2980,4622,2908,4738,2840,4800,2807,4867,2768,4934,2735,5002,2696,5155,2610,5237,2567,5323,2514,5414,2461,5510,2404,5611,2341,5722,2274,5779,2240,5837,2202,5899,2159,5966,2120,6029,2077,6101,2034,6240,1943,6389,1847,6538,1746,6696,1645,6854,1540,7018,1434,7181,1324,7507,1108,7670,1002,7987,791,8141,695,8150,685,8150,676,8141,656,8126,652xe" filled="true" fillcolor="#497dba" stroked="false">
                  <v:path arrowok="t"/>
                  <v:fill type="solid"/>
                </v:shape>
                <v:shape style="position:absolute;left:3432;top:694;width:4700;height:2962" id="docshape463" coordorigin="3432,695" coordsize="4700,2962" path="m8131,695l8122,695,3437,3642,3432,3652,3442,3656,8131,704,8131,695xe" filled="true" fillcolor="#000000" stroked="false">
                  <v:path arrowok="t"/>
                  <v:fill type="solid"/>
                </v:shape>
                <v:shape style="position:absolute;left:8956;top:2561;width:399;height:39" id="docshape464" coordorigin="8957,2562" coordsize="399,39" path="m9346,2562l8976,2562,8966,2562,8957,2567,8957,2591,8966,2600,9346,2600,9355,2591,9355,2567,9346,2562xe" filled="true" fillcolor="#497dba" stroked="false">
                  <v:path arrowok="t"/>
                  <v:fill type="solid"/>
                </v:shape>
                <v:shape style="position:absolute;left:8973;top:2917;width:368;height:14" id="docshape465" coordorigin="8974,2918" coordsize="368,14" path="m9341,2922l9341,2922,9341,2918,8974,2918,8974,2922,8974,2932,9341,2932,9341,2922xe" filled="true" fillcolor="#000000" stroked="false">
                  <v:path arrowok="t"/>
                  <v:fill type="solid"/>
                </v:shape>
                <v:shape style="position:absolute;left:6388;top:504;width:1591;height:420" type="#_x0000_t202" id="docshape466" filled="false" stroked="false">
                  <v:textbox inset="0,0,0,0">
                    <w:txbxContent>
                      <w:p>
                        <w:pPr>
                          <w:spacing w:line="192" w:lineRule="exact" w:before="0"/>
                          <w:ind w:left="0" w:right="18" w:firstLine="0"/>
                          <w:jc w:val="center"/>
                          <w:rPr>
                            <w:rFonts w:ascii="Calibri"/>
                            <w:sz w:val="19"/>
                          </w:rPr>
                        </w:pPr>
                        <w:r>
                          <w:rPr>
                            <w:rFonts w:ascii="Calibri"/>
                            <w:sz w:val="19"/>
                          </w:rPr>
                          <w:t>y</w:t>
                        </w:r>
                        <w:r>
                          <w:rPr>
                            <w:rFonts w:ascii="Calibri"/>
                            <w:spacing w:val="-9"/>
                            <w:sz w:val="19"/>
                          </w:rPr>
                          <w:t> </w:t>
                        </w:r>
                        <w:r>
                          <w:rPr>
                            <w:rFonts w:ascii="Calibri"/>
                            <w:sz w:val="19"/>
                          </w:rPr>
                          <w:t>=</w:t>
                        </w:r>
                        <w:r>
                          <w:rPr>
                            <w:rFonts w:ascii="Calibri"/>
                            <w:spacing w:val="-7"/>
                            <w:sz w:val="19"/>
                          </w:rPr>
                          <w:t> </w:t>
                        </w:r>
                        <w:r>
                          <w:rPr>
                            <w:rFonts w:ascii="Calibri"/>
                            <w:sz w:val="19"/>
                          </w:rPr>
                          <w:t>0.0395x</w:t>
                        </w:r>
                        <w:r>
                          <w:rPr>
                            <w:rFonts w:ascii="Calibri"/>
                            <w:spacing w:val="-1"/>
                            <w:sz w:val="19"/>
                          </w:rPr>
                          <w:t> </w:t>
                        </w:r>
                        <w:r>
                          <w:rPr>
                            <w:rFonts w:ascii="Calibri"/>
                            <w:sz w:val="19"/>
                          </w:rPr>
                          <w:t>+</w:t>
                        </w:r>
                        <w:r>
                          <w:rPr>
                            <w:rFonts w:ascii="Calibri"/>
                            <w:spacing w:val="-6"/>
                            <w:sz w:val="19"/>
                          </w:rPr>
                          <w:t> </w:t>
                        </w:r>
                        <w:r>
                          <w:rPr>
                            <w:rFonts w:ascii="Calibri"/>
                            <w:spacing w:val="-2"/>
                            <w:sz w:val="19"/>
                          </w:rPr>
                          <w:t>0.1317</w:t>
                        </w:r>
                      </w:p>
                      <w:p>
                        <w:pPr>
                          <w:spacing w:line="228" w:lineRule="exact" w:before="0"/>
                          <w:ind w:left="0" w:right="28" w:firstLine="0"/>
                          <w:jc w:val="center"/>
                          <w:rPr>
                            <w:rFonts w:ascii="Calibri" w:hAnsi="Calibri"/>
                            <w:sz w:val="19"/>
                          </w:rPr>
                        </w:pPr>
                        <w:r>
                          <w:rPr>
                            <w:rFonts w:ascii="Calibri" w:hAnsi="Calibri"/>
                            <w:sz w:val="19"/>
                          </w:rPr>
                          <w:t>R²</w:t>
                        </w:r>
                        <w:r>
                          <w:rPr>
                            <w:rFonts w:ascii="Calibri" w:hAnsi="Calibri"/>
                            <w:spacing w:val="-3"/>
                            <w:sz w:val="19"/>
                          </w:rPr>
                          <w:t> </w:t>
                        </w:r>
                        <w:r>
                          <w:rPr>
                            <w:rFonts w:ascii="Calibri" w:hAnsi="Calibri"/>
                            <w:sz w:val="19"/>
                          </w:rPr>
                          <w:t>=</w:t>
                        </w:r>
                        <w:r>
                          <w:rPr>
                            <w:rFonts w:ascii="Calibri" w:hAnsi="Calibri"/>
                            <w:spacing w:val="-3"/>
                            <w:sz w:val="19"/>
                          </w:rPr>
                          <w:t> </w:t>
                        </w:r>
                        <w:r>
                          <w:rPr>
                            <w:rFonts w:ascii="Calibri" w:hAnsi="Calibri"/>
                            <w:spacing w:val="-2"/>
                            <w:sz w:val="19"/>
                          </w:rPr>
                          <w:t>0.998</w:t>
                        </w:r>
                      </w:p>
                    </w:txbxContent>
                  </v:textbox>
                  <w10:wrap type="none"/>
                </v:shape>
                <w10:wrap type="none"/>
              </v:group>
            </w:pict>
          </mc:Fallback>
        </mc:AlternateContent>
      </w:r>
      <w:r>
        <w:rPr>
          <w:rFonts w:ascii="Calibri"/>
          <w:spacing w:val="-5"/>
          <w:sz w:val="19"/>
        </w:rPr>
        <w:t>0.6</w:t>
      </w:r>
    </w:p>
    <w:p>
      <w:pPr>
        <w:pStyle w:val="BodyText"/>
        <w:rPr>
          <w:rFonts w:ascii="Calibri"/>
          <w:sz w:val="19"/>
        </w:rPr>
      </w:pPr>
    </w:p>
    <w:p>
      <w:pPr>
        <w:pStyle w:val="BodyText"/>
        <w:spacing w:before="77"/>
        <w:rPr>
          <w:rFonts w:ascii="Calibri"/>
          <w:sz w:val="19"/>
        </w:rPr>
      </w:pPr>
    </w:p>
    <w:p>
      <w:pPr>
        <w:spacing w:before="0"/>
        <w:ind w:left="1155" w:right="0" w:firstLine="0"/>
        <w:jc w:val="left"/>
        <w:rPr>
          <w:rFonts w:ascii="Calibri"/>
          <w:sz w:val="19"/>
        </w:rPr>
      </w:pPr>
      <w:r>
        <w:rPr>
          <w:rFonts w:ascii="Calibri"/>
          <w:spacing w:val="-5"/>
          <w:sz w:val="19"/>
        </w:rPr>
        <w:t>0.5</w:t>
      </w:r>
    </w:p>
    <w:p>
      <w:pPr>
        <w:pStyle w:val="BodyText"/>
        <w:rPr>
          <w:rFonts w:ascii="Calibri"/>
          <w:sz w:val="19"/>
        </w:rPr>
      </w:pPr>
    </w:p>
    <w:p>
      <w:pPr>
        <w:pStyle w:val="BodyText"/>
        <w:spacing w:before="77"/>
        <w:rPr>
          <w:rFonts w:ascii="Calibri"/>
          <w:sz w:val="19"/>
        </w:rPr>
      </w:pPr>
    </w:p>
    <w:p>
      <w:pPr>
        <w:spacing w:before="0"/>
        <w:ind w:left="1155" w:right="0" w:firstLine="0"/>
        <w:jc w:val="left"/>
        <w:rPr>
          <w:rFonts w:ascii="Calibri"/>
          <w:sz w:val="19"/>
        </w:rPr>
      </w:pPr>
      <w:r>
        <w:rPr/>
        <mc:AlternateContent>
          <mc:Choice Requires="wps">
            <w:drawing>
              <wp:anchor distT="0" distB="0" distL="0" distR="0" allowOverlap="1" layoutInCell="1" locked="0" behindDoc="0" simplePos="0" relativeHeight="15778304">
                <wp:simplePos x="0" y="0"/>
                <wp:positionH relativeFrom="page">
                  <wp:posOffset>1655745</wp:posOffset>
                </wp:positionH>
                <wp:positionV relativeFrom="paragraph">
                  <wp:posOffset>128550</wp:posOffset>
                </wp:positionV>
                <wp:extent cx="146050" cy="88011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46050" cy="880110"/>
                        </a:xfrm>
                        <a:prstGeom prst="rect">
                          <a:avLst/>
                        </a:prstGeom>
                      </wps:spPr>
                      <wps:txbx>
                        <w:txbxContent>
                          <w:p>
                            <w:pPr>
                              <w:spacing w:line="213" w:lineRule="exact" w:before="0"/>
                              <w:ind w:left="20" w:right="0" w:firstLine="0"/>
                              <w:jc w:val="left"/>
                              <w:rPr>
                                <w:rFonts w:ascii="Calibri"/>
                                <w:b/>
                                <w:sz w:val="19"/>
                              </w:rPr>
                            </w:pPr>
                            <w:r>
                              <w:rPr>
                                <w:rFonts w:ascii="Calibri"/>
                                <w:b/>
                                <w:spacing w:val="-2"/>
                                <w:sz w:val="19"/>
                              </w:rPr>
                              <w:t>Absorbance</w:t>
                            </w:r>
                            <w:r>
                              <w:rPr>
                                <w:rFonts w:ascii="Calibri"/>
                                <w:b/>
                                <w:spacing w:val="-1"/>
                                <w:sz w:val="19"/>
                              </w:rPr>
                              <w:t> </w:t>
                            </w:r>
                            <w:r>
                              <w:rPr>
                                <w:rFonts w:ascii="Calibri"/>
                                <w:b/>
                                <w:spacing w:val="-4"/>
                                <w:sz w:val="19"/>
                              </w:rPr>
                              <w:t>(nm)</w:t>
                            </w:r>
                          </w:p>
                        </w:txbxContent>
                      </wps:txbx>
                      <wps:bodyPr wrap="square" lIns="0" tIns="0" rIns="0" bIns="0" rtlCol="0" vert="vert270">
                        <a:noAutofit/>
                      </wps:bodyPr>
                    </wps:wsp>
                  </a:graphicData>
                </a:graphic>
              </wp:anchor>
            </w:drawing>
          </mc:Choice>
          <mc:Fallback>
            <w:pict>
              <v:shape style="position:absolute;margin-left:130.373672pt;margin-top:10.122059pt;width:11.5pt;height:69.3pt;mso-position-horizontal-relative:page;mso-position-vertical-relative:paragraph;z-index:15778304" type="#_x0000_t202" id="docshape467" filled="false" stroked="false">
                <v:textbox inset="0,0,0,0" style="layout-flow:vertical;mso-layout-flow-alt:bottom-to-top">
                  <w:txbxContent>
                    <w:p>
                      <w:pPr>
                        <w:spacing w:line="213" w:lineRule="exact" w:before="0"/>
                        <w:ind w:left="20" w:right="0" w:firstLine="0"/>
                        <w:jc w:val="left"/>
                        <w:rPr>
                          <w:rFonts w:ascii="Calibri"/>
                          <w:b/>
                          <w:sz w:val="19"/>
                        </w:rPr>
                      </w:pPr>
                      <w:r>
                        <w:rPr>
                          <w:rFonts w:ascii="Calibri"/>
                          <w:b/>
                          <w:spacing w:val="-2"/>
                          <w:sz w:val="19"/>
                        </w:rPr>
                        <w:t>Absorbance</w:t>
                      </w:r>
                      <w:r>
                        <w:rPr>
                          <w:rFonts w:ascii="Calibri"/>
                          <w:b/>
                          <w:spacing w:val="-1"/>
                          <w:sz w:val="19"/>
                        </w:rPr>
                        <w:t> </w:t>
                      </w:r>
                      <w:r>
                        <w:rPr>
                          <w:rFonts w:ascii="Calibri"/>
                          <w:b/>
                          <w:spacing w:val="-4"/>
                          <w:sz w:val="19"/>
                        </w:rPr>
                        <w:t>(nm)</w:t>
                      </w:r>
                    </w:p>
                  </w:txbxContent>
                </v:textbox>
                <w10:wrap type="none"/>
              </v:shape>
            </w:pict>
          </mc:Fallback>
        </mc:AlternateContent>
      </w:r>
      <w:r>
        <w:rPr>
          <w:rFonts w:ascii="Calibri"/>
          <w:spacing w:val="-5"/>
          <w:sz w:val="19"/>
        </w:rPr>
        <w:t>0.4</w:t>
      </w:r>
    </w:p>
    <w:p>
      <w:pPr>
        <w:pStyle w:val="BodyText"/>
        <w:spacing w:before="235"/>
        <w:rPr>
          <w:rFonts w:ascii="Calibri"/>
          <w:sz w:val="20"/>
        </w:rPr>
      </w:pPr>
    </w:p>
    <w:p>
      <w:pPr>
        <w:spacing w:after="0"/>
        <w:rPr>
          <w:rFonts w:ascii="Calibri"/>
          <w:sz w:val="20"/>
        </w:rPr>
        <w:sectPr>
          <w:pgSz w:w="12240" w:h="15840"/>
          <w:pgMar w:header="0" w:footer="999" w:top="1820" w:bottom="1180" w:left="1720" w:right="760"/>
        </w:sectPr>
      </w:pPr>
    </w:p>
    <w:p>
      <w:pPr>
        <w:spacing w:before="62"/>
        <w:ind w:left="0" w:right="38" w:firstLine="0"/>
        <w:jc w:val="right"/>
        <w:rPr>
          <w:rFonts w:ascii="Calibri"/>
          <w:sz w:val="19"/>
        </w:rPr>
      </w:pPr>
      <w:r>
        <w:rPr>
          <w:rFonts w:ascii="Calibri"/>
          <w:spacing w:val="-5"/>
          <w:sz w:val="19"/>
        </w:rPr>
        <w:t>0.3</w:t>
      </w:r>
    </w:p>
    <w:p>
      <w:pPr>
        <w:pStyle w:val="BodyText"/>
        <w:rPr>
          <w:rFonts w:ascii="Calibri"/>
          <w:sz w:val="19"/>
        </w:rPr>
      </w:pPr>
    </w:p>
    <w:p>
      <w:pPr>
        <w:pStyle w:val="BodyText"/>
        <w:spacing w:before="76"/>
        <w:rPr>
          <w:rFonts w:ascii="Calibri"/>
          <w:sz w:val="19"/>
        </w:rPr>
      </w:pPr>
    </w:p>
    <w:p>
      <w:pPr>
        <w:spacing w:before="1"/>
        <w:ind w:left="0" w:right="38" w:firstLine="0"/>
        <w:jc w:val="right"/>
        <w:rPr>
          <w:rFonts w:ascii="Calibri"/>
          <w:sz w:val="19"/>
        </w:rPr>
      </w:pPr>
      <w:r>
        <w:rPr>
          <w:rFonts w:ascii="Calibri"/>
          <w:spacing w:val="-5"/>
          <w:sz w:val="19"/>
        </w:rPr>
        <w:t>0.2</w:t>
      </w:r>
    </w:p>
    <w:p>
      <w:pPr>
        <w:spacing w:before="201"/>
        <w:ind w:left="1155" w:right="0" w:firstLine="0"/>
        <w:jc w:val="left"/>
        <w:rPr>
          <w:rFonts w:ascii="Calibri"/>
          <w:sz w:val="19"/>
        </w:rPr>
      </w:pPr>
      <w:r>
        <w:rPr/>
        <w:br w:type="column"/>
      </w:r>
      <w:r>
        <w:rPr>
          <w:rFonts w:ascii="Calibri"/>
          <w:spacing w:val="-2"/>
          <w:sz w:val="19"/>
        </w:rPr>
        <w:t>Series1</w:t>
      </w:r>
    </w:p>
    <w:p>
      <w:pPr>
        <w:spacing w:before="109"/>
        <w:ind w:left="1155" w:right="0" w:firstLine="0"/>
        <w:jc w:val="left"/>
        <w:rPr>
          <w:rFonts w:ascii="Calibri"/>
          <w:sz w:val="19"/>
        </w:rPr>
      </w:pPr>
      <w:r>
        <w:rPr>
          <w:rFonts w:ascii="Calibri"/>
          <w:spacing w:val="-2"/>
          <w:sz w:val="19"/>
        </w:rPr>
        <w:t>Linear</w:t>
      </w:r>
      <w:r>
        <w:rPr>
          <w:rFonts w:ascii="Calibri"/>
          <w:sz w:val="19"/>
        </w:rPr>
        <w:t> </w:t>
      </w:r>
      <w:r>
        <w:rPr>
          <w:rFonts w:ascii="Calibri"/>
          <w:spacing w:val="-2"/>
          <w:sz w:val="19"/>
        </w:rPr>
        <w:t>(Series1)</w:t>
      </w:r>
    </w:p>
    <w:p>
      <w:pPr>
        <w:spacing w:after="0"/>
        <w:jc w:val="left"/>
        <w:rPr>
          <w:rFonts w:ascii="Calibri"/>
          <w:sz w:val="19"/>
        </w:rPr>
        <w:sectPr>
          <w:type w:val="continuous"/>
          <w:pgSz w:w="12240" w:h="15840"/>
          <w:pgMar w:header="0" w:footer="999" w:top="1780" w:bottom="1180" w:left="1720" w:right="760"/>
          <w:cols w:num="2" w:equalWidth="0">
            <w:col w:w="1436" w:space="5064"/>
            <w:col w:w="3260"/>
          </w:cols>
        </w:sectPr>
      </w:pPr>
    </w:p>
    <w:p>
      <w:pPr>
        <w:pStyle w:val="BodyText"/>
        <w:rPr>
          <w:rFonts w:ascii="Calibri"/>
          <w:sz w:val="19"/>
        </w:rPr>
      </w:pPr>
    </w:p>
    <w:p>
      <w:pPr>
        <w:pStyle w:val="BodyText"/>
        <w:spacing w:before="76"/>
        <w:rPr>
          <w:rFonts w:ascii="Calibri"/>
          <w:sz w:val="19"/>
        </w:rPr>
      </w:pPr>
    </w:p>
    <w:p>
      <w:pPr>
        <w:spacing w:before="1"/>
        <w:ind w:left="1155" w:right="0" w:firstLine="0"/>
        <w:jc w:val="left"/>
        <w:rPr>
          <w:rFonts w:ascii="Calibri"/>
          <w:sz w:val="19"/>
        </w:rPr>
      </w:pPr>
      <w:r>
        <w:rPr>
          <w:rFonts w:ascii="Calibri"/>
          <w:spacing w:val="-5"/>
          <w:sz w:val="19"/>
        </w:rPr>
        <w:t>0.1</w:t>
      </w:r>
    </w:p>
    <w:p>
      <w:pPr>
        <w:pStyle w:val="BodyText"/>
        <w:rPr>
          <w:rFonts w:ascii="Calibri"/>
          <w:sz w:val="19"/>
        </w:rPr>
      </w:pPr>
    </w:p>
    <w:p>
      <w:pPr>
        <w:pStyle w:val="BodyText"/>
        <w:spacing w:before="72"/>
        <w:rPr>
          <w:rFonts w:ascii="Calibri"/>
          <w:sz w:val="19"/>
        </w:rPr>
      </w:pPr>
    </w:p>
    <w:p>
      <w:pPr>
        <w:spacing w:before="0"/>
        <w:ind w:left="1299" w:right="0" w:firstLine="0"/>
        <w:jc w:val="left"/>
        <w:rPr>
          <w:rFonts w:ascii="Calibri"/>
          <w:sz w:val="19"/>
        </w:rPr>
      </w:pPr>
      <w:r>
        <w:rPr>
          <w:rFonts w:ascii="Calibri"/>
          <w:spacing w:val="-10"/>
          <w:sz w:val="19"/>
        </w:rPr>
        <w:t>0</w:t>
      </w:r>
    </w:p>
    <w:p>
      <w:pPr>
        <w:tabs>
          <w:tab w:pos="2489" w:val="left" w:leader="none"/>
          <w:tab w:pos="3454" w:val="left" w:leader="none"/>
          <w:tab w:pos="4423" w:val="left" w:leader="none"/>
          <w:tab w:pos="5393" w:val="left" w:leader="none"/>
          <w:tab w:pos="6310" w:val="left" w:leader="none"/>
          <w:tab w:pos="7279" w:val="left" w:leader="none"/>
        </w:tabs>
        <w:spacing w:before="13"/>
        <w:ind w:left="1520" w:right="0" w:firstLine="0"/>
        <w:jc w:val="left"/>
        <w:rPr>
          <w:rFonts w:ascii="Calibri"/>
          <w:sz w:val="19"/>
        </w:rPr>
      </w:pPr>
      <w:r>
        <w:rPr>
          <w:rFonts w:ascii="Calibri"/>
          <w:spacing w:val="-10"/>
          <w:sz w:val="19"/>
        </w:rPr>
        <w:t>0</w:t>
      </w:r>
      <w:r>
        <w:rPr>
          <w:rFonts w:ascii="Calibri"/>
          <w:sz w:val="19"/>
        </w:rPr>
        <w:tab/>
      </w:r>
      <w:r>
        <w:rPr>
          <w:rFonts w:ascii="Calibri"/>
          <w:spacing w:val="-10"/>
          <w:sz w:val="19"/>
        </w:rPr>
        <w:t>2</w:t>
      </w:r>
      <w:r>
        <w:rPr>
          <w:rFonts w:ascii="Calibri"/>
          <w:sz w:val="19"/>
        </w:rPr>
        <w:tab/>
      </w:r>
      <w:r>
        <w:rPr>
          <w:rFonts w:ascii="Calibri"/>
          <w:spacing w:val="-10"/>
          <w:sz w:val="19"/>
        </w:rPr>
        <w:t>4</w:t>
      </w:r>
      <w:r>
        <w:rPr>
          <w:rFonts w:ascii="Calibri"/>
          <w:sz w:val="19"/>
        </w:rPr>
        <w:tab/>
      </w:r>
      <w:r>
        <w:rPr>
          <w:rFonts w:ascii="Calibri"/>
          <w:spacing w:val="-10"/>
          <w:sz w:val="19"/>
        </w:rPr>
        <w:t>6</w:t>
      </w:r>
      <w:r>
        <w:rPr>
          <w:rFonts w:ascii="Calibri"/>
          <w:sz w:val="19"/>
        </w:rPr>
        <w:tab/>
      </w:r>
      <w:r>
        <w:rPr>
          <w:rFonts w:ascii="Calibri"/>
          <w:spacing w:val="-10"/>
          <w:sz w:val="19"/>
        </w:rPr>
        <w:t>8</w:t>
      </w:r>
      <w:r>
        <w:rPr>
          <w:rFonts w:ascii="Calibri"/>
          <w:sz w:val="19"/>
        </w:rPr>
        <w:tab/>
      </w:r>
      <w:r>
        <w:rPr>
          <w:rFonts w:ascii="Calibri"/>
          <w:spacing w:val="-5"/>
          <w:sz w:val="19"/>
        </w:rPr>
        <w:t>10</w:t>
      </w:r>
      <w:r>
        <w:rPr>
          <w:rFonts w:ascii="Calibri"/>
          <w:sz w:val="19"/>
        </w:rPr>
        <w:tab/>
      </w:r>
      <w:r>
        <w:rPr>
          <w:rFonts w:ascii="Calibri"/>
          <w:spacing w:val="-5"/>
          <w:sz w:val="19"/>
        </w:rPr>
        <w:t>12</w:t>
      </w:r>
    </w:p>
    <w:p>
      <w:pPr>
        <w:spacing w:before="56"/>
        <w:ind w:left="3593" w:right="0" w:firstLine="0"/>
        <w:jc w:val="left"/>
        <w:rPr>
          <w:rFonts w:ascii="Calibri" w:hAnsi="Calibri"/>
          <w:b/>
          <w:sz w:val="19"/>
        </w:rPr>
      </w:pPr>
      <w:r>
        <w:rPr>
          <w:rFonts w:ascii="Calibri" w:hAnsi="Calibri"/>
          <w:b/>
          <w:spacing w:val="-2"/>
          <w:sz w:val="19"/>
        </w:rPr>
        <w:t>Concentration</w:t>
      </w:r>
      <w:r>
        <w:rPr>
          <w:rFonts w:ascii="Calibri" w:hAnsi="Calibri"/>
          <w:b/>
          <w:spacing w:val="-3"/>
          <w:sz w:val="19"/>
        </w:rPr>
        <w:t> </w:t>
      </w:r>
      <w:r>
        <w:rPr>
          <w:rFonts w:ascii="Calibri" w:hAnsi="Calibri"/>
          <w:b/>
          <w:spacing w:val="-2"/>
          <w:sz w:val="19"/>
        </w:rPr>
        <w:t>(µg/ml)</w:t>
      </w:r>
    </w:p>
    <w:p>
      <w:pPr>
        <w:pStyle w:val="BodyText"/>
        <w:rPr>
          <w:rFonts w:ascii="Calibri"/>
          <w:b/>
        </w:rPr>
      </w:pPr>
    </w:p>
    <w:p>
      <w:pPr>
        <w:pStyle w:val="BodyText"/>
        <w:rPr>
          <w:rFonts w:ascii="Calibri"/>
          <w:b/>
        </w:rPr>
      </w:pPr>
    </w:p>
    <w:p>
      <w:pPr>
        <w:pStyle w:val="BodyText"/>
        <w:spacing w:before="118"/>
        <w:rPr>
          <w:rFonts w:ascii="Calibri"/>
          <w:b/>
        </w:rPr>
      </w:pPr>
    </w:p>
    <w:p>
      <w:pPr>
        <w:spacing w:before="1"/>
        <w:ind w:left="665" w:right="0" w:firstLine="0"/>
        <w:jc w:val="left"/>
        <w:rPr>
          <w:b/>
          <w:sz w:val="22"/>
        </w:rPr>
      </w:pPr>
      <w:r>
        <w:rPr>
          <w:b/>
          <w:sz w:val="22"/>
        </w:rPr>
        <w:t>Figure</w:t>
      </w:r>
      <w:r>
        <w:rPr>
          <w:b/>
          <w:spacing w:val="14"/>
          <w:sz w:val="22"/>
        </w:rPr>
        <w:t> </w:t>
      </w:r>
      <w:r>
        <w:rPr>
          <w:b/>
          <w:sz w:val="22"/>
        </w:rPr>
        <w:t>A.</w:t>
      </w:r>
      <w:r>
        <w:rPr>
          <w:b/>
          <w:spacing w:val="3"/>
          <w:sz w:val="22"/>
        </w:rPr>
        <w:t> </w:t>
      </w:r>
      <w:r>
        <w:rPr>
          <w:b/>
          <w:sz w:val="22"/>
        </w:rPr>
        <w:t>21:</w:t>
      </w:r>
      <w:r>
        <w:rPr>
          <w:b/>
          <w:spacing w:val="16"/>
          <w:sz w:val="22"/>
        </w:rPr>
        <w:t> </w:t>
      </w:r>
      <w:r>
        <w:rPr>
          <w:b/>
          <w:sz w:val="22"/>
        </w:rPr>
        <w:t>Graph</w:t>
      </w:r>
      <w:r>
        <w:rPr>
          <w:b/>
          <w:spacing w:val="7"/>
          <w:sz w:val="22"/>
        </w:rPr>
        <w:t> </w:t>
      </w:r>
      <w:r>
        <w:rPr>
          <w:b/>
          <w:sz w:val="22"/>
        </w:rPr>
        <w:t>of</w:t>
      </w:r>
      <w:r>
        <w:rPr>
          <w:b/>
          <w:spacing w:val="15"/>
          <w:sz w:val="22"/>
        </w:rPr>
        <w:t> </w:t>
      </w:r>
      <w:r>
        <w:rPr>
          <w:b/>
          <w:sz w:val="22"/>
        </w:rPr>
        <w:t>Absorbance</w:t>
      </w:r>
      <w:r>
        <w:rPr>
          <w:b/>
          <w:spacing w:val="8"/>
          <w:sz w:val="22"/>
        </w:rPr>
        <w:t> </w:t>
      </w:r>
      <w:r>
        <w:rPr>
          <w:b/>
          <w:sz w:val="22"/>
        </w:rPr>
        <w:t>(nm)</w:t>
      </w:r>
      <w:r>
        <w:rPr>
          <w:b/>
          <w:spacing w:val="10"/>
          <w:sz w:val="22"/>
        </w:rPr>
        <w:t> </w:t>
      </w:r>
      <w:r>
        <w:rPr>
          <w:b/>
          <w:sz w:val="22"/>
        </w:rPr>
        <w:t>against</w:t>
      </w:r>
      <w:r>
        <w:rPr>
          <w:b/>
          <w:spacing w:val="15"/>
          <w:sz w:val="22"/>
        </w:rPr>
        <w:t> </w:t>
      </w:r>
      <w:r>
        <w:rPr>
          <w:b/>
          <w:sz w:val="22"/>
        </w:rPr>
        <w:t>Concentration</w:t>
      </w:r>
      <w:r>
        <w:rPr>
          <w:b/>
          <w:spacing w:val="18"/>
          <w:sz w:val="22"/>
        </w:rPr>
        <w:t> </w:t>
      </w:r>
      <w:r>
        <w:rPr>
          <w:b/>
          <w:sz w:val="22"/>
        </w:rPr>
        <w:t>(µg/ml)</w:t>
      </w:r>
      <w:r>
        <w:rPr>
          <w:b/>
          <w:spacing w:val="21"/>
          <w:sz w:val="22"/>
        </w:rPr>
        <w:t> </w:t>
      </w:r>
      <w:r>
        <w:rPr>
          <w:b/>
          <w:spacing w:val="-5"/>
          <w:sz w:val="22"/>
        </w:rPr>
        <w:t>for</w:t>
      </w:r>
    </w:p>
    <w:p>
      <w:pPr>
        <w:spacing w:before="1"/>
        <w:ind w:left="2023" w:right="0" w:firstLine="0"/>
        <w:jc w:val="left"/>
        <w:rPr>
          <w:b/>
          <w:sz w:val="22"/>
        </w:rPr>
      </w:pPr>
      <w:r>
        <w:rPr>
          <w:b/>
          <w:spacing w:val="-2"/>
          <w:sz w:val="22"/>
        </w:rPr>
        <w:t>metronidazole.</w:t>
      </w:r>
    </w:p>
    <w:p>
      <w:pPr>
        <w:spacing w:after="0"/>
        <w:jc w:val="left"/>
        <w:rPr>
          <w:sz w:val="22"/>
        </w:rPr>
        <w:sectPr>
          <w:type w:val="continuous"/>
          <w:pgSz w:w="12240" w:h="15840"/>
          <w:pgMar w:header="0" w:footer="999" w:top="1780" w:bottom="1180" w:left="1720" w:right="760"/>
        </w:sectPr>
      </w:pPr>
    </w:p>
    <w:p>
      <w:pPr>
        <w:pStyle w:val="ListParagraph"/>
        <w:numPr>
          <w:ilvl w:val="1"/>
          <w:numId w:val="38"/>
        </w:numPr>
        <w:tabs>
          <w:tab w:pos="1342" w:val="left" w:leader="none"/>
        </w:tabs>
        <w:spacing w:line="240" w:lineRule="auto" w:before="80" w:after="0"/>
        <w:ind w:left="1342" w:right="0" w:hanging="677"/>
        <w:jc w:val="left"/>
        <w:rPr>
          <w:b/>
          <w:sz w:val="22"/>
        </w:rPr>
      </w:pPr>
      <w:r>
        <w:rPr>
          <w:b/>
          <w:sz w:val="22"/>
        </w:rPr>
        <w:t>Dissolution</w:t>
      </w:r>
      <w:r>
        <w:rPr>
          <w:b/>
          <w:spacing w:val="9"/>
          <w:sz w:val="22"/>
        </w:rPr>
        <w:t> </w:t>
      </w:r>
      <w:r>
        <w:rPr>
          <w:b/>
          <w:sz w:val="22"/>
        </w:rPr>
        <w:t>Test</w:t>
      </w:r>
      <w:r>
        <w:rPr>
          <w:b/>
          <w:spacing w:val="12"/>
          <w:sz w:val="22"/>
        </w:rPr>
        <w:t> </w:t>
      </w:r>
      <w:r>
        <w:rPr>
          <w:b/>
          <w:sz w:val="22"/>
        </w:rPr>
        <w:t>Results</w:t>
      </w:r>
      <w:r>
        <w:rPr>
          <w:b/>
          <w:spacing w:val="8"/>
          <w:sz w:val="22"/>
        </w:rPr>
        <w:t> </w:t>
      </w:r>
      <w:r>
        <w:rPr>
          <w:b/>
          <w:sz w:val="22"/>
        </w:rPr>
        <w:t>for</w:t>
      </w:r>
      <w:r>
        <w:rPr>
          <w:b/>
          <w:spacing w:val="5"/>
          <w:sz w:val="22"/>
        </w:rPr>
        <w:t> </w:t>
      </w:r>
      <w:r>
        <w:rPr>
          <w:b/>
          <w:sz w:val="22"/>
        </w:rPr>
        <w:t>7.5</w:t>
      </w:r>
      <w:r>
        <w:rPr>
          <w:b/>
          <w:spacing w:val="11"/>
          <w:sz w:val="22"/>
        </w:rPr>
        <w:t> </w:t>
      </w:r>
      <w:r>
        <w:rPr>
          <w:b/>
          <w:sz w:val="22"/>
        </w:rPr>
        <w:t>%</w:t>
      </w:r>
      <w:r>
        <w:rPr>
          <w:b/>
          <w:spacing w:val="10"/>
          <w:sz w:val="22"/>
        </w:rPr>
        <w:t> </w:t>
      </w:r>
      <w:r>
        <w:rPr>
          <w:b/>
          <w:sz w:val="22"/>
        </w:rPr>
        <w:t>w/v</w:t>
      </w:r>
      <w:r>
        <w:rPr>
          <w:b/>
          <w:spacing w:val="8"/>
          <w:sz w:val="22"/>
        </w:rPr>
        <w:t> </w:t>
      </w:r>
      <w:r>
        <w:rPr>
          <w:b/>
          <w:sz w:val="22"/>
        </w:rPr>
        <w:t>Binder</w:t>
      </w:r>
      <w:r>
        <w:rPr>
          <w:b/>
          <w:spacing w:val="10"/>
          <w:sz w:val="22"/>
        </w:rPr>
        <w:t> </w:t>
      </w:r>
      <w:r>
        <w:rPr>
          <w:b/>
          <w:spacing w:val="-2"/>
          <w:sz w:val="22"/>
        </w:rPr>
        <w:t>Concentration</w:t>
      </w:r>
    </w:p>
    <w:p>
      <w:pPr>
        <w:pStyle w:val="BodyText"/>
        <w:spacing w:before="226"/>
        <w:rPr>
          <w:b/>
          <w:sz w:val="20"/>
        </w:rPr>
      </w:pPr>
      <w:r>
        <w:rPr/>
        <mc:AlternateContent>
          <mc:Choice Requires="wps">
            <w:drawing>
              <wp:anchor distT="0" distB="0" distL="0" distR="0" allowOverlap="1" layoutInCell="1" locked="0" behindDoc="1" simplePos="0" relativeHeight="487638016">
                <wp:simplePos x="0" y="0"/>
                <wp:positionH relativeFrom="page">
                  <wp:posOffset>1450848</wp:posOffset>
                </wp:positionH>
                <wp:positionV relativeFrom="paragraph">
                  <wp:posOffset>304787</wp:posOffset>
                </wp:positionV>
                <wp:extent cx="5206365" cy="635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5206365" cy="6350"/>
                        </a:xfrm>
                        <a:custGeom>
                          <a:avLst/>
                          <a:gdLst/>
                          <a:ahLst/>
                          <a:cxnLst/>
                          <a:rect l="l" t="t" r="r" b="b"/>
                          <a:pathLst>
                            <a:path w="5206365" h="6350">
                              <a:moveTo>
                                <a:pt x="1246619" y="0"/>
                              </a:moveTo>
                              <a:lnTo>
                                <a:pt x="0" y="0"/>
                              </a:lnTo>
                              <a:lnTo>
                                <a:pt x="0" y="6096"/>
                              </a:lnTo>
                              <a:lnTo>
                                <a:pt x="1246619" y="6096"/>
                              </a:lnTo>
                              <a:lnTo>
                                <a:pt x="1246619" y="0"/>
                              </a:lnTo>
                              <a:close/>
                            </a:path>
                            <a:path w="5206365" h="6350">
                              <a:moveTo>
                                <a:pt x="3907523" y="0"/>
                              </a:moveTo>
                              <a:lnTo>
                                <a:pt x="2542032" y="0"/>
                              </a:lnTo>
                              <a:lnTo>
                                <a:pt x="2535936" y="0"/>
                              </a:lnTo>
                              <a:lnTo>
                                <a:pt x="1252728" y="0"/>
                              </a:lnTo>
                              <a:lnTo>
                                <a:pt x="1246632" y="0"/>
                              </a:lnTo>
                              <a:lnTo>
                                <a:pt x="1246632" y="6096"/>
                              </a:lnTo>
                              <a:lnTo>
                                <a:pt x="1252728" y="6096"/>
                              </a:lnTo>
                              <a:lnTo>
                                <a:pt x="2535936" y="6096"/>
                              </a:lnTo>
                              <a:lnTo>
                                <a:pt x="2542032" y="6096"/>
                              </a:lnTo>
                              <a:lnTo>
                                <a:pt x="3907523" y="6096"/>
                              </a:lnTo>
                              <a:lnTo>
                                <a:pt x="3907523" y="0"/>
                              </a:lnTo>
                              <a:close/>
                            </a:path>
                            <a:path w="5206365" h="6350">
                              <a:moveTo>
                                <a:pt x="5205971" y="0"/>
                              </a:moveTo>
                              <a:lnTo>
                                <a:pt x="3913632" y="0"/>
                              </a:lnTo>
                              <a:lnTo>
                                <a:pt x="3907536" y="0"/>
                              </a:lnTo>
                              <a:lnTo>
                                <a:pt x="3907536" y="6096"/>
                              </a:lnTo>
                              <a:lnTo>
                                <a:pt x="3913632" y="6096"/>
                              </a:lnTo>
                              <a:lnTo>
                                <a:pt x="5205971" y="6096"/>
                              </a:lnTo>
                              <a:lnTo>
                                <a:pt x="520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240005pt;margin-top:23.998991pt;width:409.95pt;height:.5pt;mso-position-horizontal-relative:page;mso-position-vertical-relative:paragraph;z-index:-15678464;mso-wrap-distance-left:0;mso-wrap-distance-right:0" id="docshape468" coordorigin="2285,480" coordsize="8199,10" path="m4248,480l2285,480,2285,490,4248,490,4248,480xm8438,480l6288,480,6278,480,4258,480,4248,480,4248,490,4258,490,6278,490,6288,490,8438,490,8438,480xm10483,480l8448,480,8438,480,8438,490,8448,490,10483,490,10483,480xe" filled="true" fillcolor="#000000" stroked="false">
                <v:path arrowok="t"/>
                <v:fill type="solid"/>
                <w10:wrap type="topAndBottom"/>
              </v:shape>
            </w:pict>
          </mc:Fallback>
        </mc:AlternateContent>
      </w:r>
    </w:p>
    <w:p>
      <w:pPr>
        <w:tabs>
          <w:tab w:pos="2628" w:val="left" w:leader="none"/>
          <w:tab w:pos="4659" w:val="left" w:leader="none"/>
          <w:tab w:pos="5743" w:val="left" w:leader="none"/>
          <w:tab w:pos="6814" w:val="left" w:leader="none"/>
        </w:tabs>
        <w:spacing w:before="6"/>
        <w:ind w:left="665" w:right="0" w:firstLine="0"/>
        <w:jc w:val="left"/>
        <w:rPr>
          <w:b/>
          <w:sz w:val="22"/>
        </w:rPr>
      </w:pPr>
      <w:r>
        <w:rPr>
          <w:b/>
          <w:sz w:val="22"/>
        </w:rPr>
        <w:t>Time</w:t>
      </w:r>
      <w:r>
        <w:rPr>
          <w:b/>
          <w:spacing w:val="9"/>
          <w:sz w:val="22"/>
        </w:rPr>
        <w:t> </w:t>
      </w:r>
      <w:r>
        <w:rPr>
          <w:b/>
          <w:spacing w:val="-2"/>
          <w:sz w:val="22"/>
        </w:rPr>
        <w:t>(min)</w:t>
      </w:r>
      <w:r>
        <w:rPr>
          <w:b/>
          <w:sz w:val="22"/>
        </w:rPr>
        <w:tab/>
      </w:r>
      <w:r>
        <w:rPr>
          <w:b/>
          <w:spacing w:val="-2"/>
          <w:sz w:val="22"/>
        </w:rPr>
        <w:t>Abs(nm)</w:t>
      </w:r>
      <w:r>
        <w:rPr>
          <w:b/>
          <w:sz w:val="22"/>
        </w:rPr>
        <w:tab/>
      </w:r>
      <w:r>
        <w:rPr>
          <w:b/>
          <w:spacing w:val="-2"/>
          <w:sz w:val="22"/>
        </w:rPr>
        <w:t>Amount</w:t>
      </w:r>
      <w:r>
        <w:rPr>
          <w:b/>
          <w:sz w:val="22"/>
        </w:rPr>
        <w:tab/>
      </w:r>
      <w:r>
        <w:rPr>
          <w:b/>
          <w:spacing w:val="-2"/>
          <w:sz w:val="22"/>
        </w:rPr>
        <w:t>dissolved</w:t>
      </w:r>
      <w:r>
        <w:rPr>
          <w:b/>
          <w:sz w:val="22"/>
        </w:rPr>
        <w:tab/>
        <w:t>%</w:t>
      </w:r>
      <w:r>
        <w:rPr>
          <w:b/>
          <w:spacing w:val="10"/>
          <w:sz w:val="22"/>
        </w:rPr>
        <w:t> </w:t>
      </w:r>
      <w:r>
        <w:rPr>
          <w:b/>
          <w:sz w:val="22"/>
        </w:rPr>
        <w:t>drug</w:t>
      </w:r>
      <w:r>
        <w:rPr>
          <w:b/>
          <w:spacing w:val="12"/>
          <w:sz w:val="22"/>
        </w:rPr>
        <w:t> </w:t>
      </w:r>
      <w:r>
        <w:rPr>
          <w:b/>
          <w:spacing w:val="-2"/>
          <w:sz w:val="22"/>
        </w:rPr>
        <w:t>dissolved</w:t>
      </w:r>
    </w:p>
    <w:p>
      <w:pPr>
        <w:tabs>
          <w:tab w:pos="4659" w:val="left" w:leader="none"/>
          <w:tab w:pos="8763" w:val="left" w:leader="none"/>
        </w:tabs>
        <w:spacing w:line="254" w:lineRule="auto" w:before="11"/>
        <w:ind w:left="665" w:right="994" w:hanging="101"/>
        <w:jc w:val="left"/>
        <w:rPr>
          <w:b/>
          <w:sz w:val="22"/>
        </w:rPr>
      </w:pPr>
      <w:r>
        <w:rPr>
          <w:b/>
          <w:sz w:val="22"/>
          <w:u w:val="single"/>
        </w:rPr>
        <w:tab/>
        <w:tab/>
      </w:r>
      <w:r>
        <w:rPr>
          <w:b/>
          <w:spacing w:val="-2"/>
          <w:sz w:val="22"/>
          <w:u w:val="single"/>
        </w:rPr>
        <w:t>mg/1000ml</w:t>
      </w:r>
      <w:r>
        <w:rPr>
          <w:b/>
          <w:sz w:val="22"/>
          <w:u w:val="single"/>
        </w:rPr>
        <w:tab/>
      </w:r>
      <w:r>
        <w:rPr>
          <w:b/>
          <w:sz w:val="22"/>
        </w:rPr>
        <w:t> </w:t>
      </w:r>
      <w:r>
        <w:rPr>
          <w:b/>
          <w:spacing w:val="-2"/>
          <w:sz w:val="22"/>
          <w:u w:val="single"/>
        </w:rPr>
        <w:t>DS/MET</w:t>
      </w:r>
    </w:p>
    <w:p>
      <w:pPr>
        <w:pStyle w:val="BodyText"/>
        <w:spacing w:before="25"/>
        <w:rPr>
          <w:b/>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5"/>
        <w:gridCol w:w="1729"/>
        <w:gridCol w:w="2155"/>
        <w:gridCol w:w="2694"/>
      </w:tblGrid>
      <w:tr>
        <w:trPr>
          <w:trHeight w:val="252" w:hRule="atLeast"/>
        </w:trPr>
        <w:tc>
          <w:tcPr>
            <w:tcW w:w="1635" w:type="dxa"/>
          </w:tcPr>
          <w:p>
            <w:pPr>
              <w:pStyle w:val="TableParagraph"/>
              <w:spacing w:line="232" w:lineRule="exact"/>
              <w:ind w:left="115"/>
              <w:rPr>
                <w:sz w:val="22"/>
              </w:rPr>
            </w:pPr>
            <w:r>
              <w:rPr>
                <w:spacing w:val="-10"/>
                <w:sz w:val="22"/>
              </w:rPr>
              <w:t>5</w:t>
            </w:r>
          </w:p>
        </w:tc>
        <w:tc>
          <w:tcPr>
            <w:tcW w:w="1729" w:type="dxa"/>
          </w:tcPr>
          <w:p>
            <w:pPr>
              <w:pStyle w:val="TableParagraph"/>
              <w:spacing w:line="232" w:lineRule="exact"/>
              <w:ind w:left="443"/>
              <w:rPr>
                <w:sz w:val="22"/>
              </w:rPr>
            </w:pPr>
            <w:r>
              <w:rPr>
                <w:spacing w:val="-2"/>
                <w:sz w:val="22"/>
              </w:rPr>
              <w:t>0.345</w:t>
            </w:r>
          </w:p>
        </w:tc>
        <w:tc>
          <w:tcPr>
            <w:tcW w:w="2155" w:type="dxa"/>
          </w:tcPr>
          <w:p>
            <w:pPr>
              <w:pStyle w:val="TableParagraph"/>
              <w:spacing w:line="232" w:lineRule="exact"/>
              <w:ind w:left="61" w:right="107"/>
              <w:jc w:val="center"/>
              <w:rPr>
                <w:sz w:val="22"/>
              </w:rPr>
            </w:pPr>
            <w:r>
              <w:rPr>
                <w:spacing w:val="-2"/>
                <w:sz w:val="22"/>
              </w:rPr>
              <w:t>108.00</w:t>
            </w:r>
          </w:p>
        </w:tc>
        <w:tc>
          <w:tcPr>
            <w:tcW w:w="2694" w:type="dxa"/>
          </w:tcPr>
          <w:p>
            <w:pPr>
              <w:pStyle w:val="TableParagraph"/>
              <w:spacing w:line="232" w:lineRule="exact"/>
              <w:ind w:left="745"/>
              <w:rPr>
                <w:sz w:val="22"/>
              </w:rPr>
            </w:pPr>
            <w:r>
              <w:rPr>
                <w:spacing w:val="-2"/>
                <w:sz w:val="22"/>
              </w:rPr>
              <w:t>27.00</w:t>
            </w:r>
          </w:p>
        </w:tc>
      </w:tr>
      <w:tr>
        <w:trPr>
          <w:trHeight w:val="259" w:hRule="atLeast"/>
        </w:trPr>
        <w:tc>
          <w:tcPr>
            <w:tcW w:w="1635" w:type="dxa"/>
          </w:tcPr>
          <w:p>
            <w:pPr>
              <w:pStyle w:val="TableParagraph"/>
              <w:spacing w:line="239" w:lineRule="exact"/>
              <w:ind w:left="115"/>
              <w:rPr>
                <w:sz w:val="22"/>
              </w:rPr>
            </w:pPr>
            <w:r>
              <w:rPr>
                <w:spacing w:val="-5"/>
                <w:sz w:val="22"/>
              </w:rPr>
              <w:t>10</w:t>
            </w:r>
          </w:p>
        </w:tc>
        <w:tc>
          <w:tcPr>
            <w:tcW w:w="1729" w:type="dxa"/>
          </w:tcPr>
          <w:p>
            <w:pPr>
              <w:pStyle w:val="TableParagraph"/>
              <w:spacing w:line="239" w:lineRule="exact"/>
              <w:ind w:left="443"/>
              <w:rPr>
                <w:sz w:val="22"/>
              </w:rPr>
            </w:pPr>
            <w:r>
              <w:rPr>
                <w:spacing w:val="-2"/>
                <w:sz w:val="22"/>
              </w:rPr>
              <w:t>0.608</w:t>
            </w:r>
          </w:p>
        </w:tc>
        <w:tc>
          <w:tcPr>
            <w:tcW w:w="2155" w:type="dxa"/>
          </w:tcPr>
          <w:p>
            <w:pPr>
              <w:pStyle w:val="TableParagraph"/>
              <w:spacing w:line="239" w:lineRule="exact"/>
              <w:ind w:left="61" w:right="107"/>
              <w:jc w:val="center"/>
              <w:rPr>
                <w:sz w:val="22"/>
              </w:rPr>
            </w:pPr>
            <w:r>
              <w:rPr>
                <w:spacing w:val="-2"/>
                <w:sz w:val="22"/>
              </w:rPr>
              <w:t>241.16</w:t>
            </w:r>
          </w:p>
        </w:tc>
        <w:tc>
          <w:tcPr>
            <w:tcW w:w="2694" w:type="dxa"/>
          </w:tcPr>
          <w:p>
            <w:pPr>
              <w:pStyle w:val="TableParagraph"/>
              <w:spacing w:line="239" w:lineRule="exact"/>
              <w:ind w:left="745"/>
              <w:rPr>
                <w:sz w:val="22"/>
              </w:rPr>
            </w:pPr>
            <w:r>
              <w:rPr>
                <w:spacing w:val="-2"/>
                <w:sz w:val="22"/>
              </w:rPr>
              <w:t>60.29</w:t>
            </w:r>
          </w:p>
        </w:tc>
      </w:tr>
      <w:tr>
        <w:trPr>
          <w:trHeight w:val="259" w:hRule="atLeast"/>
        </w:trPr>
        <w:tc>
          <w:tcPr>
            <w:tcW w:w="1635" w:type="dxa"/>
          </w:tcPr>
          <w:p>
            <w:pPr>
              <w:pStyle w:val="TableParagraph"/>
              <w:spacing w:line="236" w:lineRule="exact" w:before="2"/>
              <w:ind w:left="115"/>
              <w:rPr>
                <w:sz w:val="22"/>
              </w:rPr>
            </w:pPr>
            <w:r>
              <w:rPr>
                <w:spacing w:val="-5"/>
                <w:sz w:val="22"/>
              </w:rPr>
              <w:t>15</w:t>
            </w:r>
          </w:p>
        </w:tc>
        <w:tc>
          <w:tcPr>
            <w:tcW w:w="1729" w:type="dxa"/>
          </w:tcPr>
          <w:p>
            <w:pPr>
              <w:pStyle w:val="TableParagraph"/>
              <w:spacing w:line="236" w:lineRule="exact" w:before="2"/>
              <w:ind w:left="443"/>
              <w:rPr>
                <w:sz w:val="22"/>
              </w:rPr>
            </w:pPr>
            <w:r>
              <w:rPr>
                <w:spacing w:val="-2"/>
                <w:sz w:val="22"/>
              </w:rPr>
              <w:t>0.797</w:t>
            </w:r>
          </w:p>
        </w:tc>
        <w:tc>
          <w:tcPr>
            <w:tcW w:w="2155" w:type="dxa"/>
          </w:tcPr>
          <w:p>
            <w:pPr>
              <w:pStyle w:val="TableParagraph"/>
              <w:spacing w:line="236" w:lineRule="exact" w:before="2"/>
              <w:ind w:left="61" w:right="107"/>
              <w:jc w:val="center"/>
              <w:rPr>
                <w:sz w:val="22"/>
              </w:rPr>
            </w:pPr>
            <w:r>
              <w:rPr>
                <w:spacing w:val="-2"/>
                <w:sz w:val="22"/>
              </w:rPr>
              <w:t>336.86</w:t>
            </w:r>
          </w:p>
        </w:tc>
        <w:tc>
          <w:tcPr>
            <w:tcW w:w="2694" w:type="dxa"/>
          </w:tcPr>
          <w:p>
            <w:pPr>
              <w:pStyle w:val="TableParagraph"/>
              <w:spacing w:line="236" w:lineRule="exact" w:before="2"/>
              <w:ind w:left="745"/>
              <w:rPr>
                <w:sz w:val="22"/>
              </w:rPr>
            </w:pPr>
            <w:r>
              <w:rPr>
                <w:spacing w:val="-2"/>
                <w:sz w:val="22"/>
              </w:rPr>
              <w:t>84.22</w:t>
            </w:r>
          </w:p>
        </w:tc>
      </w:tr>
      <w:tr>
        <w:trPr>
          <w:trHeight w:val="259" w:hRule="atLeast"/>
        </w:trPr>
        <w:tc>
          <w:tcPr>
            <w:tcW w:w="1635" w:type="dxa"/>
          </w:tcPr>
          <w:p>
            <w:pPr>
              <w:pStyle w:val="TableParagraph"/>
              <w:spacing w:line="239" w:lineRule="exact"/>
              <w:ind w:left="115"/>
              <w:rPr>
                <w:sz w:val="22"/>
              </w:rPr>
            </w:pPr>
            <w:r>
              <w:rPr>
                <w:spacing w:val="-5"/>
                <w:sz w:val="22"/>
              </w:rPr>
              <w:t>20</w:t>
            </w:r>
          </w:p>
        </w:tc>
        <w:tc>
          <w:tcPr>
            <w:tcW w:w="1729" w:type="dxa"/>
          </w:tcPr>
          <w:p>
            <w:pPr>
              <w:pStyle w:val="TableParagraph"/>
              <w:spacing w:line="239" w:lineRule="exact"/>
              <w:ind w:left="443"/>
              <w:rPr>
                <w:sz w:val="22"/>
              </w:rPr>
            </w:pPr>
            <w:r>
              <w:rPr>
                <w:spacing w:val="-2"/>
                <w:sz w:val="22"/>
              </w:rPr>
              <w:t>0.898</w:t>
            </w:r>
          </w:p>
        </w:tc>
        <w:tc>
          <w:tcPr>
            <w:tcW w:w="2155" w:type="dxa"/>
          </w:tcPr>
          <w:p>
            <w:pPr>
              <w:pStyle w:val="TableParagraph"/>
              <w:spacing w:line="239" w:lineRule="exact"/>
              <w:ind w:left="61" w:right="107"/>
              <w:jc w:val="center"/>
              <w:rPr>
                <w:sz w:val="22"/>
              </w:rPr>
            </w:pPr>
            <w:r>
              <w:rPr>
                <w:spacing w:val="-2"/>
                <w:sz w:val="22"/>
              </w:rPr>
              <w:t>388.00</w:t>
            </w:r>
          </w:p>
        </w:tc>
        <w:tc>
          <w:tcPr>
            <w:tcW w:w="2694" w:type="dxa"/>
          </w:tcPr>
          <w:p>
            <w:pPr>
              <w:pStyle w:val="TableParagraph"/>
              <w:spacing w:line="239" w:lineRule="exact"/>
              <w:ind w:left="745"/>
              <w:rPr>
                <w:sz w:val="22"/>
              </w:rPr>
            </w:pPr>
            <w:r>
              <w:rPr>
                <w:spacing w:val="-2"/>
                <w:sz w:val="22"/>
              </w:rPr>
              <w:t>97.00</w:t>
            </w:r>
          </w:p>
        </w:tc>
      </w:tr>
      <w:tr>
        <w:trPr>
          <w:trHeight w:val="259" w:hRule="atLeast"/>
        </w:trPr>
        <w:tc>
          <w:tcPr>
            <w:tcW w:w="1635" w:type="dxa"/>
          </w:tcPr>
          <w:p>
            <w:pPr>
              <w:pStyle w:val="TableParagraph"/>
              <w:spacing w:line="236" w:lineRule="exact" w:before="2"/>
              <w:ind w:left="115"/>
              <w:rPr>
                <w:sz w:val="22"/>
              </w:rPr>
            </w:pPr>
            <w:r>
              <w:rPr>
                <w:spacing w:val="-5"/>
                <w:sz w:val="22"/>
              </w:rPr>
              <w:t>25</w:t>
            </w:r>
          </w:p>
        </w:tc>
        <w:tc>
          <w:tcPr>
            <w:tcW w:w="1729" w:type="dxa"/>
          </w:tcPr>
          <w:p>
            <w:pPr>
              <w:pStyle w:val="TableParagraph"/>
              <w:spacing w:line="236" w:lineRule="exact" w:before="2"/>
              <w:ind w:left="443"/>
              <w:rPr>
                <w:sz w:val="22"/>
              </w:rPr>
            </w:pPr>
            <w:r>
              <w:rPr>
                <w:spacing w:val="-2"/>
                <w:sz w:val="22"/>
              </w:rPr>
              <w:t>0.925</w:t>
            </w:r>
          </w:p>
        </w:tc>
        <w:tc>
          <w:tcPr>
            <w:tcW w:w="2155" w:type="dxa"/>
          </w:tcPr>
          <w:p>
            <w:pPr>
              <w:pStyle w:val="TableParagraph"/>
              <w:spacing w:line="236" w:lineRule="exact" w:before="2"/>
              <w:ind w:left="61" w:right="107"/>
              <w:jc w:val="center"/>
              <w:rPr>
                <w:sz w:val="22"/>
              </w:rPr>
            </w:pPr>
            <w:r>
              <w:rPr>
                <w:spacing w:val="-2"/>
                <w:sz w:val="22"/>
              </w:rPr>
              <w:t>400.00</w:t>
            </w:r>
          </w:p>
        </w:tc>
        <w:tc>
          <w:tcPr>
            <w:tcW w:w="2694" w:type="dxa"/>
          </w:tcPr>
          <w:p>
            <w:pPr>
              <w:pStyle w:val="TableParagraph"/>
              <w:spacing w:line="236" w:lineRule="exact" w:before="2"/>
              <w:ind w:left="745"/>
              <w:rPr>
                <w:sz w:val="22"/>
              </w:rPr>
            </w:pPr>
            <w:r>
              <w:rPr>
                <w:spacing w:val="-2"/>
                <w:sz w:val="22"/>
              </w:rPr>
              <w:t>100.00</w:t>
            </w:r>
          </w:p>
        </w:tc>
      </w:tr>
      <w:tr>
        <w:trPr>
          <w:trHeight w:val="388" w:hRule="atLeast"/>
        </w:trPr>
        <w:tc>
          <w:tcPr>
            <w:tcW w:w="1635" w:type="dxa"/>
          </w:tcPr>
          <w:p>
            <w:pPr>
              <w:pStyle w:val="TableParagraph"/>
              <w:spacing w:line="251" w:lineRule="exact"/>
              <w:ind w:left="115"/>
              <w:rPr>
                <w:sz w:val="22"/>
              </w:rPr>
            </w:pPr>
            <w:r>
              <w:rPr>
                <w:spacing w:val="-5"/>
                <w:sz w:val="22"/>
              </w:rPr>
              <w:t>30</w:t>
            </w:r>
          </w:p>
        </w:tc>
        <w:tc>
          <w:tcPr>
            <w:tcW w:w="1729" w:type="dxa"/>
          </w:tcPr>
          <w:p>
            <w:pPr>
              <w:pStyle w:val="TableParagraph"/>
              <w:spacing w:line="251" w:lineRule="exact"/>
              <w:ind w:left="443"/>
              <w:rPr>
                <w:sz w:val="22"/>
              </w:rPr>
            </w:pPr>
            <w:r>
              <w:rPr>
                <w:spacing w:val="-2"/>
                <w:sz w:val="22"/>
              </w:rPr>
              <w:t>0.914</w:t>
            </w:r>
          </w:p>
        </w:tc>
        <w:tc>
          <w:tcPr>
            <w:tcW w:w="2155" w:type="dxa"/>
          </w:tcPr>
          <w:p>
            <w:pPr>
              <w:pStyle w:val="TableParagraph"/>
              <w:spacing w:line="251" w:lineRule="exact"/>
              <w:ind w:left="61" w:right="107"/>
              <w:jc w:val="center"/>
              <w:rPr>
                <w:sz w:val="22"/>
              </w:rPr>
            </w:pPr>
            <w:r>
              <w:rPr>
                <w:spacing w:val="-2"/>
                <w:sz w:val="22"/>
              </w:rPr>
              <w:t>396.10</w:t>
            </w:r>
          </w:p>
        </w:tc>
        <w:tc>
          <w:tcPr>
            <w:tcW w:w="2694" w:type="dxa"/>
          </w:tcPr>
          <w:p>
            <w:pPr>
              <w:pStyle w:val="TableParagraph"/>
              <w:spacing w:line="251" w:lineRule="exact"/>
              <w:ind w:left="745"/>
              <w:rPr>
                <w:sz w:val="22"/>
              </w:rPr>
            </w:pPr>
            <w:r>
              <w:rPr>
                <w:spacing w:val="-2"/>
                <w:sz w:val="22"/>
              </w:rPr>
              <w:t>99.03</w:t>
            </w:r>
          </w:p>
        </w:tc>
      </w:tr>
      <w:tr>
        <w:trPr>
          <w:trHeight w:val="520" w:hRule="atLeast"/>
        </w:trPr>
        <w:tc>
          <w:tcPr>
            <w:tcW w:w="1635" w:type="dxa"/>
          </w:tcPr>
          <w:p>
            <w:pPr>
              <w:pStyle w:val="TableParagraph"/>
              <w:spacing w:before="132"/>
              <w:ind w:left="115"/>
              <w:rPr>
                <w:b/>
                <w:sz w:val="22"/>
              </w:rPr>
            </w:pPr>
            <w:r>
              <w:rPr>
                <w:b/>
                <w:spacing w:val="-2"/>
                <w:sz w:val="22"/>
                <w:u w:val="single"/>
              </w:rPr>
              <w:t>MCS/MET</w:t>
            </w:r>
          </w:p>
        </w:tc>
        <w:tc>
          <w:tcPr>
            <w:tcW w:w="1729" w:type="dxa"/>
          </w:tcPr>
          <w:p>
            <w:pPr>
              <w:pStyle w:val="TableParagraph"/>
              <w:rPr>
                <w:sz w:val="22"/>
              </w:rPr>
            </w:pPr>
          </w:p>
        </w:tc>
        <w:tc>
          <w:tcPr>
            <w:tcW w:w="2155" w:type="dxa"/>
          </w:tcPr>
          <w:p>
            <w:pPr>
              <w:pStyle w:val="TableParagraph"/>
              <w:rPr>
                <w:sz w:val="22"/>
              </w:rPr>
            </w:pPr>
          </w:p>
        </w:tc>
        <w:tc>
          <w:tcPr>
            <w:tcW w:w="2694" w:type="dxa"/>
          </w:tcPr>
          <w:p>
            <w:pPr>
              <w:pStyle w:val="TableParagraph"/>
              <w:rPr>
                <w:sz w:val="22"/>
              </w:rPr>
            </w:pPr>
          </w:p>
        </w:tc>
      </w:tr>
      <w:tr>
        <w:trPr>
          <w:trHeight w:val="388" w:hRule="atLeast"/>
        </w:trPr>
        <w:tc>
          <w:tcPr>
            <w:tcW w:w="1635" w:type="dxa"/>
          </w:tcPr>
          <w:p>
            <w:pPr>
              <w:pStyle w:val="TableParagraph"/>
              <w:spacing w:line="239" w:lineRule="exact" w:before="130"/>
              <w:ind w:left="115"/>
              <w:rPr>
                <w:sz w:val="22"/>
              </w:rPr>
            </w:pPr>
            <w:r>
              <w:rPr>
                <w:spacing w:val="-10"/>
                <w:sz w:val="22"/>
              </w:rPr>
              <w:t>5</w:t>
            </w:r>
          </w:p>
        </w:tc>
        <w:tc>
          <w:tcPr>
            <w:tcW w:w="1729" w:type="dxa"/>
          </w:tcPr>
          <w:p>
            <w:pPr>
              <w:pStyle w:val="TableParagraph"/>
              <w:spacing w:line="239" w:lineRule="exact" w:before="130"/>
              <w:ind w:left="481"/>
              <w:rPr>
                <w:sz w:val="22"/>
              </w:rPr>
            </w:pPr>
            <w:r>
              <w:rPr>
                <w:spacing w:val="-2"/>
                <w:sz w:val="22"/>
              </w:rPr>
              <w:t>0.459</w:t>
            </w:r>
          </w:p>
        </w:tc>
        <w:tc>
          <w:tcPr>
            <w:tcW w:w="2155" w:type="dxa"/>
          </w:tcPr>
          <w:p>
            <w:pPr>
              <w:pStyle w:val="TableParagraph"/>
              <w:spacing w:line="239" w:lineRule="exact" w:before="130"/>
              <w:ind w:left="112" w:right="51"/>
              <w:jc w:val="center"/>
              <w:rPr>
                <w:sz w:val="22"/>
              </w:rPr>
            </w:pPr>
            <w:r>
              <w:rPr>
                <w:spacing w:val="-2"/>
                <w:sz w:val="22"/>
              </w:rPr>
              <w:t>165.72</w:t>
            </w:r>
          </w:p>
        </w:tc>
        <w:tc>
          <w:tcPr>
            <w:tcW w:w="2694" w:type="dxa"/>
          </w:tcPr>
          <w:p>
            <w:pPr>
              <w:pStyle w:val="TableParagraph"/>
              <w:spacing w:line="239" w:lineRule="exact" w:before="130"/>
              <w:ind w:left="735"/>
              <w:rPr>
                <w:sz w:val="22"/>
              </w:rPr>
            </w:pPr>
            <w:r>
              <w:rPr>
                <w:spacing w:val="-2"/>
                <w:sz w:val="22"/>
              </w:rPr>
              <w:t>41.43</w:t>
            </w:r>
          </w:p>
        </w:tc>
      </w:tr>
      <w:tr>
        <w:trPr>
          <w:trHeight w:val="259" w:hRule="atLeast"/>
        </w:trPr>
        <w:tc>
          <w:tcPr>
            <w:tcW w:w="1635" w:type="dxa"/>
          </w:tcPr>
          <w:p>
            <w:pPr>
              <w:pStyle w:val="TableParagraph"/>
              <w:spacing w:line="239" w:lineRule="exact"/>
              <w:ind w:left="115"/>
              <w:rPr>
                <w:sz w:val="22"/>
              </w:rPr>
            </w:pPr>
            <w:r>
              <w:rPr>
                <w:spacing w:val="-5"/>
                <w:sz w:val="22"/>
              </w:rPr>
              <w:t>10</w:t>
            </w:r>
          </w:p>
        </w:tc>
        <w:tc>
          <w:tcPr>
            <w:tcW w:w="1729" w:type="dxa"/>
          </w:tcPr>
          <w:p>
            <w:pPr>
              <w:pStyle w:val="TableParagraph"/>
              <w:spacing w:line="239" w:lineRule="exact"/>
              <w:ind w:left="481"/>
              <w:rPr>
                <w:sz w:val="22"/>
              </w:rPr>
            </w:pPr>
            <w:r>
              <w:rPr>
                <w:spacing w:val="-2"/>
                <w:sz w:val="22"/>
              </w:rPr>
              <w:t>0.585</w:t>
            </w:r>
          </w:p>
        </w:tc>
        <w:tc>
          <w:tcPr>
            <w:tcW w:w="2155" w:type="dxa"/>
          </w:tcPr>
          <w:p>
            <w:pPr>
              <w:pStyle w:val="TableParagraph"/>
              <w:spacing w:line="239" w:lineRule="exact"/>
              <w:ind w:left="112" w:right="51"/>
              <w:jc w:val="center"/>
              <w:rPr>
                <w:sz w:val="22"/>
              </w:rPr>
            </w:pPr>
            <w:r>
              <w:rPr>
                <w:spacing w:val="-2"/>
                <w:sz w:val="22"/>
              </w:rPr>
              <w:t>184.96</w:t>
            </w:r>
          </w:p>
        </w:tc>
        <w:tc>
          <w:tcPr>
            <w:tcW w:w="2694" w:type="dxa"/>
          </w:tcPr>
          <w:p>
            <w:pPr>
              <w:pStyle w:val="TableParagraph"/>
              <w:spacing w:line="239" w:lineRule="exact"/>
              <w:ind w:left="735"/>
              <w:rPr>
                <w:sz w:val="22"/>
              </w:rPr>
            </w:pPr>
            <w:r>
              <w:rPr>
                <w:spacing w:val="-2"/>
                <w:sz w:val="22"/>
              </w:rPr>
              <w:t>46.24</w:t>
            </w:r>
          </w:p>
        </w:tc>
      </w:tr>
      <w:tr>
        <w:trPr>
          <w:trHeight w:val="256" w:hRule="atLeast"/>
        </w:trPr>
        <w:tc>
          <w:tcPr>
            <w:tcW w:w="1635" w:type="dxa"/>
          </w:tcPr>
          <w:p>
            <w:pPr>
              <w:pStyle w:val="TableParagraph"/>
              <w:spacing w:line="236" w:lineRule="exact"/>
              <w:ind w:left="115"/>
              <w:rPr>
                <w:sz w:val="22"/>
              </w:rPr>
            </w:pPr>
            <w:r>
              <w:rPr>
                <w:spacing w:val="-5"/>
                <w:sz w:val="22"/>
              </w:rPr>
              <w:t>15</w:t>
            </w:r>
          </w:p>
        </w:tc>
        <w:tc>
          <w:tcPr>
            <w:tcW w:w="1729" w:type="dxa"/>
          </w:tcPr>
          <w:p>
            <w:pPr>
              <w:pStyle w:val="TableParagraph"/>
              <w:spacing w:line="236" w:lineRule="exact"/>
              <w:ind w:left="481"/>
              <w:rPr>
                <w:sz w:val="22"/>
              </w:rPr>
            </w:pPr>
            <w:r>
              <w:rPr>
                <w:spacing w:val="-2"/>
                <w:sz w:val="22"/>
              </w:rPr>
              <w:t>0.600</w:t>
            </w:r>
          </w:p>
        </w:tc>
        <w:tc>
          <w:tcPr>
            <w:tcW w:w="2155" w:type="dxa"/>
          </w:tcPr>
          <w:p>
            <w:pPr>
              <w:pStyle w:val="TableParagraph"/>
              <w:spacing w:line="236" w:lineRule="exact"/>
              <w:ind w:left="112" w:right="51"/>
              <w:jc w:val="center"/>
              <w:rPr>
                <w:sz w:val="22"/>
              </w:rPr>
            </w:pPr>
            <w:r>
              <w:rPr>
                <w:spacing w:val="-2"/>
                <w:sz w:val="22"/>
              </w:rPr>
              <w:t>237.11</w:t>
            </w:r>
          </w:p>
        </w:tc>
        <w:tc>
          <w:tcPr>
            <w:tcW w:w="2694" w:type="dxa"/>
          </w:tcPr>
          <w:p>
            <w:pPr>
              <w:pStyle w:val="TableParagraph"/>
              <w:spacing w:line="236" w:lineRule="exact"/>
              <w:ind w:left="735"/>
              <w:rPr>
                <w:sz w:val="22"/>
              </w:rPr>
            </w:pPr>
            <w:r>
              <w:rPr>
                <w:spacing w:val="-2"/>
                <w:sz w:val="22"/>
              </w:rPr>
              <w:t>59.28</w:t>
            </w:r>
          </w:p>
        </w:tc>
      </w:tr>
      <w:tr>
        <w:trPr>
          <w:trHeight w:val="259" w:hRule="atLeast"/>
        </w:trPr>
        <w:tc>
          <w:tcPr>
            <w:tcW w:w="1635" w:type="dxa"/>
          </w:tcPr>
          <w:p>
            <w:pPr>
              <w:pStyle w:val="TableParagraph"/>
              <w:spacing w:line="239" w:lineRule="exact"/>
              <w:ind w:left="115"/>
              <w:rPr>
                <w:sz w:val="22"/>
              </w:rPr>
            </w:pPr>
            <w:r>
              <w:rPr>
                <w:spacing w:val="-5"/>
                <w:sz w:val="22"/>
              </w:rPr>
              <w:t>20</w:t>
            </w:r>
          </w:p>
        </w:tc>
        <w:tc>
          <w:tcPr>
            <w:tcW w:w="1729" w:type="dxa"/>
          </w:tcPr>
          <w:p>
            <w:pPr>
              <w:pStyle w:val="TableParagraph"/>
              <w:spacing w:line="239" w:lineRule="exact"/>
              <w:ind w:left="481"/>
              <w:rPr>
                <w:sz w:val="22"/>
              </w:rPr>
            </w:pPr>
            <w:r>
              <w:rPr>
                <w:spacing w:val="-2"/>
                <w:sz w:val="22"/>
              </w:rPr>
              <w:t>0.692</w:t>
            </w:r>
          </w:p>
        </w:tc>
        <w:tc>
          <w:tcPr>
            <w:tcW w:w="2155" w:type="dxa"/>
          </w:tcPr>
          <w:p>
            <w:pPr>
              <w:pStyle w:val="TableParagraph"/>
              <w:spacing w:line="239" w:lineRule="exact"/>
              <w:ind w:left="112" w:right="51"/>
              <w:jc w:val="center"/>
              <w:rPr>
                <w:sz w:val="22"/>
              </w:rPr>
            </w:pPr>
            <w:r>
              <w:rPr>
                <w:spacing w:val="-2"/>
                <w:sz w:val="22"/>
              </w:rPr>
              <w:t>283.70</w:t>
            </w:r>
          </w:p>
        </w:tc>
        <w:tc>
          <w:tcPr>
            <w:tcW w:w="2694" w:type="dxa"/>
          </w:tcPr>
          <w:p>
            <w:pPr>
              <w:pStyle w:val="TableParagraph"/>
              <w:spacing w:line="239" w:lineRule="exact"/>
              <w:ind w:left="735"/>
              <w:rPr>
                <w:sz w:val="22"/>
              </w:rPr>
            </w:pPr>
            <w:r>
              <w:rPr>
                <w:spacing w:val="-2"/>
                <w:sz w:val="22"/>
              </w:rPr>
              <w:t>70.93</w:t>
            </w:r>
          </w:p>
        </w:tc>
      </w:tr>
      <w:tr>
        <w:trPr>
          <w:trHeight w:val="259" w:hRule="atLeast"/>
        </w:trPr>
        <w:tc>
          <w:tcPr>
            <w:tcW w:w="1635" w:type="dxa"/>
          </w:tcPr>
          <w:p>
            <w:pPr>
              <w:pStyle w:val="TableParagraph"/>
              <w:spacing w:line="236" w:lineRule="exact" w:before="2"/>
              <w:ind w:left="115"/>
              <w:rPr>
                <w:sz w:val="22"/>
              </w:rPr>
            </w:pPr>
            <w:r>
              <w:rPr>
                <w:spacing w:val="-5"/>
                <w:sz w:val="22"/>
              </w:rPr>
              <w:t>25</w:t>
            </w:r>
          </w:p>
        </w:tc>
        <w:tc>
          <w:tcPr>
            <w:tcW w:w="1729" w:type="dxa"/>
          </w:tcPr>
          <w:p>
            <w:pPr>
              <w:pStyle w:val="TableParagraph"/>
              <w:spacing w:line="236" w:lineRule="exact" w:before="2"/>
              <w:ind w:left="481"/>
              <w:rPr>
                <w:sz w:val="22"/>
              </w:rPr>
            </w:pPr>
            <w:r>
              <w:rPr>
                <w:spacing w:val="-2"/>
                <w:sz w:val="22"/>
              </w:rPr>
              <w:t>0.835</w:t>
            </w:r>
          </w:p>
        </w:tc>
        <w:tc>
          <w:tcPr>
            <w:tcW w:w="2155" w:type="dxa"/>
          </w:tcPr>
          <w:p>
            <w:pPr>
              <w:pStyle w:val="TableParagraph"/>
              <w:spacing w:line="236" w:lineRule="exact" w:before="2"/>
              <w:ind w:left="112" w:right="51"/>
              <w:jc w:val="center"/>
              <w:rPr>
                <w:sz w:val="22"/>
              </w:rPr>
            </w:pPr>
            <w:r>
              <w:rPr>
                <w:spacing w:val="-2"/>
                <w:sz w:val="22"/>
              </w:rPr>
              <w:t>356.10</w:t>
            </w:r>
          </w:p>
        </w:tc>
        <w:tc>
          <w:tcPr>
            <w:tcW w:w="2694" w:type="dxa"/>
          </w:tcPr>
          <w:p>
            <w:pPr>
              <w:pStyle w:val="TableParagraph"/>
              <w:spacing w:line="236" w:lineRule="exact" w:before="2"/>
              <w:ind w:left="735"/>
              <w:rPr>
                <w:sz w:val="22"/>
              </w:rPr>
            </w:pPr>
            <w:r>
              <w:rPr>
                <w:spacing w:val="-2"/>
                <w:sz w:val="22"/>
              </w:rPr>
              <w:t>89.03</w:t>
            </w:r>
          </w:p>
        </w:tc>
      </w:tr>
      <w:tr>
        <w:trPr>
          <w:trHeight w:val="388" w:hRule="atLeast"/>
        </w:trPr>
        <w:tc>
          <w:tcPr>
            <w:tcW w:w="1635" w:type="dxa"/>
          </w:tcPr>
          <w:p>
            <w:pPr>
              <w:pStyle w:val="TableParagraph"/>
              <w:spacing w:line="251" w:lineRule="exact"/>
              <w:ind w:left="115"/>
              <w:rPr>
                <w:sz w:val="22"/>
              </w:rPr>
            </w:pPr>
            <w:r>
              <w:rPr>
                <w:spacing w:val="-5"/>
                <w:sz w:val="22"/>
              </w:rPr>
              <w:t>30</w:t>
            </w:r>
          </w:p>
        </w:tc>
        <w:tc>
          <w:tcPr>
            <w:tcW w:w="1729" w:type="dxa"/>
          </w:tcPr>
          <w:p>
            <w:pPr>
              <w:pStyle w:val="TableParagraph"/>
              <w:spacing w:line="251" w:lineRule="exact"/>
              <w:ind w:left="481"/>
              <w:rPr>
                <w:sz w:val="22"/>
              </w:rPr>
            </w:pPr>
            <w:r>
              <w:rPr>
                <w:spacing w:val="-2"/>
                <w:sz w:val="22"/>
              </w:rPr>
              <w:t>0.884</w:t>
            </w:r>
          </w:p>
        </w:tc>
        <w:tc>
          <w:tcPr>
            <w:tcW w:w="2155" w:type="dxa"/>
          </w:tcPr>
          <w:p>
            <w:pPr>
              <w:pStyle w:val="TableParagraph"/>
              <w:spacing w:line="251" w:lineRule="exact"/>
              <w:ind w:left="112" w:right="51"/>
              <w:jc w:val="center"/>
              <w:rPr>
                <w:sz w:val="22"/>
              </w:rPr>
            </w:pPr>
            <w:r>
              <w:rPr>
                <w:spacing w:val="-2"/>
                <w:sz w:val="22"/>
              </w:rPr>
              <w:t>380.91</w:t>
            </w:r>
          </w:p>
        </w:tc>
        <w:tc>
          <w:tcPr>
            <w:tcW w:w="2694" w:type="dxa"/>
          </w:tcPr>
          <w:p>
            <w:pPr>
              <w:pStyle w:val="TableParagraph"/>
              <w:spacing w:line="251" w:lineRule="exact"/>
              <w:ind w:left="735"/>
              <w:rPr>
                <w:sz w:val="22"/>
              </w:rPr>
            </w:pPr>
            <w:r>
              <w:rPr>
                <w:spacing w:val="-2"/>
                <w:sz w:val="22"/>
              </w:rPr>
              <w:t>95.22</w:t>
            </w:r>
          </w:p>
        </w:tc>
      </w:tr>
      <w:tr>
        <w:trPr>
          <w:trHeight w:val="520" w:hRule="atLeast"/>
        </w:trPr>
        <w:tc>
          <w:tcPr>
            <w:tcW w:w="1635" w:type="dxa"/>
          </w:tcPr>
          <w:p>
            <w:pPr>
              <w:pStyle w:val="TableParagraph"/>
              <w:spacing w:before="132"/>
              <w:ind w:left="115"/>
              <w:rPr>
                <w:b/>
                <w:sz w:val="22"/>
              </w:rPr>
            </w:pPr>
            <w:r>
              <w:rPr>
                <w:b/>
                <w:spacing w:val="-2"/>
                <w:sz w:val="22"/>
                <w:u w:val="single"/>
              </w:rPr>
              <w:t>GEL/MET</w:t>
            </w:r>
          </w:p>
        </w:tc>
        <w:tc>
          <w:tcPr>
            <w:tcW w:w="1729" w:type="dxa"/>
          </w:tcPr>
          <w:p>
            <w:pPr>
              <w:pStyle w:val="TableParagraph"/>
              <w:rPr>
                <w:sz w:val="22"/>
              </w:rPr>
            </w:pPr>
          </w:p>
        </w:tc>
        <w:tc>
          <w:tcPr>
            <w:tcW w:w="2155" w:type="dxa"/>
          </w:tcPr>
          <w:p>
            <w:pPr>
              <w:pStyle w:val="TableParagraph"/>
              <w:rPr>
                <w:sz w:val="22"/>
              </w:rPr>
            </w:pPr>
          </w:p>
        </w:tc>
        <w:tc>
          <w:tcPr>
            <w:tcW w:w="2694" w:type="dxa"/>
          </w:tcPr>
          <w:p>
            <w:pPr>
              <w:pStyle w:val="TableParagraph"/>
              <w:rPr>
                <w:sz w:val="22"/>
              </w:rPr>
            </w:pPr>
          </w:p>
        </w:tc>
      </w:tr>
      <w:tr>
        <w:trPr>
          <w:trHeight w:val="388" w:hRule="atLeast"/>
        </w:trPr>
        <w:tc>
          <w:tcPr>
            <w:tcW w:w="1635" w:type="dxa"/>
          </w:tcPr>
          <w:p>
            <w:pPr>
              <w:pStyle w:val="TableParagraph"/>
              <w:spacing w:line="239" w:lineRule="exact" w:before="130"/>
              <w:ind w:left="115"/>
              <w:rPr>
                <w:sz w:val="22"/>
              </w:rPr>
            </w:pPr>
            <w:r>
              <w:rPr>
                <w:spacing w:val="-10"/>
                <w:sz w:val="22"/>
              </w:rPr>
              <w:t>5</w:t>
            </w:r>
          </w:p>
        </w:tc>
        <w:tc>
          <w:tcPr>
            <w:tcW w:w="1729" w:type="dxa"/>
          </w:tcPr>
          <w:p>
            <w:pPr>
              <w:pStyle w:val="TableParagraph"/>
              <w:spacing w:line="239" w:lineRule="exact" w:before="130"/>
              <w:ind w:left="481"/>
              <w:rPr>
                <w:sz w:val="22"/>
              </w:rPr>
            </w:pPr>
            <w:r>
              <w:rPr>
                <w:spacing w:val="-2"/>
                <w:sz w:val="22"/>
              </w:rPr>
              <w:t>0.223</w:t>
            </w:r>
          </w:p>
        </w:tc>
        <w:tc>
          <w:tcPr>
            <w:tcW w:w="2155" w:type="dxa"/>
          </w:tcPr>
          <w:p>
            <w:pPr>
              <w:pStyle w:val="TableParagraph"/>
              <w:spacing w:line="239" w:lineRule="exact" w:before="130"/>
              <w:ind w:left="61" w:right="112"/>
              <w:jc w:val="center"/>
              <w:rPr>
                <w:sz w:val="22"/>
              </w:rPr>
            </w:pPr>
            <w:r>
              <w:rPr>
                <w:spacing w:val="-2"/>
                <w:sz w:val="22"/>
              </w:rPr>
              <w:t>46.23</w:t>
            </w:r>
          </w:p>
        </w:tc>
        <w:tc>
          <w:tcPr>
            <w:tcW w:w="2694" w:type="dxa"/>
          </w:tcPr>
          <w:p>
            <w:pPr>
              <w:pStyle w:val="TableParagraph"/>
              <w:spacing w:line="239" w:lineRule="exact" w:before="130"/>
              <w:ind w:left="735"/>
              <w:rPr>
                <w:sz w:val="22"/>
              </w:rPr>
            </w:pPr>
            <w:r>
              <w:rPr>
                <w:spacing w:val="-2"/>
                <w:sz w:val="22"/>
              </w:rPr>
              <w:t>11.56</w:t>
            </w:r>
          </w:p>
        </w:tc>
      </w:tr>
      <w:tr>
        <w:trPr>
          <w:trHeight w:val="259" w:hRule="atLeast"/>
        </w:trPr>
        <w:tc>
          <w:tcPr>
            <w:tcW w:w="1635" w:type="dxa"/>
          </w:tcPr>
          <w:p>
            <w:pPr>
              <w:pStyle w:val="TableParagraph"/>
              <w:spacing w:line="239" w:lineRule="exact"/>
              <w:ind w:left="115"/>
              <w:rPr>
                <w:sz w:val="22"/>
              </w:rPr>
            </w:pPr>
            <w:r>
              <w:rPr>
                <w:spacing w:val="-5"/>
                <w:sz w:val="22"/>
              </w:rPr>
              <w:t>10</w:t>
            </w:r>
          </w:p>
        </w:tc>
        <w:tc>
          <w:tcPr>
            <w:tcW w:w="1729" w:type="dxa"/>
          </w:tcPr>
          <w:p>
            <w:pPr>
              <w:pStyle w:val="TableParagraph"/>
              <w:spacing w:line="239" w:lineRule="exact"/>
              <w:ind w:left="481"/>
              <w:rPr>
                <w:sz w:val="22"/>
              </w:rPr>
            </w:pPr>
            <w:r>
              <w:rPr>
                <w:spacing w:val="-2"/>
                <w:sz w:val="22"/>
              </w:rPr>
              <w:t>0.501</w:t>
            </w:r>
          </w:p>
        </w:tc>
        <w:tc>
          <w:tcPr>
            <w:tcW w:w="2155" w:type="dxa"/>
          </w:tcPr>
          <w:p>
            <w:pPr>
              <w:pStyle w:val="TableParagraph"/>
              <w:spacing w:line="239" w:lineRule="exact"/>
              <w:ind w:left="112" w:right="51"/>
              <w:jc w:val="center"/>
              <w:rPr>
                <w:sz w:val="22"/>
              </w:rPr>
            </w:pPr>
            <w:r>
              <w:rPr>
                <w:spacing w:val="-2"/>
                <w:sz w:val="22"/>
              </w:rPr>
              <w:t>186.98</w:t>
            </w:r>
          </w:p>
        </w:tc>
        <w:tc>
          <w:tcPr>
            <w:tcW w:w="2694" w:type="dxa"/>
          </w:tcPr>
          <w:p>
            <w:pPr>
              <w:pStyle w:val="TableParagraph"/>
              <w:spacing w:line="239" w:lineRule="exact"/>
              <w:ind w:left="735"/>
              <w:rPr>
                <w:sz w:val="22"/>
              </w:rPr>
            </w:pPr>
            <w:r>
              <w:rPr>
                <w:spacing w:val="-2"/>
                <w:sz w:val="22"/>
              </w:rPr>
              <w:t>46.75</w:t>
            </w:r>
          </w:p>
        </w:tc>
      </w:tr>
      <w:tr>
        <w:trPr>
          <w:trHeight w:val="259" w:hRule="atLeast"/>
        </w:trPr>
        <w:tc>
          <w:tcPr>
            <w:tcW w:w="1635" w:type="dxa"/>
          </w:tcPr>
          <w:p>
            <w:pPr>
              <w:pStyle w:val="TableParagraph"/>
              <w:spacing w:line="239" w:lineRule="exact"/>
              <w:ind w:left="115"/>
              <w:rPr>
                <w:sz w:val="22"/>
              </w:rPr>
            </w:pPr>
            <w:r>
              <w:rPr>
                <w:spacing w:val="-5"/>
                <w:sz w:val="22"/>
              </w:rPr>
              <w:t>15</w:t>
            </w:r>
          </w:p>
        </w:tc>
        <w:tc>
          <w:tcPr>
            <w:tcW w:w="1729" w:type="dxa"/>
          </w:tcPr>
          <w:p>
            <w:pPr>
              <w:pStyle w:val="TableParagraph"/>
              <w:spacing w:line="239" w:lineRule="exact"/>
              <w:ind w:left="481"/>
              <w:rPr>
                <w:sz w:val="22"/>
              </w:rPr>
            </w:pPr>
            <w:r>
              <w:rPr>
                <w:spacing w:val="-2"/>
                <w:sz w:val="22"/>
              </w:rPr>
              <w:t>0.599</w:t>
            </w:r>
          </w:p>
        </w:tc>
        <w:tc>
          <w:tcPr>
            <w:tcW w:w="2155" w:type="dxa"/>
          </w:tcPr>
          <w:p>
            <w:pPr>
              <w:pStyle w:val="TableParagraph"/>
              <w:spacing w:line="239" w:lineRule="exact"/>
              <w:ind w:left="112" w:right="51"/>
              <w:jc w:val="center"/>
              <w:rPr>
                <w:sz w:val="22"/>
              </w:rPr>
            </w:pPr>
            <w:r>
              <w:rPr>
                <w:spacing w:val="-2"/>
                <w:sz w:val="22"/>
              </w:rPr>
              <w:t>236.61</w:t>
            </w:r>
          </w:p>
        </w:tc>
        <w:tc>
          <w:tcPr>
            <w:tcW w:w="2694" w:type="dxa"/>
          </w:tcPr>
          <w:p>
            <w:pPr>
              <w:pStyle w:val="TableParagraph"/>
              <w:spacing w:line="239" w:lineRule="exact"/>
              <w:ind w:left="735"/>
              <w:rPr>
                <w:sz w:val="22"/>
              </w:rPr>
            </w:pPr>
            <w:r>
              <w:rPr>
                <w:spacing w:val="-2"/>
                <w:sz w:val="22"/>
              </w:rPr>
              <w:t>59.15</w:t>
            </w:r>
          </w:p>
        </w:tc>
      </w:tr>
      <w:tr>
        <w:trPr>
          <w:trHeight w:val="259" w:hRule="atLeast"/>
        </w:trPr>
        <w:tc>
          <w:tcPr>
            <w:tcW w:w="1635" w:type="dxa"/>
          </w:tcPr>
          <w:p>
            <w:pPr>
              <w:pStyle w:val="TableParagraph"/>
              <w:spacing w:line="239" w:lineRule="exact"/>
              <w:ind w:left="115"/>
              <w:rPr>
                <w:sz w:val="22"/>
              </w:rPr>
            </w:pPr>
            <w:r>
              <w:rPr>
                <w:spacing w:val="-5"/>
                <w:sz w:val="22"/>
              </w:rPr>
              <w:t>20</w:t>
            </w:r>
          </w:p>
        </w:tc>
        <w:tc>
          <w:tcPr>
            <w:tcW w:w="1729" w:type="dxa"/>
          </w:tcPr>
          <w:p>
            <w:pPr>
              <w:pStyle w:val="TableParagraph"/>
              <w:spacing w:line="239" w:lineRule="exact"/>
              <w:ind w:left="481"/>
              <w:rPr>
                <w:sz w:val="22"/>
              </w:rPr>
            </w:pPr>
            <w:r>
              <w:rPr>
                <w:spacing w:val="-2"/>
                <w:sz w:val="22"/>
              </w:rPr>
              <w:t>0.653</w:t>
            </w:r>
          </w:p>
        </w:tc>
        <w:tc>
          <w:tcPr>
            <w:tcW w:w="2155" w:type="dxa"/>
          </w:tcPr>
          <w:p>
            <w:pPr>
              <w:pStyle w:val="TableParagraph"/>
              <w:spacing w:line="239" w:lineRule="exact"/>
              <w:ind w:left="112" w:right="51"/>
              <w:jc w:val="center"/>
              <w:rPr>
                <w:sz w:val="22"/>
              </w:rPr>
            </w:pPr>
            <w:r>
              <w:rPr>
                <w:spacing w:val="-2"/>
                <w:sz w:val="22"/>
              </w:rPr>
              <w:t>263.95</w:t>
            </w:r>
          </w:p>
        </w:tc>
        <w:tc>
          <w:tcPr>
            <w:tcW w:w="2694" w:type="dxa"/>
          </w:tcPr>
          <w:p>
            <w:pPr>
              <w:pStyle w:val="TableParagraph"/>
              <w:spacing w:line="239" w:lineRule="exact"/>
              <w:ind w:left="735"/>
              <w:rPr>
                <w:sz w:val="22"/>
              </w:rPr>
            </w:pPr>
            <w:r>
              <w:rPr>
                <w:spacing w:val="-2"/>
                <w:sz w:val="22"/>
              </w:rPr>
              <w:t>65.99</w:t>
            </w:r>
          </w:p>
        </w:tc>
      </w:tr>
      <w:tr>
        <w:trPr>
          <w:trHeight w:val="259" w:hRule="atLeast"/>
        </w:trPr>
        <w:tc>
          <w:tcPr>
            <w:tcW w:w="1635" w:type="dxa"/>
          </w:tcPr>
          <w:p>
            <w:pPr>
              <w:pStyle w:val="TableParagraph"/>
              <w:spacing w:line="239" w:lineRule="exact"/>
              <w:ind w:left="115"/>
              <w:rPr>
                <w:sz w:val="22"/>
              </w:rPr>
            </w:pPr>
            <w:r>
              <w:rPr>
                <w:spacing w:val="-5"/>
                <w:sz w:val="22"/>
              </w:rPr>
              <w:t>25</w:t>
            </w:r>
          </w:p>
        </w:tc>
        <w:tc>
          <w:tcPr>
            <w:tcW w:w="1729" w:type="dxa"/>
          </w:tcPr>
          <w:p>
            <w:pPr>
              <w:pStyle w:val="TableParagraph"/>
              <w:spacing w:line="239" w:lineRule="exact"/>
              <w:ind w:left="481"/>
              <w:rPr>
                <w:sz w:val="22"/>
              </w:rPr>
            </w:pPr>
            <w:r>
              <w:rPr>
                <w:spacing w:val="-2"/>
                <w:sz w:val="22"/>
              </w:rPr>
              <w:t>0.728</w:t>
            </w:r>
          </w:p>
        </w:tc>
        <w:tc>
          <w:tcPr>
            <w:tcW w:w="2155" w:type="dxa"/>
          </w:tcPr>
          <w:p>
            <w:pPr>
              <w:pStyle w:val="TableParagraph"/>
              <w:spacing w:line="239" w:lineRule="exact"/>
              <w:ind w:left="112" w:right="51"/>
              <w:jc w:val="center"/>
              <w:rPr>
                <w:sz w:val="22"/>
              </w:rPr>
            </w:pPr>
            <w:r>
              <w:rPr>
                <w:spacing w:val="-2"/>
                <w:sz w:val="22"/>
              </w:rPr>
              <w:t>301.93</w:t>
            </w:r>
          </w:p>
        </w:tc>
        <w:tc>
          <w:tcPr>
            <w:tcW w:w="2694" w:type="dxa"/>
          </w:tcPr>
          <w:p>
            <w:pPr>
              <w:pStyle w:val="TableParagraph"/>
              <w:spacing w:line="239" w:lineRule="exact"/>
              <w:ind w:left="735"/>
              <w:rPr>
                <w:sz w:val="22"/>
              </w:rPr>
            </w:pPr>
            <w:r>
              <w:rPr>
                <w:spacing w:val="-2"/>
                <w:sz w:val="22"/>
              </w:rPr>
              <w:t>75.48</w:t>
            </w:r>
          </w:p>
        </w:tc>
      </w:tr>
      <w:tr>
        <w:trPr>
          <w:trHeight w:val="258" w:hRule="atLeast"/>
        </w:trPr>
        <w:tc>
          <w:tcPr>
            <w:tcW w:w="1635" w:type="dxa"/>
            <w:tcBorders>
              <w:bottom w:val="single" w:sz="4" w:space="0" w:color="000000"/>
            </w:tcBorders>
          </w:tcPr>
          <w:p>
            <w:pPr>
              <w:pStyle w:val="TableParagraph"/>
              <w:spacing w:line="238" w:lineRule="exact"/>
              <w:ind w:left="115"/>
              <w:rPr>
                <w:sz w:val="22"/>
              </w:rPr>
            </w:pPr>
            <w:r>
              <w:rPr>
                <w:spacing w:val="-5"/>
                <w:sz w:val="22"/>
              </w:rPr>
              <w:t>30</w:t>
            </w:r>
          </w:p>
        </w:tc>
        <w:tc>
          <w:tcPr>
            <w:tcW w:w="1729" w:type="dxa"/>
            <w:tcBorders>
              <w:bottom w:val="single" w:sz="4" w:space="0" w:color="000000"/>
            </w:tcBorders>
          </w:tcPr>
          <w:p>
            <w:pPr>
              <w:pStyle w:val="TableParagraph"/>
              <w:spacing w:line="238" w:lineRule="exact"/>
              <w:ind w:left="481"/>
              <w:rPr>
                <w:sz w:val="22"/>
              </w:rPr>
            </w:pPr>
            <w:r>
              <w:rPr>
                <w:spacing w:val="-2"/>
                <w:sz w:val="22"/>
              </w:rPr>
              <w:t>0.807</w:t>
            </w:r>
          </w:p>
        </w:tc>
        <w:tc>
          <w:tcPr>
            <w:tcW w:w="2155" w:type="dxa"/>
            <w:tcBorders>
              <w:bottom w:val="single" w:sz="4" w:space="0" w:color="000000"/>
            </w:tcBorders>
          </w:tcPr>
          <w:p>
            <w:pPr>
              <w:pStyle w:val="TableParagraph"/>
              <w:spacing w:line="238" w:lineRule="exact"/>
              <w:ind w:left="112" w:right="51"/>
              <w:jc w:val="center"/>
              <w:rPr>
                <w:sz w:val="22"/>
              </w:rPr>
            </w:pPr>
            <w:r>
              <w:rPr>
                <w:spacing w:val="-2"/>
                <w:sz w:val="22"/>
              </w:rPr>
              <w:t>341.92</w:t>
            </w:r>
          </w:p>
        </w:tc>
        <w:tc>
          <w:tcPr>
            <w:tcW w:w="2694" w:type="dxa"/>
            <w:tcBorders>
              <w:bottom w:val="single" w:sz="4" w:space="0" w:color="000000"/>
            </w:tcBorders>
          </w:tcPr>
          <w:p>
            <w:pPr>
              <w:pStyle w:val="TableParagraph"/>
              <w:spacing w:line="238" w:lineRule="exact"/>
              <w:ind w:left="735"/>
              <w:rPr>
                <w:sz w:val="22"/>
              </w:rPr>
            </w:pPr>
            <w:r>
              <w:rPr>
                <w:spacing w:val="-2"/>
                <w:sz w:val="22"/>
              </w:rPr>
              <w:t>85.48</w:t>
            </w:r>
          </w:p>
        </w:tc>
      </w:tr>
    </w:tbl>
    <w:p>
      <w:pPr>
        <w:spacing w:after="0" w:line="238" w:lineRule="exact"/>
        <w:rPr>
          <w:sz w:val="22"/>
        </w:rPr>
        <w:sectPr>
          <w:pgSz w:w="12240" w:h="15840"/>
          <w:pgMar w:header="0" w:footer="999" w:top="1260" w:bottom="1180" w:left="1720" w:right="760"/>
        </w:sectPr>
      </w:pPr>
    </w:p>
    <w:p>
      <w:pPr>
        <w:pStyle w:val="Heading2"/>
        <w:numPr>
          <w:ilvl w:val="1"/>
          <w:numId w:val="38"/>
        </w:numPr>
        <w:tabs>
          <w:tab w:pos="1342" w:val="left" w:leader="none"/>
        </w:tabs>
        <w:spacing w:line="240" w:lineRule="auto" w:before="80" w:after="0"/>
        <w:ind w:left="1342" w:right="0" w:hanging="677"/>
        <w:jc w:val="left"/>
      </w:pPr>
      <w:r>
        <w:rPr/>
        <w:t>Dissolution</w:t>
      </w:r>
      <w:r>
        <w:rPr>
          <w:spacing w:val="11"/>
        </w:rPr>
        <w:t> </w:t>
      </w:r>
      <w:r>
        <w:rPr/>
        <w:t>Test</w:t>
      </w:r>
      <w:r>
        <w:rPr>
          <w:spacing w:val="13"/>
        </w:rPr>
        <w:t> </w:t>
      </w:r>
      <w:r>
        <w:rPr/>
        <w:t>Results</w:t>
      </w:r>
      <w:r>
        <w:rPr>
          <w:spacing w:val="10"/>
        </w:rPr>
        <w:t> </w:t>
      </w:r>
      <w:r>
        <w:rPr/>
        <w:t>for</w:t>
      </w:r>
      <w:r>
        <w:rPr>
          <w:spacing w:val="6"/>
        </w:rPr>
        <w:t> </w:t>
      </w:r>
      <w:r>
        <w:rPr/>
        <w:t>10.0</w:t>
      </w:r>
      <w:r>
        <w:rPr>
          <w:spacing w:val="15"/>
        </w:rPr>
        <w:t> </w:t>
      </w:r>
      <w:r>
        <w:rPr/>
        <w:t>%</w:t>
      </w:r>
      <w:r>
        <w:rPr>
          <w:spacing w:val="11"/>
        </w:rPr>
        <w:t> </w:t>
      </w:r>
      <w:r>
        <w:rPr/>
        <w:t>w/w</w:t>
      </w:r>
      <w:r>
        <w:rPr>
          <w:spacing w:val="14"/>
        </w:rPr>
        <w:t> </w:t>
      </w:r>
      <w:r>
        <w:rPr/>
        <w:t>Disintegrant</w:t>
      </w:r>
      <w:r>
        <w:rPr>
          <w:spacing w:val="13"/>
        </w:rPr>
        <w:t> </w:t>
      </w:r>
      <w:r>
        <w:rPr>
          <w:spacing w:val="-2"/>
        </w:rPr>
        <w:t>Concentration</w:t>
      </w:r>
    </w:p>
    <w:p>
      <w:pPr>
        <w:pStyle w:val="BodyText"/>
        <w:spacing w:before="1"/>
        <w:rPr>
          <w:b/>
          <w:sz w:val="20"/>
        </w:rPr>
      </w:pPr>
      <w:r>
        <w:rPr/>
        <mc:AlternateContent>
          <mc:Choice Requires="wps">
            <w:drawing>
              <wp:anchor distT="0" distB="0" distL="0" distR="0" allowOverlap="1" layoutInCell="1" locked="0" behindDoc="1" simplePos="0" relativeHeight="487638528">
                <wp:simplePos x="0" y="0"/>
                <wp:positionH relativeFrom="page">
                  <wp:posOffset>1450848</wp:posOffset>
                </wp:positionH>
                <wp:positionV relativeFrom="paragraph">
                  <wp:posOffset>161938</wp:posOffset>
                </wp:positionV>
                <wp:extent cx="5206365" cy="635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5206365" cy="6350"/>
                        </a:xfrm>
                        <a:custGeom>
                          <a:avLst/>
                          <a:gdLst/>
                          <a:ahLst/>
                          <a:cxnLst/>
                          <a:rect l="l" t="t" r="r" b="b"/>
                          <a:pathLst>
                            <a:path w="5206365" h="6350">
                              <a:moveTo>
                                <a:pt x="5205971" y="0"/>
                              </a:moveTo>
                              <a:lnTo>
                                <a:pt x="5205971" y="0"/>
                              </a:lnTo>
                              <a:lnTo>
                                <a:pt x="0" y="0"/>
                              </a:lnTo>
                              <a:lnTo>
                                <a:pt x="0" y="6096"/>
                              </a:lnTo>
                              <a:lnTo>
                                <a:pt x="5205971" y="6096"/>
                              </a:lnTo>
                              <a:lnTo>
                                <a:pt x="520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4.240005pt;margin-top:12.751041pt;width:409.919019pt;height:.48pt;mso-position-horizontal-relative:page;mso-position-vertical-relative:paragraph;z-index:-15677952;mso-wrap-distance-left:0;mso-wrap-distance-right:0" id="docshape469" filled="true" fillcolor="#000000" stroked="false">
                <v:fill type="solid"/>
                <w10:wrap type="topAndBottom"/>
              </v:rect>
            </w:pict>
          </mc:Fallback>
        </mc:AlternateContent>
      </w:r>
    </w:p>
    <w:p>
      <w:pPr>
        <w:tabs>
          <w:tab w:pos="2705" w:val="left" w:leader="none"/>
          <w:tab w:pos="4740" w:val="left" w:leader="none"/>
          <w:tab w:pos="5739" w:val="left" w:leader="none"/>
          <w:tab w:pos="6814" w:val="left" w:leader="none"/>
        </w:tabs>
        <w:spacing w:before="6"/>
        <w:ind w:left="665" w:right="0" w:firstLine="0"/>
        <w:jc w:val="left"/>
        <w:rPr>
          <w:b/>
          <w:sz w:val="22"/>
        </w:rPr>
      </w:pPr>
      <w:r>
        <w:rPr>
          <w:b/>
          <w:sz w:val="22"/>
        </w:rPr>
        <w:t>Time</w:t>
      </w:r>
      <w:r>
        <w:rPr>
          <w:b/>
          <w:spacing w:val="9"/>
          <w:sz w:val="22"/>
        </w:rPr>
        <w:t> </w:t>
      </w:r>
      <w:r>
        <w:rPr>
          <w:b/>
          <w:spacing w:val="-2"/>
          <w:sz w:val="22"/>
        </w:rPr>
        <w:t>(min)</w:t>
      </w:r>
      <w:r>
        <w:rPr>
          <w:b/>
          <w:sz w:val="22"/>
        </w:rPr>
        <w:tab/>
      </w:r>
      <w:r>
        <w:rPr>
          <w:b/>
          <w:spacing w:val="-2"/>
          <w:sz w:val="22"/>
        </w:rPr>
        <w:t>Abs(nm)</w:t>
      </w:r>
      <w:r>
        <w:rPr>
          <w:b/>
          <w:sz w:val="22"/>
        </w:rPr>
        <w:tab/>
      </w:r>
      <w:r>
        <w:rPr>
          <w:b/>
          <w:spacing w:val="-2"/>
          <w:sz w:val="22"/>
        </w:rPr>
        <w:t>Amount</w:t>
      </w:r>
      <w:r>
        <w:rPr>
          <w:b/>
          <w:sz w:val="22"/>
        </w:rPr>
        <w:tab/>
      </w:r>
      <w:r>
        <w:rPr>
          <w:b/>
          <w:spacing w:val="-2"/>
          <w:sz w:val="22"/>
        </w:rPr>
        <w:t>dissolved</w:t>
      </w:r>
      <w:r>
        <w:rPr>
          <w:b/>
          <w:sz w:val="22"/>
        </w:rPr>
        <w:tab/>
        <w:t>%</w:t>
      </w:r>
      <w:r>
        <w:rPr>
          <w:b/>
          <w:spacing w:val="10"/>
          <w:sz w:val="22"/>
        </w:rPr>
        <w:t> </w:t>
      </w:r>
      <w:r>
        <w:rPr>
          <w:b/>
          <w:sz w:val="22"/>
        </w:rPr>
        <w:t>drug</w:t>
      </w:r>
      <w:r>
        <w:rPr>
          <w:b/>
          <w:spacing w:val="12"/>
          <w:sz w:val="22"/>
        </w:rPr>
        <w:t> </w:t>
      </w:r>
      <w:r>
        <w:rPr>
          <w:b/>
          <w:spacing w:val="-2"/>
          <w:sz w:val="22"/>
        </w:rPr>
        <w:t>dissolved</w:t>
      </w:r>
    </w:p>
    <w:p>
      <w:pPr>
        <w:tabs>
          <w:tab w:pos="4740" w:val="left" w:leader="none"/>
          <w:tab w:pos="8763" w:val="left" w:leader="none"/>
        </w:tabs>
        <w:spacing w:line="254" w:lineRule="auto" w:before="11"/>
        <w:ind w:left="665" w:right="994" w:hanging="101"/>
        <w:jc w:val="left"/>
        <w:rPr>
          <w:b/>
          <w:sz w:val="22"/>
        </w:rPr>
      </w:pPr>
      <w:r>
        <w:rPr>
          <w:b/>
          <w:sz w:val="22"/>
          <w:u w:val="single"/>
        </w:rPr>
        <w:tab/>
        <w:tab/>
      </w:r>
      <w:r>
        <w:rPr>
          <w:b/>
          <w:spacing w:val="-2"/>
          <w:sz w:val="22"/>
          <w:u w:val="single"/>
        </w:rPr>
        <w:t>mg/1000ml</w:t>
      </w:r>
      <w:r>
        <w:rPr>
          <w:b/>
          <w:sz w:val="22"/>
          <w:u w:val="single"/>
        </w:rPr>
        <w:tab/>
      </w:r>
      <w:r>
        <w:rPr>
          <w:b/>
          <w:sz w:val="22"/>
        </w:rPr>
        <w:t> </w:t>
      </w:r>
      <w:r>
        <w:rPr>
          <w:b/>
          <w:spacing w:val="-2"/>
          <w:sz w:val="22"/>
          <w:u w:val="single"/>
        </w:rPr>
        <w:t>DS/MET</w:t>
      </w:r>
    </w:p>
    <w:p>
      <w:pPr>
        <w:pStyle w:val="BodyText"/>
        <w:spacing w:before="25"/>
        <w:rPr>
          <w:b/>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1757"/>
        <w:gridCol w:w="2119"/>
        <w:gridCol w:w="2682"/>
      </w:tblGrid>
      <w:tr>
        <w:trPr>
          <w:trHeight w:val="252" w:hRule="atLeast"/>
        </w:trPr>
        <w:tc>
          <w:tcPr>
            <w:tcW w:w="1654" w:type="dxa"/>
          </w:tcPr>
          <w:p>
            <w:pPr>
              <w:pStyle w:val="TableParagraph"/>
              <w:spacing w:line="232" w:lineRule="exact"/>
              <w:ind w:left="115"/>
              <w:rPr>
                <w:sz w:val="22"/>
              </w:rPr>
            </w:pPr>
            <w:r>
              <w:rPr>
                <w:spacing w:val="-10"/>
                <w:sz w:val="22"/>
              </w:rPr>
              <w:t>5</w:t>
            </w:r>
          </w:p>
        </w:tc>
        <w:tc>
          <w:tcPr>
            <w:tcW w:w="1757" w:type="dxa"/>
          </w:tcPr>
          <w:p>
            <w:pPr>
              <w:pStyle w:val="TableParagraph"/>
              <w:spacing w:line="232" w:lineRule="exact"/>
              <w:ind w:left="501"/>
              <w:rPr>
                <w:sz w:val="22"/>
              </w:rPr>
            </w:pPr>
            <w:r>
              <w:rPr>
                <w:spacing w:val="-2"/>
                <w:sz w:val="22"/>
              </w:rPr>
              <w:t>0.668</w:t>
            </w:r>
          </w:p>
        </w:tc>
        <w:tc>
          <w:tcPr>
            <w:tcW w:w="2119" w:type="dxa"/>
          </w:tcPr>
          <w:p>
            <w:pPr>
              <w:pStyle w:val="TableParagraph"/>
              <w:spacing w:line="232" w:lineRule="exact"/>
              <w:ind w:left="56"/>
              <w:jc w:val="center"/>
              <w:rPr>
                <w:sz w:val="22"/>
              </w:rPr>
            </w:pPr>
            <w:r>
              <w:rPr>
                <w:spacing w:val="-2"/>
                <w:sz w:val="22"/>
              </w:rPr>
              <w:t>271.54</w:t>
            </w:r>
          </w:p>
        </w:tc>
        <w:tc>
          <w:tcPr>
            <w:tcW w:w="2682" w:type="dxa"/>
          </w:tcPr>
          <w:p>
            <w:pPr>
              <w:pStyle w:val="TableParagraph"/>
              <w:spacing w:line="232" w:lineRule="exact"/>
              <w:ind w:left="734"/>
              <w:rPr>
                <w:sz w:val="22"/>
              </w:rPr>
            </w:pPr>
            <w:r>
              <w:rPr>
                <w:spacing w:val="-2"/>
                <w:sz w:val="22"/>
              </w:rPr>
              <w:t>67.89</w:t>
            </w:r>
          </w:p>
        </w:tc>
      </w:tr>
      <w:tr>
        <w:trPr>
          <w:trHeight w:val="259" w:hRule="atLeast"/>
        </w:trPr>
        <w:tc>
          <w:tcPr>
            <w:tcW w:w="1654" w:type="dxa"/>
          </w:tcPr>
          <w:p>
            <w:pPr>
              <w:pStyle w:val="TableParagraph"/>
              <w:spacing w:line="239" w:lineRule="exact"/>
              <w:ind w:left="115"/>
              <w:rPr>
                <w:sz w:val="22"/>
              </w:rPr>
            </w:pPr>
            <w:r>
              <w:rPr>
                <w:spacing w:val="-5"/>
                <w:sz w:val="22"/>
              </w:rPr>
              <w:t>10</w:t>
            </w:r>
          </w:p>
        </w:tc>
        <w:tc>
          <w:tcPr>
            <w:tcW w:w="1757" w:type="dxa"/>
          </w:tcPr>
          <w:p>
            <w:pPr>
              <w:pStyle w:val="TableParagraph"/>
              <w:spacing w:line="239" w:lineRule="exact"/>
              <w:ind w:left="501"/>
              <w:rPr>
                <w:sz w:val="22"/>
              </w:rPr>
            </w:pPr>
            <w:r>
              <w:rPr>
                <w:spacing w:val="-2"/>
                <w:sz w:val="22"/>
              </w:rPr>
              <w:t>0.687</w:t>
            </w:r>
          </w:p>
        </w:tc>
        <w:tc>
          <w:tcPr>
            <w:tcW w:w="2119" w:type="dxa"/>
          </w:tcPr>
          <w:p>
            <w:pPr>
              <w:pStyle w:val="TableParagraph"/>
              <w:spacing w:line="239" w:lineRule="exact"/>
              <w:ind w:left="56"/>
              <w:jc w:val="center"/>
              <w:rPr>
                <w:sz w:val="22"/>
              </w:rPr>
            </w:pPr>
            <w:r>
              <w:rPr>
                <w:spacing w:val="-2"/>
                <w:sz w:val="22"/>
              </w:rPr>
              <w:t>281.16</w:t>
            </w:r>
          </w:p>
        </w:tc>
        <w:tc>
          <w:tcPr>
            <w:tcW w:w="2682" w:type="dxa"/>
          </w:tcPr>
          <w:p>
            <w:pPr>
              <w:pStyle w:val="TableParagraph"/>
              <w:spacing w:line="239" w:lineRule="exact"/>
              <w:ind w:left="734"/>
              <w:rPr>
                <w:sz w:val="22"/>
              </w:rPr>
            </w:pPr>
            <w:r>
              <w:rPr>
                <w:spacing w:val="-2"/>
                <w:sz w:val="22"/>
              </w:rPr>
              <w:t>70.29</w:t>
            </w:r>
          </w:p>
        </w:tc>
      </w:tr>
      <w:tr>
        <w:trPr>
          <w:trHeight w:val="259" w:hRule="atLeast"/>
        </w:trPr>
        <w:tc>
          <w:tcPr>
            <w:tcW w:w="1654" w:type="dxa"/>
          </w:tcPr>
          <w:p>
            <w:pPr>
              <w:pStyle w:val="TableParagraph"/>
              <w:spacing w:line="236" w:lineRule="exact" w:before="2"/>
              <w:ind w:left="115"/>
              <w:rPr>
                <w:sz w:val="22"/>
              </w:rPr>
            </w:pPr>
            <w:r>
              <w:rPr>
                <w:spacing w:val="-5"/>
                <w:sz w:val="22"/>
              </w:rPr>
              <w:t>15</w:t>
            </w:r>
          </w:p>
        </w:tc>
        <w:tc>
          <w:tcPr>
            <w:tcW w:w="1757" w:type="dxa"/>
          </w:tcPr>
          <w:p>
            <w:pPr>
              <w:pStyle w:val="TableParagraph"/>
              <w:spacing w:line="236" w:lineRule="exact" w:before="2"/>
              <w:ind w:left="501"/>
              <w:rPr>
                <w:sz w:val="22"/>
              </w:rPr>
            </w:pPr>
            <w:r>
              <w:rPr>
                <w:spacing w:val="-2"/>
                <w:sz w:val="22"/>
              </w:rPr>
              <w:t>0.783</w:t>
            </w:r>
          </w:p>
        </w:tc>
        <w:tc>
          <w:tcPr>
            <w:tcW w:w="2119" w:type="dxa"/>
          </w:tcPr>
          <w:p>
            <w:pPr>
              <w:pStyle w:val="TableParagraph"/>
              <w:spacing w:line="236" w:lineRule="exact" w:before="2"/>
              <w:ind w:left="56"/>
              <w:jc w:val="center"/>
              <w:rPr>
                <w:sz w:val="22"/>
              </w:rPr>
            </w:pPr>
            <w:r>
              <w:rPr>
                <w:spacing w:val="-2"/>
                <w:sz w:val="22"/>
              </w:rPr>
              <w:t>329.77</w:t>
            </w:r>
          </w:p>
        </w:tc>
        <w:tc>
          <w:tcPr>
            <w:tcW w:w="2682" w:type="dxa"/>
          </w:tcPr>
          <w:p>
            <w:pPr>
              <w:pStyle w:val="TableParagraph"/>
              <w:spacing w:line="236" w:lineRule="exact" w:before="2"/>
              <w:ind w:left="734"/>
              <w:rPr>
                <w:sz w:val="22"/>
              </w:rPr>
            </w:pPr>
            <w:r>
              <w:rPr>
                <w:spacing w:val="-2"/>
                <w:sz w:val="22"/>
              </w:rPr>
              <w:t>82.44</w:t>
            </w:r>
          </w:p>
        </w:tc>
      </w:tr>
      <w:tr>
        <w:trPr>
          <w:trHeight w:val="259" w:hRule="atLeast"/>
        </w:trPr>
        <w:tc>
          <w:tcPr>
            <w:tcW w:w="1654" w:type="dxa"/>
          </w:tcPr>
          <w:p>
            <w:pPr>
              <w:pStyle w:val="TableParagraph"/>
              <w:spacing w:line="239" w:lineRule="exact"/>
              <w:ind w:left="115"/>
              <w:rPr>
                <w:sz w:val="22"/>
              </w:rPr>
            </w:pPr>
            <w:r>
              <w:rPr>
                <w:spacing w:val="-5"/>
                <w:sz w:val="22"/>
              </w:rPr>
              <w:t>20</w:t>
            </w:r>
          </w:p>
        </w:tc>
        <w:tc>
          <w:tcPr>
            <w:tcW w:w="1757" w:type="dxa"/>
          </w:tcPr>
          <w:p>
            <w:pPr>
              <w:pStyle w:val="TableParagraph"/>
              <w:spacing w:line="239" w:lineRule="exact"/>
              <w:ind w:left="501"/>
              <w:rPr>
                <w:sz w:val="22"/>
              </w:rPr>
            </w:pPr>
            <w:r>
              <w:rPr>
                <w:spacing w:val="-2"/>
                <w:sz w:val="22"/>
              </w:rPr>
              <w:t>0.831</w:t>
            </w:r>
          </w:p>
        </w:tc>
        <w:tc>
          <w:tcPr>
            <w:tcW w:w="2119" w:type="dxa"/>
          </w:tcPr>
          <w:p>
            <w:pPr>
              <w:pStyle w:val="TableParagraph"/>
              <w:spacing w:line="239" w:lineRule="exact"/>
              <w:ind w:left="56"/>
              <w:jc w:val="center"/>
              <w:rPr>
                <w:sz w:val="22"/>
              </w:rPr>
            </w:pPr>
            <w:r>
              <w:rPr>
                <w:spacing w:val="-2"/>
                <w:sz w:val="22"/>
              </w:rPr>
              <w:t>354.08</w:t>
            </w:r>
          </w:p>
        </w:tc>
        <w:tc>
          <w:tcPr>
            <w:tcW w:w="2682" w:type="dxa"/>
          </w:tcPr>
          <w:p>
            <w:pPr>
              <w:pStyle w:val="TableParagraph"/>
              <w:spacing w:line="239" w:lineRule="exact"/>
              <w:ind w:left="734"/>
              <w:rPr>
                <w:sz w:val="22"/>
              </w:rPr>
            </w:pPr>
            <w:r>
              <w:rPr>
                <w:spacing w:val="-2"/>
                <w:sz w:val="22"/>
              </w:rPr>
              <w:t>88.52</w:t>
            </w:r>
          </w:p>
        </w:tc>
      </w:tr>
      <w:tr>
        <w:trPr>
          <w:trHeight w:val="259" w:hRule="atLeast"/>
        </w:trPr>
        <w:tc>
          <w:tcPr>
            <w:tcW w:w="1654" w:type="dxa"/>
          </w:tcPr>
          <w:p>
            <w:pPr>
              <w:pStyle w:val="TableParagraph"/>
              <w:spacing w:line="236" w:lineRule="exact" w:before="2"/>
              <w:ind w:left="115"/>
              <w:rPr>
                <w:sz w:val="22"/>
              </w:rPr>
            </w:pPr>
            <w:r>
              <w:rPr>
                <w:spacing w:val="-5"/>
                <w:sz w:val="22"/>
              </w:rPr>
              <w:t>25</w:t>
            </w:r>
          </w:p>
        </w:tc>
        <w:tc>
          <w:tcPr>
            <w:tcW w:w="1757" w:type="dxa"/>
          </w:tcPr>
          <w:p>
            <w:pPr>
              <w:pStyle w:val="TableParagraph"/>
              <w:spacing w:line="236" w:lineRule="exact" w:before="2"/>
              <w:ind w:left="501"/>
              <w:rPr>
                <w:sz w:val="22"/>
              </w:rPr>
            </w:pPr>
            <w:r>
              <w:rPr>
                <w:spacing w:val="-2"/>
                <w:sz w:val="22"/>
              </w:rPr>
              <w:t>0.914</w:t>
            </w:r>
          </w:p>
        </w:tc>
        <w:tc>
          <w:tcPr>
            <w:tcW w:w="2119" w:type="dxa"/>
          </w:tcPr>
          <w:p>
            <w:pPr>
              <w:pStyle w:val="TableParagraph"/>
              <w:spacing w:line="236" w:lineRule="exact" w:before="2"/>
              <w:ind w:left="56"/>
              <w:jc w:val="center"/>
              <w:rPr>
                <w:sz w:val="22"/>
              </w:rPr>
            </w:pPr>
            <w:r>
              <w:rPr>
                <w:spacing w:val="-2"/>
                <w:sz w:val="22"/>
              </w:rPr>
              <w:t>396.10</w:t>
            </w:r>
          </w:p>
        </w:tc>
        <w:tc>
          <w:tcPr>
            <w:tcW w:w="2682" w:type="dxa"/>
          </w:tcPr>
          <w:p>
            <w:pPr>
              <w:pStyle w:val="TableParagraph"/>
              <w:spacing w:line="236" w:lineRule="exact" w:before="2"/>
              <w:ind w:left="734"/>
              <w:rPr>
                <w:sz w:val="22"/>
              </w:rPr>
            </w:pPr>
            <w:r>
              <w:rPr>
                <w:spacing w:val="-2"/>
                <w:sz w:val="22"/>
              </w:rPr>
              <w:t>99.03</w:t>
            </w:r>
          </w:p>
        </w:tc>
      </w:tr>
      <w:tr>
        <w:trPr>
          <w:trHeight w:val="261" w:hRule="atLeast"/>
        </w:trPr>
        <w:tc>
          <w:tcPr>
            <w:tcW w:w="1654" w:type="dxa"/>
          </w:tcPr>
          <w:p>
            <w:pPr>
              <w:pStyle w:val="TableParagraph"/>
              <w:spacing w:line="242" w:lineRule="exact"/>
              <w:ind w:left="115"/>
              <w:rPr>
                <w:sz w:val="22"/>
              </w:rPr>
            </w:pPr>
            <w:r>
              <w:rPr>
                <w:spacing w:val="-5"/>
                <w:sz w:val="22"/>
              </w:rPr>
              <w:t>30</w:t>
            </w:r>
          </w:p>
        </w:tc>
        <w:tc>
          <w:tcPr>
            <w:tcW w:w="1757" w:type="dxa"/>
          </w:tcPr>
          <w:p>
            <w:pPr>
              <w:pStyle w:val="TableParagraph"/>
              <w:spacing w:line="242" w:lineRule="exact"/>
              <w:ind w:left="501"/>
              <w:rPr>
                <w:sz w:val="22"/>
              </w:rPr>
            </w:pPr>
            <w:r>
              <w:rPr>
                <w:spacing w:val="-2"/>
                <w:sz w:val="22"/>
              </w:rPr>
              <w:t>0.923</w:t>
            </w:r>
          </w:p>
        </w:tc>
        <w:tc>
          <w:tcPr>
            <w:tcW w:w="2119" w:type="dxa"/>
          </w:tcPr>
          <w:p>
            <w:pPr>
              <w:pStyle w:val="TableParagraph"/>
              <w:spacing w:line="242" w:lineRule="exact"/>
              <w:ind w:left="56"/>
              <w:jc w:val="center"/>
              <w:rPr>
                <w:sz w:val="22"/>
              </w:rPr>
            </w:pPr>
            <w:r>
              <w:rPr>
                <w:spacing w:val="-2"/>
                <w:sz w:val="22"/>
              </w:rPr>
              <w:t>400.65</w:t>
            </w:r>
          </w:p>
        </w:tc>
        <w:tc>
          <w:tcPr>
            <w:tcW w:w="2682" w:type="dxa"/>
          </w:tcPr>
          <w:p>
            <w:pPr>
              <w:pStyle w:val="TableParagraph"/>
              <w:spacing w:line="242" w:lineRule="exact"/>
              <w:ind w:left="734"/>
              <w:rPr>
                <w:sz w:val="22"/>
              </w:rPr>
            </w:pPr>
            <w:r>
              <w:rPr>
                <w:spacing w:val="-2"/>
                <w:sz w:val="22"/>
              </w:rPr>
              <w:t>100.16</w:t>
            </w:r>
          </w:p>
        </w:tc>
      </w:tr>
      <w:tr>
        <w:trPr>
          <w:trHeight w:val="391" w:hRule="atLeast"/>
        </w:trPr>
        <w:tc>
          <w:tcPr>
            <w:tcW w:w="1654" w:type="dxa"/>
          </w:tcPr>
          <w:p>
            <w:pPr>
              <w:pStyle w:val="TableParagraph"/>
              <w:spacing w:before="5"/>
              <w:ind w:left="115"/>
              <w:rPr>
                <w:b/>
                <w:sz w:val="22"/>
              </w:rPr>
            </w:pPr>
            <w:r>
              <w:rPr>
                <w:b/>
                <w:spacing w:val="-2"/>
                <w:sz w:val="22"/>
                <w:u w:val="single"/>
              </w:rPr>
              <w:t>MS/MET</w:t>
            </w:r>
          </w:p>
        </w:tc>
        <w:tc>
          <w:tcPr>
            <w:tcW w:w="1757" w:type="dxa"/>
          </w:tcPr>
          <w:p>
            <w:pPr>
              <w:pStyle w:val="TableParagraph"/>
              <w:rPr>
                <w:sz w:val="22"/>
              </w:rPr>
            </w:pPr>
          </w:p>
        </w:tc>
        <w:tc>
          <w:tcPr>
            <w:tcW w:w="2119" w:type="dxa"/>
          </w:tcPr>
          <w:p>
            <w:pPr>
              <w:pStyle w:val="TableParagraph"/>
              <w:rPr>
                <w:sz w:val="22"/>
              </w:rPr>
            </w:pPr>
          </w:p>
        </w:tc>
        <w:tc>
          <w:tcPr>
            <w:tcW w:w="2682" w:type="dxa"/>
          </w:tcPr>
          <w:p>
            <w:pPr>
              <w:pStyle w:val="TableParagraph"/>
              <w:rPr>
                <w:sz w:val="22"/>
              </w:rPr>
            </w:pPr>
          </w:p>
        </w:tc>
      </w:tr>
      <w:tr>
        <w:trPr>
          <w:trHeight w:val="386" w:hRule="atLeast"/>
        </w:trPr>
        <w:tc>
          <w:tcPr>
            <w:tcW w:w="1654" w:type="dxa"/>
          </w:tcPr>
          <w:p>
            <w:pPr>
              <w:pStyle w:val="TableParagraph"/>
              <w:spacing w:line="239" w:lineRule="exact" w:before="127"/>
              <w:ind w:left="115"/>
              <w:rPr>
                <w:sz w:val="22"/>
              </w:rPr>
            </w:pPr>
            <w:r>
              <w:rPr>
                <w:spacing w:val="-10"/>
                <w:sz w:val="22"/>
              </w:rPr>
              <w:t>5</w:t>
            </w:r>
          </w:p>
        </w:tc>
        <w:tc>
          <w:tcPr>
            <w:tcW w:w="1757" w:type="dxa"/>
          </w:tcPr>
          <w:p>
            <w:pPr>
              <w:pStyle w:val="TableParagraph"/>
              <w:spacing w:line="239" w:lineRule="exact" w:before="127"/>
              <w:ind w:left="462"/>
              <w:rPr>
                <w:sz w:val="22"/>
              </w:rPr>
            </w:pPr>
            <w:r>
              <w:rPr>
                <w:spacing w:val="-2"/>
                <w:sz w:val="22"/>
              </w:rPr>
              <w:t>0.358</w:t>
            </w:r>
          </w:p>
        </w:tc>
        <w:tc>
          <w:tcPr>
            <w:tcW w:w="2119" w:type="dxa"/>
          </w:tcPr>
          <w:p>
            <w:pPr>
              <w:pStyle w:val="TableParagraph"/>
              <w:spacing w:line="239" w:lineRule="exact" w:before="127"/>
              <w:ind w:left="56" w:right="53"/>
              <w:jc w:val="center"/>
              <w:rPr>
                <w:sz w:val="22"/>
              </w:rPr>
            </w:pPr>
            <w:r>
              <w:rPr>
                <w:spacing w:val="-2"/>
                <w:sz w:val="22"/>
              </w:rPr>
              <w:t>114.58</w:t>
            </w:r>
          </w:p>
        </w:tc>
        <w:tc>
          <w:tcPr>
            <w:tcW w:w="2682" w:type="dxa"/>
          </w:tcPr>
          <w:p>
            <w:pPr>
              <w:pStyle w:val="TableParagraph"/>
              <w:spacing w:line="239" w:lineRule="exact" w:before="127"/>
              <w:ind w:left="724"/>
              <w:rPr>
                <w:sz w:val="22"/>
              </w:rPr>
            </w:pPr>
            <w:r>
              <w:rPr>
                <w:spacing w:val="-2"/>
                <w:sz w:val="22"/>
              </w:rPr>
              <w:t>28.65</w:t>
            </w:r>
          </w:p>
        </w:tc>
      </w:tr>
      <w:tr>
        <w:trPr>
          <w:trHeight w:val="259" w:hRule="atLeast"/>
        </w:trPr>
        <w:tc>
          <w:tcPr>
            <w:tcW w:w="1654" w:type="dxa"/>
          </w:tcPr>
          <w:p>
            <w:pPr>
              <w:pStyle w:val="TableParagraph"/>
              <w:spacing w:line="239" w:lineRule="exact"/>
              <w:ind w:left="115"/>
              <w:rPr>
                <w:sz w:val="22"/>
              </w:rPr>
            </w:pPr>
            <w:r>
              <w:rPr>
                <w:spacing w:val="-5"/>
                <w:sz w:val="22"/>
              </w:rPr>
              <w:t>10</w:t>
            </w:r>
          </w:p>
        </w:tc>
        <w:tc>
          <w:tcPr>
            <w:tcW w:w="1757" w:type="dxa"/>
          </w:tcPr>
          <w:p>
            <w:pPr>
              <w:pStyle w:val="TableParagraph"/>
              <w:spacing w:line="239" w:lineRule="exact"/>
              <w:ind w:left="462"/>
              <w:rPr>
                <w:sz w:val="22"/>
              </w:rPr>
            </w:pPr>
            <w:r>
              <w:rPr>
                <w:spacing w:val="-2"/>
                <w:sz w:val="22"/>
              </w:rPr>
              <w:t>0.481</w:t>
            </w:r>
          </w:p>
        </w:tc>
        <w:tc>
          <w:tcPr>
            <w:tcW w:w="2119" w:type="dxa"/>
          </w:tcPr>
          <w:p>
            <w:pPr>
              <w:pStyle w:val="TableParagraph"/>
              <w:spacing w:line="239" w:lineRule="exact"/>
              <w:ind w:left="56" w:right="53"/>
              <w:jc w:val="center"/>
              <w:rPr>
                <w:sz w:val="22"/>
              </w:rPr>
            </w:pPr>
            <w:r>
              <w:rPr>
                <w:spacing w:val="-2"/>
                <w:sz w:val="22"/>
              </w:rPr>
              <w:t>176.86</w:t>
            </w:r>
          </w:p>
        </w:tc>
        <w:tc>
          <w:tcPr>
            <w:tcW w:w="2682" w:type="dxa"/>
          </w:tcPr>
          <w:p>
            <w:pPr>
              <w:pStyle w:val="TableParagraph"/>
              <w:spacing w:line="239" w:lineRule="exact"/>
              <w:ind w:left="724"/>
              <w:rPr>
                <w:sz w:val="22"/>
              </w:rPr>
            </w:pPr>
            <w:r>
              <w:rPr>
                <w:spacing w:val="-2"/>
                <w:sz w:val="22"/>
              </w:rPr>
              <w:t>44.22</w:t>
            </w:r>
          </w:p>
        </w:tc>
      </w:tr>
      <w:tr>
        <w:trPr>
          <w:trHeight w:val="259" w:hRule="atLeast"/>
        </w:trPr>
        <w:tc>
          <w:tcPr>
            <w:tcW w:w="1654" w:type="dxa"/>
          </w:tcPr>
          <w:p>
            <w:pPr>
              <w:pStyle w:val="TableParagraph"/>
              <w:spacing w:line="239" w:lineRule="exact"/>
              <w:ind w:left="115"/>
              <w:rPr>
                <w:sz w:val="22"/>
              </w:rPr>
            </w:pPr>
            <w:r>
              <w:rPr>
                <w:spacing w:val="-5"/>
                <w:sz w:val="22"/>
              </w:rPr>
              <w:t>15</w:t>
            </w:r>
          </w:p>
        </w:tc>
        <w:tc>
          <w:tcPr>
            <w:tcW w:w="1757" w:type="dxa"/>
          </w:tcPr>
          <w:p>
            <w:pPr>
              <w:pStyle w:val="TableParagraph"/>
              <w:spacing w:line="239" w:lineRule="exact"/>
              <w:ind w:left="462"/>
              <w:rPr>
                <w:sz w:val="22"/>
              </w:rPr>
            </w:pPr>
            <w:r>
              <w:rPr>
                <w:spacing w:val="-2"/>
                <w:sz w:val="22"/>
              </w:rPr>
              <w:t>0.567</w:t>
            </w:r>
          </w:p>
        </w:tc>
        <w:tc>
          <w:tcPr>
            <w:tcW w:w="2119" w:type="dxa"/>
          </w:tcPr>
          <w:p>
            <w:pPr>
              <w:pStyle w:val="TableParagraph"/>
              <w:spacing w:line="239" w:lineRule="exact"/>
              <w:ind w:left="56" w:right="53"/>
              <w:jc w:val="center"/>
              <w:rPr>
                <w:sz w:val="22"/>
              </w:rPr>
            </w:pPr>
            <w:r>
              <w:rPr>
                <w:spacing w:val="-2"/>
                <w:sz w:val="22"/>
              </w:rPr>
              <w:t>220.41</w:t>
            </w:r>
          </w:p>
        </w:tc>
        <w:tc>
          <w:tcPr>
            <w:tcW w:w="2682" w:type="dxa"/>
          </w:tcPr>
          <w:p>
            <w:pPr>
              <w:pStyle w:val="TableParagraph"/>
              <w:spacing w:line="239" w:lineRule="exact"/>
              <w:ind w:left="724"/>
              <w:rPr>
                <w:sz w:val="22"/>
              </w:rPr>
            </w:pPr>
            <w:r>
              <w:rPr>
                <w:spacing w:val="-2"/>
                <w:sz w:val="22"/>
              </w:rPr>
              <w:t>55.10</w:t>
            </w:r>
          </w:p>
        </w:tc>
      </w:tr>
      <w:tr>
        <w:trPr>
          <w:trHeight w:val="256" w:hRule="atLeast"/>
        </w:trPr>
        <w:tc>
          <w:tcPr>
            <w:tcW w:w="1654" w:type="dxa"/>
          </w:tcPr>
          <w:p>
            <w:pPr>
              <w:pStyle w:val="TableParagraph"/>
              <w:spacing w:line="236" w:lineRule="exact"/>
              <w:ind w:left="115"/>
              <w:rPr>
                <w:sz w:val="22"/>
              </w:rPr>
            </w:pPr>
            <w:r>
              <w:rPr>
                <w:spacing w:val="-5"/>
                <w:sz w:val="22"/>
              </w:rPr>
              <w:t>20</w:t>
            </w:r>
          </w:p>
        </w:tc>
        <w:tc>
          <w:tcPr>
            <w:tcW w:w="1757" w:type="dxa"/>
          </w:tcPr>
          <w:p>
            <w:pPr>
              <w:pStyle w:val="TableParagraph"/>
              <w:spacing w:line="236" w:lineRule="exact"/>
              <w:ind w:left="462"/>
              <w:rPr>
                <w:sz w:val="22"/>
              </w:rPr>
            </w:pPr>
            <w:r>
              <w:rPr>
                <w:spacing w:val="-2"/>
                <w:sz w:val="22"/>
              </w:rPr>
              <w:t>0.781</w:t>
            </w:r>
          </w:p>
        </w:tc>
        <w:tc>
          <w:tcPr>
            <w:tcW w:w="2119" w:type="dxa"/>
          </w:tcPr>
          <w:p>
            <w:pPr>
              <w:pStyle w:val="TableParagraph"/>
              <w:spacing w:line="236" w:lineRule="exact"/>
              <w:ind w:left="56" w:right="53"/>
              <w:jc w:val="center"/>
              <w:rPr>
                <w:sz w:val="22"/>
              </w:rPr>
            </w:pPr>
            <w:r>
              <w:rPr>
                <w:spacing w:val="-2"/>
                <w:sz w:val="22"/>
              </w:rPr>
              <w:t>328.76</w:t>
            </w:r>
          </w:p>
        </w:tc>
        <w:tc>
          <w:tcPr>
            <w:tcW w:w="2682" w:type="dxa"/>
          </w:tcPr>
          <w:p>
            <w:pPr>
              <w:pStyle w:val="TableParagraph"/>
              <w:spacing w:line="236" w:lineRule="exact"/>
              <w:ind w:left="724"/>
              <w:rPr>
                <w:sz w:val="22"/>
              </w:rPr>
            </w:pPr>
            <w:r>
              <w:rPr>
                <w:spacing w:val="-2"/>
                <w:sz w:val="22"/>
              </w:rPr>
              <w:t>82.19</w:t>
            </w:r>
          </w:p>
        </w:tc>
      </w:tr>
      <w:tr>
        <w:trPr>
          <w:trHeight w:val="259" w:hRule="atLeast"/>
        </w:trPr>
        <w:tc>
          <w:tcPr>
            <w:tcW w:w="1654" w:type="dxa"/>
          </w:tcPr>
          <w:p>
            <w:pPr>
              <w:pStyle w:val="TableParagraph"/>
              <w:spacing w:line="239" w:lineRule="exact"/>
              <w:ind w:left="115"/>
              <w:rPr>
                <w:sz w:val="22"/>
              </w:rPr>
            </w:pPr>
            <w:r>
              <w:rPr>
                <w:spacing w:val="-5"/>
                <w:sz w:val="22"/>
              </w:rPr>
              <w:t>25</w:t>
            </w:r>
          </w:p>
        </w:tc>
        <w:tc>
          <w:tcPr>
            <w:tcW w:w="1757" w:type="dxa"/>
          </w:tcPr>
          <w:p>
            <w:pPr>
              <w:pStyle w:val="TableParagraph"/>
              <w:spacing w:line="239" w:lineRule="exact"/>
              <w:ind w:left="462"/>
              <w:rPr>
                <w:sz w:val="22"/>
              </w:rPr>
            </w:pPr>
            <w:r>
              <w:rPr>
                <w:spacing w:val="-2"/>
                <w:sz w:val="22"/>
              </w:rPr>
              <w:t>0.821</w:t>
            </w:r>
          </w:p>
        </w:tc>
        <w:tc>
          <w:tcPr>
            <w:tcW w:w="2119" w:type="dxa"/>
          </w:tcPr>
          <w:p>
            <w:pPr>
              <w:pStyle w:val="TableParagraph"/>
              <w:spacing w:line="239" w:lineRule="exact"/>
              <w:ind w:left="56" w:right="53"/>
              <w:jc w:val="center"/>
              <w:rPr>
                <w:sz w:val="22"/>
              </w:rPr>
            </w:pPr>
            <w:r>
              <w:rPr>
                <w:spacing w:val="-2"/>
                <w:sz w:val="22"/>
              </w:rPr>
              <w:t>349.01</w:t>
            </w:r>
          </w:p>
        </w:tc>
        <w:tc>
          <w:tcPr>
            <w:tcW w:w="2682" w:type="dxa"/>
          </w:tcPr>
          <w:p>
            <w:pPr>
              <w:pStyle w:val="TableParagraph"/>
              <w:spacing w:line="239" w:lineRule="exact"/>
              <w:ind w:left="724"/>
              <w:rPr>
                <w:sz w:val="22"/>
              </w:rPr>
            </w:pPr>
            <w:r>
              <w:rPr>
                <w:spacing w:val="-2"/>
                <w:sz w:val="22"/>
              </w:rPr>
              <w:t>87.25</w:t>
            </w:r>
          </w:p>
        </w:tc>
      </w:tr>
      <w:tr>
        <w:trPr>
          <w:trHeight w:val="261" w:hRule="atLeast"/>
        </w:trPr>
        <w:tc>
          <w:tcPr>
            <w:tcW w:w="1654" w:type="dxa"/>
          </w:tcPr>
          <w:p>
            <w:pPr>
              <w:pStyle w:val="TableParagraph"/>
              <w:spacing w:line="239" w:lineRule="exact" w:before="2"/>
              <w:ind w:left="115"/>
              <w:rPr>
                <w:sz w:val="22"/>
              </w:rPr>
            </w:pPr>
            <w:r>
              <w:rPr>
                <w:spacing w:val="-5"/>
                <w:sz w:val="22"/>
              </w:rPr>
              <w:t>30</w:t>
            </w:r>
          </w:p>
        </w:tc>
        <w:tc>
          <w:tcPr>
            <w:tcW w:w="1757" w:type="dxa"/>
          </w:tcPr>
          <w:p>
            <w:pPr>
              <w:pStyle w:val="TableParagraph"/>
              <w:spacing w:line="239" w:lineRule="exact" w:before="2"/>
              <w:ind w:left="462"/>
              <w:rPr>
                <w:sz w:val="22"/>
              </w:rPr>
            </w:pPr>
            <w:r>
              <w:rPr>
                <w:spacing w:val="-2"/>
                <w:sz w:val="22"/>
              </w:rPr>
              <w:t>0.917</w:t>
            </w:r>
          </w:p>
        </w:tc>
        <w:tc>
          <w:tcPr>
            <w:tcW w:w="2119" w:type="dxa"/>
          </w:tcPr>
          <w:p>
            <w:pPr>
              <w:pStyle w:val="TableParagraph"/>
              <w:spacing w:line="239" w:lineRule="exact" w:before="2"/>
              <w:ind w:left="56" w:right="53"/>
              <w:jc w:val="center"/>
              <w:rPr>
                <w:sz w:val="22"/>
              </w:rPr>
            </w:pPr>
            <w:r>
              <w:rPr>
                <w:spacing w:val="-2"/>
                <w:sz w:val="22"/>
              </w:rPr>
              <w:t>397.62</w:t>
            </w:r>
          </w:p>
        </w:tc>
        <w:tc>
          <w:tcPr>
            <w:tcW w:w="2682" w:type="dxa"/>
          </w:tcPr>
          <w:p>
            <w:pPr>
              <w:pStyle w:val="TableParagraph"/>
              <w:spacing w:line="239" w:lineRule="exact" w:before="2"/>
              <w:ind w:left="724"/>
              <w:rPr>
                <w:sz w:val="22"/>
              </w:rPr>
            </w:pPr>
            <w:r>
              <w:rPr>
                <w:spacing w:val="-2"/>
                <w:sz w:val="22"/>
              </w:rPr>
              <w:t>99.41</w:t>
            </w:r>
          </w:p>
        </w:tc>
      </w:tr>
      <w:tr>
        <w:trPr>
          <w:trHeight w:val="386" w:hRule="atLeast"/>
        </w:trPr>
        <w:tc>
          <w:tcPr>
            <w:tcW w:w="1654" w:type="dxa"/>
          </w:tcPr>
          <w:p>
            <w:pPr>
              <w:pStyle w:val="TableParagraph"/>
              <w:ind w:left="115"/>
              <w:rPr>
                <w:b/>
                <w:sz w:val="22"/>
              </w:rPr>
            </w:pPr>
            <w:r>
              <w:rPr>
                <w:b/>
                <w:spacing w:val="-2"/>
                <w:sz w:val="22"/>
                <w:u w:val="single"/>
              </w:rPr>
              <w:t>MCS/MET</w:t>
            </w:r>
          </w:p>
        </w:tc>
        <w:tc>
          <w:tcPr>
            <w:tcW w:w="1757" w:type="dxa"/>
          </w:tcPr>
          <w:p>
            <w:pPr>
              <w:pStyle w:val="TableParagraph"/>
              <w:rPr>
                <w:sz w:val="22"/>
              </w:rPr>
            </w:pPr>
          </w:p>
        </w:tc>
        <w:tc>
          <w:tcPr>
            <w:tcW w:w="2119" w:type="dxa"/>
          </w:tcPr>
          <w:p>
            <w:pPr>
              <w:pStyle w:val="TableParagraph"/>
              <w:rPr>
                <w:sz w:val="22"/>
              </w:rPr>
            </w:pPr>
          </w:p>
        </w:tc>
        <w:tc>
          <w:tcPr>
            <w:tcW w:w="2682" w:type="dxa"/>
          </w:tcPr>
          <w:p>
            <w:pPr>
              <w:pStyle w:val="TableParagraph"/>
              <w:rPr>
                <w:sz w:val="22"/>
              </w:rPr>
            </w:pPr>
          </w:p>
        </w:tc>
      </w:tr>
      <w:tr>
        <w:trPr>
          <w:trHeight w:val="388" w:hRule="atLeast"/>
        </w:trPr>
        <w:tc>
          <w:tcPr>
            <w:tcW w:w="1654" w:type="dxa"/>
          </w:tcPr>
          <w:p>
            <w:pPr>
              <w:pStyle w:val="TableParagraph"/>
              <w:spacing w:line="241" w:lineRule="exact" w:before="127"/>
              <w:ind w:left="115"/>
              <w:rPr>
                <w:sz w:val="22"/>
              </w:rPr>
            </w:pPr>
            <w:r>
              <w:rPr>
                <w:spacing w:val="-10"/>
                <w:sz w:val="22"/>
              </w:rPr>
              <w:t>5</w:t>
            </w:r>
          </w:p>
        </w:tc>
        <w:tc>
          <w:tcPr>
            <w:tcW w:w="1757" w:type="dxa"/>
          </w:tcPr>
          <w:p>
            <w:pPr>
              <w:pStyle w:val="TableParagraph"/>
              <w:spacing w:line="241" w:lineRule="exact" w:before="127"/>
              <w:ind w:left="462"/>
              <w:rPr>
                <w:sz w:val="22"/>
              </w:rPr>
            </w:pPr>
            <w:r>
              <w:rPr>
                <w:spacing w:val="-2"/>
                <w:sz w:val="22"/>
              </w:rPr>
              <w:t>0.458</w:t>
            </w:r>
          </w:p>
        </w:tc>
        <w:tc>
          <w:tcPr>
            <w:tcW w:w="2119" w:type="dxa"/>
          </w:tcPr>
          <w:p>
            <w:pPr>
              <w:pStyle w:val="TableParagraph"/>
              <w:spacing w:line="241" w:lineRule="exact" w:before="127"/>
              <w:ind w:left="56" w:right="53"/>
              <w:jc w:val="center"/>
              <w:rPr>
                <w:sz w:val="22"/>
              </w:rPr>
            </w:pPr>
            <w:r>
              <w:rPr>
                <w:spacing w:val="-2"/>
                <w:sz w:val="22"/>
              </w:rPr>
              <w:t>165.22</w:t>
            </w:r>
          </w:p>
        </w:tc>
        <w:tc>
          <w:tcPr>
            <w:tcW w:w="2682" w:type="dxa"/>
          </w:tcPr>
          <w:p>
            <w:pPr>
              <w:pStyle w:val="TableParagraph"/>
              <w:spacing w:line="241" w:lineRule="exact" w:before="127"/>
              <w:ind w:left="724"/>
              <w:rPr>
                <w:sz w:val="22"/>
              </w:rPr>
            </w:pPr>
            <w:r>
              <w:rPr>
                <w:spacing w:val="-2"/>
                <w:sz w:val="22"/>
              </w:rPr>
              <w:t>41.31</w:t>
            </w:r>
          </w:p>
        </w:tc>
      </w:tr>
      <w:tr>
        <w:trPr>
          <w:trHeight w:val="261" w:hRule="atLeast"/>
        </w:trPr>
        <w:tc>
          <w:tcPr>
            <w:tcW w:w="1654" w:type="dxa"/>
          </w:tcPr>
          <w:p>
            <w:pPr>
              <w:pStyle w:val="TableParagraph"/>
              <w:spacing w:line="239" w:lineRule="exact" w:before="2"/>
              <w:ind w:left="115"/>
              <w:rPr>
                <w:sz w:val="22"/>
              </w:rPr>
            </w:pPr>
            <w:r>
              <w:rPr>
                <w:spacing w:val="-5"/>
                <w:sz w:val="22"/>
              </w:rPr>
              <w:t>10</w:t>
            </w:r>
          </w:p>
        </w:tc>
        <w:tc>
          <w:tcPr>
            <w:tcW w:w="1757" w:type="dxa"/>
          </w:tcPr>
          <w:p>
            <w:pPr>
              <w:pStyle w:val="TableParagraph"/>
              <w:spacing w:line="239" w:lineRule="exact" w:before="2"/>
              <w:ind w:left="462"/>
              <w:rPr>
                <w:sz w:val="22"/>
              </w:rPr>
            </w:pPr>
            <w:r>
              <w:rPr>
                <w:spacing w:val="-2"/>
                <w:sz w:val="22"/>
              </w:rPr>
              <w:t>0.506</w:t>
            </w:r>
          </w:p>
        </w:tc>
        <w:tc>
          <w:tcPr>
            <w:tcW w:w="2119" w:type="dxa"/>
          </w:tcPr>
          <w:p>
            <w:pPr>
              <w:pStyle w:val="TableParagraph"/>
              <w:spacing w:line="239" w:lineRule="exact" w:before="2"/>
              <w:ind w:left="56" w:right="53"/>
              <w:jc w:val="center"/>
              <w:rPr>
                <w:sz w:val="22"/>
              </w:rPr>
            </w:pPr>
            <w:r>
              <w:rPr>
                <w:spacing w:val="-2"/>
                <w:sz w:val="22"/>
              </w:rPr>
              <w:t>189.52</w:t>
            </w:r>
          </w:p>
        </w:tc>
        <w:tc>
          <w:tcPr>
            <w:tcW w:w="2682" w:type="dxa"/>
          </w:tcPr>
          <w:p>
            <w:pPr>
              <w:pStyle w:val="TableParagraph"/>
              <w:spacing w:line="239" w:lineRule="exact" w:before="2"/>
              <w:ind w:left="724"/>
              <w:rPr>
                <w:sz w:val="22"/>
              </w:rPr>
            </w:pPr>
            <w:r>
              <w:rPr>
                <w:spacing w:val="-2"/>
                <w:sz w:val="22"/>
              </w:rPr>
              <w:t>47.38</w:t>
            </w:r>
          </w:p>
        </w:tc>
      </w:tr>
      <w:tr>
        <w:trPr>
          <w:trHeight w:val="259" w:hRule="atLeast"/>
        </w:trPr>
        <w:tc>
          <w:tcPr>
            <w:tcW w:w="1654" w:type="dxa"/>
          </w:tcPr>
          <w:p>
            <w:pPr>
              <w:pStyle w:val="TableParagraph"/>
              <w:spacing w:line="239" w:lineRule="exact"/>
              <w:ind w:left="115"/>
              <w:rPr>
                <w:sz w:val="22"/>
              </w:rPr>
            </w:pPr>
            <w:r>
              <w:rPr>
                <w:spacing w:val="-5"/>
                <w:sz w:val="22"/>
              </w:rPr>
              <w:t>15</w:t>
            </w:r>
          </w:p>
        </w:tc>
        <w:tc>
          <w:tcPr>
            <w:tcW w:w="1757" w:type="dxa"/>
          </w:tcPr>
          <w:p>
            <w:pPr>
              <w:pStyle w:val="TableParagraph"/>
              <w:spacing w:line="239" w:lineRule="exact"/>
              <w:ind w:left="462"/>
              <w:rPr>
                <w:sz w:val="22"/>
              </w:rPr>
            </w:pPr>
            <w:r>
              <w:rPr>
                <w:spacing w:val="-2"/>
                <w:sz w:val="22"/>
              </w:rPr>
              <w:t>0.617</w:t>
            </w:r>
          </w:p>
        </w:tc>
        <w:tc>
          <w:tcPr>
            <w:tcW w:w="2119" w:type="dxa"/>
          </w:tcPr>
          <w:p>
            <w:pPr>
              <w:pStyle w:val="TableParagraph"/>
              <w:spacing w:line="239" w:lineRule="exact"/>
              <w:ind w:left="56" w:right="53"/>
              <w:jc w:val="center"/>
              <w:rPr>
                <w:sz w:val="22"/>
              </w:rPr>
            </w:pPr>
            <w:r>
              <w:rPr>
                <w:spacing w:val="-2"/>
                <w:sz w:val="22"/>
              </w:rPr>
              <w:t>245.72</w:t>
            </w:r>
          </w:p>
        </w:tc>
        <w:tc>
          <w:tcPr>
            <w:tcW w:w="2682" w:type="dxa"/>
          </w:tcPr>
          <w:p>
            <w:pPr>
              <w:pStyle w:val="TableParagraph"/>
              <w:spacing w:line="239" w:lineRule="exact"/>
              <w:ind w:left="724"/>
              <w:rPr>
                <w:sz w:val="22"/>
              </w:rPr>
            </w:pPr>
            <w:r>
              <w:rPr>
                <w:spacing w:val="-2"/>
                <w:sz w:val="22"/>
              </w:rPr>
              <w:t>61.43</w:t>
            </w:r>
          </w:p>
        </w:tc>
      </w:tr>
      <w:tr>
        <w:trPr>
          <w:trHeight w:val="259" w:hRule="atLeast"/>
        </w:trPr>
        <w:tc>
          <w:tcPr>
            <w:tcW w:w="1654" w:type="dxa"/>
          </w:tcPr>
          <w:p>
            <w:pPr>
              <w:pStyle w:val="TableParagraph"/>
              <w:spacing w:line="239" w:lineRule="exact"/>
              <w:ind w:left="115"/>
              <w:rPr>
                <w:sz w:val="22"/>
              </w:rPr>
            </w:pPr>
            <w:r>
              <w:rPr>
                <w:spacing w:val="-5"/>
                <w:sz w:val="22"/>
              </w:rPr>
              <w:t>20</w:t>
            </w:r>
          </w:p>
        </w:tc>
        <w:tc>
          <w:tcPr>
            <w:tcW w:w="1757" w:type="dxa"/>
          </w:tcPr>
          <w:p>
            <w:pPr>
              <w:pStyle w:val="TableParagraph"/>
              <w:spacing w:line="239" w:lineRule="exact"/>
              <w:ind w:left="462"/>
              <w:rPr>
                <w:sz w:val="22"/>
              </w:rPr>
            </w:pPr>
            <w:r>
              <w:rPr>
                <w:spacing w:val="-2"/>
                <w:sz w:val="22"/>
              </w:rPr>
              <w:t>0.673</w:t>
            </w:r>
          </w:p>
        </w:tc>
        <w:tc>
          <w:tcPr>
            <w:tcW w:w="2119" w:type="dxa"/>
          </w:tcPr>
          <w:p>
            <w:pPr>
              <w:pStyle w:val="TableParagraph"/>
              <w:spacing w:line="239" w:lineRule="exact"/>
              <w:ind w:left="56" w:right="53"/>
              <w:jc w:val="center"/>
              <w:rPr>
                <w:sz w:val="22"/>
              </w:rPr>
            </w:pPr>
            <w:r>
              <w:rPr>
                <w:spacing w:val="-2"/>
                <w:sz w:val="22"/>
              </w:rPr>
              <w:t>274.08</w:t>
            </w:r>
          </w:p>
        </w:tc>
        <w:tc>
          <w:tcPr>
            <w:tcW w:w="2682" w:type="dxa"/>
          </w:tcPr>
          <w:p>
            <w:pPr>
              <w:pStyle w:val="TableParagraph"/>
              <w:spacing w:line="239" w:lineRule="exact"/>
              <w:ind w:left="724"/>
              <w:rPr>
                <w:sz w:val="22"/>
              </w:rPr>
            </w:pPr>
            <w:r>
              <w:rPr>
                <w:spacing w:val="-2"/>
                <w:sz w:val="22"/>
              </w:rPr>
              <w:t>68.51</w:t>
            </w:r>
          </w:p>
        </w:tc>
      </w:tr>
      <w:tr>
        <w:trPr>
          <w:trHeight w:val="259" w:hRule="atLeast"/>
        </w:trPr>
        <w:tc>
          <w:tcPr>
            <w:tcW w:w="1654" w:type="dxa"/>
          </w:tcPr>
          <w:p>
            <w:pPr>
              <w:pStyle w:val="TableParagraph"/>
              <w:spacing w:line="239" w:lineRule="exact"/>
              <w:ind w:left="115"/>
              <w:rPr>
                <w:sz w:val="22"/>
              </w:rPr>
            </w:pPr>
            <w:r>
              <w:rPr>
                <w:spacing w:val="-5"/>
                <w:sz w:val="22"/>
              </w:rPr>
              <w:t>25</w:t>
            </w:r>
          </w:p>
        </w:tc>
        <w:tc>
          <w:tcPr>
            <w:tcW w:w="1757" w:type="dxa"/>
          </w:tcPr>
          <w:p>
            <w:pPr>
              <w:pStyle w:val="TableParagraph"/>
              <w:spacing w:line="239" w:lineRule="exact"/>
              <w:ind w:left="462"/>
              <w:rPr>
                <w:sz w:val="22"/>
              </w:rPr>
            </w:pPr>
            <w:r>
              <w:rPr>
                <w:spacing w:val="-2"/>
                <w:sz w:val="22"/>
              </w:rPr>
              <w:t>0.783</w:t>
            </w:r>
          </w:p>
        </w:tc>
        <w:tc>
          <w:tcPr>
            <w:tcW w:w="2119" w:type="dxa"/>
          </w:tcPr>
          <w:p>
            <w:pPr>
              <w:pStyle w:val="TableParagraph"/>
              <w:spacing w:line="239" w:lineRule="exact"/>
              <w:ind w:left="56" w:right="53"/>
              <w:jc w:val="center"/>
              <w:rPr>
                <w:sz w:val="22"/>
              </w:rPr>
            </w:pPr>
            <w:r>
              <w:rPr>
                <w:spacing w:val="-2"/>
                <w:sz w:val="22"/>
              </w:rPr>
              <w:t>329.77</w:t>
            </w:r>
          </w:p>
        </w:tc>
        <w:tc>
          <w:tcPr>
            <w:tcW w:w="2682" w:type="dxa"/>
          </w:tcPr>
          <w:p>
            <w:pPr>
              <w:pStyle w:val="TableParagraph"/>
              <w:spacing w:line="239" w:lineRule="exact"/>
              <w:ind w:left="724"/>
              <w:rPr>
                <w:sz w:val="22"/>
              </w:rPr>
            </w:pPr>
            <w:r>
              <w:rPr>
                <w:spacing w:val="-2"/>
                <w:sz w:val="22"/>
              </w:rPr>
              <w:t>82.44</w:t>
            </w:r>
          </w:p>
        </w:tc>
      </w:tr>
      <w:tr>
        <w:trPr>
          <w:trHeight w:val="258" w:hRule="atLeast"/>
        </w:trPr>
        <w:tc>
          <w:tcPr>
            <w:tcW w:w="1654" w:type="dxa"/>
            <w:tcBorders>
              <w:bottom w:val="single" w:sz="4" w:space="0" w:color="000000"/>
            </w:tcBorders>
          </w:tcPr>
          <w:p>
            <w:pPr>
              <w:pStyle w:val="TableParagraph"/>
              <w:spacing w:line="238" w:lineRule="exact"/>
              <w:ind w:left="115"/>
              <w:rPr>
                <w:sz w:val="22"/>
              </w:rPr>
            </w:pPr>
            <w:r>
              <w:rPr>
                <w:spacing w:val="-5"/>
                <w:sz w:val="22"/>
              </w:rPr>
              <w:t>30</w:t>
            </w:r>
          </w:p>
        </w:tc>
        <w:tc>
          <w:tcPr>
            <w:tcW w:w="1757" w:type="dxa"/>
            <w:tcBorders>
              <w:bottom w:val="single" w:sz="4" w:space="0" w:color="000000"/>
            </w:tcBorders>
          </w:tcPr>
          <w:p>
            <w:pPr>
              <w:pStyle w:val="TableParagraph"/>
              <w:spacing w:line="238" w:lineRule="exact"/>
              <w:ind w:left="462"/>
              <w:rPr>
                <w:sz w:val="22"/>
              </w:rPr>
            </w:pPr>
            <w:r>
              <w:rPr>
                <w:spacing w:val="-2"/>
                <w:sz w:val="22"/>
              </w:rPr>
              <w:t>0.894</w:t>
            </w:r>
          </w:p>
        </w:tc>
        <w:tc>
          <w:tcPr>
            <w:tcW w:w="2119" w:type="dxa"/>
            <w:tcBorders>
              <w:bottom w:val="single" w:sz="4" w:space="0" w:color="000000"/>
            </w:tcBorders>
          </w:tcPr>
          <w:p>
            <w:pPr>
              <w:pStyle w:val="TableParagraph"/>
              <w:spacing w:line="238" w:lineRule="exact"/>
              <w:ind w:left="56" w:right="53"/>
              <w:jc w:val="center"/>
              <w:rPr>
                <w:sz w:val="22"/>
              </w:rPr>
            </w:pPr>
            <w:r>
              <w:rPr>
                <w:spacing w:val="-2"/>
                <w:sz w:val="22"/>
              </w:rPr>
              <w:t>385.98</w:t>
            </w:r>
          </w:p>
        </w:tc>
        <w:tc>
          <w:tcPr>
            <w:tcW w:w="2682" w:type="dxa"/>
            <w:tcBorders>
              <w:bottom w:val="single" w:sz="4" w:space="0" w:color="000000"/>
            </w:tcBorders>
          </w:tcPr>
          <w:p>
            <w:pPr>
              <w:pStyle w:val="TableParagraph"/>
              <w:spacing w:line="238" w:lineRule="exact"/>
              <w:ind w:left="724"/>
              <w:rPr>
                <w:sz w:val="22"/>
              </w:rPr>
            </w:pPr>
            <w:r>
              <w:rPr>
                <w:spacing w:val="-2"/>
                <w:sz w:val="22"/>
              </w:rPr>
              <w:t>96.49</w:t>
            </w:r>
          </w:p>
        </w:tc>
      </w:tr>
    </w:tbl>
    <w:p>
      <w:pPr>
        <w:spacing w:after="0" w:line="238" w:lineRule="exact"/>
        <w:rPr>
          <w:sz w:val="22"/>
        </w:rPr>
        <w:sectPr>
          <w:pgSz w:w="12240" w:h="15840"/>
          <w:pgMar w:header="0" w:footer="999" w:top="1260" w:bottom="1180" w:left="1720" w:right="760"/>
        </w:sectPr>
      </w:pPr>
    </w:p>
    <w:p>
      <w:pPr>
        <w:pStyle w:val="BodyText"/>
        <w:rPr>
          <w:b/>
        </w:rPr>
      </w:pPr>
    </w:p>
    <w:p>
      <w:pPr>
        <w:pStyle w:val="BodyText"/>
        <w:rPr>
          <w:b/>
        </w:rPr>
      </w:pPr>
    </w:p>
    <w:p>
      <w:pPr>
        <w:pStyle w:val="BodyText"/>
        <w:rPr>
          <w:b/>
        </w:rPr>
      </w:pPr>
    </w:p>
    <w:p>
      <w:pPr>
        <w:pStyle w:val="BodyText"/>
        <w:spacing w:before="63"/>
        <w:rPr>
          <w:b/>
        </w:rPr>
      </w:pPr>
    </w:p>
    <w:p>
      <w:pPr>
        <w:pStyle w:val="Heading2"/>
        <w:numPr>
          <w:ilvl w:val="1"/>
          <w:numId w:val="38"/>
        </w:numPr>
        <w:tabs>
          <w:tab w:pos="1113" w:val="left" w:leader="none"/>
        </w:tabs>
        <w:spacing w:line="240" w:lineRule="auto" w:before="0" w:after="0"/>
        <w:ind w:left="1113" w:right="0" w:hanging="448"/>
        <w:jc w:val="left"/>
      </w:pPr>
      <w:r>
        <w:rPr/>
        <w:t>Parameter</w:t>
      </w:r>
      <w:r>
        <w:rPr>
          <w:spacing w:val="18"/>
        </w:rPr>
        <w:t> </w:t>
      </w:r>
      <w:r>
        <w:rPr/>
        <w:t>from</w:t>
      </w:r>
      <w:r>
        <w:rPr>
          <w:spacing w:val="16"/>
        </w:rPr>
        <w:t> </w:t>
      </w:r>
      <w:r>
        <w:rPr/>
        <w:t>Dissolution</w:t>
      </w:r>
      <w:r>
        <w:rPr>
          <w:spacing w:val="17"/>
        </w:rPr>
        <w:t> </w:t>
      </w:r>
      <w:r>
        <w:rPr/>
        <w:t>profile</w:t>
      </w:r>
      <w:r>
        <w:rPr>
          <w:spacing w:val="7"/>
        </w:rPr>
        <w:t> </w:t>
      </w:r>
      <w:r>
        <w:rPr/>
        <w:t>of</w:t>
      </w:r>
      <w:r>
        <w:rPr>
          <w:spacing w:val="13"/>
        </w:rPr>
        <w:t> </w:t>
      </w:r>
      <w:r>
        <w:rPr/>
        <w:t>metronidazole</w:t>
      </w:r>
      <w:r>
        <w:rPr>
          <w:spacing w:val="12"/>
        </w:rPr>
        <w:t> </w:t>
      </w:r>
      <w:r>
        <w:rPr/>
        <w:t>tablets</w:t>
      </w:r>
      <w:r>
        <w:rPr>
          <w:spacing w:val="15"/>
        </w:rPr>
        <w:t> </w:t>
      </w:r>
      <w:r>
        <w:rPr>
          <w:spacing w:val="-2"/>
        </w:rPr>
        <w:t>containing</w:t>
      </w:r>
    </w:p>
    <w:p>
      <w:pPr>
        <w:spacing w:before="6"/>
        <w:ind w:left="1059" w:right="0" w:firstLine="0"/>
        <w:jc w:val="left"/>
        <w:rPr>
          <w:b/>
          <w:sz w:val="22"/>
        </w:rPr>
      </w:pPr>
      <w:r>
        <w:rPr>
          <w:b/>
          <w:sz w:val="22"/>
        </w:rPr>
        <w:t>7.5</w:t>
      </w:r>
      <w:r>
        <w:rPr>
          <w:b/>
          <w:spacing w:val="1"/>
          <w:sz w:val="22"/>
        </w:rPr>
        <w:t> </w:t>
      </w:r>
      <w:r>
        <w:rPr>
          <w:b/>
          <w:sz w:val="22"/>
        </w:rPr>
        <w:t>%</w:t>
      </w:r>
      <w:r>
        <w:rPr>
          <w:b/>
          <w:spacing w:val="21"/>
          <w:sz w:val="22"/>
        </w:rPr>
        <w:t> </w:t>
      </w:r>
      <w:r>
        <w:rPr>
          <w:b/>
          <w:sz w:val="22"/>
        </w:rPr>
        <w:t>w/v</w:t>
      </w:r>
      <w:r>
        <w:rPr>
          <w:b/>
          <w:spacing w:val="1"/>
          <w:sz w:val="22"/>
        </w:rPr>
        <w:t> </w:t>
      </w:r>
      <w:r>
        <w:rPr>
          <w:b/>
          <w:sz w:val="22"/>
        </w:rPr>
        <w:t>binder</w:t>
      </w:r>
      <w:r>
        <w:rPr>
          <w:b/>
          <w:spacing w:val="10"/>
          <w:sz w:val="22"/>
        </w:rPr>
        <w:t> </w:t>
      </w:r>
      <w:r>
        <w:rPr>
          <w:b/>
          <w:spacing w:val="-2"/>
          <w:sz w:val="22"/>
        </w:rPr>
        <w:t>concentration.</w:t>
      </w:r>
    </w:p>
    <w:p>
      <w:pPr>
        <w:pStyle w:val="BodyText"/>
        <w:spacing w:before="35"/>
        <w:rPr>
          <w:b/>
          <w:sz w:val="20"/>
        </w:rPr>
      </w:pPr>
    </w:p>
    <w:tbl>
      <w:tblPr>
        <w:tblW w:w="0" w:type="auto"/>
        <w:jc w:val="lef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9"/>
        <w:gridCol w:w="1795"/>
        <w:gridCol w:w="1835"/>
        <w:gridCol w:w="2669"/>
      </w:tblGrid>
      <w:tr>
        <w:trPr>
          <w:trHeight w:val="258" w:hRule="atLeast"/>
        </w:trPr>
        <w:tc>
          <w:tcPr>
            <w:tcW w:w="1899" w:type="dxa"/>
            <w:tcBorders>
              <w:top w:val="single" w:sz="4" w:space="0" w:color="000000"/>
              <w:bottom w:val="single" w:sz="4" w:space="0" w:color="000000"/>
            </w:tcBorders>
          </w:tcPr>
          <w:p>
            <w:pPr>
              <w:pStyle w:val="TableParagraph"/>
              <w:spacing w:line="233" w:lineRule="exact" w:before="5"/>
              <w:ind w:left="100"/>
              <w:rPr>
                <w:b/>
                <w:sz w:val="22"/>
              </w:rPr>
            </w:pPr>
            <w:r>
              <w:rPr>
                <w:b/>
                <w:spacing w:val="-2"/>
                <w:sz w:val="22"/>
              </w:rPr>
              <w:t>Parameter</w:t>
            </w:r>
          </w:p>
        </w:tc>
        <w:tc>
          <w:tcPr>
            <w:tcW w:w="1795" w:type="dxa"/>
            <w:tcBorders>
              <w:top w:val="single" w:sz="4" w:space="0" w:color="000000"/>
              <w:bottom w:val="single" w:sz="4" w:space="0" w:color="000000"/>
            </w:tcBorders>
          </w:tcPr>
          <w:p>
            <w:pPr>
              <w:pStyle w:val="TableParagraph"/>
              <w:spacing w:line="233" w:lineRule="exact" w:before="5"/>
              <w:ind w:left="755"/>
              <w:rPr>
                <w:b/>
                <w:sz w:val="22"/>
              </w:rPr>
            </w:pPr>
            <w:r>
              <w:rPr>
                <w:b/>
                <w:spacing w:val="-5"/>
                <w:sz w:val="22"/>
              </w:rPr>
              <w:t>DS</w:t>
            </w:r>
          </w:p>
        </w:tc>
        <w:tc>
          <w:tcPr>
            <w:tcW w:w="1835" w:type="dxa"/>
            <w:tcBorders>
              <w:top w:val="single" w:sz="4" w:space="0" w:color="000000"/>
              <w:bottom w:val="single" w:sz="4" w:space="0" w:color="000000"/>
            </w:tcBorders>
          </w:tcPr>
          <w:p>
            <w:pPr>
              <w:pStyle w:val="TableParagraph"/>
              <w:spacing w:line="233" w:lineRule="exact" w:before="5"/>
              <w:ind w:left="597"/>
              <w:rPr>
                <w:b/>
                <w:sz w:val="22"/>
              </w:rPr>
            </w:pPr>
            <w:r>
              <w:rPr>
                <w:b/>
                <w:spacing w:val="-5"/>
                <w:sz w:val="22"/>
              </w:rPr>
              <w:t>MCS</w:t>
            </w:r>
          </w:p>
        </w:tc>
        <w:tc>
          <w:tcPr>
            <w:tcW w:w="2669" w:type="dxa"/>
            <w:tcBorders>
              <w:top w:val="single" w:sz="4" w:space="0" w:color="000000"/>
              <w:bottom w:val="single" w:sz="4" w:space="0" w:color="000000"/>
            </w:tcBorders>
          </w:tcPr>
          <w:p>
            <w:pPr>
              <w:pStyle w:val="TableParagraph"/>
              <w:spacing w:line="233" w:lineRule="exact" w:before="5"/>
              <w:ind w:left="739"/>
              <w:rPr>
                <w:b/>
                <w:sz w:val="22"/>
              </w:rPr>
            </w:pPr>
            <w:r>
              <w:rPr>
                <w:b/>
                <w:spacing w:val="-5"/>
                <w:sz w:val="22"/>
              </w:rPr>
              <w:t>GEL</w:t>
            </w:r>
          </w:p>
        </w:tc>
      </w:tr>
      <w:tr>
        <w:trPr>
          <w:trHeight w:val="265" w:hRule="atLeast"/>
        </w:trPr>
        <w:tc>
          <w:tcPr>
            <w:tcW w:w="1899" w:type="dxa"/>
            <w:tcBorders>
              <w:top w:val="single" w:sz="4" w:space="0" w:color="000000"/>
            </w:tcBorders>
          </w:tcPr>
          <w:p>
            <w:pPr>
              <w:pStyle w:val="TableParagraph"/>
              <w:spacing w:line="240" w:lineRule="exact" w:before="5"/>
              <w:ind w:left="100"/>
              <w:rPr>
                <w:sz w:val="22"/>
              </w:rPr>
            </w:pPr>
            <w:r>
              <w:rPr>
                <w:w w:val="105"/>
                <w:sz w:val="22"/>
              </w:rPr>
              <w:t>T</w:t>
            </w:r>
            <w:r>
              <w:rPr>
                <w:w w:val="105"/>
                <w:sz w:val="22"/>
                <w:vertAlign w:val="subscript"/>
              </w:rPr>
              <w:t>50%</w:t>
            </w:r>
            <w:r>
              <w:rPr>
                <w:spacing w:val="1"/>
                <w:w w:val="105"/>
                <w:sz w:val="22"/>
                <w:vertAlign w:val="baseline"/>
              </w:rPr>
              <w:t> </w:t>
            </w:r>
            <w:r>
              <w:rPr>
                <w:spacing w:val="-2"/>
                <w:w w:val="105"/>
                <w:sz w:val="22"/>
                <w:vertAlign w:val="baseline"/>
              </w:rPr>
              <w:t>(min)</w:t>
            </w:r>
          </w:p>
        </w:tc>
        <w:tc>
          <w:tcPr>
            <w:tcW w:w="1795" w:type="dxa"/>
            <w:tcBorders>
              <w:top w:val="single" w:sz="4" w:space="0" w:color="000000"/>
            </w:tcBorders>
          </w:tcPr>
          <w:p>
            <w:pPr>
              <w:pStyle w:val="TableParagraph"/>
              <w:spacing w:line="240" w:lineRule="exact" w:before="5"/>
              <w:ind w:left="755"/>
              <w:rPr>
                <w:sz w:val="22"/>
              </w:rPr>
            </w:pPr>
            <w:r>
              <w:rPr>
                <w:spacing w:val="-10"/>
                <w:sz w:val="22"/>
              </w:rPr>
              <w:t>8</w:t>
            </w:r>
          </w:p>
        </w:tc>
        <w:tc>
          <w:tcPr>
            <w:tcW w:w="1835" w:type="dxa"/>
            <w:tcBorders>
              <w:top w:val="single" w:sz="4" w:space="0" w:color="000000"/>
            </w:tcBorders>
          </w:tcPr>
          <w:p>
            <w:pPr>
              <w:pStyle w:val="TableParagraph"/>
              <w:spacing w:line="240" w:lineRule="exact" w:before="5"/>
              <w:ind w:left="534"/>
              <w:rPr>
                <w:sz w:val="22"/>
              </w:rPr>
            </w:pPr>
            <w:r>
              <w:rPr>
                <w:spacing w:val="-10"/>
                <w:sz w:val="22"/>
              </w:rPr>
              <w:t>6</w:t>
            </w:r>
          </w:p>
        </w:tc>
        <w:tc>
          <w:tcPr>
            <w:tcW w:w="2669" w:type="dxa"/>
            <w:tcBorders>
              <w:top w:val="single" w:sz="4" w:space="0" w:color="000000"/>
            </w:tcBorders>
          </w:tcPr>
          <w:p>
            <w:pPr>
              <w:pStyle w:val="TableParagraph"/>
              <w:spacing w:line="240" w:lineRule="exact" w:before="5"/>
              <w:ind w:left="739"/>
              <w:rPr>
                <w:sz w:val="22"/>
              </w:rPr>
            </w:pPr>
            <w:r>
              <w:rPr>
                <w:spacing w:val="-5"/>
                <w:sz w:val="22"/>
              </w:rPr>
              <w:t>11</w:t>
            </w:r>
          </w:p>
        </w:tc>
      </w:tr>
      <w:tr>
        <w:trPr>
          <w:trHeight w:val="261" w:hRule="atLeast"/>
        </w:trPr>
        <w:tc>
          <w:tcPr>
            <w:tcW w:w="1899" w:type="dxa"/>
          </w:tcPr>
          <w:p>
            <w:pPr>
              <w:pStyle w:val="TableParagraph"/>
              <w:spacing w:line="242" w:lineRule="exact"/>
              <w:ind w:left="100"/>
              <w:rPr>
                <w:sz w:val="22"/>
              </w:rPr>
            </w:pPr>
            <w:r>
              <w:rPr>
                <w:sz w:val="22"/>
              </w:rPr>
              <w:t>T</w:t>
            </w:r>
            <w:r>
              <w:rPr>
                <w:sz w:val="22"/>
                <w:vertAlign w:val="subscript"/>
              </w:rPr>
              <w:t>90%</w:t>
            </w:r>
            <w:r>
              <w:rPr>
                <w:spacing w:val="4"/>
                <w:sz w:val="22"/>
                <w:vertAlign w:val="baseline"/>
              </w:rPr>
              <w:t> </w:t>
            </w:r>
            <w:r>
              <w:rPr>
                <w:spacing w:val="-2"/>
                <w:sz w:val="22"/>
                <w:vertAlign w:val="baseline"/>
              </w:rPr>
              <w:t>(min)</w:t>
            </w:r>
          </w:p>
        </w:tc>
        <w:tc>
          <w:tcPr>
            <w:tcW w:w="1795" w:type="dxa"/>
          </w:tcPr>
          <w:p>
            <w:pPr>
              <w:pStyle w:val="TableParagraph"/>
              <w:spacing w:line="242" w:lineRule="exact"/>
              <w:ind w:left="755"/>
              <w:rPr>
                <w:sz w:val="22"/>
              </w:rPr>
            </w:pPr>
            <w:r>
              <w:rPr>
                <w:spacing w:val="-5"/>
                <w:sz w:val="22"/>
              </w:rPr>
              <w:t>16</w:t>
            </w:r>
          </w:p>
        </w:tc>
        <w:tc>
          <w:tcPr>
            <w:tcW w:w="1835" w:type="dxa"/>
          </w:tcPr>
          <w:p>
            <w:pPr>
              <w:pStyle w:val="TableParagraph"/>
              <w:spacing w:line="242" w:lineRule="exact"/>
              <w:ind w:left="534"/>
              <w:rPr>
                <w:sz w:val="22"/>
              </w:rPr>
            </w:pPr>
            <w:r>
              <w:rPr>
                <w:spacing w:val="-5"/>
                <w:sz w:val="22"/>
              </w:rPr>
              <w:t>26</w:t>
            </w:r>
          </w:p>
        </w:tc>
        <w:tc>
          <w:tcPr>
            <w:tcW w:w="2669" w:type="dxa"/>
          </w:tcPr>
          <w:p>
            <w:pPr>
              <w:pStyle w:val="TableParagraph"/>
              <w:spacing w:line="242" w:lineRule="exact"/>
              <w:ind w:left="739"/>
              <w:rPr>
                <w:sz w:val="22"/>
              </w:rPr>
            </w:pPr>
            <w:r>
              <w:rPr>
                <w:spacing w:val="-5"/>
                <w:sz w:val="22"/>
              </w:rPr>
              <w:t>32</w:t>
            </w:r>
          </w:p>
        </w:tc>
      </w:tr>
      <w:tr>
        <w:trPr>
          <w:trHeight w:val="250" w:hRule="atLeast"/>
        </w:trPr>
        <w:tc>
          <w:tcPr>
            <w:tcW w:w="1899" w:type="dxa"/>
          </w:tcPr>
          <w:p>
            <w:pPr>
              <w:pStyle w:val="TableParagraph"/>
              <w:spacing w:line="231" w:lineRule="exact"/>
              <w:ind w:left="100"/>
              <w:rPr>
                <w:sz w:val="22"/>
              </w:rPr>
            </w:pPr>
            <w:r>
              <w:rPr>
                <w:spacing w:val="-2"/>
                <w:sz w:val="22"/>
              </w:rPr>
              <w:t>Dissolution</w:t>
            </w:r>
          </w:p>
        </w:tc>
        <w:tc>
          <w:tcPr>
            <w:tcW w:w="1795" w:type="dxa"/>
          </w:tcPr>
          <w:p>
            <w:pPr>
              <w:pStyle w:val="TableParagraph"/>
              <w:spacing w:line="231" w:lineRule="exact"/>
              <w:ind w:left="755"/>
              <w:rPr>
                <w:sz w:val="22"/>
              </w:rPr>
            </w:pPr>
            <w:r>
              <w:rPr>
                <w:spacing w:val="-2"/>
                <w:sz w:val="22"/>
              </w:rPr>
              <w:t>99.03</w:t>
            </w:r>
          </w:p>
        </w:tc>
        <w:tc>
          <w:tcPr>
            <w:tcW w:w="1835" w:type="dxa"/>
          </w:tcPr>
          <w:p>
            <w:pPr>
              <w:pStyle w:val="TableParagraph"/>
              <w:spacing w:line="231" w:lineRule="exact"/>
              <w:ind w:left="534"/>
              <w:rPr>
                <w:sz w:val="22"/>
              </w:rPr>
            </w:pPr>
            <w:r>
              <w:rPr>
                <w:spacing w:val="-2"/>
                <w:sz w:val="22"/>
              </w:rPr>
              <w:t>95.23</w:t>
            </w:r>
          </w:p>
        </w:tc>
        <w:tc>
          <w:tcPr>
            <w:tcW w:w="2669" w:type="dxa"/>
          </w:tcPr>
          <w:p>
            <w:pPr>
              <w:pStyle w:val="TableParagraph"/>
              <w:spacing w:line="231" w:lineRule="exact"/>
              <w:ind w:left="739"/>
              <w:rPr>
                <w:sz w:val="22"/>
              </w:rPr>
            </w:pPr>
            <w:r>
              <w:rPr>
                <w:spacing w:val="-2"/>
                <w:sz w:val="22"/>
              </w:rPr>
              <w:t>85.48</w:t>
            </w:r>
          </w:p>
        </w:tc>
      </w:tr>
    </w:tbl>
    <w:p>
      <w:pPr>
        <w:pStyle w:val="BodyText"/>
        <w:tabs>
          <w:tab w:pos="8763" w:val="left" w:leader="none"/>
        </w:tabs>
        <w:ind w:left="550"/>
      </w:pPr>
      <w:r>
        <w:rPr>
          <w:spacing w:val="75"/>
          <w:u w:val="single"/>
        </w:rPr>
        <w:t> </w:t>
      </w:r>
      <w:r>
        <w:rPr>
          <w:u w:val="single"/>
        </w:rPr>
        <w:t>efficiency</w:t>
      </w:r>
      <w:r>
        <w:rPr>
          <w:spacing w:val="-3"/>
          <w:u w:val="single"/>
        </w:rPr>
        <w:t> </w:t>
      </w:r>
      <w:r>
        <w:rPr>
          <w:spacing w:val="-2"/>
          <w:u w:val="single"/>
        </w:rPr>
        <w:t>(30min)%</w:t>
      </w:r>
      <w:r>
        <w:rPr>
          <w:u w:val="single"/>
        </w:rPr>
        <w:tab/>
      </w:r>
    </w:p>
    <w:p>
      <w:pPr>
        <w:spacing w:after="0"/>
        <w:sectPr>
          <w:pgSz w:w="12240" w:h="15840"/>
          <w:pgMar w:header="0" w:footer="999" w:top="1820" w:bottom="1180" w:left="1720" w:right="7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Heading2"/>
        <w:ind w:left="665" w:firstLine="0"/>
      </w:pPr>
      <w:bookmarkStart w:name="_TOC_250003" w:id="158"/>
      <w:r>
        <w:rPr/>
        <w:t>A.</w:t>
      </w:r>
      <w:r>
        <w:rPr>
          <w:spacing w:val="15"/>
        </w:rPr>
        <w:t> </w:t>
      </w:r>
      <w:r>
        <w:rPr/>
        <w:t>8</w:t>
      </w:r>
      <w:r>
        <w:rPr>
          <w:spacing w:val="16"/>
        </w:rPr>
        <w:t> </w:t>
      </w:r>
      <w:r>
        <w:rPr/>
        <w:t>Parameter</w:t>
      </w:r>
      <w:r>
        <w:rPr>
          <w:spacing w:val="16"/>
        </w:rPr>
        <w:t> </w:t>
      </w:r>
      <w:r>
        <w:rPr/>
        <w:t>from</w:t>
      </w:r>
      <w:r>
        <w:rPr>
          <w:spacing w:val="14"/>
        </w:rPr>
        <w:t> </w:t>
      </w:r>
      <w:r>
        <w:rPr/>
        <w:t>Dissolution</w:t>
      </w:r>
      <w:r>
        <w:rPr>
          <w:spacing w:val="14"/>
        </w:rPr>
        <w:t> </w:t>
      </w:r>
      <w:r>
        <w:rPr/>
        <w:t>profile</w:t>
      </w:r>
      <w:r>
        <w:rPr>
          <w:spacing w:val="4"/>
        </w:rPr>
        <w:t> </w:t>
      </w:r>
      <w:r>
        <w:rPr/>
        <w:t>of</w:t>
      </w:r>
      <w:r>
        <w:rPr>
          <w:spacing w:val="11"/>
        </w:rPr>
        <w:t> </w:t>
      </w:r>
      <w:r>
        <w:rPr/>
        <w:t>metronidazole</w:t>
      </w:r>
      <w:r>
        <w:rPr>
          <w:spacing w:val="9"/>
        </w:rPr>
        <w:t> </w:t>
      </w:r>
      <w:r>
        <w:rPr/>
        <w:t>tablets</w:t>
      </w:r>
      <w:r>
        <w:rPr>
          <w:spacing w:val="13"/>
        </w:rPr>
        <w:t> </w:t>
      </w:r>
      <w:bookmarkEnd w:id="158"/>
      <w:r>
        <w:rPr>
          <w:spacing w:val="-2"/>
        </w:rPr>
        <w:t>containing</w:t>
      </w:r>
    </w:p>
    <w:p>
      <w:pPr>
        <w:pStyle w:val="Heading2"/>
        <w:spacing w:before="6"/>
        <w:ind w:left="1059" w:firstLine="0"/>
      </w:pPr>
      <w:bookmarkStart w:name="_TOC_250002" w:id="159"/>
      <w:r>
        <w:rPr/>
        <w:t>10.0</w:t>
      </w:r>
      <w:r>
        <w:rPr>
          <w:spacing w:val="9"/>
        </w:rPr>
        <w:t> </w:t>
      </w:r>
      <w:r>
        <w:rPr/>
        <w:t>%</w:t>
      </w:r>
      <w:r>
        <w:rPr>
          <w:spacing w:val="19"/>
        </w:rPr>
        <w:t> </w:t>
      </w:r>
      <w:r>
        <w:rPr/>
        <w:t>w/w</w:t>
      </w:r>
      <w:r>
        <w:rPr>
          <w:spacing w:val="7"/>
        </w:rPr>
        <w:t> </w:t>
      </w:r>
      <w:r>
        <w:rPr/>
        <w:t>disintegrant</w:t>
      </w:r>
      <w:r>
        <w:rPr>
          <w:spacing w:val="9"/>
        </w:rPr>
        <w:t> </w:t>
      </w:r>
      <w:bookmarkEnd w:id="159"/>
      <w:r>
        <w:rPr>
          <w:spacing w:val="-2"/>
        </w:rPr>
        <w:t>concentration.</w:t>
      </w:r>
    </w:p>
    <w:p>
      <w:pPr>
        <w:pStyle w:val="BodyText"/>
        <w:spacing w:before="34" w:after="1"/>
        <w:rPr>
          <w:b/>
          <w:sz w:val="20"/>
        </w:rPr>
      </w:pPr>
    </w:p>
    <w:tbl>
      <w:tblPr>
        <w:tblW w:w="0" w:type="auto"/>
        <w:jc w:val="lef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9"/>
        <w:gridCol w:w="1850"/>
        <w:gridCol w:w="1779"/>
        <w:gridCol w:w="2668"/>
      </w:tblGrid>
      <w:tr>
        <w:trPr>
          <w:trHeight w:val="258" w:hRule="atLeast"/>
        </w:trPr>
        <w:tc>
          <w:tcPr>
            <w:tcW w:w="1899" w:type="dxa"/>
            <w:tcBorders>
              <w:top w:val="single" w:sz="4" w:space="0" w:color="000000"/>
              <w:bottom w:val="single" w:sz="4" w:space="0" w:color="000000"/>
            </w:tcBorders>
          </w:tcPr>
          <w:p>
            <w:pPr>
              <w:pStyle w:val="TableParagraph"/>
              <w:spacing w:line="233" w:lineRule="exact" w:before="5"/>
              <w:ind w:left="100"/>
              <w:rPr>
                <w:b/>
                <w:sz w:val="22"/>
              </w:rPr>
            </w:pPr>
            <w:r>
              <w:rPr>
                <w:b/>
                <w:spacing w:val="-2"/>
                <w:sz w:val="22"/>
              </w:rPr>
              <w:t>Parameter</w:t>
            </w:r>
          </w:p>
        </w:tc>
        <w:tc>
          <w:tcPr>
            <w:tcW w:w="1850" w:type="dxa"/>
            <w:tcBorders>
              <w:top w:val="single" w:sz="4" w:space="0" w:color="000000"/>
              <w:bottom w:val="single" w:sz="4" w:space="0" w:color="000000"/>
            </w:tcBorders>
          </w:tcPr>
          <w:p>
            <w:pPr>
              <w:pStyle w:val="TableParagraph"/>
              <w:spacing w:line="233" w:lineRule="exact" w:before="5"/>
              <w:ind w:left="755"/>
              <w:rPr>
                <w:b/>
                <w:sz w:val="22"/>
              </w:rPr>
            </w:pPr>
            <w:r>
              <w:rPr>
                <w:b/>
                <w:spacing w:val="-5"/>
                <w:sz w:val="22"/>
              </w:rPr>
              <w:t>DS</w:t>
            </w:r>
          </w:p>
        </w:tc>
        <w:tc>
          <w:tcPr>
            <w:tcW w:w="1779" w:type="dxa"/>
            <w:tcBorders>
              <w:top w:val="single" w:sz="4" w:space="0" w:color="000000"/>
              <w:bottom w:val="single" w:sz="4" w:space="0" w:color="000000"/>
            </w:tcBorders>
          </w:tcPr>
          <w:p>
            <w:pPr>
              <w:pStyle w:val="TableParagraph"/>
              <w:spacing w:line="233" w:lineRule="exact" w:before="5"/>
              <w:ind w:left="542"/>
              <w:rPr>
                <w:b/>
                <w:sz w:val="22"/>
              </w:rPr>
            </w:pPr>
            <w:r>
              <w:rPr>
                <w:b/>
                <w:spacing w:val="-5"/>
                <w:sz w:val="22"/>
              </w:rPr>
              <w:t>MCS</w:t>
            </w:r>
          </w:p>
        </w:tc>
        <w:tc>
          <w:tcPr>
            <w:tcW w:w="2668" w:type="dxa"/>
            <w:tcBorders>
              <w:top w:val="single" w:sz="4" w:space="0" w:color="000000"/>
              <w:bottom w:val="single" w:sz="4" w:space="0" w:color="000000"/>
            </w:tcBorders>
          </w:tcPr>
          <w:p>
            <w:pPr>
              <w:pStyle w:val="TableParagraph"/>
              <w:spacing w:line="233" w:lineRule="exact" w:before="5"/>
              <w:ind w:left="740"/>
              <w:rPr>
                <w:b/>
                <w:sz w:val="22"/>
              </w:rPr>
            </w:pPr>
            <w:r>
              <w:rPr>
                <w:b/>
                <w:sz w:val="22"/>
              </w:rPr>
              <w:t>MS</w:t>
            </w:r>
            <w:r>
              <w:rPr>
                <w:b/>
                <w:spacing w:val="10"/>
                <w:sz w:val="22"/>
              </w:rPr>
              <w:t> </w:t>
            </w:r>
            <w:r>
              <w:rPr>
                <w:b/>
                <w:spacing w:val="-5"/>
                <w:sz w:val="22"/>
              </w:rPr>
              <w:t>BP</w:t>
            </w:r>
          </w:p>
        </w:tc>
      </w:tr>
      <w:tr>
        <w:trPr>
          <w:trHeight w:val="268" w:hRule="atLeast"/>
        </w:trPr>
        <w:tc>
          <w:tcPr>
            <w:tcW w:w="1899" w:type="dxa"/>
            <w:tcBorders>
              <w:top w:val="single" w:sz="4" w:space="0" w:color="000000"/>
            </w:tcBorders>
          </w:tcPr>
          <w:p>
            <w:pPr>
              <w:pStyle w:val="TableParagraph"/>
              <w:spacing w:line="247" w:lineRule="exact" w:before="1"/>
              <w:ind w:left="100"/>
              <w:rPr>
                <w:sz w:val="22"/>
              </w:rPr>
            </w:pPr>
            <w:r>
              <w:rPr>
                <w:w w:val="105"/>
                <w:sz w:val="22"/>
              </w:rPr>
              <w:t>T</w:t>
            </w:r>
            <w:r>
              <w:rPr>
                <w:w w:val="105"/>
                <w:sz w:val="22"/>
                <w:vertAlign w:val="subscript"/>
              </w:rPr>
              <w:t>50%</w:t>
            </w:r>
            <w:r>
              <w:rPr>
                <w:spacing w:val="1"/>
                <w:w w:val="105"/>
                <w:sz w:val="22"/>
                <w:vertAlign w:val="baseline"/>
              </w:rPr>
              <w:t> </w:t>
            </w:r>
            <w:r>
              <w:rPr>
                <w:spacing w:val="-2"/>
                <w:w w:val="105"/>
                <w:sz w:val="22"/>
                <w:vertAlign w:val="baseline"/>
              </w:rPr>
              <w:t>(min)</w:t>
            </w:r>
          </w:p>
        </w:tc>
        <w:tc>
          <w:tcPr>
            <w:tcW w:w="1850" w:type="dxa"/>
            <w:tcBorders>
              <w:top w:val="single" w:sz="4" w:space="0" w:color="000000"/>
            </w:tcBorders>
          </w:tcPr>
          <w:p>
            <w:pPr>
              <w:pStyle w:val="TableParagraph"/>
              <w:spacing w:line="247" w:lineRule="exact" w:before="1"/>
              <w:ind w:left="755"/>
              <w:rPr>
                <w:sz w:val="22"/>
              </w:rPr>
            </w:pPr>
            <w:r>
              <w:rPr>
                <w:spacing w:val="-10"/>
                <w:sz w:val="22"/>
              </w:rPr>
              <w:t>4</w:t>
            </w:r>
          </w:p>
        </w:tc>
        <w:tc>
          <w:tcPr>
            <w:tcW w:w="1779" w:type="dxa"/>
            <w:tcBorders>
              <w:top w:val="single" w:sz="4" w:space="0" w:color="000000"/>
            </w:tcBorders>
          </w:tcPr>
          <w:p>
            <w:pPr>
              <w:pStyle w:val="TableParagraph"/>
              <w:spacing w:line="247" w:lineRule="exact" w:before="1"/>
              <w:ind w:left="479"/>
              <w:rPr>
                <w:sz w:val="22"/>
              </w:rPr>
            </w:pPr>
            <w:r>
              <w:rPr>
                <w:spacing w:val="-5"/>
                <w:sz w:val="22"/>
              </w:rPr>
              <w:t>11</w:t>
            </w:r>
          </w:p>
        </w:tc>
        <w:tc>
          <w:tcPr>
            <w:tcW w:w="2668" w:type="dxa"/>
            <w:tcBorders>
              <w:top w:val="single" w:sz="4" w:space="0" w:color="000000"/>
            </w:tcBorders>
          </w:tcPr>
          <w:p>
            <w:pPr>
              <w:pStyle w:val="TableParagraph"/>
              <w:spacing w:line="247" w:lineRule="exact" w:before="1"/>
              <w:ind w:left="740"/>
              <w:rPr>
                <w:sz w:val="22"/>
              </w:rPr>
            </w:pPr>
            <w:r>
              <w:rPr>
                <w:spacing w:val="-5"/>
                <w:sz w:val="22"/>
              </w:rPr>
              <w:t>11</w:t>
            </w:r>
          </w:p>
        </w:tc>
      </w:tr>
      <w:tr>
        <w:trPr>
          <w:trHeight w:val="261" w:hRule="atLeast"/>
        </w:trPr>
        <w:tc>
          <w:tcPr>
            <w:tcW w:w="1899" w:type="dxa"/>
          </w:tcPr>
          <w:p>
            <w:pPr>
              <w:pStyle w:val="TableParagraph"/>
              <w:spacing w:line="242" w:lineRule="exact"/>
              <w:ind w:left="100"/>
              <w:rPr>
                <w:sz w:val="22"/>
              </w:rPr>
            </w:pPr>
            <w:r>
              <w:rPr>
                <w:sz w:val="22"/>
              </w:rPr>
              <w:t>T</w:t>
            </w:r>
            <w:r>
              <w:rPr>
                <w:sz w:val="22"/>
                <w:vertAlign w:val="subscript"/>
              </w:rPr>
              <w:t>90%</w:t>
            </w:r>
            <w:r>
              <w:rPr>
                <w:spacing w:val="4"/>
                <w:sz w:val="22"/>
                <w:vertAlign w:val="baseline"/>
              </w:rPr>
              <w:t> </w:t>
            </w:r>
            <w:r>
              <w:rPr>
                <w:spacing w:val="-2"/>
                <w:sz w:val="22"/>
                <w:vertAlign w:val="baseline"/>
              </w:rPr>
              <w:t>(min)</w:t>
            </w:r>
          </w:p>
        </w:tc>
        <w:tc>
          <w:tcPr>
            <w:tcW w:w="1850" w:type="dxa"/>
          </w:tcPr>
          <w:p>
            <w:pPr>
              <w:pStyle w:val="TableParagraph"/>
              <w:spacing w:line="242" w:lineRule="exact"/>
              <w:ind w:left="755"/>
              <w:rPr>
                <w:sz w:val="22"/>
              </w:rPr>
            </w:pPr>
            <w:r>
              <w:rPr>
                <w:spacing w:val="-5"/>
                <w:sz w:val="22"/>
              </w:rPr>
              <w:t>21</w:t>
            </w:r>
          </w:p>
        </w:tc>
        <w:tc>
          <w:tcPr>
            <w:tcW w:w="1779" w:type="dxa"/>
          </w:tcPr>
          <w:p>
            <w:pPr>
              <w:pStyle w:val="TableParagraph"/>
              <w:spacing w:line="242" w:lineRule="exact"/>
              <w:ind w:left="479"/>
              <w:rPr>
                <w:sz w:val="22"/>
              </w:rPr>
            </w:pPr>
            <w:r>
              <w:rPr>
                <w:spacing w:val="-5"/>
                <w:sz w:val="22"/>
              </w:rPr>
              <w:t>27</w:t>
            </w:r>
          </w:p>
        </w:tc>
        <w:tc>
          <w:tcPr>
            <w:tcW w:w="2668" w:type="dxa"/>
          </w:tcPr>
          <w:p>
            <w:pPr>
              <w:pStyle w:val="TableParagraph"/>
              <w:spacing w:line="242" w:lineRule="exact"/>
              <w:ind w:left="740"/>
              <w:rPr>
                <w:sz w:val="22"/>
              </w:rPr>
            </w:pPr>
            <w:r>
              <w:rPr>
                <w:spacing w:val="-5"/>
                <w:sz w:val="22"/>
              </w:rPr>
              <w:t>26</w:t>
            </w:r>
          </w:p>
        </w:tc>
      </w:tr>
      <w:tr>
        <w:trPr>
          <w:trHeight w:val="248" w:hRule="atLeast"/>
        </w:trPr>
        <w:tc>
          <w:tcPr>
            <w:tcW w:w="1899" w:type="dxa"/>
          </w:tcPr>
          <w:p>
            <w:pPr>
              <w:pStyle w:val="TableParagraph"/>
              <w:spacing w:line="228" w:lineRule="exact"/>
              <w:ind w:left="100"/>
              <w:rPr>
                <w:sz w:val="22"/>
              </w:rPr>
            </w:pPr>
            <w:r>
              <w:rPr>
                <w:spacing w:val="-2"/>
                <w:sz w:val="22"/>
              </w:rPr>
              <w:t>Dissolution</w:t>
            </w:r>
          </w:p>
        </w:tc>
        <w:tc>
          <w:tcPr>
            <w:tcW w:w="1850" w:type="dxa"/>
          </w:tcPr>
          <w:p>
            <w:pPr>
              <w:pStyle w:val="TableParagraph"/>
              <w:spacing w:line="228" w:lineRule="exact"/>
              <w:ind w:left="755"/>
              <w:rPr>
                <w:sz w:val="22"/>
              </w:rPr>
            </w:pPr>
            <w:r>
              <w:rPr>
                <w:spacing w:val="-2"/>
                <w:sz w:val="22"/>
              </w:rPr>
              <w:t>100.00</w:t>
            </w:r>
          </w:p>
        </w:tc>
        <w:tc>
          <w:tcPr>
            <w:tcW w:w="1779" w:type="dxa"/>
          </w:tcPr>
          <w:p>
            <w:pPr>
              <w:pStyle w:val="TableParagraph"/>
              <w:spacing w:line="228" w:lineRule="exact"/>
              <w:ind w:left="479"/>
              <w:rPr>
                <w:sz w:val="22"/>
              </w:rPr>
            </w:pPr>
            <w:r>
              <w:rPr>
                <w:spacing w:val="-2"/>
                <w:sz w:val="22"/>
              </w:rPr>
              <w:t>96.49</w:t>
            </w:r>
          </w:p>
        </w:tc>
        <w:tc>
          <w:tcPr>
            <w:tcW w:w="2668" w:type="dxa"/>
          </w:tcPr>
          <w:p>
            <w:pPr>
              <w:pStyle w:val="TableParagraph"/>
              <w:spacing w:line="228" w:lineRule="exact"/>
              <w:ind w:left="740"/>
              <w:rPr>
                <w:sz w:val="22"/>
              </w:rPr>
            </w:pPr>
            <w:r>
              <w:rPr>
                <w:spacing w:val="-2"/>
                <w:sz w:val="22"/>
              </w:rPr>
              <w:t>99.41</w:t>
            </w:r>
          </w:p>
        </w:tc>
      </w:tr>
    </w:tbl>
    <w:p>
      <w:pPr>
        <w:pStyle w:val="BodyText"/>
        <w:tabs>
          <w:tab w:pos="8763" w:val="left" w:leader="none"/>
        </w:tabs>
        <w:spacing w:before="2"/>
        <w:ind w:left="550"/>
      </w:pPr>
      <w:r>
        <w:rPr>
          <w:spacing w:val="75"/>
          <w:u w:val="single"/>
        </w:rPr>
        <w:t> </w:t>
      </w:r>
      <w:r>
        <w:rPr>
          <w:u w:val="single"/>
        </w:rPr>
        <w:t>efficiency</w:t>
      </w:r>
      <w:r>
        <w:rPr>
          <w:spacing w:val="-3"/>
          <w:u w:val="single"/>
        </w:rPr>
        <w:t> </w:t>
      </w:r>
      <w:r>
        <w:rPr>
          <w:spacing w:val="-2"/>
          <w:u w:val="single"/>
        </w:rPr>
        <w:t>(30min)%</w:t>
      </w:r>
      <w:r>
        <w:rPr>
          <w:u w:val="single"/>
        </w:rPr>
        <w:tab/>
      </w:r>
    </w:p>
    <w:p>
      <w:pPr>
        <w:spacing w:after="0"/>
        <w:sectPr>
          <w:pgSz w:w="12240" w:h="15840"/>
          <w:pgMar w:header="0" w:footer="999" w:top="1820" w:bottom="1180" w:left="1720" w:right="760"/>
        </w:sectPr>
      </w:pPr>
    </w:p>
    <w:p>
      <w:pPr>
        <w:pStyle w:val="Heading2"/>
        <w:tabs>
          <w:tab w:pos="1342" w:val="left" w:leader="none"/>
        </w:tabs>
        <w:spacing w:before="85"/>
        <w:ind w:left="665" w:firstLine="0"/>
      </w:pPr>
      <w:bookmarkStart w:name="_TOC_250001" w:id="160"/>
      <w:r>
        <w:rPr/>
        <w:t>A.</w:t>
      </w:r>
      <w:r>
        <w:rPr>
          <w:spacing w:val="7"/>
        </w:rPr>
        <w:t> </w:t>
      </w:r>
      <w:r>
        <w:rPr>
          <w:spacing w:val="-10"/>
        </w:rPr>
        <w:t>9</w:t>
      </w:r>
      <w:r>
        <w:rPr/>
        <w:tab/>
        <w:t>Parameters</w:t>
      </w:r>
      <w:r>
        <w:rPr>
          <w:spacing w:val="13"/>
        </w:rPr>
        <w:t> </w:t>
      </w:r>
      <w:r>
        <w:rPr/>
        <w:t>for</w:t>
      </w:r>
      <w:r>
        <w:rPr>
          <w:spacing w:val="16"/>
        </w:rPr>
        <w:t> </w:t>
      </w:r>
      <w:r>
        <w:rPr/>
        <w:t>Heckel</w:t>
      </w:r>
      <w:r>
        <w:rPr>
          <w:spacing w:val="15"/>
        </w:rPr>
        <w:t> </w:t>
      </w:r>
      <w:bookmarkEnd w:id="160"/>
      <w:r>
        <w:rPr>
          <w:spacing w:val="-4"/>
        </w:rPr>
        <w:t>Plot</w:t>
      </w:r>
    </w:p>
    <w:p>
      <w:pPr>
        <w:pStyle w:val="BodyText"/>
        <w:spacing w:before="29"/>
        <w:rPr>
          <w:b/>
          <w:sz w:val="20"/>
        </w:rPr>
      </w:pPr>
    </w:p>
    <w:p>
      <w:pPr>
        <w:pStyle w:val="BodyText"/>
        <w:spacing w:line="20" w:lineRule="exact"/>
        <w:ind w:left="564"/>
        <w:rPr>
          <w:sz w:val="2"/>
        </w:rPr>
      </w:pPr>
      <w:r>
        <w:rPr>
          <w:sz w:val="2"/>
        </w:rPr>
        <mc:AlternateContent>
          <mc:Choice Requires="wps">
            <w:drawing>
              <wp:inline distT="0" distB="0" distL="0" distR="0">
                <wp:extent cx="5206365" cy="6350"/>
                <wp:effectExtent l="0" t="0" r="0" b="0"/>
                <wp:docPr id="488" name="Group 488"/>
                <wp:cNvGraphicFramePr>
                  <a:graphicFrameLocks/>
                </wp:cNvGraphicFramePr>
                <a:graphic>
                  <a:graphicData uri="http://schemas.microsoft.com/office/word/2010/wordprocessingGroup">
                    <wpg:wgp>
                      <wpg:cNvPr id="488" name="Group 488"/>
                      <wpg:cNvGrpSpPr/>
                      <wpg:grpSpPr>
                        <a:xfrm>
                          <a:off x="0" y="0"/>
                          <a:ext cx="5206365" cy="6350"/>
                          <a:chExt cx="5206365" cy="6350"/>
                        </a:xfrm>
                      </wpg:grpSpPr>
                      <wps:wsp>
                        <wps:cNvPr id="489" name="Graphic 489"/>
                        <wps:cNvSpPr/>
                        <wps:spPr>
                          <a:xfrm>
                            <a:off x="0" y="0"/>
                            <a:ext cx="5206365" cy="6350"/>
                          </a:xfrm>
                          <a:custGeom>
                            <a:avLst/>
                            <a:gdLst/>
                            <a:ahLst/>
                            <a:cxnLst/>
                            <a:rect l="l" t="t" r="r" b="b"/>
                            <a:pathLst>
                              <a:path w="5206365" h="6350">
                                <a:moveTo>
                                  <a:pt x="1191755" y="0"/>
                                </a:moveTo>
                                <a:lnTo>
                                  <a:pt x="1185672" y="0"/>
                                </a:lnTo>
                                <a:lnTo>
                                  <a:pt x="0" y="0"/>
                                </a:lnTo>
                                <a:lnTo>
                                  <a:pt x="0" y="6096"/>
                                </a:lnTo>
                                <a:lnTo>
                                  <a:pt x="1185672" y="6096"/>
                                </a:lnTo>
                                <a:lnTo>
                                  <a:pt x="1191755" y="6096"/>
                                </a:lnTo>
                                <a:lnTo>
                                  <a:pt x="1191755" y="0"/>
                                </a:lnTo>
                                <a:close/>
                              </a:path>
                              <a:path w="5206365" h="6350">
                                <a:moveTo>
                                  <a:pt x="5205971" y="0"/>
                                </a:moveTo>
                                <a:lnTo>
                                  <a:pt x="5205971" y="0"/>
                                </a:lnTo>
                                <a:lnTo>
                                  <a:pt x="1191768" y="0"/>
                                </a:lnTo>
                                <a:lnTo>
                                  <a:pt x="1191768" y="6096"/>
                                </a:lnTo>
                                <a:lnTo>
                                  <a:pt x="5205971" y="6096"/>
                                </a:lnTo>
                                <a:lnTo>
                                  <a:pt x="52059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9.95pt;height:.5pt;mso-position-horizontal-relative:char;mso-position-vertical-relative:line" id="docshapegroup470" coordorigin="0,0" coordsize="8199,10">
                <v:shape style="position:absolute;left:0;top:0;width:8199;height:10" id="docshape471" coordorigin="0,0" coordsize="8199,10" path="m1877,0l1867,0,0,0,0,10,1867,10,1877,10,1877,0xm8198,0l6542,0,6538,0,5006,0,4997,0,3466,0,3461,0,1877,0,1877,10,3461,10,3466,10,4997,10,5006,10,6538,10,6542,10,8198,10,819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99" w:top="1740" w:bottom="1180" w:left="1720" w:right="760"/>
        </w:sectPr>
      </w:pPr>
    </w:p>
    <w:p>
      <w:pPr>
        <w:spacing w:line="244" w:lineRule="auto" w:before="0"/>
        <w:ind w:left="665" w:right="0" w:firstLine="0"/>
        <w:jc w:val="left"/>
        <w:rPr>
          <w:b/>
          <w:sz w:val="22"/>
        </w:rPr>
      </w:pPr>
      <w:r>
        <w:rPr>
          <w:b/>
          <w:spacing w:val="-2"/>
          <w:sz w:val="22"/>
        </w:rPr>
        <w:t>Compression pressure (MN/m2)</w:t>
      </w:r>
    </w:p>
    <w:p>
      <w:pPr>
        <w:spacing w:line="244" w:lineRule="auto" w:before="0"/>
        <w:ind w:left="555" w:right="38" w:firstLine="0"/>
        <w:jc w:val="left"/>
        <w:rPr>
          <w:b/>
          <w:sz w:val="22"/>
        </w:rPr>
      </w:pPr>
      <w:r>
        <w:rPr/>
        <w:br w:type="column"/>
      </w:r>
      <w:r>
        <w:rPr>
          <w:b/>
          <w:spacing w:val="-2"/>
          <w:sz w:val="22"/>
        </w:rPr>
        <w:t>Relative Density g/cm</w:t>
      </w:r>
      <w:r>
        <w:rPr>
          <w:b/>
          <w:spacing w:val="-2"/>
          <w:sz w:val="22"/>
          <w:vertAlign w:val="superscript"/>
        </w:rPr>
        <w:t>3</w:t>
      </w:r>
    </w:p>
    <w:p>
      <w:pPr>
        <w:tabs>
          <w:tab w:pos="2940" w:val="right" w:leader="none"/>
        </w:tabs>
        <w:spacing w:line="248" w:lineRule="exact" w:before="0"/>
        <w:ind w:left="665" w:right="0" w:firstLine="0"/>
        <w:jc w:val="left"/>
        <w:rPr>
          <w:rFonts w:ascii="Cambria Math" w:hAnsi="Cambria Math"/>
          <w:sz w:val="22"/>
        </w:rPr>
      </w:pPr>
      <w:r>
        <w:rPr/>
        <w:br w:type="column"/>
      </w:r>
      <w:r>
        <w:rPr>
          <w:b/>
          <w:sz w:val="22"/>
        </w:rPr>
        <w:t>1</w:t>
      </w:r>
      <w:r>
        <w:rPr>
          <w:b/>
          <w:spacing w:val="2"/>
          <w:sz w:val="22"/>
        </w:rPr>
        <w:t> </w:t>
      </w:r>
      <w:r>
        <w:rPr>
          <w:b/>
          <w:sz w:val="22"/>
        </w:rPr>
        <w:t>–</w:t>
      </w:r>
      <w:r>
        <w:rPr>
          <w:b/>
          <w:spacing w:val="12"/>
          <w:sz w:val="22"/>
        </w:rPr>
        <w:t> </w:t>
      </w:r>
      <w:r>
        <w:rPr>
          <w:b/>
          <w:spacing w:val="-10"/>
          <w:sz w:val="22"/>
        </w:rPr>
        <w:t>D</w:t>
      </w:r>
      <w:r>
        <w:rPr>
          <w:b/>
          <w:sz w:val="22"/>
        </w:rPr>
        <w:tab/>
      </w:r>
      <w:r>
        <w:rPr>
          <w:rFonts w:ascii="Cambria Math" w:hAnsi="Cambria Math"/>
          <w:spacing w:val="-10"/>
          <w:position w:val="3"/>
          <w:sz w:val="22"/>
        </w:rPr>
        <w:t>1</w:t>
      </w:r>
    </w:p>
    <w:p>
      <w:pPr>
        <w:pStyle w:val="BodyText"/>
        <w:spacing w:before="31"/>
        <w:ind w:right="38"/>
        <w:jc w:val="right"/>
        <w:rPr>
          <w:rFonts w:ascii="Cambria Math" w:hAnsi="Cambria Math" w:eastAsia="Cambria Math"/>
        </w:rPr>
      </w:pPr>
      <w:r>
        <w:rPr/>
        <mc:AlternateContent>
          <mc:Choice Requires="wps">
            <w:drawing>
              <wp:anchor distT="0" distB="0" distL="0" distR="0" allowOverlap="1" layoutInCell="1" locked="0" behindDoc="0" simplePos="0" relativeHeight="15780352">
                <wp:simplePos x="0" y="0"/>
                <wp:positionH relativeFrom="page">
                  <wp:posOffset>4931664</wp:posOffset>
                </wp:positionH>
                <wp:positionV relativeFrom="paragraph">
                  <wp:posOffset>12453</wp:posOffset>
                </wp:positionV>
                <wp:extent cx="363220" cy="9525"/>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363220" cy="9525"/>
                        </a:xfrm>
                        <a:custGeom>
                          <a:avLst/>
                          <a:gdLst/>
                          <a:ahLst/>
                          <a:cxnLst/>
                          <a:rect l="l" t="t" r="r" b="b"/>
                          <a:pathLst>
                            <a:path w="363220" h="9525">
                              <a:moveTo>
                                <a:pt x="362712" y="0"/>
                              </a:moveTo>
                              <a:lnTo>
                                <a:pt x="0" y="0"/>
                              </a:lnTo>
                              <a:lnTo>
                                <a:pt x="0" y="9144"/>
                              </a:lnTo>
                              <a:lnTo>
                                <a:pt x="362712" y="9144"/>
                              </a:lnTo>
                              <a:lnTo>
                                <a:pt x="362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8.320007pt;margin-top:.980623pt;width:28.56pt;height:.72pt;mso-position-horizontal-relative:page;mso-position-vertical-relative:paragraph;z-index:15780352" id="docshape472" filled="true" fillcolor="#000000" stroked="false">
                <v:fill type="solid"/>
                <w10:wrap type="none"/>
              </v:rect>
            </w:pict>
          </mc:Fallback>
        </mc:AlternateContent>
      </w:r>
      <w:r>
        <w:rPr>
          <w:rFonts w:ascii="Cambria Math" w:hAnsi="Cambria Math" w:eastAsia="Cambria Math"/>
          <w:w w:val="110"/>
        </w:rPr>
        <w:t>1</w:t>
      </w:r>
      <w:r>
        <w:rPr>
          <w:rFonts w:ascii="Cambria Math" w:hAnsi="Cambria Math" w:eastAsia="Cambria Math"/>
          <w:spacing w:val="-13"/>
          <w:w w:val="110"/>
        </w:rPr>
        <w:t> </w:t>
      </w:r>
      <w:r>
        <w:rPr>
          <w:rFonts w:ascii="Cambria Math" w:hAnsi="Cambria Math" w:eastAsia="Cambria Math"/>
          <w:w w:val="110"/>
        </w:rPr>
        <w:t>−</w:t>
      </w:r>
      <w:r>
        <w:rPr>
          <w:rFonts w:ascii="Cambria Math" w:hAnsi="Cambria Math" w:eastAsia="Cambria Math"/>
          <w:spacing w:val="-12"/>
          <w:w w:val="110"/>
        </w:rPr>
        <w:t> </w:t>
      </w:r>
      <w:r>
        <w:rPr>
          <w:rFonts w:ascii="Cambria Math" w:hAnsi="Cambria Math" w:eastAsia="Cambria Math"/>
          <w:spacing w:val="-10"/>
          <w:w w:val="110"/>
        </w:rPr>
        <w:t>𝐷</w:t>
      </w:r>
    </w:p>
    <w:p>
      <w:pPr>
        <w:spacing w:line="169" w:lineRule="exact" w:before="0"/>
        <w:ind w:left="0" w:right="367" w:firstLine="0"/>
        <w:jc w:val="center"/>
        <w:rPr>
          <w:rFonts w:ascii="Cambria Math"/>
          <w:sz w:val="22"/>
        </w:rPr>
      </w:pPr>
      <w:r>
        <w:rPr/>
        <w:br w:type="column"/>
      </w:r>
      <w:r>
        <w:rPr>
          <w:rFonts w:ascii="Cambria Math"/>
          <w:spacing w:val="-10"/>
          <w:w w:val="110"/>
          <w:sz w:val="22"/>
        </w:rPr>
        <w:t>1</w:t>
      </w:r>
    </w:p>
    <w:p>
      <w:pPr>
        <w:pStyle w:val="BodyText"/>
        <w:spacing w:line="189" w:lineRule="auto"/>
        <w:ind w:left="665"/>
        <w:rPr>
          <w:rFonts w:ascii="Cambria Math" w:hAnsi="Cambria Math" w:eastAsia="Cambria Math"/>
        </w:rPr>
      </w:pPr>
      <w:r>
        <w:rPr/>
        <mc:AlternateContent>
          <mc:Choice Requires="wps">
            <w:drawing>
              <wp:anchor distT="0" distB="0" distL="0" distR="0" allowOverlap="1" layoutInCell="1" locked="0" behindDoc="1" simplePos="0" relativeHeight="482031616">
                <wp:simplePos x="0" y="0"/>
                <wp:positionH relativeFrom="page">
                  <wp:posOffset>6031991</wp:posOffset>
                </wp:positionH>
                <wp:positionV relativeFrom="paragraph">
                  <wp:posOffset>59996</wp:posOffset>
                </wp:positionV>
                <wp:extent cx="363220" cy="9525"/>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363220" cy="9525"/>
                        </a:xfrm>
                        <a:custGeom>
                          <a:avLst/>
                          <a:gdLst/>
                          <a:ahLst/>
                          <a:cxnLst/>
                          <a:rect l="l" t="t" r="r" b="b"/>
                          <a:pathLst>
                            <a:path w="363220" h="9525">
                              <a:moveTo>
                                <a:pt x="362712" y="0"/>
                              </a:moveTo>
                              <a:lnTo>
                                <a:pt x="0" y="0"/>
                              </a:lnTo>
                              <a:lnTo>
                                <a:pt x="0" y="9144"/>
                              </a:lnTo>
                              <a:lnTo>
                                <a:pt x="362712" y="9144"/>
                              </a:lnTo>
                              <a:lnTo>
                                <a:pt x="362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959991pt;margin-top:4.724143pt;width:28.56pt;height:.72pt;mso-position-horizontal-relative:page;mso-position-vertical-relative:paragraph;z-index:-21284864" id="docshape473" filled="true" fillcolor="#000000" stroked="false">
                <v:fill type="solid"/>
                <w10:wrap type="none"/>
              </v:rect>
            </w:pict>
          </mc:Fallback>
        </mc:AlternateContent>
      </w:r>
      <w:r>
        <w:rPr>
          <w:rFonts w:ascii="Cambria Math" w:hAnsi="Cambria Math" w:eastAsia="Cambria Math"/>
          <w:w w:val="110"/>
        </w:rPr>
        <w:t>𝑙𝑛</w:t>
      </w:r>
      <w:r>
        <w:rPr>
          <w:rFonts w:ascii="Cambria Math" w:hAnsi="Cambria Math" w:eastAsia="Cambria Math"/>
          <w:spacing w:val="-14"/>
          <w:w w:val="110"/>
        </w:rPr>
        <w:t> </w:t>
      </w:r>
      <w:r>
        <w:rPr>
          <w:rFonts w:ascii="Cambria Math" w:hAnsi="Cambria Math" w:eastAsia="Cambria Math"/>
          <w:w w:val="110"/>
        </w:rPr>
        <w:t>(</w:t>
      </w:r>
      <w:r>
        <w:rPr>
          <w:rFonts w:ascii="Cambria Math" w:hAnsi="Cambria Math" w:eastAsia="Cambria Math"/>
          <w:w w:val="110"/>
          <w:position w:val="-14"/>
        </w:rPr>
        <w:t>1</w:t>
      </w:r>
      <w:r>
        <w:rPr>
          <w:rFonts w:ascii="Cambria Math" w:hAnsi="Cambria Math" w:eastAsia="Cambria Math"/>
          <w:spacing w:val="-2"/>
          <w:w w:val="110"/>
          <w:position w:val="-14"/>
        </w:rPr>
        <w:t> </w:t>
      </w:r>
      <w:r>
        <w:rPr>
          <w:rFonts w:ascii="Cambria Math" w:hAnsi="Cambria Math" w:eastAsia="Cambria Math"/>
          <w:w w:val="110"/>
          <w:position w:val="-14"/>
        </w:rPr>
        <w:t>−</w:t>
      </w:r>
      <w:r>
        <w:rPr>
          <w:rFonts w:ascii="Cambria Math" w:hAnsi="Cambria Math" w:eastAsia="Cambria Math"/>
          <w:spacing w:val="-3"/>
          <w:w w:val="110"/>
          <w:position w:val="-14"/>
        </w:rPr>
        <w:t> </w:t>
      </w:r>
      <w:r>
        <w:rPr>
          <w:rFonts w:ascii="Cambria Math" w:hAnsi="Cambria Math" w:eastAsia="Cambria Math"/>
          <w:spacing w:val="-5"/>
          <w:w w:val="110"/>
          <w:position w:val="-14"/>
        </w:rPr>
        <w:t>𝐷</w:t>
      </w:r>
      <w:r>
        <w:rPr>
          <w:rFonts w:ascii="Cambria Math" w:hAnsi="Cambria Math" w:eastAsia="Cambria Math"/>
          <w:spacing w:val="-5"/>
          <w:w w:val="110"/>
        </w:rPr>
        <w:t>)</w:t>
      </w:r>
    </w:p>
    <w:p>
      <w:pPr>
        <w:spacing w:after="0" w:line="189" w:lineRule="auto"/>
        <w:rPr>
          <w:rFonts w:ascii="Cambria Math" w:hAnsi="Cambria Math" w:eastAsia="Cambria Math"/>
        </w:rPr>
        <w:sectPr>
          <w:type w:val="continuous"/>
          <w:pgSz w:w="12240" w:h="15840"/>
          <w:pgMar w:header="0" w:footer="999" w:top="1780" w:bottom="1180" w:left="1720" w:right="760"/>
          <w:cols w:num="4" w:equalWidth="0">
            <w:col w:w="1933" w:space="40"/>
            <w:col w:w="1387" w:space="96"/>
            <w:col w:w="3198" w:space="80"/>
            <w:col w:w="3026"/>
          </w:cols>
        </w:sect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5"/>
        <w:gridCol w:w="1670"/>
        <w:gridCol w:w="1562"/>
        <w:gridCol w:w="1543"/>
        <w:gridCol w:w="2024"/>
      </w:tblGrid>
      <w:tr>
        <w:trPr>
          <w:trHeight w:val="526" w:hRule="atLeast"/>
        </w:trPr>
        <w:tc>
          <w:tcPr>
            <w:tcW w:w="1405" w:type="dxa"/>
            <w:tcBorders>
              <w:top w:val="single" w:sz="4" w:space="0" w:color="000000"/>
            </w:tcBorders>
          </w:tcPr>
          <w:p>
            <w:pPr>
              <w:pStyle w:val="TableParagraph"/>
              <w:spacing w:line="251" w:lineRule="exact" w:before="8"/>
              <w:ind w:left="108"/>
              <w:rPr>
                <w:b/>
                <w:sz w:val="22"/>
              </w:rPr>
            </w:pPr>
            <w:r>
              <w:rPr>
                <w:b/>
                <w:spacing w:val="-4"/>
                <w:sz w:val="22"/>
                <w:u w:val="single"/>
              </w:rPr>
              <w:t>(DS)</w:t>
            </w:r>
          </w:p>
          <w:p>
            <w:pPr>
              <w:pStyle w:val="TableParagraph"/>
              <w:spacing w:line="246" w:lineRule="exact"/>
              <w:ind w:left="108"/>
              <w:rPr>
                <w:sz w:val="22"/>
              </w:rPr>
            </w:pPr>
            <w:r>
              <w:rPr>
                <w:spacing w:val="-2"/>
                <w:sz w:val="22"/>
              </w:rPr>
              <w:t>56.625</w:t>
            </w:r>
          </w:p>
        </w:tc>
        <w:tc>
          <w:tcPr>
            <w:tcW w:w="1670" w:type="dxa"/>
            <w:tcBorders>
              <w:top w:val="single" w:sz="4" w:space="0" w:color="000000"/>
            </w:tcBorders>
          </w:tcPr>
          <w:p>
            <w:pPr>
              <w:pStyle w:val="TableParagraph"/>
              <w:spacing w:line="248" w:lineRule="exact" w:before="258"/>
              <w:ind w:left="82"/>
              <w:jc w:val="center"/>
              <w:rPr>
                <w:sz w:val="22"/>
              </w:rPr>
            </w:pPr>
            <w:r>
              <w:rPr>
                <w:spacing w:val="-2"/>
                <w:sz w:val="22"/>
              </w:rPr>
              <w:t>0.7213</w:t>
            </w:r>
          </w:p>
        </w:tc>
        <w:tc>
          <w:tcPr>
            <w:tcW w:w="1562" w:type="dxa"/>
            <w:tcBorders>
              <w:top w:val="single" w:sz="4" w:space="0" w:color="000000"/>
            </w:tcBorders>
          </w:tcPr>
          <w:p>
            <w:pPr>
              <w:pStyle w:val="TableParagraph"/>
              <w:spacing w:line="248" w:lineRule="exact" w:before="258"/>
              <w:ind w:left="32"/>
              <w:jc w:val="center"/>
              <w:rPr>
                <w:sz w:val="22"/>
              </w:rPr>
            </w:pPr>
            <w:r>
              <w:rPr>
                <w:spacing w:val="-2"/>
                <w:sz w:val="22"/>
              </w:rPr>
              <w:t>0.2787</w:t>
            </w:r>
          </w:p>
        </w:tc>
        <w:tc>
          <w:tcPr>
            <w:tcW w:w="1543" w:type="dxa"/>
            <w:tcBorders>
              <w:top w:val="single" w:sz="4" w:space="0" w:color="000000"/>
            </w:tcBorders>
          </w:tcPr>
          <w:p>
            <w:pPr>
              <w:pStyle w:val="TableParagraph"/>
              <w:spacing w:line="248" w:lineRule="exact" w:before="258"/>
              <w:ind w:left="16" w:right="7"/>
              <w:jc w:val="center"/>
              <w:rPr>
                <w:sz w:val="22"/>
              </w:rPr>
            </w:pPr>
            <w:r>
              <w:rPr>
                <w:spacing w:val="-2"/>
                <w:sz w:val="22"/>
              </w:rPr>
              <w:t>3.6880</w:t>
            </w:r>
          </w:p>
        </w:tc>
        <w:tc>
          <w:tcPr>
            <w:tcW w:w="2024" w:type="dxa"/>
            <w:tcBorders>
              <w:top w:val="single" w:sz="4" w:space="0" w:color="000000"/>
            </w:tcBorders>
          </w:tcPr>
          <w:p>
            <w:pPr>
              <w:pStyle w:val="TableParagraph"/>
              <w:spacing w:line="248" w:lineRule="exact" w:before="258"/>
              <w:ind w:left="460"/>
              <w:rPr>
                <w:sz w:val="22"/>
              </w:rPr>
            </w:pPr>
            <w:r>
              <w:rPr>
                <w:spacing w:val="-2"/>
                <w:sz w:val="22"/>
              </w:rPr>
              <w:t>1.2776</w:t>
            </w:r>
          </w:p>
        </w:tc>
      </w:tr>
      <w:tr>
        <w:trPr>
          <w:trHeight w:val="259" w:hRule="atLeast"/>
        </w:trPr>
        <w:tc>
          <w:tcPr>
            <w:tcW w:w="1405" w:type="dxa"/>
          </w:tcPr>
          <w:p>
            <w:pPr>
              <w:pStyle w:val="TableParagraph"/>
              <w:spacing w:line="239" w:lineRule="exact"/>
              <w:ind w:left="108"/>
              <w:rPr>
                <w:sz w:val="22"/>
              </w:rPr>
            </w:pPr>
            <w:r>
              <w:rPr>
                <w:spacing w:val="-2"/>
                <w:sz w:val="22"/>
              </w:rPr>
              <w:t>84.938</w:t>
            </w:r>
          </w:p>
        </w:tc>
        <w:tc>
          <w:tcPr>
            <w:tcW w:w="1670" w:type="dxa"/>
          </w:tcPr>
          <w:p>
            <w:pPr>
              <w:pStyle w:val="TableParagraph"/>
              <w:spacing w:line="239" w:lineRule="exact"/>
              <w:ind w:left="82"/>
              <w:jc w:val="center"/>
              <w:rPr>
                <w:sz w:val="22"/>
              </w:rPr>
            </w:pPr>
            <w:r>
              <w:rPr>
                <w:spacing w:val="-2"/>
                <w:sz w:val="22"/>
              </w:rPr>
              <w:t>0.6917</w:t>
            </w:r>
          </w:p>
        </w:tc>
        <w:tc>
          <w:tcPr>
            <w:tcW w:w="1562" w:type="dxa"/>
          </w:tcPr>
          <w:p>
            <w:pPr>
              <w:pStyle w:val="TableParagraph"/>
              <w:spacing w:line="239" w:lineRule="exact"/>
              <w:ind w:left="32"/>
              <w:jc w:val="center"/>
              <w:rPr>
                <w:sz w:val="22"/>
              </w:rPr>
            </w:pPr>
            <w:r>
              <w:rPr>
                <w:spacing w:val="-2"/>
                <w:sz w:val="22"/>
              </w:rPr>
              <w:t>0.3083</w:t>
            </w:r>
          </w:p>
        </w:tc>
        <w:tc>
          <w:tcPr>
            <w:tcW w:w="1543" w:type="dxa"/>
          </w:tcPr>
          <w:p>
            <w:pPr>
              <w:pStyle w:val="TableParagraph"/>
              <w:spacing w:line="239" w:lineRule="exact"/>
              <w:ind w:left="16" w:right="7"/>
              <w:jc w:val="center"/>
              <w:rPr>
                <w:sz w:val="22"/>
              </w:rPr>
            </w:pPr>
            <w:r>
              <w:rPr>
                <w:spacing w:val="-2"/>
                <w:sz w:val="22"/>
              </w:rPr>
              <w:t>3.2457</w:t>
            </w:r>
          </w:p>
        </w:tc>
        <w:tc>
          <w:tcPr>
            <w:tcW w:w="2024" w:type="dxa"/>
          </w:tcPr>
          <w:p>
            <w:pPr>
              <w:pStyle w:val="TableParagraph"/>
              <w:spacing w:line="239" w:lineRule="exact"/>
              <w:ind w:left="460"/>
              <w:rPr>
                <w:sz w:val="22"/>
              </w:rPr>
            </w:pPr>
            <w:r>
              <w:rPr>
                <w:spacing w:val="-2"/>
                <w:sz w:val="22"/>
              </w:rPr>
              <w:t>1.1773</w:t>
            </w:r>
          </w:p>
        </w:tc>
      </w:tr>
      <w:tr>
        <w:trPr>
          <w:trHeight w:val="259" w:hRule="atLeast"/>
        </w:trPr>
        <w:tc>
          <w:tcPr>
            <w:tcW w:w="1405" w:type="dxa"/>
          </w:tcPr>
          <w:p>
            <w:pPr>
              <w:pStyle w:val="TableParagraph"/>
              <w:spacing w:line="239" w:lineRule="exact"/>
              <w:ind w:left="108"/>
              <w:rPr>
                <w:sz w:val="22"/>
              </w:rPr>
            </w:pPr>
            <w:r>
              <w:rPr>
                <w:spacing w:val="-2"/>
                <w:sz w:val="22"/>
              </w:rPr>
              <w:t>113.250</w:t>
            </w:r>
          </w:p>
        </w:tc>
        <w:tc>
          <w:tcPr>
            <w:tcW w:w="1670" w:type="dxa"/>
          </w:tcPr>
          <w:p>
            <w:pPr>
              <w:pStyle w:val="TableParagraph"/>
              <w:spacing w:line="239" w:lineRule="exact"/>
              <w:ind w:left="82"/>
              <w:jc w:val="center"/>
              <w:rPr>
                <w:sz w:val="22"/>
              </w:rPr>
            </w:pPr>
            <w:r>
              <w:rPr>
                <w:spacing w:val="-2"/>
                <w:sz w:val="22"/>
              </w:rPr>
              <w:t>0.7376</w:t>
            </w:r>
          </w:p>
        </w:tc>
        <w:tc>
          <w:tcPr>
            <w:tcW w:w="1562" w:type="dxa"/>
          </w:tcPr>
          <w:p>
            <w:pPr>
              <w:pStyle w:val="TableParagraph"/>
              <w:spacing w:line="239" w:lineRule="exact"/>
              <w:ind w:left="32"/>
              <w:jc w:val="center"/>
              <w:rPr>
                <w:sz w:val="22"/>
              </w:rPr>
            </w:pPr>
            <w:r>
              <w:rPr>
                <w:spacing w:val="-2"/>
                <w:sz w:val="22"/>
              </w:rPr>
              <w:t>0.2624</w:t>
            </w:r>
          </w:p>
        </w:tc>
        <w:tc>
          <w:tcPr>
            <w:tcW w:w="1543" w:type="dxa"/>
          </w:tcPr>
          <w:p>
            <w:pPr>
              <w:pStyle w:val="TableParagraph"/>
              <w:spacing w:line="239" w:lineRule="exact"/>
              <w:ind w:left="16" w:right="7"/>
              <w:jc w:val="center"/>
              <w:rPr>
                <w:sz w:val="22"/>
              </w:rPr>
            </w:pPr>
            <w:r>
              <w:rPr>
                <w:spacing w:val="-2"/>
                <w:sz w:val="22"/>
              </w:rPr>
              <w:t>3.8109</w:t>
            </w:r>
          </w:p>
        </w:tc>
        <w:tc>
          <w:tcPr>
            <w:tcW w:w="2024" w:type="dxa"/>
          </w:tcPr>
          <w:p>
            <w:pPr>
              <w:pStyle w:val="TableParagraph"/>
              <w:spacing w:line="239" w:lineRule="exact"/>
              <w:ind w:left="460"/>
              <w:rPr>
                <w:sz w:val="22"/>
              </w:rPr>
            </w:pPr>
            <w:r>
              <w:rPr>
                <w:spacing w:val="-2"/>
                <w:sz w:val="22"/>
              </w:rPr>
              <w:t>1.3379</w:t>
            </w:r>
          </w:p>
        </w:tc>
      </w:tr>
      <w:tr>
        <w:trPr>
          <w:trHeight w:val="259" w:hRule="atLeast"/>
        </w:trPr>
        <w:tc>
          <w:tcPr>
            <w:tcW w:w="1405" w:type="dxa"/>
          </w:tcPr>
          <w:p>
            <w:pPr>
              <w:pStyle w:val="TableParagraph"/>
              <w:spacing w:line="239" w:lineRule="exact"/>
              <w:ind w:left="108"/>
              <w:rPr>
                <w:sz w:val="22"/>
              </w:rPr>
            </w:pPr>
            <w:r>
              <w:rPr>
                <w:spacing w:val="-2"/>
                <w:sz w:val="22"/>
              </w:rPr>
              <w:t>141.563</w:t>
            </w:r>
          </w:p>
        </w:tc>
        <w:tc>
          <w:tcPr>
            <w:tcW w:w="1670" w:type="dxa"/>
          </w:tcPr>
          <w:p>
            <w:pPr>
              <w:pStyle w:val="TableParagraph"/>
              <w:spacing w:line="239" w:lineRule="exact"/>
              <w:ind w:left="82"/>
              <w:jc w:val="center"/>
              <w:rPr>
                <w:sz w:val="22"/>
              </w:rPr>
            </w:pPr>
            <w:r>
              <w:rPr>
                <w:spacing w:val="-2"/>
                <w:sz w:val="22"/>
              </w:rPr>
              <w:t>0.7699</w:t>
            </w:r>
          </w:p>
        </w:tc>
        <w:tc>
          <w:tcPr>
            <w:tcW w:w="1562" w:type="dxa"/>
          </w:tcPr>
          <w:p>
            <w:pPr>
              <w:pStyle w:val="TableParagraph"/>
              <w:spacing w:line="239" w:lineRule="exact"/>
              <w:ind w:left="32"/>
              <w:jc w:val="center"/>
              <w:rPr>
                <w:sz w:val="22"/>
              </w:rPr>
            </w:pPr>
            <w:r>
              <w:rPr>
                <w:spacing w:val="-2"/>
                <w:sz w:val="22"/>
              </w:rPr>
              <w:t>0.2301</w:t>
            </w:r>
          </w:p>
        </w:tc>
        <w:tc>
          <w:tcPr>
            <w:tcW w:w="1543" w:type="dxa"/>
          </w:tcPr>
          <w:p>
            <w:pPr>
              <w:pStyle w:val="TableParagraph"/>
              <w:spacing w:line="239" w:lineRule="exact"/>
              <w:ind w:left="16" w:right="7"/>
              <w:jc w:val="center"/>
              <w:rPr>
                <w:sz w:val="22"/>
              </w:rPr>
            </w:pPr>
            <w:r>
              <w:rPr>
                <w:spacing w:val="-2"/>
                <w:sz w:val="22"/>
              </w:rPr>
              <w:t>4.3459</w:t>
            </w:r>
          </w:p>
        </w:tc>
        <w:tc>
          <w:tcPr>
            <w:tcW w:w="2024" w:type="dxa"/>
          </w:tcPr>
          <w:p>
            <w:pPr>
              <w:pStyle w:val="TableParagraph"/>
              <w:spacing w:line="239" w:lineRule="exact"/>
              <w:ind w:left="460"/>
              <w:rPr>
                <w:sz w:val="22"/>
              </w:rPr>
            </w:pPr>
            <w:r>
              <w:rPr>
                <w:spacing w:val="-2"/>
                <w:sz w:val="22"/>
              </w:rPr>
              <w:t>1.4692</w:t>
            </w:r>
          </w:p>
        </w:tc>
      </w:tr>
      <w:tr>
        <w:trPr>
          <w:trHeight w:val="259" w:hRule="atLeast"/>
        </w:trPr>
        <w:tc>
          <w:tcPr>
            <w:tcW w:w="1405" w:type="dxa"/>
          </w:tcPr>
          <w:p>
            <w:pPr>
              <w:pStyle w:val="TableParagraph"/>
              <w:spacing w:line="239" w:lineRule="exact"/>
              <w:ind w:left="108"/>
              <w:rPr>
                <w:sz w:val="22"/>
              </w:rPr>
            </w:pPr>
            <w:r>
              <w:rPr>
                <w:spacing w:val="-2"/>
                <w:sz w:val="22"/>
              </w:rPr>
              <w:t>169.875</w:t>
            </w:r>
          </w:p>
        </w:tc>
        <w:tc>
          <w:tcPr>
            <w:tcW w:w="1670" w:type="dxa"/>
          </w:tcPr>
          <w:p>
            <w:pPr>
              <w:pStyle w:val="TableParagraph"/>
              <w:spacing w:line="239" w:lineRule="exact"/>
              <w:ind w:left="82"/>
              <w:jc w:val="center"/>
              <w:rPr>
                <w:sz w:val="22"/>
              </w:rPr>
            </w:pPr>
            <w:r>
              <w:rPr>
                <w:spacing w:val="-2"/>
                <w:sz w:val="22"/>
              </w:rPr>
              <w:t>0.7953</w:t>
            </w:r>
          </w:p>
        </w:tc>
        <w:tc>
          <w:tcPr>
            <w:tcW w:w="1562" w:type="dxa"/>
          </w:tcPr>
          <w:p>
            <w:pPr>
              <w:pStyle w:val="TableParagraph"/>
              <w:spacing w:line="239" w:lineRule="exact"/>
              <w:ind w:left="32"/>
              <w:jc w:val="center"/>
              <w:rPr>
                <w:sz w:val="22"/>
              </w:rPr>
            </w:pPr>
            <w:r>
              <w:rPr>
                <w:spacing w:val="-2"/>
                <w:sz w:val="22"/>
              </w:rPr>
              <w:t>0.2047</w:t>
            </w:r>
          </w:p>
        </w:tc>
        <w:tc>
          <w:tcPr>
            <w:tcW w:w="1543" w:type="dxa"/>
          </w:tcPr>
          <w:p>
            <w:pPr>
              <w:pStyle w:val="TableParagraph"/>
              <w:spacing w:line="239" w:lineRule="exact"/>
              <w:ind w:left="16" w:right="7"/>
              <w:jc w:val="center"/>
              <w:rPr>
                <w:sz w:val="22"/>
              </w:rPr>
            </w:pPr>
            <w:r>
              <w:rPr>
                <w:spacing w:val="-2"/>
                <w:sz w:val="22"/>
              </w:rPr>
              <w:t>4.8851</w:t>
            </w:r>
          </w:p>
        </w:tc>
        <w:tc>
          <w:tcPr>
            <w:tcW w:w="2024" w:type="dxa"/>
          </w:tcPr>
          <w:p>
            <w:pPr>
              <w:pStyle w:val="TableParagraph"/>
              <w:spacing w:line="239" w:lineRule="exact"/>
              <w:ind w:left="460"/>
              <w:rPr>
                <w:sz w:val="22"/>
              </w:rPr>
            </w:pPr>
            <w:r>
              <w:rPr>
                <w:spacing w:val="-2"/>
                <w:sz w:val="22"/>
              </w:rPr>
              <w:t>1.5862</w:t>
            </w:r>
          </w:p>
        </w:tc>
      </w:tr>
      <w:tr>
        <w:trPr>
          <w:trHeight w:val="259" w:hRule="atLeast"/>
        </w:trPr>
        <w:tc>
          <w:tcPr>
            <w:tcW w:w="1405" w:type="dxa"/>
          </w:tcPr>
          <w:p>
            <w:pPr>
              <w:pStyle w:val="TableParagraph"/>
              <w:spacing w:line="239" w:lineRule="exact"/>
              <w:ind w:left="108"/>
              <w:rPr>
                <w:sz w:val="22"/>
              </w:rPr>
            </w:pPr>
            <w:r>
              <w:rPr>
                <w:spacing w:val="-2"/>
                <w:sz w:val="22"/>
              </w:rPr>
              <w:t>198.188</w:t>
            </w:r>
          </w:p>
        </w:tc>
        <w:tc>
          <w:tcPr>
            <w:tcW w:w="1670" w:type="dxa"/>
          </w:tcPr>
          <w:p>
            <w:pPr>
              <w:pStyle w:val="TableParagraph"/>
              <w:spacing w:line="239" w:lineRule="exact"/>
              <w:ind w:left="82"/>
              <w:jc w:val="center"/>
              <w:rPr>
                <w:sz w:val="22"/>
              </w:rPr>
            </w:pPr>
            <w:r>
              <w:rPr>
                <w:spacing w:val="-2"/>
                <w:sz w:val="22"/>
              </w:rPr>
              <w:t>0.8139</w:t>
            </w:r>
          </w:p>
        </w:tc>
        <w:tc>
          <w:tcPr>
            <w:tcW w:w="1562" w:type="dxa"/>
          </w:tcPr>
          <w:p>
            <w:pPr>
              <w:pStyle w:val="TableParagraph"/>
              <w:spacing w:line="239" w:lineRule="exact"/>
              <w:ind w:left="32"/>
              <w:jc w:val="center"/>
              <w:rPr>
                <w:sz w:val="22"/>
              </w:rPr>
            </w:pPr>
            <w:r>
              <w:rPr>
                <w:spacing w:val="-2"/>
                <w:sz w:val="22"/>
              </w:rPr>
              <w:t>0.1861</w:t>
            </w:r>
          </w:p>
        </w:tc>
        <w:tc>
          <w:tcPr>
            <w:tcW w:w="1543" w:type="dxa"/>
          </w:tcPr>
          <w:p>
            <w:pPr>
              <w:pStyle w:val="TableParagraph"/>
              <w:spacing w:line="239" w:lineRule="exact"/>
              <w:ind w:left="16" w:right="7"/>
              <w:jc w:val="center"/>
              <w:rPr>
                <w:sz w:val="22"/>
              </w:rPr>
            </w:pPr>
            <w:r>
              <w:rPr>
                <w:spacing w:val="-2"/>
                <w:sz w:val="22"/>
              </w:rPr>
              <w:t>5.3735</w:t>
            </w:r>
          </w:p>
        </w:tc>
        <w:tc>
          <w:tcPr>
            <w:tcW w:w="2024" w:type="dxa"/>
          </w:tcPr>
          <w:p>
            <w:pPr>
              <w:pStyle w:val="TableParagraph"/>
              <w:spacing w:line="239" w:lineRule="exact"/>
              <w:ind w:left="460"/>
              <w:rPr>
                <w:sz w:val="22"/>
              </w:rPr>
            </w:pPr>
            <w:r>
              <w:rPr>
                <w:spacing w:val="-2"/>
                <w:sz w:val="22"/>
              </w:rPr>
              <w:t>1.6815</w:t>
            </w:r>
          </w:p>
        </w:tc>
      </w:tr>
      <w:tr>
        <w:trPr>
          <w:trHeight w:val="259" w:hRule="atLeast"/>
        </w:trPr>
        <w:tc>
          <w:tcPr>
            <w:tcW w:w="1405" w:type="dxa"/>
          </w:tcPr>
          <w:p>
            <w:pPr>
              <w:pStyle w:val="TableParagraph"/>
              <w:spacing w:line="239" w:lineRule="exact"/>
              <w:ind w:left="108"/>
              <w:rPr>
                <w:sz w:val="22"/>
              </w:rPr>
            </w:pPr>
            <w:r>
              <w:rPr>
                <w:spacing w:val="-2"/>
                <w:sz w:val="22"/>
              </w:rPr>
              <w:t>226.500</w:t>
            </w:r>
          </w:p>
        </w:tc>
        <w:tc>
          <w:tcPr>
            <w:tcW w:w="1670" w:type="dxa"/>
          </w:tcPr>
          <w:p>
            <w:pPr>
              <w:pStyle w:val="TableParagraph"/>
              <w:spacing w:line="239" w:lineRule="exact"/>
              <w:ind w:left="82"/>
              <w:jc w:val="center"/>
              <w:rPr>
                <w:sz w:val="22"/>
              </w:rPr>
            </w:pPr>
            <w:r>
              <w:rPr>
                <w:spacing w:val="-2"/>
                <w:sz w:val="22"/>
              </w:rPr>
              <w:t>0.8119</w:t>
            </w:r>
          </w:p>
        </w:tc>
        <w:tc>
          <w:tcPr>
            <w:tcW w:w="1562" w:type="dxa"/>
          </w:tcPr>
          <w:p>
            <w:pPr>
              <w:pStyle w:val="TableParagraph"/>
              <w:spacing w:line="239" w:lineRule="exact"/>
              <w:ind w:left="32"/>
              <w:jc w:val="center"/>
              <w:rPr>
                <w:sz w:val="22"/>
              </w:rPr>
            </w:pPr>
            <w:r>
              <w:rPr>
                <w:spacing w:val="-2"/>
                <w:sz w:val="22"/>
              </w:rPr>
              <w:t>0.1881</w:t>
            </w:r>
          </w:p>
        </w:tc>
        <w:tc>
          <w:tcPr>
            <w:tcW w:w="1543" w:type="dxa"/>
          </w:tcPr>
          <w:p>
            <w:pPr>
              <w:pStyle w:val="TableParagraph"/>
              <w:spacing w:line="239" w:lineRule="exact"/>
              <w:ind w:left="16" w:right="7"/>
              <w:jc w:val="center"/>
              <w:rPr>
                <w:sz w:val="22"/>
              </w:rPr>
            </w:pPr>
            <w:r>
              <w:rPr>
                <w:spacing w:val="-2"/>
                <w:sz w:val="22"/>
              </w:rPr>
              <w:t>5.3163</w:t>
            </w:r>
          </w:p>
        </w:tc>
        <w:tc>
          <w:tcPr>
            <w:tcW w:w="2024" w:type="dxa"/>
          </w:tcPr>
          <w:p>
            <w:pPr>
              <w:pStyle w:val="TableParagraph"/>
              <w:spacing w:line="239" w:lineRule="exact"/>
              <w:ind w:left="460"/>
              <w:rPr>
                <w:sz w:val="22"/>
              </w:rPr>
            </w:pPr>
            <w:r>
              <w:rPr>
                <w:spacing w:val="-2"/>
                <w:sz w:val="22"/>
              </w:rPr>
              <w:t>1.6708</w:t>
            </w:r>
          </w:p>
        </w:tc>
      </w:tr>
      <w:tr>
        <w:trPr>
          <w:trHeight w:val="261" w:hRule="atLeast"/>
        </w:trPr>
        <w:tc>
          <w:tcPr>
            <w:tcW w:w="1405" w:type="dxa"/>
          </w:tcPr>
          <w:p>
            <w:pPr>
              <w:pStyle w:val="TableParagraph"/>
              <w:spacing w:line="242" w:lineRule="exact"/>
              <w:ind w:left="108"/>
              <w:rPr>
                <w:sz w:val="22"/>
              </w:rPr>
            </w:pPr>
            <w:r>
              <w:rPr>
                <w:spacing w:val="-2"/>
                <w:sz w:val="22"/>
              </w:rPr>
              <w:t>254.813</w:t>
            </w:r>
          </w:p>
        </w:tc>
        <w:tc>
          <w:tcPr>
            <w:tcW w:w="1670" w:type="dxa"/>
          </w:tcPr>
          <w:p>
            <w:pPr>
              <w:pStyle w:val="TableParagraph"/>
              <w:spacing w:line="242" w:lineRule="exact"/>
              <w:ind w:left="82"/>
              <w:jc w:val="center"/>
              <w:rPr>
                <w:sz w:val="22"/>
              </w:rPr>
            </w:pPr>
            <w:r>
              <w:rPr>
                <w:spacing w:val="-2"/>
                <w:sz w:val="22"/>
              </w:rPr>
              <w:t>0.8171</w:t>
            </w:r>
          </w:p>
        </w:tc>
        <w:tc>
          <w:tcPr>
            <w:tcW w:w="1562" w:type="dxa"/>
          </w:tcPr>
          <w:p>
            <w:pPr>
              <w:pStyle w:val="TableParagraph"/>
              <w:spacing w:line="242" w:lineRule="exact"/>
              <w:ind w:left="32"/>
              <w:jc w:val="center"/>
              <w:rPr>
                <w:sz w:val="22"/>
              </w:rPr>
            </w:pPr>
            <w:r>
              <w:rPr>
                <w:spacing w:val="-2"/>
                <w:sz w:val="22"/>
              </w:rPr>
              <w:t>0.1828</w:t>
            </w:r>
          </w:p>
        </w:tc>
        <w:tc>
          <w:tcPr>
            <w:tcW w:w="1543" w:type="dxa"/>
          </w:tcPr>
          <w:p>
            <w:pPr>
              <w:pStyle w:val="TableParagraph"/>
              <w:spacing w:line="242" w:lineRule="exact"/>
              <w:ind w:left="16" w:right="7"/>
              <w:jc w:val="center"/>
              <w:rPr>
                <w:sz w:val="22"/>
              </w:rPr>
            </w:pPr>
            <w:r>
              <w:rPr>
                <w:spacing w:val="-2"/>
                <w:sz w:val="22"/>
              </w:rPr>
              <w:t>5.4705</w:t>
            </w:r>
          </w:p>
        </w:tc>
        <w:tc>
          <w:tcPr>
            <w:tcW w:w="2024" w:type="dxa"/>
          </w:tcPr>
          <w:p>
            <w:pPr>
              <w:pStyle w:val="TableParagraph"/>
              <w:spacing w:line="242" w:lineRule="exact"/>
              <w:ind w:left="460"/>
              <w:rPr>
                <w:sz w:val="22"/>
              </w:rPr>
            </w:pPr>
            <w:r>
              <w:rPr>
                <w:spacing w:val="-2"/>
                <w:sz w:val="22"/>
              </w:rPr>
              <w:t>1.6993</w:t>
            </w:r>
          </w:p>
        </w:tc>
      </w:tr>
      <w:tr>
        <w:trPr>
          <w:trHeight w:val="259" w:hRule="atLeast"/>
        </w:trPr>
        <w:tc>
          <w:tcPr>
            <w:tcW w:w="1405" w:type="dxa"/>
          </w:tcPr>
          <w:p>
            <w:pPr>
              <w:pStyle w:val="TableParagraph"/>
              <w:spacing w:line="239" w:lineRule="exact"/>
              <w:ind w:left="108"/>
              <w:rPr>
                <w:sz w:val="22"/>
              </w:rPr>
            </w:pPr>
            <w:r>
              <w:rPr>
                <w:spacing w:val="-2"/>
                <w:sz w:val="22"/>
              </w:rPr>
              <w:t>283.125</w:t>
            </w:r>
          </w:p>
        </w:tc>
        <w:tc>
          <w:tcPr>
            <w:tcW w:w="1670" w:type="dxa"/>
          </w:tcPr>
          <w:p>
            <w:pPr>
              <w:pStyle w:val="TableParagraph"/>
              <w:spacing w:line="239" w:lineRule="exact"/>
              <w:ind w:left="82"/>
              <w:jc w:val="center"/>
              <w:rPr>
                <w:sz w:val="22"/>
              </w:rPr>
            </w:pPr>
            <w:r>
              <w:rPr>
                <w:spacing w:val="-2"/>
                <w:sz w:val="22"/>
              </w:rPr>
              <w:t>0.8065</w:t>
            </w:r>
          </w:p>
        </w:tc>
        <w:tc>
          <w:tcPr>
            <w:tcW w:w="1562" w:type="dxa"/>
          </w:tcPr>
          <w:p>
            <w:pPr>
              <w:pStyle w:val="TableParagraph"/>
              <w:spacing w:line="239" w:lineRule="exact"/>
              <w:ind w:left="32"/>
              <w:jc w:val="center"/>
              <w:rPr>
                <w:sz w:val="22"/>
              </w:rPr>
            </w:pPr>
            <w:r>
              <w:rPr>
                <w:spacing w:val="-2"/>
                <w:sz w:val="22"/>
              </w:rPr>
              <w:t>0.1935</w:t>
            </w:r>
          </w:p>
        </w:tc>
        <w:tc>
          <w:tcPr>
            <w:tcW w:w="1543" w:type="dxa"/>
          </w:tcPr>
          <w:p>
            <w:pPr>
              <w:pStyle w:val="TableParagraph"/>
              <w:spacing w:line="239" w:lineRule="exact"/>
              <w:ind w:left="16" w:right="7"/>
              <w:jc w:val="center"/>
              <w:rPr>
                <w:sz w:val="22"/>
              </w:rPr>
            </w:pPr>
            <w:r>
              <w:rPr>
                <w:spacing w:val="-2"/>
                <w:sz w:val="22"/>
              </w:rPr>
              <w:t>5.1679</w:t>
            </w:r>
          </w:p>
        </w:tc>
        <w:tc>
          <w:tcPr>
            <w:tcW w:w="2024" w:type="dxa"/>
          </w:tcPr>
          <w:p>
            <w:pPr>
              <w:pStyle w:val="TableParagraph"/>
              <w:spacing w:line="239" w:lineRule="exact"/>
              <w:ind w:left="460"/>
              <w:rPr>
                <w:sz w:val="22"/>
              </w:rPr>
            </w:pPr>
            <w:r>
              <w:rPr>
                <w:spacing w:val="-2"/>
                <w:sz w:val="22"/>
              </w:rPr>
              <w:t>1.6425</w:t>
            </w:r>
          </w:p>
        </w:tc>
      </w:tr>
      <w:tr>
        <w:trPr>
          <w:trHeight w:val="374" w:hRule="atLeast"/>
        </w:trPr>
        <w:tc>
          <w:tcPr>
            <w:tcW w:w="1405" w:type="dxa"/>
          </w:tcPr>
          <w:p>
            <w:pPr>
              <w:pStyle w:val="TableParagraph"/>
              <w:spacing w:line="246" w:lineRule="exact"/>
              <w:ind w:left="108"/>
              <w:rPr>
                <w:sz w:val="22"/>
              </w:rPr>
            </w:pPr>
            <w:r>
              <w:rPr>
                <w:spacing w:val="-2"/>
                <w:sz w:val="22"/>
              </w:rPr>
              <w:t>311.438</w:t>
            </w:r>
          </w:p>
        </w:tc>
        <w:tc>
          <w:tcPr>
            <w:tcW w:w="1670" w:type="dxa"/>
          </w:tcPr>
          <w:p>
            <w:pPr>
              <w:pStyle w:val="TableParagraph"/>
              <w:spacing w:line="246" w:lineRule="exact"/>
              <w:ind w:left="82"/>
              <w:jc w:val="center"/>
              <w:rPr>
                <w:sz w:val="22"/>
              </w:rPr>
            </w:pPr>
            <w:r>
              <w:rPr>
                <w:spacing w:val="-2"/>
                <w:sz w:val="22"/>
              </w:rPr>
              <w:t>0.8194</w:t>
            </w:r>
          </w:p>
        </w:tc>
        <w:tc>
          <w:tcPr>
            <w:tcW w:w="1562" w:type="dxa"/>
          </w:tcPr>
          <w:p>
            <w:pPr>
              <w:pStyle w:val="TableParagraph"/>
              <w:spacing w:line="246" w:lineRule="exact"/>
              <w:ind w:left="32"/>
              <w:jc w:val="center"/>
              <w:rPr>
                <w:sz w:val="22"/>
              </w:rPr>
            </w:pPr>
            <w:r>
              <w:rPr>
                <w:spacing w:val="-2"/>
                <w:sz w:val="22"/>
              </w:rPr>
              <w:t>0.1806</w:t>
            </w:r>
          </w:p>
        </w:tc>
        <w:tc>
          <w:tcPr>
            <w:tcW w:w="1543" w:type="dxa"/>
          </w:tcPr>
          <w:p>
            <w:pPr>
              <w:pStyle w:val="TableParagraph"/>
              <w:spacing w:line="246" w:lineRule="exact"/>
              <w:ind w:left="16" w:right="7"/>
              <w:jc w:val="center"/>
              <w:rPr>
                <w:sz w:val="22"/>
              </w:rPr>
            </w:pPr>
            <w:r>
              <w:rPr>
                <w:spacing w:val="-2"/>
                <w:sz w:val="22"/>
              </w:rPr>
              <w:t>5.5371</w:t>
            </w:r>
          </w:p>
        </w:tc>
        <w:tc>
          <w:tcPr>
            <w:tcW w:w="2024" w:type="dxa"/>
          </w:tcPr>
          <w:p>
            <w:pPr>
              <w:pStyle w:val="TableParagraph"/>
              <w:spacing w:line="246" w:lineRule="exact"/>
              <w:ind w:left="460"/>
              <w:rPr>
                <w:sz w:val="22"/>
              </w:rPr>
            </w:pPr>
            <w:r>
              <w:rPr>
                <w:spacing w:val="-2"/>
                <w:sz w:val="22"/>
              </w:rPr>
              <w:t>1.7115</w:t>
            </w:r>
          </w:p>
        </w:tc>
      </w:tr>
      <w:tr>
        <w:trPr>
          <w:trHeight w:val="626" w:hRule="atLeast"/>
        </w:trPr>
        <w:tc>
          <w:tcPr>
            <w:tcW w:w="1405" w:type="dxa"/>
          </w:tcPr>
          <w:p>
            <w:pPr>
              <w:pStyle w:val="TableParagraph"/>
              <w:spacing w:line="251" w:lineRule="exact" w:before="108"/>
              <w:ind w:left="108"/>
              <w:rPr>
                <w:b/>
                <w:sz w:val="22"/>
              </w:rPr>
            </w:pPr>
            <w:r>
              <w:rPr>
                <w:b/>
                <w:spacing w:val="-2"/>
                <w:sz w:val="22"/>
                <w:u w:val="single"/>
              </w:rPr>
              <w:t>(MCS)</w:t>
            </w:r>
          </w:p>
          <w:p>
            <w:pPr>
              <w:pStyle w:val="TableParagraph"/>
              <w:spacing w:line="246" w:lineRule="exact"/>
              <w:ind w:left="108"/>
              <w:rPr>
                <w:sz w:val="22"/>
              </w:rPr>
            </w:pPr>
            <w:r>
              <w:rPr>
                <w:spacing w:val="-2"/>
                <w:sz w:val="22"/>
              </w:rPr>
              <w:t>56.625</w:t>
            </w:r>
          </w:p>
        </w:tc>
        <w:tc>
          <w:tcPr>
            <w:tcW w:w="1670" w:type="dxa"/>
          </w:tcPr>
          <w:p>
            <w:pPr>
              <w:pStyle w:val="TableParagraph"/>
              <w:spacing w:before="100"/>
              <w:rPr>
                <w:rFonts w:ascii="Cambria Math"/>
                <w:sz w:val="22"/>
              </w:rPr>
            </w:pPr>
          </w:p>
          <w:p>
            <w:pPr>
              <w:pStyle w:val="TableParagraph"/>
              <w:spacing w:line="248" w:lineRule="exact"/>
              <w:ind w:left="82"/>
              <w:jc w:val="center"/>
              <w:rPr>
                <w:sz w:val="22"/>
              </w:rPr>
            </w:pPr>
            <w:r>
              <w:rPr>
                <w:spacing w:val="-2"/>
                <w:sz w:val="22"/>
              </w:rPr>
              <w:t>0.7068</w:t>
            </w:r>
          </w:p>
        </w:tc>
        <w:tc>
          <w:tcPr>
            <w:tcW w:w="1562" w:type="dxa"/>
          </w:tcPr>
          <w:p>
            <w:pPr>
              <w:pStyle w:val="TableParagraph"/>
              <w:spacing w:before="100"/>
              <w:rPr>
                <w:rFonts w:ascii="Cambria Math"/>
                <w:sz w:val="22"/>
              </w:rPr>
            </w:pPr>
          </w:p>
          <w:p>
            <w:pPr>
              <w:pStyle w:val="TableParagraph"/>
              <w:spacing w:line="248" w:lineRule="exact"/>
              <w:ind w:left="32"/>
              <w:jc w:val="center"/>
              <w:rPr>
                <w:sz w:val="22"/>
              </w:rPr>
            </w:pPr>
            <w:r>
              <w:rPr>
                <w:spacing w:val="-2"/>
                <w:sz w:val="22"/>
              </w:rPr>
              <w:t>0.2932</w:t>
            </w:r>
          </w:p>
        </w:tc>
        <w:tc>
          <w:tcPr>
            <w:tcW w:w="1543" w:type="dxa"/>
          </w:tcPr>
          <w:p>
            <w:pPr>
              <w:pStyle w:val="TableParagraph"/>
              <w:spacing w:before="100"/>
              <w:rPr>
                <w:rFonts w:ascii="Cambria Math"/>
                <w:sz w:val="22"/>
              </w:rPr>
            </w:pPr>
          </w:p>
          <w:p>
            <w:pPr>
              <w:pStyle w:val="TableParagraph"/>
              <w:spacing w:line="248" w:lineRule="exact"/>
              <w:ind w:left="16" w:right="7"/>
              <w:jc w:val="center"/>
              <w:rPr>
                <w:sz w:val="22"/>
              </w:rPr>
            </w:pPr>
            <w:r>
              <w:rPr>
                <w:spacing w:val="-2"/>
                <w:sz w:val="22"/>
              </w:rPr>
              <w:t>3.4106</w:t>
            </w:r>
          </w:p>
        </w:tc>
        <w:tc>
          <w:tcPr>
            <w:tcW w:w="2024" w:type="dxa"/>
          </w:tcPr>
          <w:p>
            <w:pPr>
              <w:pStyle w:val="TableParagraph"/>
              <w:spacing w:before="100"/>
              <w:rPr>
                <w:rFonts w:ascii="Cambria Math"/>
                <w:sz w:val="22"/>
              </w:rPr>
            </w:pPr>
          </w:p>
          <w:p>
            <w:pPr>
              <w:pStyle w:val="TableParagraph"/>
              <w:spacing w:line="248" w:lineRule="exact"/>
              <w:ind w:left="460"/>
              <w:rPr>
                <w:sz w:val="22"/>
              </w:rPr>
            </w:pPr>
            <w:r>
              <w:rPr>
                <w:spacing w:val="-2"/>
                <w:sz w:val="22"/>
              </w:rPr>
              <w:t>1.2269</w:t>
            </w:r>
          </w:p>
        </w:tc>
      </w:tr>
      <w:tr>
        <w:trPr>
          <w:trHeight w:val="259" w:hRule="atLeast"/>
        </w:trPr>
        <w:tc>
          <w:tcPr>
            <w:tcW w:w="1405" w:type="dxa"/>
          </w:tcPr>
          <w:p>
            <w:pPr>
              <w:pStyle w:val="TableParagraph"/>
              <w:spacing w:line="239" w:lineRule="exact"/>
              <w:ind w:left="108"/>
              <w:rPr>
                <w:sz w:val="22"/>
              </w:rPr>
            </w:pPr>
            <w:r>
              <w:rPr>
                <w:spacing w:val="-2"/>
                <w:sz w:val="22"/>
              </w:rPr>
              <w:t>84.938</w:t>
            </w:r>
          </w:p>
        </w:tc>
        <w:tc>
          <w:tcPr>
            <w:tcW w:w="1670" w:type="dxa"/>
          </w:tcPr>
          <w:p>
            <w:pPr>
              <w:pStyle w:val="TableParagraph"/>
              <w:spacing w:line="239" w:lineRule="exact"/>
              <w:ind w:left="82"/>
              <w:jc w:val="center"/>
              <w:rPr>
                <w:sz w:val="22"/>
              </w:rPr>
            </w:pPr>
            <w:r>
              <w:rPr>
                <w:spacing w:val="-2"/>
                <w:sz w:val="22"/>
              </w:rPr>
              <w:t>0.7199</w:t>
            </w:r>
          </w:p>
        </w:tc>
        <w:tc>
          <w:tcPr>
            <w:tcW w:w="1562" w:type="dxa"/>
          </w:tcPr>
          <w:p>
            <w:pPr>
              <w:pStyle w:val="TableParagraph"/>
              <w:spacing w:line="239" w:lineRule="exact"/>
              <w:ind w:left="32"/>
              <w:jc w:val="center"/>
              <w:rPr>
                <w:sz w:val="22"/>
              </w:rPr>
            </w:pPr>
            <w:r>
              <w:rPr>
                <w:spacing w:val="-2"/>
                <w:sz w:val="22"/>
              </w:rPr>
              <w:t>0.2801</w:t>
            </w:r>
          </w:p>
        </w:tc>
        <w:tc>
          <w:tcPr>
            <w:tcW w:w="1543" w:type="dxa"/>
          </w:tcPr>
          <w:p>
            <w:pPr>
              <w:pStyle w:val="TableParagraph"/>
              <w:spacing w:line="239" w:lineRule="exact"/>
              <w:ind w:left="16" w:right="7"/>
              <w:jc w:val="center"/>
              <w:rPr>
                <w:sz w:val="22"/>
              </w:rPr>
            </w:pPr>
            <w:r>
              <w:rPr>
                <w:spacing w:val="-2"/>
                <w:sz w:val="22"/>
              </w:rPr>
              <w:t>3.5599</w:t>
            </w:r>
          </w:p>
        </w:tc>
        <w:tc>
          <w:tcPr>
            <w:tcW w:w="2024" w:type="dxa"/>
          </w:tcPr>
          <w:p>
            <w:pPr>
              <w:pStyle w:val="TableParagraph"/>
              <w:spacing w:line="239" w:lineRule="exact"/>
              <w:ind w:left="460"/>
              <w:rPr>
                <w:sz w:val="22"/>
              </w:rPr>
            </w:pPr>
            <w:r>
              <w:rPr>
                <w:spacing w:val="-2"/>
                <w:sz w:val="22"/>
              </w:rPr>
              <w:t>1.2698</w:t>
            </w:r>
          </w:p>
        </w:tc>
      </w:tr>
      <w:tr>
        <w:trPr>
          <w:trHeight w:val="259" w:hRule="atLeast"/>
        </w:trPr>
        <w:tc>
          <w:tcPr>
            <w:tcW w:w="1405" w:type="dxa"/>
          </w:tcPr>
          <w:p>
            <w:pPr>
              <w:pStyle w:val="TableParagraph"/>
              <w:spacing w:line="239" w:lineRule="exact"/>
              <w:ind w:left="108"/>
              <w:rPr>
                <w:sz w:val="22"/>
              </w:rPr>
            </w:pPr>
            <w:r>
              <w:rPr>
                <w:spacing w:val="-2"/>
                <w:sz w:val="22"/>
              </w:rPr>
              <w:t>113.250</w:t>
            </w:r>
          </w:p>
        </w:tc>
        <w:tc>
          <w:tcPr>
            <w:tcW w:w="1670" w:type="dxa"/>
          </w:tcPr>
          <w:p>
            <w:pPr>
              <w:pStyle w:val="TableParagraph"/>
              <w:spacing w:line="239" w:lineRule="exact"/>
              <w:ind w:left="82"/>
              <w:jc w:val="center"/>
              <w:rPr>
                <w:sz w:val="22"/>
              </w:rPr>
            </w:pPr>
            <w:r>
              <w:rPr>
                <w:spacing w:val="-2"/>
                <w:sz w:val="22"/>
              </w:rPr>
              <w:t>0.7251</w:t>
            </w:r>
          </w:p>
        </w:tc>
        <w:tc>
          <w:tcPr>
            <w:tcW w:w="1562" w:type="dxa"/>
          </w:tcPr>
          <w:p>
            <w:pPr>
              <w:pStyle w:val="TableParagraph"/>
              <w:spacing w:line="239" w:lineRule="exact"/>
              <w:ind w:left="32"/>
              <w:jc w:val="center"/>
              <w:rPr>
                <w:sz w:val="22"/>
              </w:rPr>
            </w:pPr>
            <w:r>
              <w:rPr>
                <w:spacing w:val="-2"/>
                <w:sz w:val="22"/>
              </w:rPr>
              <w:t>0.2749</w:t>
            </w:r>
          </w:p>
        </w:tc>
        <w:tc>
          <w:tcPr>
            <w:tcW w:w="1543" w:type="dxa"/>
          </w:tcPr>
          <w:p>
            <w:pPr>
              <w:pStyle w:val="TableParagraph"/>
              <w:spacing w:line="239" w:lineRule="exact"/>
              <w:ind w:left="16" w:right="7"/>
              <w:jc w:val="center"/>
              <w:rPr>
                <w:sz w:val="22"/>
              </w:rPr>
            </w:pPr>
            <w:r>
              <w:rPr>
                <w:spacing w:val="-2"/>
                <w:sz w:val="22"/>
              </w:rPr>
              <w:t>3.6377</w:t>
            </w:r>
          </w:p>
        </w:tc>
        <w:tc>
          <w:tcPr>
            <w:tcW w:w="2024" w:type="dxa"/>
          </w:tcPr>
          <w:p>
            <w:pPr>
              <w:pStyle w:val="TableParagraph"/>
              <w:spacing w:line="239" w:lineRule="exact"/>
              <w:ind w:left="460"/>
              <w:rPr>
                <w:sz w:val="22"/>
              </w:rPr>
            </w:pPr>
            <w:r>
              <w:rPr>
                <w:spacing w:val="-2"/>
                <w:sz w:val="22"/>
              </w:rPr>
              <w:t>1.2913</w:t>
            </w:r>
          </w:p>
        </w:tc>
      </w:tr>
      <w:tr>
        <w:trPr>
          <w:trHeight w:val="259" w:hRule="atLeast"/>
        </w:trPr>
        <w:tc>
          <w:tcPr>
            <w:tcW w:w="1405" w:type="dxa"/>
          </w:tcPr>
          <w:p>
            <w:pPr>
              <w:pStyle w:val="TableParagraph"/>
              <w:spacing w:line="239" w:lineRule="exact"/>
              <w:ind w:left="108"/>
              <w:rPr>
                <w:sz w:val="22"/>
              </w:rPr>
            </w:pPr>
            <w:r>
              <w:rPr>
                <w:spacing w:val="-2"/>
                <w:sz w:val="22"/>
              </w:rPr>
              <w:t>141.563</w:t>
            </w:r>
          </w:p>
        </w:tc>
        <w:tc>
          <w:tcPr>
            <w:tcW w:w="1670" w:type="dxa"/>
          </w:tcPr>
          <w:p>
            <w:pPr>
              <w:pStyle w:val="TableParagraph"/>
              <w:spacing w:line="239" w:lineRule="exact"/>
              <w:ind w:left="82"/>
              <w:jc w:val="center"/>
              <w:rPr>
                <w:sz w:val="22"/>
              </w:rPr>
            </w:pPr>
            <w:r>
              <w:rPr>
                <w:spacing w:val="-2"/>
                <w:sz w:val="22"/>
              </w:rPr>
              <w:t>0.7583</w:t>
            </w:r>
          </w:p>
        </w:tc>
        <w:tc>
          <w:tcPr>
            <w:tcW w:w="1562" w:type="dxa"/>
          </w:tcPr>
          <w:p>
            <w:pPr>
              <w:pStyle w:val="TableParagraph"/>
              <w:spacing w:line="239" w:lineRule="exact"/>
              <w:ind w:left="32"/>
              <w:jc w:val="center"/>
              <w:rPr>
                <w:sz w:val="22"/>
              </w:rPr>
            </w:pPr>
            <w:r>
              <w:rPr>
                <w:spacing w:val="-2"/>
                <w:sz w:val="22"/>
              </w:rPr>
              <w:t>0.2417</w:t>
            </w:r>
          </w:p>
        </w:tc>
        <w:tc>
          <w:tcPr>
            <w:tcW w:w="1543" w:type="dxa"/>
          </w:tcPr>
          <w:p>
            <w:pPr>
              <w:pStyle w:val="TableParagraph"/>
              <w:spacing w:line="239" w:lineRule="exact"/>
              <w:ind w:left="16" w:right="7"/>
              <w:jc w:val="center"/>
              <w:rPr>
                <w:sz w:val="22"/>
              </w:rPr>
            </w:pPr>
            <w:r>
              <w:rPr>
                <w:spacing w:val="-2"/>
                <w:sz w:val="22"/>
              </w:rPr>
              <w:t>4.1373</w:t>
            </w:r>
          </w:p>
        </w:tc>
        <w:tc>
          <w:tcPr>
            <w:tcW w:w="2024" w:type="dxa"/>
          </w:tcPr>
          <w:p>
            <w:pPr>
              <w:pStyle w:val="TableParagraph"/>
              <w:spacing w:line="239" w:lineRule="exact"/>
              <w:ind w:left="460"/>
              <w:rPr>
                <w:sz w:val="22"/>
              </w:rPr>
            </w:pPr>
            <w:r>
              <w:rPr>
                <w:spacing w:val="-2"/>
                <w:sz w:val="22"/>
              </w:rPr>
              <w:t>1.4201</w:t>
            </w:r>
          </w:p>
        </w:tc>
      </w:tr>
      <w:tr>
        <w:trPr>
          <w:trHeight w:val="259" w:hRule="atLeast"/>
        </w:trPr>
        <w:tc>
          <w:tcPr>
            <w:tcW w:w="1405" w:type="dxa"/>
          </w:tcPr>
          <w:p>
            <w:pPr>
              <w:pStyle w:val="TableParagraph"/>
              <w:spacing w:line="239" w:lineRule="exact"/>
              <w:ind w:left="108"/>
              <w:rPr>
                <w:sz w:val="22"/>
              </w:rPr>
            </w:pPr>
            <w:r>
              <w:rPr>
                <w:spacing w:val="-2"/>
                <w:sz w:val="22"/>
              </w:rPr>
              <w:t>169.875</w:t>
            </w:r>
          </w:p>
        </w:tc>
        <w:tc>
          <w:tcPr>
            <w:tcW w:w="1670" w:type="dxa"/>
          </w:tcPr>
          <w:p>
            <w:pPr>
              <w:pStyle w:val="TableParagraph"/>
              <w:spacing w:line="239" w:lineRule="exact"/>
              <w:ind w:left="82"/>
              <w:jc w:val="center"/>
              <w:rPr>
                <w:sz w:val="22"/>
              </w:rPr>
            </w:pPr>
            <w:r>
              <w:rPr>
                <w:spacing w:val="-2"/>
                <w:sz w:val="22"/>
              </w:rPr>
              <w:t>0.7625</w:t>
            </w:r>
          </w:p>
        </w:tc>
        <w:tc>
          <w:tcPr>
            <w:tcW w:w="1562" w:type="dxa"/>
          </w:tcPr>
          <w:p>
            <w:pPr>
              <w:pStyle w:val="TableParagraph"/>
              <w:spacing w:line="239" w:lineRule="exact"/>
              <w:ind w:left="32"/>
              <w:jc w:val="center"/>
              <w:rPr>
                <w:sz w:val="22"/>
              </w:rPr>
            </w:pPr>
            <w:r>
              <w:rPr>
                <w:spacing w:val="-2"/>
                <w:sz w:val="22"/>
              </w:rPr>
              <w:t>0.2375</w:t>
            </w:r>
          </w:p>
        </w:tc>
        <w:tc>
          <w:tcPr>
            <w:tcW w:w="1543" w:type="dxa"/>
          </w:tcPr>
          <w:p>
            <w:pPr>
              <w:pStyle w:val="TableParagraph"/>
              <w:spacing w:line="239" w:lineRule="exact"/>
              <w:ind w:left="16" w:right="7"/>
              <w:jc w:val="center"/>
              <w:rPr>
                <w:sz w:val="22"/>
              </w:rPr>
            </w:pPr>
            <w:r>
              <w:rPr>
                <w:spacing w:val="-2"/>
                <w:sz w:val="22"/>
              </w:rPr>
              <w:t>4.2105</w:t>
            </w:r>
          </w:p>
        </w:tc>
        <w:tc>
          <w:tcPr>
            <w:tcW w:w="2024" w:type="dxa"/>
          </w:tcPr>
          <w:p>
            <w:pPr>
              <w:pStyle w:val="TableParagraph"/>
              <w:spacing w:line="239" w:lineRule="exact"/>
              <w:ind w:left="460"/>
              <w:rPr>
                <w:sz w:val="22"/>
              </w:rPr>
            </w:pPr>
            <w:r>
              <w:rPr>
                <w:spacing w:val="-2"/>
                <w:sz w:val="22"/>
              </w:rPr>
              <w:t>1.4376</w:t>
            </w:r>
          </w:p>
        </w:tc>
      </w:tr>
      <w:tr>
        <w:trPr>
          <w:trHeight w:val="261" w:hRule="atLeast"/>
        </w:trPr>
        <w:tc>
          <w:tcPr>
            <w:tcW w:w="1405" w:type="dxa"/>
          </w:tcPr>
          <w:p>
            <w:pPr>
              <w:pStyle w:val="TableParagraph"/>
              <w:spacing w:line="242" w:lineRule="exact"/>
              <w:ind w:left="108"/>
              <w:rPr>
                <w:sz w:val="22"/>
              </w:rPr>
            </w:pPr>
            <w:r>
              <w:rPr>
                <w:spacing w:val="-2"/>
                <w:sz w:val="22"/>
              </w:rPr>
              <w:t>198.188</w:t>
            </w:r>
          </w:p>
        </w:tc>
        <w:tc>
          <w:tcPr>
            <w:tcW w:w="1670" w:type="dxa"/>
          </w:tcPr>
          <w:p>
            <w:pPr>
              <w:pStyle w:val="TableParagraph"/>
              <w:spacing w:line="242" w:lineRule="exact"/>
              <w:ind w:left="82"/>
              <w:jc w:val="center"/>
              <w:rPr>
                <w:sz w:val="22"/>
              </w:rPr>
            </w:pPr>
            <w:r>
              <w:rPr>
                <w:spacing w:val="-2"/>
                <w:sz w:val="22"/>
              </w:rPr>
              <w:t>0.7725</w:t>
            </w:r>
          </w:p>
        </w:tc>
        <w:tc>
          <w:tcPr>
            <w:tcW w:w="1562" w:type="dxa"/>
          </w:tcPr>
          <w:p>
            <w:pPr>
              <w:pStyle w:val="TableParagraph"/>
              <w:spacing w:line="242" w:lineRule="exact"/>
              <w:ind w:left="32"/>
              <w:jc w:val="center"/>
              <w:rPr>
                <w:sz w:val="22"/>
              </w:rPr>
            </w:pPr>
            <w:r>
              <w:rPr>
                <w:spacing w:val="-2"/>
                <w:sz w:val="22"/>
              </w:rPr>
              <w:t>0.2375</w:t>
            </w:r>
          </w:p>
        </w:tc>
        <w:tc>
          <w:tcPr>
            <w:tcW w:w="1543" w:type="dxa"/>
          </w:tcPr>
          <w:p>
            <w:pPr>
              <w:pStyle w:val="TableParagraph"/>
              <w:spacing w:line="242" w:lineRule="exact"/>
              <w:ind w:left="16" w:right="7"/>
              <w:jc w:val="center"/>
              <w:rPr>
                <w:sz w:val="22"/>
              </w:rPr>
            </w:pPr>
            <w:r>
              <w:rPr>
                <w:spacing w:val="-2"/>
                <w:sz w:val="22"/>
              </w:rPr>
              <w:t>4.2105</w:t>
            </w:r>
          </w:p>
        </w:tc>
        <w:tc>
          <w:tcPr>
            <w:tcW w:w="2024" w:type="dxa"/>
          </w:tcPr>
          <w:p>
            <w:pPr>
              <w:pStyle w:val="TableParagraph"/>
              <w:spacing w:line="242" w:lineRule="exact"/>
              <w:ind w:left="460"/>
              <w:rPr>
                <w:sz w:val="22"/>
              </w:rPr>
            </w:pPr>
            <w:r>
              <w:rPr>
                <w:spacing w:val="-2"/>
                <w:sz w:val="22"/>
              </w:rPr>
              <w:t>1.4376</w:t>
            </w:r>
          </w:p>
        </w:tc>
      </w:tr>
      <w:tr>
        <w:trPr>
          <w:trHeight w:val="259" w:hRule="atLeast"/>
        </w:trPr>
        <w:tc>
          <w:tcPr>
            <w:tcW w:w="1405" w:type="dxa"/>
          </w:tcPr>
          <w:p>
            <w:pPr>
              <w:pStyle w:val="TableParagraph"/>
              <w:spacing w:line="239" w:lineRule="exact"/>
              <w:ind w:left="108"/>
              <w:rPr>
                <w:sz w:val="22"/>
              </w:rPr>
            </w:pPr>
            <w:r>
              <w:rPr>
                <w:spacing w:val="-2"/>
                <w:sz w:val="22"/>
              </w:rPr>
              <w:t>226.500</w:t>
            </w:r>
          </w:p>
        </w:tc>
        <w:tc>
          <w:tcPr>
            <w:tcW w:w="1670" w:type="dxa"/>
          </w:tcPr>
          <w:p>
            <w:pPr>
              <w:pStyle w:val="TableParagraph"/>
              <w:spacing w:line="239" w:lineRule="exact"/>
              <w:ind w:left="82"/>
              <w:jc w:val="center"/>
              <w:rPr>
                <w:sz w:val="22"/>
              </w:rPr>
            </w:pPr>
            <w:r>
              <w:rPr>
                <w:spacing w:val="-2"/>
                <w:sz w:val="22"/>
              </w:rPr>
              <w:t>0.7874</w:t>
            </w:r>
          </w:p>
        </w:tc>
        <w:tc>
          <w:tcPr>
            <w:tcW w:w="1562" w:type="dxa"/>
          </w:tcPr>
          <w:p>
            <w:pPr>
              <w:pStyle w:val="TableParagraph"/>
              <w:spacing w:line="239" w:lineRule="exact"/>
              <w:ind w:left="32"/>
              <w:jc w:val="center"/>
              <w:rPr>
                <w:sz w:val="22"/>
              </w:rPr>
            </w:pPr>
            <w:r>
              <w:rPr>
                <w:spacing w:val="-2"/>
                <w:sz w:val="22"/>
              </w:rPr>
              <w:t>0.2126</w:t>
            </w:r>
          </w:p>
        </w:tc>
        <w:tc>
          <w:tcPr>
            <w:tcW w:w="1543" w:type="dxa"/>
          </w:tcPr>
          <w:p>
            <w:pPr>
              <w:pStyle w:val="TableParagraph"/>
              <w:spacing w:line="239" w:lineRule="exact"/>
              <w:ind w:left="16" w:right="7"/>
              <w:jc w:val="center"/>
              <w:rPr>
                <w:sz w:val="22"/>
              </w:rPr>
            </w:pPr>
            <w:r>
              <w:rPr>
                <w:spacing w:val="-2"/>
                <w:sz w:val="22"/>
              </w:rPr>
              <w:t>4.7037</w:t>
            </w:r>
          </w:p>
        </w:tc>
        <w:tc>
          <w:tcPr>
            <w:tcW w:w="2024" w:type="dxa"/>
          </w:tcPr>
          <w:p>
            <w:pPr>
              <w:pStyle w:val="TableParagraph"/>
              <w:spacing w:line="239" w:lineRule="exact"/>
              <w:ind w:left="460"/>
              <w:rPr>
                <w:sz w:val="22"/>
              </w:rPr>
            </w:pPr>
            <w:r>
              <w:rPr>
                <w:spacing w:val="-2"/>
                <w:sz w:val="22"/>
              </w:rPr>
              <w:t>1.5483</w:t>
            </w:r>
          </w:p>
        </w:tc>
      </w:tr>
      <w:tr>
        <w:trPr>
          <w:trHeight w:val="259" w:hRule="atLeast"/>
        </w:trPr>
        <w:tc>
          <w:tcPr>
            <w:tcW w:w="1405" w:type="dxa"/>
          </w:tcPr>
          <w:p>
            <w:pPr>
              <w:pStyle w:val="TableParagraph"/>
              <w:spacing w:line="239" w:lineRule="exact"/>
              <w:ind w:left="108"/>
              <w:rPr>
                <w:sz w:val="22"/>
              </w:rPr>
            </w:pPr>
            <w:r>
              <w:rPr>
                <w:spacing w:val="-2"/>
                <w:sz w:val="22"/>
              </w:rPr>
              <w:t>254.813</w:t>
            </w:r>
          </w:p>
        </w:tc>
        <w:tc>
          <w:tcPr>
            <w:tcW w:w="1670" w:type="dxa"/>
          </w:tcPr>
          <w:p>
            <w:pPr>
              <w:pStyle w:val="TableParagraph"/>
              <w:spacing w:line="239" w:lineRule="exact"/>
              <w:ind w:left="82"/>
              <w:jc w:val="center"/>
              <w:rPr>
                <w:sz w:val="22"/>
              </w:rPr>
            </w:pPr>
            <w:r>
              <w:rPr>
                <w:spacing w:val="-2"/>
                <w:sz w:val="22"/>
              </w:rPr>
              <w:t>0.8076</w:t>
            </w:r>
          </w:p>
        </w:tc>
        <w:tc>
          <w:tcPr>
            <w:tcW w:w="1562" w:type="dxa"/>
          </w:tcPr>
          <w:p>
            <w:pPr>
              <w:pStyle w:val="TableParagraph"/>
              <w:spacing w:line="239" w:lineRule="exact"/>
              <w:ind w:left="32"/>
              <w:jc w:val="center"/>
              <w:rPr>
                <w:sz w:val="22"/>
              </w:rPr>
            </w:pPr>
            <w:r>
              <w:rPr>
                <w:spacing w:val="-2"/>
                <w:sz w:val="22"/>
              </w:rPr>
              <w:t>0.1924</w:t>
            </w:r>
          </w:p>
        </w:tc>
        <w:tc>
          <w:tcPr>
            <w:tcW w:w="1543" w:type="dxa"/>
          </w:tcPr>
          <w:p>
            <w:pPr>
              <w:pStyle w:val="TableParagraph"/>
              <w:spacing w:line="239" w:lineRule="exact"/>
              <w:ind w:left="16" w:right="7"/>
              <w:jc w:val="center"/>
              <w:rPr>
                <w:sz w:val="22"/>
              </w:rPr>
            </w:pPr>
            <w:r>
              <w:rPr>
                <w:spacing w:val="-2"/>
                <w:sz w:val="22"/>
              </w:rPr>
              <w:t>5.1975</w:t>
            </w:r>
          </w:p>
        </w:tc>
        <w:tc>
          <w:tcPr>
            <w:tcW w:w="2024" w:type="dxa"/>
          </w:tcPr>
          <w:p>
            <w:pPr>
              <w:pStyle w:val="TableParagraph"/>
              <w:spacing w:line="239" w:lineRule="exact"/>
              <w:ind w:left="460"/>
              <w:rPr>
                <w:sz w:val="22"/>
              </w:rPr>
            </w:pPr>
            <w:r>
              <w:rPr>
                <w:spacing w:val="-2"/>
                <w:sz w:val="22"/>
              </w:rPr>
              <w:t>1.6482</w:t>
            </w:r>
          </w:p>
        </w:tc>
      </w:tr>
      <w:tr>
        <w:trPr>
          <w:trHeight w:val="259" w:hRule="atLeast"/>
        </w:trPr>
        <w:tc>
          <w:tcPr>
            <w:tcW w:w="1405" w:type="dxa"/>
          </w:tcPr>
          <w:p>
            <w:pPr>
              <w:pStyle w:val="TableParagraph"/>
              <w:spacing w:line="239" w:lineRule="exact"/>
              <w:ind w:left="108"/>
              <w:rPr>
                <w:sz w:val="22"/>
              </w:rPr>
            </w:pPr>
            <w:r>
              <w:rPr>
                <w:spacing w:val="-2"/>
                <w:sz w:val="22"/>
              </w:rPr>
              <w:t>283.125</w:t>
            </w:r>
          </w:p>
        </w:tc>
        <w:tc>
          <w:tcPr>
            <w:tcW w:w="1670" w:type="dxa"/>
          </w:tcPr>
          <w:p>
            <w:pPr>
              <w:pStyle w:val="TableParagraph"/>
              <w:spacing w:line="239" w:lineRule="exact"/>
              <w:ind w:left="82"/>
              <w:jc w:val="center"/>
              <w:rPr>
                <w:sz w:val="22"/>
              </w:rPr>
            </w:pPr>
            <w:r>
              <w:rPr>
                <w:spacing w:val="-2"/>
                <w:sz w:val="22"/>
              </w:rPr>
              <w:t>0.8071</w:t>
            </w:r>
          </w:p>
        </w:tc>
        <w:tc>
          <w:tcPr>
            <w:tcW w:w="1562" w:type="dxa"/>
          </w:tcPr>
          <w:p>
            <w:pPr>
              <w:pStyle w:val="TableParagraph"/>
              <w:spacing w:line="239" w:lineRule="exact"/>
              <w:ind w:left="32"/>
              <w:jc w:val="center"/>
              <w:rPr>
                <w:sz w:val="22"/>
              </w:rPr>
            </w:pPr>
            <w:r>
              <w:rPr>
                <w:spacing w:val="-2"/>
                <w:sz w:val="22"/>
              </w:rPr>
              <w:t>0.1929</w:t>
            </w:r>
          </w:p>
        </w:tc>
        <w:tc>
          <w:tcPr>
            <w:tcW w:w="1543" w:type="dxa"/>
          </w:tcPr>
          <w:p>
            <w:pPr>
              <w:pStyle w:val="TableParagraph"/>
              <w:spacing w:line="239" w:lineRule="exact"/>
              <w:ind w:left="16" w:right="7"/>
              <w:jc w:val="center"/>
              <w:rPr>
                <w:sz w:val="22"/>
              </w:rPr>
            </w:pPr>
            <w:r>
              <w:rPr>
                <w:spacing w:val="-2"/>
                <w:sz w:val="22"/>
              </w:rPr>
              <w:t>5.1840</w:t>
            </w:r>
          </w:p>
        </w:tc>
        <w:tc>
          <w:tcPr>
            <w:tcW w:w="2024" w:type="dxa"/>
          </w:tcPr>
          <w:p>
            <w:pPr>
              <w:pStyle w:val="TableParagraph"/>
              <w:spacing w:line="239" w:lineRule="exact"/>
              <w:ind w:left="460"/>
              <w:rPr>
                <w:sz w:val="22"/>
              </w:rPr>
            </w:pPr>
            <w:r>
              <w:rPr>
                <w:spacing w:val="-2"/>
                <w:sz w:val="22"/>
              </w:rPr>
              <w:t>1.6456</w:t>
            </w:r>
          </w:p>
        </w:tc>
      </w:tr>
      <w:tr>
        <w:trPr>
          <w:trHeight w:val="391" w:hRule="atLeast"/>
        </w:trPr>
        <w:tc>
          <w:tcPr>
            <w:tcW w:w="1405" w:type="dxa"/>
          </w:tcPr>
          <w:p>
            <w:pPr>
              <w:pStyle w:val="TableParagraph"/>
              <w:spacing w:line="246" w:lineRule="exact"/>
              <w:ind w:left="108"/>
              <w:rPr>
                <w:sz w:val="22"/>
              </w:rPr>
            </w:pPr>
            <w:r>
              <w:rPr>
                <w:spacing w:val="-2"/>
                <w:sz w:val="22"/>
              </w:rPr>
              <w:t>311.438</w:t>
            </w:r>
          </w:p>
        </w:tc>
        <w:tc>
          <w:tcPr>
            <w:tcW w:w="1670" w:type="dxa"/>
          </w:tcPr>
          <w:p>
            <w:pPr>
              <w:pStyle w:val="TableParagraph"/>
              <w:spacing w:line="246" w:lineRule="exact"/>
              <w:ind w:left="82"/>
              <w:jc w:val="center"/>
              <w:rPr>
                <w:sz w:val="22"/>
              </w:rPr>
            </w:pPr>
            <w:r>
              <w:rPr>
                <w:spacing w:val="-2"/>
                <w:sz w:val="22"/>
              </w:rPr>
              <w:t>0.7935</w:t>
            </w:r>
          </w:p>
        </w:tc>
        <w:tc>
          <w:tcPr>
            <w:tcW w:w="1562" w:type="dxa"/>
          </w:tcPr>
          <w:p>
            <w:pPr>
              <w:pStyle w:val="TableParagraph"/>
              <w:spacing w:line="246" w:lineRule="exact"/>
              <w:ind w:left="32"/>
              <w:jc w:val="center"/>
              <w:rPr>
                <w:sz w:val="22"/>
              </w:rPr>
            </w:pPr>
            <w:r>
              <w:rPr>
                <w:spacing w:val="-2"/>
                <w:sz w:val="22"/>
              </w:rPr>
              <w:t>0.2065</w:t>
            </w:r>
          </w:p>
        </w:tc>
        <w:tc>
          <w:tcPr>
            <w:tcW w:w="1543" w:type="dxa"/>
          </w:tcPr>
          <w:p>
            <w:pPr>
              <w:pStyle w:val="TableParagraph"/>
              <w:spacing w:line="246" w:lineRule="exact"/>
              <w:ind w:left="16" w:right="7"/>
              <w:jc w:val="center"/>
              <w:rPr>
                <w:sz w:val="22"/>
              </w:rPr>
            </w:pPr>
            <w:r>
              <w:rPr>
                <w:spacing w:val="-2"/>
                <w:sz w:val="22"/>
              </w:rPr>
              <w:t>4.8426</w:t>
            </w:r>
          </w:p>
        </w:tc>
        <w:tc>
          <w:tcPr>
            <w:tcW w:w="2024" w:type="dxa"/>
          </w:tcPr>
          <w:p>
            <w:pPr>
              <w:pStyle w:val="TableParagraph"/>
              <w:spacing w:line="246" w:lineRule="exact"/>
              <w:ind w:left="460"/>
              <w:rPr>
                <w:sz w:val="22"/>
              </w:rPr>
            </w:pPr>
            <w:r>
              <w:rPr>
                <w:spacing w:val="-2"/>
                <w:sz w:val="22"/>
              </w:rPr>
              <w:t>1.5776</w:t>
            </w:r>
          </w:p>
        </w:tc>
      </w:tr>
      <w:tr>
        <w:trPr>
          <w:trHeight w:val="645" w:hRule="atLeast"/>
        </w:trPr>
        <w:tc>
          <w:tcPr>
            <w:tcW w:w="1405" w:type="dxa"/>
          </w:tcPr>
          <w:p>
            <w:pPr>
              <w:pStyle w:val="TableParagraph"/>
              <w:spacing w:before="125"/>
              <w:ind w:left="108"/>
              <w:rPr>
                <w:b/>
                <w:sz w:val="22"/>
              </w:rPr>
            </w:pPr>
            <w:r>
              <w:rPr>
                <w:b/>
                <w:spacing w:val="-2"/>
                <w:sz w:val="22"/>
                <w:u w:val="single"/>
              </w:rPr>
              <w:t>(GEL)</w:t>
            </w:r>
          </w:p>
          <w:p>
            <w:pPr>
              <w:pStyle w:val="TableParagraph"/>
              <w:spacing w:line="246" w:lineRule="exact" w:before="2"/>
              <w:ind w:left="108"/>
              <w:rPr>
                <w:sz w:val="22"/>
              </w:rPr>
            </w:pPr>
            <w:r>
              <w:rPr>
                <w:spacing w:val="-2"/>
                <w:sz w:val="22"/>
              </w:rPr>
              <w:t>56.625</w:t>
            </w:r>
          </w:p>
        </w:tc>
        <w:tc>
          <w:tcPr>
            <w:tcW w:w="1670" w:type="dxa"/>
          </w:tcPr>
          <w:p>
            <w:pPr>
              <w:pStyle w:val="TableParagraph"/>
              <w:spacing w:before="121"/>
              <w:rPr>
                <w:rFonts w:ascii="Cambria Math"/>
                <w:sz w:val="22"/>
              </w:rPr>
            </w:pPr>
          </w:p>
          <w:p>
            <w:pPr>
              <w:pStyle w:val="TableParagraph"/>
              <w:spacing w:line="246" w:lineRule="exact" w:before="1"/>
              <w:ind w:left="82"/>
              <w:jc w:val="center"/>
              <w:rPr>
                <w:sz w:val="22"/>
              </w:rPr>
            </w:pPr>
            <w:r>
              <w:rPr>
                <w:spacing w:val="-2"/>
                <w:sz w:val="22"/>
              </w:rPr>
              <w:t>0.7136</w:t>
            </w:r>
          </w:p>
        </w:tc>
        <w:tc>
          <w:tcPr>
            <w:tcW w:w="1562" w:type="dxa"/>
          </w:tcPr>
          <w:p>
            <w:pPr>
              <w:pStyle w:val="TableParagraph"/>
              <w:spacing w:before="121"/>
              <w:rPr>
                <w:rFonts w:ascii="Cambria Math"/>
                <w:sz w:val="22"/>
              </w:rPr>
            </w:pPr>
          </w:p>
          <w:p>
            <w:pPr>
              <w:pStyle w:val="TableParagraph"/>
              <w:spacing w:line="246" w:lineRule="exact" w:before="1"/>
              <w:ind w:left="32" w:right="5"/>
              <w:jc w:val="center"/>
              <w:rPr>
                <w:sz w:val="22"/>
              </w:rPr>
            </w:pPr>
            <w:r>
              <w:rPr>
                <w:spacing w:val="-2"/>
                <w:sz w:val="22"/>
              </w:rPr>
              <w:t>0.2864</w:t>
            </w:r>
          </w:p>
        </w:tc>
        <w:tc>
          <w:tcPr>
            <w:tcW w:w="1543" w:type="dxa"/>
          </w:tcPr>
          <w:p>
            <w:pPr>
              <w:pStyle w:val="TableParagraph"/>
              <w:spacing w:before="121"/>
              <w:rPr>
                <w:rFonts w:ascii="Cambria Math"/>
                <w:sz w:val="22"/>
              </w:rPr>
            </w:pPr>
          </w:p>
          <w:p>
            <w:pPr>
              <w:pStyle w:val="TableParagraph"/>
              <w:spacing w:line="246" w:lineRule="exact" w:before="1"/>
              <w:ind w:left="9" w:right="16"/>
              <w:jc w:val="center"/>
              <w:rPr>
                <w:sz w:val="22"/>
              </w:rPr>
            </w:pPr>
            <w:r>
              <w:rPr>
                <w:spacing w:val="-2"/>
                <w:sz w:val="22"/>
              </w:rPr>
              <w:t>3.4916</w:t>
            </w:r>
          </w:p>
        </w:tc>
        <w:tc>
          <w:tcPr>
            <w:tcW w:w="2024" w:type="dxa"/>
          </w:tcPr>
          <w:p>
            <w:pPr>
              <w:pStyle w:val="TableParagraph"/>
              <w:spacing w:before="121"/>
              <w:rPr>
                <w:rFonts w:ascii="Cambria Math"/>
                <w:sz w:val="22"/>
              </w:rPr>
            </w:pPr>
          </w:p>
          <w:p>
            <w:pPr>
              <w:pStyle w:val="TableParagraph"/>
              <w:spacing w:line="246" w:lineRule="exact" w:before="1"/>
              <w:ind w:left="460"/>
              <w:rPr>
                <w:sz w:val="22"/>
              </w:rPr>
            </w:pPr>
            <w:r>
              <w:rPr>
                <w:spacing w:val="-2"/>
                <w:sz w:val="22"/>
              </w:rPr>
              <w:t>1.2504</w:t>
            </w:r>
          </w:p>
        </w:tc>
      </w:tr>
      <w:tr>
        <w:trPr>
          <w:trHeight w:val="259" w:hRule="atLeast"/>
        </w:trPr>
        <w:tc>
          <w:tcPr>
            <w:tcW w:w="1405" w:type="dxa"/>
          </w:tcPr>
          <w:p>
            <w:pPr>
              <w:pStyle w:val="TableParagraph"/>
              <w:spacing w:line="239" w:lineRule="exact"/>
              <w:ind w:left="108"/>
              <w:rPr>
                <w:sz w:val="22"/>
              </w:rPr>
            </w:pPr>
            <w:r>
              <w:rPr>
                <w:spacing w:val="-2"/>
                <w:sz w:val="22"/>
              </w:rPr>
              <w:t>84.938</w:t>
            </w:r>
          </w:p>
        </w:tc>
        <w:tc>
          <w:tcPr>
            <w:tcW w:w="1670" w:type="dxa"/>
          </w:tcPr>
          <w:p>
            <w:pPr>
              <w:pStyle w:val="TableParagraph"/>
              <w:spacing w:line="239" w:lineRule="exact"/>
              <w:ind w:left="82"/>
              <w:jc w:val="center"/>
              <w:rPr>
                <w:sz w:val="22"/>
              </w:rPr>
            </w:pPr>
            <w:r>
              <w:rPr>
                <w:spacing w:val="-2"/>
                <w:sz w:val="22"/>
              </w:rPr>
              <w:t>0.7677</w:t>
            </w:r>
          </w:p>
        </w:tc>
        <w:tc>
          <w:tcPr>
            <w:tcW w:w="1562" w:type="dxa"/>
          </w:tcPr>
          <w:p>
            <w:pPr>
              <w:pStyle w:val="TableParagraph"/>
              <w:spacing w:line="239" w:lineRule="exact"/>
              <w:ind w:left="32" w:right="5"/>
              <w:jc w:val="center"/>
              <w:rPr>
                <w:sz w:val="22"/>
              </w:rPr>
            </w:pPr>
            <w:r>
              <w:rPr>
                <w:spacing w:val="-2"/>
                <w:sz w:val="22"/>
              </w:rPr>
              <w:t>0.2323</w:t>
            </w:r>
          </w:p>
        </w:tc>
        <w:tc>
          <w:tcPr>
            <w:tcW w:w="1543" w:type="dxa"/>
          </w:tcPr>
          <w:p>
            <w:pPr>
              <w:pStyle w:val="TableParagraph"/>
              <w:spacing w:line="239" w:lineRule="exact"/>
              <w:ind w:left="9" w:right="16"/>
              <w:jc w:val="center"/>
              <w:rPr>
                <w:sz w:val="22"/>
              </w:rPr>
            </w:pPr>
            <w:r>
              <w:rPr>
                <w:spacing w:val="-2"/>
                <w:sz w:val="22"/>
              </w:rPr>
              <w:t>4.3048</w:t>
            </w:r>
          </w:p>
        </w:tc>
        <w:tc>
          <w:tcPr>
            <w:tcW w:w="2024" w:type="dxa"/>
          </w:tcPr>
          <w:p>
            <w:pPr>
              <w:pStyle w:val="TableParagraph"/>
              <w:spacing w:line="239" w:lineRule="exact"/>
              <w:ind w:left="460"/>
              <w:rPr>
                <w:sz w:val="22"/>
              </w:rPr>
            </w:pPr>
            <w:r>
              <w:rPr>
                <w:spacing w:val="-2"/>
                <w:sz w:val="22"/>
              </w:rPr>
              <w:t>1.4597</w:t>
            </w:r>
          </w:p>
        </w:tc>
      </w:tr>
      <w:tr>
        <w:trPr>
          <w:trHeight w:val="259" w:hRule="atLeast"/>
        </w:trPr>
        <w:tc>
          <w:tcPr>
            <w:tcW w:w="1405" w:type="dxa"/>
          </w:tcPr>
          <w:p>
            <w:pPr>
              <w:pStyle w:val="TableParagraph"/>
              <w:spacing w:line="239" w:lineRule="exact"/>
              <w:ind w:left="108"/>
              <w:rPr>
                <w:sz w:val="22"/>
              </w:rPr>
            </w:pPr>
            <w:r>
              <w:rPr>
                <w:spacing w:val="-2"/>
                <w:sz w:val="22"/>
              </w:rPr>
              <w:t>113.25</w:t>
            </w:r>
          </w:p>
        </w:tc>
        <w:tc>
          <w:tcPr>
            <w:tcW w:w="1670" w:type="dxa"/>
          </w:tcPr>
          <w:p>
            <w:pPr>
              <w:pStyle w:val="TableParagraph"/>
              <w:spacing w:line="239" w:lineRule="exact"/>
              <w:ind w:left="82"/>
              <w:jc w:val="center"/>
              <w:rPr>
                <w:sz w:val="22"/>
              </w:rPr>
            </w:pPr>
            <w:r>
              <w:rPr>
                <w:spacing w:val="-2"/>
                <w:sz w:val="22"/>
              </w:rPr>
              <w:t>0.7966</w:t>
            </w:r>
          </w:p>
        </w:tc>
        <w:tc>
          <w:tcPr>
            <w:tcW w:w="1562" w:type="dxa"/>
          </w:tcPr>
          <w:p>
            <w:pPr>
              <w:pStyle w:val="TableParagraph"/>
              <w:spacing w:line="239" w:lineRule="exact"/>
              <w:ind w:left="32" w:right="5"/>
              <w:jc w:val="center"/>
              <w:rPr>
                <w:sz w:val="22"/>
              </w:rPr>
            </w:pPr>
            <w:r>
              <w:rPr>
                <w:spacing w:val="-2"/>
                <w:sz w:val="22"/>
              </w:rPr>
              <w:t>0.2034</w:t>
            </w:r>
          </w:p>
        </w:tc>
        <w:tc>
          <w:tcPr>
            <w:tcW w:w="1543" w:type="dxa"/>
          </w:tcPr>
          <w:p>
            <w:pPr>
              <w:pStyle w:val="TableParagraph"/>
              <w:spacing w:line="239" w:lineRule="exact"/>
              <w:ind w:left="9" w:right="16"/>
              <w:jc w:val="center"/>
              <w:rPr>
                <w:sz w:val="22"/>
              </w:rPr>
            </w:pPr>
            <w:r>
              <w:rPr>
                <w:spacing w:val="-2"/>
                <w:sz w:val="22"/>
              </w:rPr>
              <w:t>4.9164</w:t>
            </w:r>
          </w:p>
        </w:tc>
        <w:tc>
          <w:tcPr>
            <w:tcW w:w="2024" w:type="dxa"/>
          </w:tcPr>
          <w:p>
            <w:pPr>
              <w:pStyle w:val="TableParagraph"/>
              <w:spacing w:line="239" w:lineRule="exact"/>
              <w:ind w:left="460"/>
              <w:rPr>
                <w:sz w:val="22"/>
              </w:rPr>
            </w:pPr>
            <w:r>
              <w:rPr>
                <w:spacing w:val="-2"/>
                <w:sz w:val="22"/>
              </w:rPr>
              <w:t>1.5926</w:t>
            </w:r>
          </w:p>
        </w:tc>
      </w:tr>
      <w:tr>
        <w:trPr>
          <w:trHeight w:val="259" w:hRule="atLeast"/>
        </w:trPr>
        <w:tc>
          <w:tcPr>
            <w:tcW w:w="1405" w:type="dxa"/>
          </w:tcPr>
          <w:p>
            <w:pPr>
              <w:pStyle w:val="TableParagraph"/>
              <w:spacing w:line="239" w:lineRule="exact"/>
              <w:ind w:left="108"/>
              <w:rPr>
                <w:sz w:val="22"/>
              </w:rPr>
            </w:pPr>
            <w:r>
              <w:rPr>
                <w:spacing w:val="-2"/>
                <w:sz w:val="22"/>
              </w:rPr>
              <w:t>141.563</w:t>
            </w:r>
          </w:p>
        </w:tc>
        <w:tc>
          <w:tcPr>
            <w:tcW w:w="1670" w:type="dxa"/>
          </w:tcPr>
          <w:p>
            <w:pPr>
              <w:pStyle w:val="TableParagraph"/>
              <w:spacing w:line="239" w:lineRule="exact"/>
              <w:ind w:left="82"/>
              <w:jc w:val="center"/>
              <w:rPr>
                <w:sz w:val="22"/>
              </w:rPr>
            </w:pPr>
            <w:r>
              <w:rPr>
                <w:spacing w:val="-2"/>
                <w:sz w:val="22"/>
              </w:rPr>
              <w:t>0.8027</w:t>
            </w:r>
          </w:p>
        </w:tc>
        <w:tc>
          <w:tcPr>
            <w:tcW w:w="1562" w:type="dxa"/>
          </w:tcPr>
          <w:p>
            <w:pPr>
              <w:pStyle w:val="TableParagraph"/>
              <w:spacing w:line="239" w:lineRule="exact"/>
              <w:ind w:left="32" w:right="5"/>
              <w:jc w:val="center"/>
              <w:rPr>
                <w:sz w:val="22"/>
              </w:rPr>
            </w:pPr>
            <w:r>
              <w:rPr>
                <w:spacing w:val="-2"/>
                <w:sz w:val="22"/>
              </w:rPr>
              <w:t>0.1973</w:t>
            </w:r>
          </w:p>
        </w:tc>
        <w:tc>
          <w:tcPr>
            <w:tcW w:w="1543" w:type="dxa"/>
          </w:tcPr>
          <w:p>
            <w:pPr>
              <w:pStyle w:val="TableParagraph"/>
              <w:spacing w:line="239" w:lineRule="exact"/>
              <w:ind w:left="9" w:right="16"/>
              <w:jc w:val="center"/>
              <w:rPr>
                <w:sz w:val="22"/>
              </w:rPr>
            </w:pPr>
            <w:r>
              <w:rPr>
                <w:spacing w:val="-2"/>
                <w:sz w:val="22"/>
              </w:rPr>
              <w:t>5.0684</w:t>
            </w:r>
          </w:p>
        </w:tc>
        <w:tc>
          <w:tcPr>
            <w:tcW w:w="2024" w:type="dxa"/>
          </w:tcPr>
          <w:p>
            <w:pPr>
              <w:pStyle w:val="TableParagraph"/>
              <w:spacing w:line="239" w:lineRule="exact"/>
              <w:ind w:left="460"/>
              <w:rPr>
                <w:sz w:val="22"/>
              </w:rPr>
            </w:pPr>
            <w:r>
              <w:rPr>
                <w:spacing w:val="-2"/>
                <w:sz w:val="22"/>
              </w:rPr>
              <w:t>1.6230</w:t>
            </w:r>
          </w:p>
        </w:tc>
      </w:tr>
      <w:tr>
        <w:trPr>
          <w:trHeight w:val="261" w:hRule="atLeast"/>
        </w:trPr>
        <w:tc>
          <w:tcPr>
            <w:tcW w:w="1405" w:type="dxa"/>
          </w:tcPr>
          <w:p>
            <w:pPr>
              <w:pStyle w:val="TableParagraph"/>
              <w:spacing w:line="242" w:lineRule="exact"/>
              <w:ind w:left="108"/>
              <w:rPr>
                <w:sz w:val="22"/>
              </w:rPr>
            </w:pPr>
            <w:r>
              <w:rPr>
                <w:spacing w:val="-2"/>
                <w:sz w:val="22"/>
              </w:rPr>
              <w:t>169.875</w:t>
            </w:r>
          </w:p>
        </w:tc>
        <w:tc>
          <w:tcPr>
            <w:tcW w:w="1670" w:type="dxa"/>
          </w:tcPr>
          <w:p>
            <w:pPr>
              <w:pStyle w:val="TableParagraph"/>
              <w:spacing w:line="242" w:lineRule="exact"/>
              <w:ind w:left="82"/>
              <w:jc w:val="center"/>
              <w:rPr>
                <w:sz w:val="22"/>
              </w:rPr>
            </w:pPr>
            <w:r>
              <w:rPr>
                <w:spacing w:val="-2"/>
                <w:sz w:val="22"/>
              </w:rPr>
              <w:t>0.8144</w:t>
            </w:r>
          </w:p>
        </w:tc>
        <w:tc>
          <w:tcPr>
            <w:tcW w:w="1562" w:type="dxa"/>
          </w:tcPr>
          <w:p>
            <w:pPr>
              <w:pStyle w:val="TableParagraph"/>
              <w:spacing w:line="242" w:lineRule="exact"/>
              <w:ind w:left="32" w:right="5"/>
              <w:jc w:val="center"/>
              <w:rPr>
                <w:sz w:val="22"/>
              </w:rPr>
            </w:pPr>
            <w:r>
              <w:rPr>
                <w:spacing w:val="-2"/>
                <w:sz w:val="22"/>
              </w:rPr>
              <w:t>0.1850</w:t>
            </w:r>
          </w:p>
        </w:tc>
        <w:tc>
          <w:tcPr>
            <w:tcW w:w="1543" w:type="dxa"/>
          </w:tcPr>
          <w:p>
            <w:pPr>
              <w:pStyle w:val="TableParagraph"/>
              <w:spacing w:line="242" w:lineRule="exact"/>
              <w:ind w:left="9" w:right="16"/>
              <w:jc w:val="center"/>
              <w:rPr>
                <w:sz w:val="22"/>
              </w:rPr>
            </w:pPr>
            <w:r>
              <w:rPr>
                <w:spacing w:val="-2"/>
                <w:sz w:val="22"/>
              </w:rPr>
              <w:t>5.3876</w:t>
            </w:r>
          </w:p>
        </w:tc>
        <w:tc>
          <w:tcPr>
            <w:tcW w:w="2024" w:type="dxa"/>
          </w:tcPr>
          <w:p>
            <w:pPr>
              <w:pStyle w:val="TableParagraph"/>
              <w:spacing w:line="242" w:lineRule="exact"/>
              <w:ind w:left="460"/>
              <w:rPr>
                <w:sz w:val="22"/>
              </w:rPr>
            </w:pPr>
            <w:r>
              <w:rPr>
                <w:spacing w:val="-2"/>
                <w:sz w:val="22"/>
              </w:rPr>
              <w:t>1.6842</w:t>
            </w:r>
          </w:p>
        </w:tc>
      </w:tr>
      <w:tr>
        <w:trPr>
          <w:trHeight w:val="259" w:hRule="atLeast"/>
        </w:trPr>
        <w:tc>
          <w:tcPr>
            <w:tcW w:w="1405" w:type="dxa"/>
          </w:tcPr>
          <w:p>
            <w:pPr>
              <w:pStyle w:val="TableParagraph"/>
              <w:spacing w:line="239" w:lineRule="exact"/>
              <w:ind w:left="108"/>
              <w:rPr>
                <w:sz w:val="22"/>
              </w:rPr>
            </w:pPr>
            <w:r>
              <w:rPr>
                <w:spacing w:val="-2"/>
                <w:sz w:val="22"/>
              </w:rPr>
              <w:t>198.188</w:t>
            </w:r>
          </w:p>
        </w:tc>
        <w:tc>
          <w:tcPr>
            <w:tcW w:w="1670" w:type="dxa"/>
          </w:tcPr>
          <w:p>
            <w:pPr>
              <w:pStyle w:val="TableParagraph"/>
              <w:spacing w:line="239" w:lineRule="exact"/>
              <w:ind w:left="82"/>
              <w:jc w:val="center"/>
              <w:rPr>
                <w:sz w:val="22"/>
              </w:rPr>
            </w:pPr>
            <w:r>
              <w:rPr>
                <w:spacing w:val="-2"/>
                <w:sz w:val="22"/>
              </w:rPr>
              <w:t>0.8218</w:t>
            </w:r>
          </w:p>
        </w:tc>
        <w:tc>
          <w:tcPr>
            <w:tcW w:w="1562" w:type="dxa"/>
          </w:tcPr>
          <w:p>
            <w:pPr>
              <w:pStyle w:val="TableParagraph"/>
              <w:spacing w:line="239" w:lineRule="exact"/>
              <w:ind w:left="32" w:right="5"/>
              <w:jc w:val="center"/>
              <w:rPr>
                <w:sz w:val="22"/>
              </w:rPr>
            </w:pPr>
            <w:r>
              <w:rPr>
                <w:spacing w:val="-2"/>
                <w:sz w:val="22"/>
              </w:rPr>
              <w:t>0.1782</w:t>
            </w:r>
          </w:p>
        </w:tc>
        <w:tc>
          <w:tcPr>
            <w:tcW w:w="1543" w:type="dxa"/>
          </w:tcPr>
          <w:p>
            <w:pPr>
              <w:pStyle w:val="TableParagraph"/>
              <w:spacing w:line="239" w:lineRule="exact"/>
              <w:ind w:left="9" w:right="16"/>
              <w:jc w:val="center"/>
              <w:rPr>
                <w:sz w:val="22"/>
              </w:rPr>
            </w:pPr>
            <w:r>
              <w:rPr>
                <w:spacing w:val="-2"/>
                <w:sz w:val="22"/>
              </w:rPr>
              <w:t>5.6117</w:t>
            </w:r>
          </w:p>
        </w:tc>
        <w:tc>
          <w:tcPr>
            <w:tcW w:w="2024" w:type="dxa"/>
          </w:tcPr>
          <w:p>
            <w:pPr>
              <w:pStyle w:val="TableParagraph"/>
              <w:spacing w:line="239" w:lineRule="exact"/>
              <w:ind w:left="460"/>
              <w:rPr>
                <w:sz w:val="22"/>
              </w:rPr>
            </w:pPr>
            <w:r>
              <w:rPr>
                <w:spacing w:val="-2"/>
                <w:sz w:val="22"/>
              </w:rPr>
              <w:t>1.7248</w:t>
            </w:r>
          </w:p>
        </w:tc>
      </w:tr>
      <w:tr>
        <w:trPr>
          <w:trHeight w:val="259" w:hRule="atLeast"/>
        </w:trPr>
        <w:tc>
          <w:tcPr>
            <w:tcW w:w="1405" w:type="dxa"/>
          </w:tcPr>
          <w:p>
            <w:pPr>
              <w:pStyle w:val="TableParagraph"/>
              <w:spacing w:line="239" w:lineRule="exact"/>
              <w:ind w:left="108"/>
              <w:rPr>
                <w:sz w:val="22"/>
              </w:rPr>
            </w:pPr>
            <w:r>
              <w:rPr>
                <w:spacing w:val="-2"/>
                <w:sz w:val="22"/>
              </w:rPr>
              <w:t>226.500</w:t>
            </w:r>
          </w:p>
        </w:tc>
        <w:tc>
          <w:tcPr>
            <w:tcW w:w="1670" w:type="dxa"/>
          </w:tcPr>
          <w:p>
            <w:pPr>
              <w:pStyle w:val="TableParagraph"/>
              <w:spacing w:line="239" w:lineRule="exact"/>
              <w:ind w:left="82"/>
              <w:jc w:val="center"/>
              <w:rPr>
                <w:sz w:val="22"/>
              </w:rPr>
            </w:pPr>
            <w:r>
              <w:rPr>
                <w:spacing w:val="-2"/>
                <w:sz w:val="22"/>
              </w:rPr>
              <w:t>0.8230</w:t>
            </w:r>
          </w:p>
        </w:tc>
        <w:tc>
          <w:tcPr>
            <w:tcW w:w="1562" w:type="dxa"/>
          </w:tcPr>
          <w:p>
            <w:pPr>
              <w:pStyle w:val="TableParagraph"/>
              <w:spacing w:line="239" w:lineRule="exact"/>
              <w:ind w:left="32" w:right="5"/>
              <w:jc w:val="center"/>
              <w:rPr>
                <w:sz w:val="22"/>
              </w:rPr>
            </w:pPr>
            <w:r>
              <w:rPr>
                <w:spacing w:val="-2"/>
                <w:sz w:val="22"/>
              </w:rPr>
              <w:t>0.1699</w:t>
            </w:r>
          </w:p>
        </w:tc>
        <w:tc>
          <w:tcPr>
            <w:tcW w:w="1543" w:type="dxa"/>
          </w:tcPr>
          <w:p>
            <w:pPr>
              <w:pStyle w:val="TableParagraph"/>
              <w:spacing w:line="239" w:lineRule="exact"/>
              <w:ind w:left="9" w:right="16"/>
              <w:jc w:val="center"/>
              <w:rPr>
                <w:sz w:val="22"/>
              </w:rPr>
            </w:pPr>
            <w:r>
              <w:rPr>
                <w:spacing w:val="-2"/>
                <w:sz w:val="22"/>
              </w:rPr>
              <w:t>5.8858</w:t>
            </w:r>
          </w:p>
        </w:tc>
        <w:tc>
          <w:tcPr>
            <w:tcW w:w="2024" w:type="dxa"/>
          </w:tcPr>
          <w:p>
            <w:pPr>
              <w:pStyle w:val="TableParagraph"/>
              <w:spacing w:line="239" w:lineRule="exact"/>
              <w:ind w:left="460"/>
              <w:rPr>
                <w:sz w:val="22"/>
              </w:rPr>
            </w:pPr>
            <w:r>
              <w:rPr>
                <w:spacing w:val="-2"/>
                <w:sz w:val="22"/>
              </w:rPr>
              <w:t>1.7725</w:t>
            </w:r>
          </w:p>
        </w:tc>
      </w:tr>
      <w:tr>
        <w:trPr>
          <w:trHeight w:val="259" w:hRule="atLeast"/>
        </w:trPr>
        <w:tc>
          <w:tcPr>
            <w:tcW w:w="1405" w:type="dxa"/>
          </w:tcPr>
          <w:p>
            <w:pPr>
              <w:pStyle w:val="TableParagraph"/>
              <w:spacing w:line="239" w:lineRule="exact"/>
              <w:ind w:left="108"/>
              <w:rPr>
                <w:sz w:val="22"/>
              </w:rPr>
            </w:pPr>
            <w:r>
              <w:rPr>
                <w:spacing w:val="-2"/>
                <w:sz w:val="22"/>
              </w:rPr>
              <w:t>254.813</w:t>
            </w:r>
          </w:p>
        </w:tc>
        <w:tc>
          <w:tcPr>
            <w:tcW w:w="1670" w:type="dxa"/>
          </w:tcPr>
          <w:p>
            <w:pPr>
              <w:pStyle w:val="TableParagraph"/>
              <w:spacing w:line="239" w:lineRule="exact"/>
              <w:ind w:left="82"/>
              <w:jc w:val="center"/>
              <w:rPr>
                <w:sz w:val="22"/>
              </w:rPr>
            </w:pPr>
            <w:r>
              <w:rPr>
                <w:spacing w:val="-2"/>
                <w:sz w:val="22"/>
              </w:rPr>
              <w:t>0.7950</w:t>
            </w:r>
          </w:p>
        </w:tc>
        <w:tc>
          <w:tcPr>
            <w:tcW w:w="1562" w:type="dxa"/>
          </w:tcPr>
          <w:p>
            <w:pPr>
              <w:pStyle w:val="TableParagraph"/>
              <w:spacing w:line="239" w:lineRule="exact"/>
              <w:ind w:left="32" w:right="5"/>
              <w:jc w:val="center"/>
              <w:rPr>
                <w:sz w:val="22"/>
              </w:rPr>
            </w:pPr>
            <w:r>
              <w:rPr>
                <w:spacing w:val="-2"/>
                <w:sz w:val="22"/>
              </w:rPr>
              <w:t>0.2050</w:t>
            </w:r>
          </w:p>
        </w:tc>
        <w:tc>
          <w:tcPr>
            <w:tcW w:w="1543" w:type="dxa"/>
          </w:tcPr>
          <w:p>
            <w:pPr>
              <w:pStyle w:val="TableParagraph"/>
              <w:spacing w:line="239" w:lineRule="exact"/>
              <w:ind w:left="9" w:right="16"/>
              <w:jc w:val="center"/>
              <w:rPr>
                <w:sz w:val="22"/>
              </w:rPr>
            </w:pPr>
            <w:r>
              <w:rPr>
                <w:spacing w:val="-2"/>
                <w:sz w:val="22"/>
              </w:rPr>
              <w:t>4.8780</w:t>
            </w:r>
          </w:p>
        </w:tc>
        <w:tc>
          <w:tcPr>
            <w:tcW w:w="2024" w:type="dxa"/>
          </w:tcPr>
          <w:p>
            <w:pPr>
              <w:pStyle w:val="TableParagraph"/>
              <w:spacing w:line="239" w:lineRule="exact"/>
              <w:ind w:left="460"/>
              <w:rPr>
                <w:sz w:val="22"/>
              </w:rPr>
            </w:pPr>
            <w:r>
              <w:rPr>
                <w:spacing w:val="-2"/>
                <w:sz w:val="22"/>
              </w:rPr>
              <w:t>1.5847</w:t>
            </w:r>
          </w:p>
        </w:tc>
      </w:tr>
      <w:tr>
        <w:trPr>
          <w:trHeight w:val="259" w:hRule="atLeast"/>
        </w:trPr>
        <w:tc>
          <w:tcPr>
            <w:tcW w:w="1405" w:type="dxa"/>
          </w:tcPr>
          <w:p>
            <w:pPr>
              <w:pStyle w:val="TableParagraph"/>
              <w:spacing w:line="239" w:lineRule="exact"/>
              <w:ind w:left="108"/>
              <w:rPr>
                <w:sz w:val="22"/>
              </w:rPr>
            </w:pPr>
            <w:r>
              <w:rPr>
                <w:spacing w:val="-2"/>
                <w:sz w:val="22"/>
              </w:rPr>
              <w:t>283.125</w:t>
            </w:r>
          </w:p>
        </w:tc>
        <w:tc>
          <w:tcPr>
            <w:tcW w:w="1670" w:type="dxa"/>
          </w:tcPr>
          <w:p>
            <w:pPr>
              <w:pStyle w:val="TableParagraph"/>
              <w:spacing w:line="239" w:lineRule="exact"/>
              <w:ind w:left="82"/>
              <w:jc w:val="center"/>
              <w:rPr>
                <w:sz w:val="22"/>
              </w:rPr>
            </w:pPr>
            <w:r>
              <w:rPr>
                <w:spacing w:val="-2"/>
                <w:sz w:val="22"/>
              </w:rPr>
              <w:t>0.7677</w:t>
            </w:r>
          </w:p>
        </w:tc>
        <w:tc>
          <w:tcPr>
            <w:tcW w:w="1562" w:type="dxa"/>
          </w:tcPr>
          <w:p>
            <w:pPr>
              <w:pStyle w:val="TableParagraph"/>
              <w:spacing w:line="239" w:lineRule="exact"/>
              <w:ind w:left="32" w:right="5"/>
              <w:jc w:val="center"/>
              <w:rPr>
                <w:sz w:val="22"/>
              </w:rPr>
            </w:pPr>
            <w:r>
              <w:rPr>
                <w:spacing w:val="-2"/>
                <w:sz w:val="22"/>
              </w:rPr>
              <w:t>0.2323</w:t>
            </w:r>
          </w:p>
        </w:tc>
        <w:tc>
          <w:tcPr>
            <w:tcW w:w="1543" w:type="dxa"/>
          </w:tcPr>
          <w:p>
            <w:pPr>
              <w:pStyle w:val="TableParagraph"/>
              <w:spacing w:line="239" w:lineRule="exact"/>
              <w:ind w:left="9" w:right="16"/>
              <w:jc w:val="center"/>
              <w:rPr>
                <w:sz w:val="22"/>
              </w:rPr>
            </w:pPr>
            <w:r>
              <w:rPr>
                <w:spacing w:val="-2"/>
                <w:sz w:val="22"/>
              </w:rPr>
              <w:t>4.3048</w:t>
            </w:r>
          </w:p>
        </w:tc>
        <w:tc>
          <w:tcPr>
            <w:tcW w:w="2024" w:type="dxa"/>
          </w:tcPr>
          <w:p>
            <w:pPr>
              <w:pStyle w:val="TableParagraph"/>
              <w:spacing w:line="239" w:lineRule="exact"/>
              <w:ind w:left="460"/>
              <w:rPr>
                <w:sz w:val="22"/>
              </w:rPr>
            </w:pPr>
            <w:r>
              <w:rPr>
                <w:spacing w:val="-2"/>
                <w:sz w:val="22"/>
              </w:rPr>
              <w:t>1.4597</w:t>
            </w:r>
          </w:p>
        </w:tc>
      </w:tr>
      <w:tr>
        <w:trPr>
          <w:trHeight w:val="255" w:hRule="atLeast"/>
        </w:trPr>
        <w:tc>
          <w:tcPr>
            <w:tcW w:w="1405" w:type="dxa"/>
            <w:tcBorders>
              <w:bottom w:val="single" w:sz="4" w:space="0" w:color="000000"/>
            </w:tcBorders>
          </w:tcPr>
          <w:p>
            <w:pPr>
              <w:pStyle w:val="TableParagraph"/>
              <w:spacing w:line="236" w:lineRule="exact"/>
              <w:ind w:left="108"/>
              <w:rPr>
                <w:sz w:val="22"/>
              </w:rPr>
            </w:pPr>
            <w:r>
              <w:rPr>
                <w:spacing w:val="-2"/>
                <w:sz w:val="22"/>
              </w:rPr>
              <w:t>311.438</w:t>
            </w:r>
          </w:p>
        </w:tc>
        <w:tc>
          <w:tcPr>
            <w:tcW w:w="1670" w:type="dxa"/>
            <w:tcBorders>
              <w:bottom w:val="single" w:sz="4" w:space="0" w:color="000000"/>
            </w:tcBorders>
          </w:tcPr>
          <w:p>
            <w:pPr>
              <w:pStyle w:val="TableParagraph"/>
              <w:spacing w:line="236" w:lineRule="exact"/>
              <w:ind w:left="82"/>
              <w:jc w:val="center"/>
              <w:rPr>
                <w:sz w:val="22"/>
              </w:rPr>
            </w:pPr>
            <w:r>
              <w:rPr>
                <w:spacing w:val="-2"/>
                <w:sz w:val="22"/>
              </w:rPr>
              <w:t>0.1759</w:t>
            </w:r>
          </w:p>
        </w:tc>
        <w:tc>
          <w:tcPr>
            <w:tcW w:w="1562" w:type="dxa"/>
            <w:tcBorders>
              <w:bottom w:val="single" w:sz="4" w:space="0" w:color="000000"/>
            </w:tcBorders>
          </w:tcPr>
          <w:p>
            <w:pPr>
              <w:pStyle w:val="TableParagraph"/>
              <w:spacing w:line="236" w:lineRule="exact"/>
              <w:ind w:left="32" w:right="5"/>
              <w:jc w:val="center"/>
              <w:rPr>
                <w:sz w:val="22"/>
              </w:rPr>
            </w:pPr>
            <w:r>
              <w:rPr>
                <w:spacing w:val="-2"/>
                <w:sz w:val="22"/>
              </w:rPr>
              <w:t>0.1759</w:t>
            </w:r>
          </w:p>
        </w:tc>
        <w:tc>
          <w:tcPr>
            <w:tcW w:w="1543" w:type="dxa"/>
            <w:tcBorders>
              <w:bottom w:val="single" w:sz="4" w:space="0" w:color="000000"/>
            </w:tcBorders>
          </w:tcPr>
          <w:p>
            <w:pPr>
              <w:pStyle w:val="TableParagraph"/>
              <w:spacing w:line="236" w:lineRule="exact"/>
              <w:ind w:left="9" w:right="16"/>
              <w:jc w:val="center"/>
              <w:rPr>
                <w:sz w:val="22"/>
              </w:rPr>
            </w:pPr>
            <w:r>
              <w:rPr>
                <w:spacing w:val="-2"/>
                <w:sz w:val="22"/>
              </w:rPr>
              <w:t>5.6850</w:t>
            </w:r>
          </w:p>
        </w:tc>
        <w:tc>
          <w:tcPr>
            <w:tcW w:w="2024" w:type="dxa"/>
            <w:tcBorders>
              <w:bottom w:val="single" w:sz="4" w:space="0" w:color="000000"/>
            </w:tcBorders>
          </w:tcPr>
          <w:p>
            <w:pPr>
              <w:pStyle w:val="TableParagraph"/>
              <w:spacing w:line="236" w:lineRule="exact"/>
              <w:ind w:left="460"/>
              <w:rPr>
                <w:sz w:val="22"/>
              </w:rPr>
            </w:pPr>
            <w:r>
              <w:rPr>
                <w:spacing w:val="-2"/>
                <w:sz w:val="22"/>
              </w:rPr>
              <w:t>1.7378</w:t>
            </w:r>
          </w:p>
        </w:tc>
      </w:tr>
    </w:tbl>
    <w:p>
      <w:pPr>
        <w:spacing w:after="0" w:line="236" w:lineRule="exact"/>
        <w:rPr>
          <w:sz w:val="22"/>
        </w:rPr>
        <w:sectPr>
          <w:type w:val="continuous"/>
          <w:pgSz w:w="12240" w:h="15840"/>
          <w:pgMar w:header="0" w:footer="999" w:top="1780" w:bottom="1180" w:left="1720" w:right="760"/>
        </w:sectPr>
      </w:pPr>
    </w:p>
    <w:p>
      <w:pPr>
        <w:pStyle w:val="BodyText"/>
        <w:spacing w:before="68"/>
        <w:rPr>
          <w:rFonts w:ascii="Cambria Math"/>
        </w:rPr>
      </w:pPr>
    </w:p>
    <w:p>
      <w:pPr>
        <w:pStyle w:val="Heading2"/>
        <w:ind w:left="694" w:firstLine="0"/>
      </w:pPr>
      <w:bookmarkStart w:name="_TOC_250000" w:id="161"/>
      <w:r>
        <w:rPr/>
        <w:t>A.</w:t>
      </w:r>
      <w:r>
        <w:rPr>
          <w:spacing w:val="8"/>
        </w:rPr>
        <w:t> </w:t>
      </w:r>
      <w:r>
        <w:rPr/>
        <w:t>10</w:t>
      </w:r>
      <w:r>
        <w:rPr>
          <w:spacing w:val="10"/>
        </w:rPr>
        <w:t> </w:t>
      </w:r>
      <w:r>
        <w:rPr/>
        <w:t>Statistical</w:t>
      </w:r>
      <w:r>
        <w:rPr>
          <w:spacing w:val="12"/>
        </w:rPr>
        <w:t> </w:t>
      </w:r>
      <w:bookmarkEnd w:id="161"/>
      <w:r>
        <w:rPr>
          <w:spacing w:val="-2"/>
        </w:rPr>
        <w:t>Analysis</w:t>
      </w:r>
    </w:p>
    <w:p>
      <w:pPr>
        <w:pStyle w:val="BodyText"/>
        <w:spacing w:before="13"/>
        <w:rPr>
          <w:b/>
        </w:rPr>
      </w:pPr>
    </w:p>
    <w:p>
      <w:pPr>
        <w:spacing w:line="244" w:lineRule="auto" w:before="0"/>
        <w:ind w:left="694" w:right="1799" w:firstLine="0"/>
        <w:jc w:val="left"/>
        <w:rPr>
          <w:b/>
          <w:sz w:val="22"/>
        </w:rPr>
      </w:pPr>
      <w:r>
        <w:rPr>
          <w:b/>
          <w:sz w:val="22"/>
        </w:rPr>
        <w:t>Physicochemical</w:t>
      </w:r>
      <w:r>
        <w:rPr>
          <w:b/>
          <w:spacing w:val="40"/>
          <w:sz w:val="22"/>
        </w:rPr>
        <w:t> </w:t>
      </w:r>
      <w:r>
        <w:rPr>
          <w:b/>
          <w:sz w:val="22"/>
        </w:rPr>
        <w:t>Parameters</w:t>
      </w:r>
      <w:r>
        <w:rPr>
          <w:b/>
          <w:spacing w:val="40"/>
          <w:sz w:val="22"/>
        </w:rPr>
        <w:t> </w:t>
      </w:r>
      <w:r>
        <w:rPr>
          <w:b/>
          <w:sz w:val="22"/>
        </w:rPr>
        <w:t>of</w:t>
      </w:r>
      <w:r>
        <w:rPr>
          <w:b/>
          <w:spacing w:val="40"/>
          <w:sz w:val="22"/>
        </w:rPr>
        <w:t> </w:t>
      </w:r>
      <w:r>
        <w:rPr>
          <w:b/>
          <w:sz w:val="22"/>
        </w:rPr>
        <w:t>DS</w:t>
      </w:r>
      <w:r>
        <w:rPr>
          <w:b/>
          <w:spacing w:val="40"/>
          <w:sz w:val="22"/>
        </w:rPr>
        <w:t> </w:t>
      </w:r>
      <w:r>
        <w:rPr>
          <w:b/>
          <w:sz w:val="22"/>
        </w:rPr>
        <w:t>and</w:t>
      </w:r>
      <w:r>
        <w:rPr>
          <w:b/>
          <w:spacing w:val="40"/>
          <w:sz w:val="22"/>
        </w:rPr>
        <w:t> </w:t>
      </w:r>
      <w:r>
        <w:rPr>
          <w:b/>
          <w:sz w:val="22"/>
        </w:rPr>
        <w:t>MCS</w:t>
      </w:r>
      <w:r>
        <w:rPr>
          <w:b/>
          <w:spacing w:val="40"/>
          <w:sz w:val="22"/>
        </w:rPr>
        <w:t> </w:t>
      </w:r>
      <w:r>
        <w:rPr>
          <w:b/>
          <w:sz w:val="22"/>
        </w:rPr>
        <w:t>compared</w:t>
      </w:r>
      <w:r>
        <w:rPr>
          <w:b/>
          <w:spacing w:val="40"/>
          <w:sz w:val="22"/>
        </w:rPr>
        <w:t> </w:t>
      </w:r>
      <w:r>
        <w:rPr>
          <w:b/>
          <w:sz w:val="22"/>
        </w:rPr>
        <w:t>with</w:t>
      </w:r>
      <w:r>
        <w:rPr>
          <w:b/>
          <w:spacing w:val="40"/>
          <w:sz w:val="22"/>
        </w:rPr>
        <w:t> </w:t>
      </w:r>
      <w:r>
        <w:rPr>
          <w:b/>
          <w:sz w:val="22"/>
        </w:rPr>
        <w:t>MS</w:t>
      </w:r>
      <w:r>
        <w:rPr>
          <w:b/>
          <w:spacing w:val="40"/>
          <w:sz w:val="22"/>
        </w:rPr>
        <w:t> </w:t>
      </w:r>
      <w:r>
        <w:rPr>
          <w:b/>
          <w:sz w:val="22"/>
        </w:rPr>
        <w:t>using Correlations Analysis</w:t>
      </w:r>
    </w:p>
    <w:p>
      <w:pPr>
        <w:pStyle w:val="BodyText"/>
        <w:spacing w:before="3"/>
        <w:rPr>
          <w:b/>
          <w:sz w:val="19"/>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558"/>
        <w:gridCol w:w="960"/>
        <w:gridCol w:w="960"/>
        <w:gridCol w:w="2712"/>
      </w:tblGrid>
      <w:tr>
        <w:trPr>
          <w:trHeight w:val="287" w:hRule="atLeast"/>
        </w:trPr>
        <w:tc>
          <w:tcPr>
            <w:tcW w:w="2558" w:type="dxa"/>
          </w:tcPr>
          <w:p>
            <w:pPr>
              <w:pStyle w:val="TableParagraph"/>
              <w:rPr>
                <w:sz w:val="20"/>
              </w:rPr>
            </w:pPr>
          </w:p>
        </w:tc>
        <w:tc>
          <w:tcPr>
            <w:tcW w:w="960" w:type="dxa"/>
            <w:tcBorders>
              <w:right w:val="single" w:sz="8" w:space="0" w:color="000000"/>
            </w:tcBorders>
          </w:tcPr>
          <w:p>
            <w:pPr>
              <w:pStyle w:val="TableParagraph"/>
              <w:spacing w:line="241" w:lineRule="exact" w:before="26"/>
              <w:ind w:left="25"/>
              <w:rPr>
                <w:sz w:val="22"/>
              </w:rPr>
            </w:pPr>
            <w:r>
              <w:rPr>
                <w:spacing w:val="-5"/>
                <w:sz w:val="22"/>
              </w:rPr>
              <w:t>MS</w:t>
            </w:r>
          </w:p>
        </w:tc>
        <w:tc>
          <w:tcPr>
            <w:tcW w:w="960" w:type="dxa"/>
            <w:tcBorders>
              <w:left w:val="single" w:sz="8" w:space="0" w:color="000000"/>
              <w:bottom w:val="single" w:sz="36" w:space="0" w:color="000000"/>
              <w:right w:val="single" w:sz="8" w:space="0" w:color="000000"/>
            </w:tcBorders>
          </w:tcPr>
          <w:p>
            <w:pPr>
              <w:pStyle w:val="TableParagraph"/>
              <w:spacing w:line="241" w:lineRule="exact" w:before="26"/>
              <w:ind w:left="33"/>
              <w:rPr>
                <w:sz w:val="22"/>
              </w:rPr>
            </w:pPr>
            <w:r>
              <w:rPr>
                <w:spacing w:val="-5"/>
                <w:sz w:val="22"/>
              </w:rPr>
              <w:t>DS</w:t>
            </w:r>
          </w:p>
        </w:tc>
        <w:tc>
          <w:tcPr>
            <w:tcW w:w="2712" w:type="dxa"/>
            <w:tcBorders>
              <w:left w:val="single" w:sz="8" w:space="0" w:color="000000"/>
              <w:bottom w:val="single" w:sz="36" w:space="0" w:color="000000"/>
            </w:tcBorders>
          </w:tcPr>
          <w:p>
            <w:pPr>
              <w:pStyle w:val="TableParagraph"/>
              <w:spacing w:line="241" w:lineRule="exact" w:before="26"/>
              <w:ind w:left="28"/>
              <w:rPr>
                <w:sz w:val="22"/>
              </w:rPr>
            </w:pPr>
            <w:r>
              <w:rPr>
                <w:spacing w:val="-5"/>
                <w:sz w:val="22"/>
              </w:rPr>
              <w:t>MCS</w:t>
            </w:r>
          </w:p>
        </w:tc>
      </w:tr>
      <w:tr>
        <w:trPr>
          <w:trHeight w:val="983" w:hRule="atLeast"/>
        </w:trPr>
        <w:tc>
          <w:tcPr>
            <w:tcW w:w="2558" w:type="dxa"/>
            <w:tcBorders>
              <w:bottom w:val="single" w:sz="8" w:space="0" w:color="000000"/>
            </w:tcBorders>
          </w:tcPr>
          <w:p>
            <w:pPr>
              <w:pStyle w:val="TableParagraph"/>
              <w:tabs>
                <w:tab w:pos="716" w:val="left" w:leader="none"/>
              </w:tabs>
              <w:spacing w:line="340" w:lineRule="auto"/>
              <w:ind w:left="716" w:right="2" w:hanging="692"/>
              <w:rPr>
                <w:sz w:val="22"/>
              </w:rPr>
            </w:pPr>
            <w:r>
              <w:rPr>
                <w:spacing w:val="-6"/>
                <w:sz w:val="22"/>
              </w:rPr>
              <w:t>MS</w:t>
            </w:r>
            <w:r>
              <w:rPr>
                <w:sz w:val="22"/>
              </w:rPr>
              <w:tab/>
              <w:t>Pearson Correlation Sig. (2-tailed)</w:t>
            </w:r>
          </w:p>
          <w:p>
            <w:pPr>
              <w:pStyle w:val="TableParagraph"/>
              <w:spacing w:line="245" w:lineRule="exact"/>
              <w:ind w:left="716"/>
              <w:rPr>
                <w:sz w:val="22"/>
              </w:rPr>
            </w:pPr>
            <w:r>
              <w:rPr>
                <w:spacing w:val="-10"/>
                <w:sz w:val="22"/>
              </w:rPr>
              <w:t>N</w:t>
            </w:r>
          </w:p>
        </w:tc>
        <w:tc>
          <w:tcPr>
            <w:tcW w:w="960" w:type="dxa"/>
            <w:tcBorders>
              <w:bottom w:val="single" w:sz="18" w:space="0" w:color="FFFFFF"/>
              <w:right w:val="single" w:sz="8" w:space="0" w:color="000000"/>
            </w:tcBorders>
          </w:tcPr>
          <w:p>
            <w:pPr>
              <w:pStyle w:val="TableParagraph"/>
              <w:spacing w:line="252" w:lineRule="exact"/>
              <w:ind w:left="25"/>
              <w:rPr>
                <w:sz w:val="22"/>
              </w:rPr>
            </w:pPr>
            <w:r>
              <w:rPr>
                <w:spacing w:val="-10"/>
                <w:sz w:val="22"/>
              </w:rPr>
              <w:t>1</w:t>
            </w:r>
          </w:p>
          <w:p>
            <w:pPr>
              <w:pStyle w:val="TableParagraph"/>
              <w:spacing w:before="204"/>
              <w:rPr>
                <w:b/>
                <w:sz w:val="22"/>
              </w:rPr>
            </w:pPr>
          </w:p>
          <w:p>
            <w:pPr>
              <w:pStyle w:val="TableParagraph"/>
              <w:ind w:left="25"/>
              <w:rPr>
                <w:sz w:val="22"/>
              </w:rPr>
            </w:pPr>
            <w:r>
              <w:rPr>
                <w:spacing w:val="-5"/>
                <w:sz w:val="22"/>
              </w:rPr>
              <w:t>16</w:t>
            </w:r>
          </w:p>
        </w:tc>
        <w:tc>
          <w:tcPr>
            <w:tcW w:w="960" w:type="dxa"/>
            <w:tcBorders>
              <w:top w:val="single" w:sz="36" w:space="0" w:color="000000"/>
              <w:left w:val="single" w:sz="8" w:space="0" w:color="000000"/>
              <w:bottom w:val="single" w:sz="8" w:space="0" w:color="000000"/>
              <w:right w:val="single" w:sz="8" w:space="0" w:color="000000"/>
            </w:tcBorders>
          </w:tcPr>
          <w:p>
            <w:pPr>
              <w:pStyle w:val="TableParagraph"/>
              <w:spacing w:line="252" w:lineRule="exact"/>
              <w:ind w:left="33"/>
              <w:rPr>
                <w:sz w:val="22"/>
              </w:rPr>
            </w:pPr>
            <w:r>
              <w:rPr>
                <w:spacing w:val="-2"/>
                <w:w w:val="105"/>
                <w:sz w:val="22"/>
              </w:rPr>
              <w:t>.979</w:t>
            </w:r>
            <w:r>
              <w:rPr>
                <w:spacing w:val="-2"/>
                <w:w w:val="105"/>
                <w:sz w:val="22"/>
                <w:vertAlign w:val="superscript"/>
              </w:rPr>
              <w:t>**</w:t>
            </w:r>
          </w:p>
          <w:p>
            <w:pPr>
              <w:pStyle w:val="TableParagraph"/>
              <w:spacing w:before="107"/>
              <w:ind w:left="33"/>
              <w:rPr>
                <w:sz w:val="22"/>
              </w:rPr>
            </w:pPr>
            <w:r>
              <w:rPr>
                <w:spacing w:val="-2"/>
                <w:sz w:val="22"/>
              </w:rPr>
              <w:t>.0001</w:t>
            </w:r>
          </w:p>
          <w:p>
            <w:pPr>
              <w:pStyle w:val="TableParagraph"/>
              <w:spacing w:before="97"/>
              <w:ind w:left="33"/>
              <w:rPr>
                <w:sz w:val="22"/>
              </w:rPr>
            </w:pPr>
            <w:r>
              <w:rPr>
                <w:spacing w:val="-5"/>
                <w:sz w:val="22"/>
              </w:rPr>
              <w:t>16</w:t>
            </w:r>
          </w:p>
        </w:tc>
        <w:tc>
          <w:tcPr>
            <w:tcW w:w="2712" w:type="dxa"/>
            <w:tcBorders>
              <w:top w:val="single" w:sz="36" w:space="0" w:color="000000"/>
              <w:left w:val="single" w:sz="8" w:space="0" w:color="000000"/>
              <w:bottom w:val="single" w:sz="18" w:space="0" w:color="FFFFFF"/>
            </w:tcBorders>
          </w:tcPr>
          <w:p>
            <w:pPr>
              <w:pStyle w:val="TableParagraph"/>
              <w:spacing w:line="252" w:lineRule="exact"/>
              <w:ind w:left="28"/>
              <w:rPr>
                <w:sz w:val="22"/>
              </w:rPr>
            </w:pPr>
            <w:r>
              <w:rPr>
                <w:spacing w:val="-2"/>
                <w:w w:val="105"/>
                <w:sz w:val="22"/>
              </w:rPr>
              <w:t>.974</w:t>
            </w:r>
            <w:r>
              <w:rPr>
                <w:spacing w:val="-2"/>
                <w:w w:val="105"/>
                <w:sz w:val="22"/>
                <w:vertAlign w:val="superscript"/>
              </w:rPr>
              <w:t>**</w:t>
            </w:r>
          </w:p>
          <w:p>
            <w:pPr>
              <w:pStyle w:val="TableParagraph"/>
              <w:spacing w:before="107"/>
              <w:ind w:left="28"/>
              <w:rPr>
                <w:sz w:val="22"/>
              </w:rPr>
            </w:pPr>
            <w:r>
              <w:rPr>
                <w:spacing w:val="-2"/>
                <w:sz w:val="22"/>
              </w:rPr>
              <w:t>.0001</w:t>
            </w:r>
          </w:p>
          <w:p>
            <w:pPr>
              <w:pStyle w:val="TableParagraph"/>
              <w:spacing w:before="97"/>
              <w:ind w:left="28"/>
              <w:rPr>
                <w:sz w:val="22"/>
              </w:rPr>
            </w:pPr>
            <w:r>
              <w:rPr>
                <w:spacing w:val="-5"/>
                <w:sz w:val="22"/>
              </w:rPr>
              <w:t>16</w:t>
            </w:r>
          </w:p>
        </w:tc>
      </w:tr>
      <w:tr>
        <w:trPr>
          <w:trHeight w:val="955" w:hRule="atLeast"/>
        </w:trPr>
        <w:tc>
          <w:tcPr>
            <w:tcW w:w="2558" w:type="dxa"/>
            <w:tcBorders>
              <w:top w:val="single" w:sz="8" w:space="0" w:color="000000"/>
              <w:bottom w:val="single" w:sz="6" w:space="0" w:color="000000"/>
            </w:tcBorders>
          </w:tcPr>
          <w:p>
            <w:pPr>
              <w:pStyle w:val="TableParagraph"/>
              <w:tabs>
                <w:tab w:pos="716" w:val="left" w:leader="none"/>
              </w:tabs>
              <w:spacing w:line="314" w:lineRule="auto" w:before="17"/>
              <w:ind w:left="716" w:right="2" w:hanging="692"/>
              <w:rPr>
                <w:sz w:val="22"/>
              </w:rPr>
            </w:pPr>
            <w:r>
              <w:rPr>
                <w:spacing w:val="-6"/>
                <w:sz w:val="22"/>
              </w:rPr>
              <w:t>DS</w:t>
            </w:r>
            <w:r>
              <w:rPr>
                <w:sz w:val="22"/>
              </w:rPr>
              <w:tab/>
              <w:t>Pearson Correlation Sig. (2-tailed)</w:t>
            </w:r>
          </w:p>
          <w:p>
            <w:pPr>
              <w:pStyle w:val="TableParagraph"/>
              <w:spacing w:line="247" w:lineRule="exact" w:before="9"/>
              <w:ind w:left="716"/>
              <w:rPr>
                <w:sz w:val="22"/>
              </w:rPr>
            </w:pPr>
            <w:r>
              <w:rPr>
                <w:spacing w:val="-10"/>
                <w:sz w:val="22"/>
              </w:rPr>
              <w:t>N</w:t>
            </w:r>
          </w:p>
        </w:tc>
        <w:tc>
          <w:tcPr>
            <w:tcW w:w="960" w:type="dxa"/>
            <w:tcBorders>
              <w:top w:val="single" w:sz="18" w:space="0" w:color="FFFFFF"/>
              <w:bottom w:val="single" w:sz="18" w:space="0" w:color="FFFFFF"/>
              <w:right w:val="single" w:sz="8" w:space="0" w:color="000000"/>
            </w:tcBorders>
          </w:tcPr>
          <w:p>
            <w:pPr>
              <w:pStyle w:val="TableParagraph"/>
              <w:spacing w:before="17"/>
              <w:ind w:left="25"/>
              <w:rPr>
                <w:sz w:val="22"/>
              </w:rPr>
            </w:pPr>
            <w:r>
              <w:rPr>
                <w:spacing w:val="-2"/>
                <w:w w:val="105"/>
                <w:sz w:val="22"/>
              </w:rPr>
              <w:t>.979</w:t>
            </w:r>
            <w:r>
              <w:rPr>
                <w:spacing w:val="-2"/>
                <w:w w:val="105"/>
                <w:sz w:val="22"/>
                <w:vertAlign w:val="superscript"/>
              </w:rPr>
              <w:t>**</w:t>
            </w:r>
          </w:p>
          <w:p>
            <w:pPr>
              <w:pStyle w:val="TableParagraph"/>
              <w:spacing w:before="78"/>
              <w:ind w:left="25"/>
              <w:rPr>
                <w:sz w:val="22"/>
              </w:rPr>
            </w:pPr>
            <w:r>
              <w:rPr>
                <w:spacing w:val="-2"/>
                <w:sz w:val="22"/>
              </w:rPr>
              <w:t>.0001</w:t>
            </w:r>
          </w:p>
          <w:p>
            <w:pPr>
              <w:pStyle w:val="TableParagraph"/>
              <w:spacing w:line="247" w:lineRule="exact" w:before="88"/>
              <w:ind w:left="25"/>
              <w:rPr>
                <w:sz w:val="22"/>
              </w:rPr>
            </w:pPr>
            <w:r>
              <w:rPr>
                <w:spacing w:val="-5"/>
                <w:sz w:val="22"/>
              </w:rPr>
              <w:t>16</w:t>
            </w:r>
          </w:p>
        </w:tc>
        <w:tc>
          <w:tcPr>
            <w:tcW w:w="960" w:type="dxa"/>
            <w:tcBorders>
              <w:top w:val="single" w:sz="8" w:space="0" w:color="000000"/>
              <w:left w:val="single" w:sz="8" w:space="0" w:color="000000"/>
              <w:bottom w:val="single" w:sz="18" w:space="0" w:color="FFFFFF"/>
              <w:right w:val="single" w:sz="8" w:space="0" w:color="000000"/>
            </w:tcBorders>
          </w:tcPr>
          <w:p>
            <w:pPr>
              <w:pStyle w:val="TableParagraph"/>
              <w:spacing w:before="17"/>
              <w:ind w:left="33"/>
              <w:rPr>
                <w:sz w:val="22"/>
              </w:rPr>
            </w:pPr>
            <w:r>
              <w:rPr>
                <w:spacing w:val="-10"/>
                <w:sz w:val="22"/>
              </w:rPr>
              <w:t>1</w:t>
            </w:r>
          </w:p>
          <w:p>
            <w:pPr>
              <w:pStyle w:val="TableParagraph"/>
              <w:spacing w:before="165"/>
              <w:rPr>
                <w:b/>
                <w:sz w:val="22"/>
              </w:rPr>
            </w:pPr>
          </w:p>
          <w:p>
            <w:pPr>
              <w:pStyle w:val="TableParagraph"/>
              <w:spacing w:line="247" w:lineRule="exact" w:before="1"/>
              <w:ind w:left="33"/>
              <w:rPr>
                <w:sz w:val="22"/>
              </w:rPr>
            </w:pPr>
            <w:r>
              <w:rPr>
                <w:spacing w:val="-5"/>
                <w:sz w:val="22"/>
              </w:rPr>
              <w:t>16</w:t>
            </w:r>
          </w:p>
        </w:tc>
        <w:tc>
          <w:tcPr>
            <w:tcW w:w="2712" w:type="dxa"/>
            <w:tcBorders>
              <w:top w:val="single" w:sz="18" w:space="0" w:color="FFFFFF"/>
              <w:left w:val="single" w:sz="8" w:space="0" w:color="000000"/>
              <w:bottom w:val="single" w:sz="6" w:space="0" w:color="000000"/>
            </w:tcBorders>
          </w:tcPr>
          <w:p>
            <w:pPr>
              <w:pStyle w:val="TableParagraph"/>
              <w:spacing w:before="17"/>
              <w:ind w:left="28"/>
              <w:rPr>
                <w:sz w:val="22"/>
              </w:rPr>
            </w:pPr>
            <w:r>
              <w:rPr>
                <w:spacing w:val="-2"/>
                <w:w w:val="105"/>
                <w:sz w:val="22"/>
              </w:rPr>
              <w:t>.994</w:t>
            </w:r>
            <w:r>
              <w:rPr>
                <w:spacing w:val="-2"/>
                <w:w w:val="105"/>
                <w:sz w:val="22"/>
                <w:vertAlign w:val="superscript"/>
              </w:rPr>
              <w:t>**</w:t>
            </w:r>
          </w:p>
          <w:p>
            <w:pPr>
              <w:pStyle w:val="TableParagraph"/>
              <w:spacing w:before="78"/>
              <w:ind w:left="28"/>
              <w:rPr>
                <w:sz w:val="22"/>
              </w:rPr>
            </w:pPr>
            <w:r>
              <w:rPr>
                <w:spacing w:val="-2"/>
                <w:sz w:val="22"/>
              </w:rPr>
              <w:t>.0001</w:t>
            </w:r>
          </w:p>
          <w:p>
            <w:pPr>
              <w:pStyle w:val="TableParagraph"/>
              <w:spacing w:line="247" w:lineRule="exact" w:before="88"/>
              <w:ind w:left="28"/>
              <w:rPr>
                <w:sz w:val="22"/>
              </w:rPr>
            </w:pPr>
            <w:r>
              <w:rPr>
                <w:spacing w:val="-5"/>
                <w:sz w:val="22"/>
              </w:rPr>
              <w:t>16</w:t>
            </w:r>
          </w:p>
        </w:tc>
      </w:tr>
      <w:tr>
        <w:trPr>
          <w:trHeight w:val="955" w:hRule="atLeast"/>
        </w:trPr>
        <w:tc>
          <w:tcPr>
            <w:tcW w:w="2558" w:type="dxa"/>
            <w:tcBorders>
              <w:top w:val="single" w:sz="6" w:space="0" w:color="000000"/>
            </w:tcBorders>
          </w:tcPr>
          <w:p>
            <w:pPr>
              <w:pStyle w:val="TableParagraph"/>
              <w:tabs>
                <w:tab w:pos="716" w:val="left" w:leader="none"/>
              </w:tabs>
              <w:spacing w:line="319" w:lineRule="auto" w:before="19"/>
              <w:ind w:left="716" w:right="2" w:hanging="692"/>
              <w:rPr>
                <w:sz w:val="22"/>
              </w:rPr>
            </w:pPr>
            <w:r>
              <w:rPr>
                <w:spacing w:val="-4"/>
                <w:sz w:val="22"/>
              </w:rPr>
              <w:t>MCS</w:t>
            </w:r>
            <w:r>
              <w:rPr>
                <w:sz w:val="22"/>
              </w:rPr>
              <w:tab/>
              <w:t>Pearson Correlation Sig. (2-tailed)</w:t>
            </w:r>
          </w:p>
          <w:p>
            <w:pPr>
              <w:pStyle w:val="TableParagraph"/>
              <w:spacing w:line="244" w:lineRule="exact"/>
              <w:ind w:left="716"/>
              <w:rPr>
                <w:sz w:val="22"/>
              </w:rPr>
            </w:pPr>
            <w:r>
              <w:rPr>
                <w:spacing w:val="-10"/>
                <w:sz w:val="22"/>
              </w:rPr>
              <w:t>N</w:t>
            </w:r>
          </w:p>
        </w:tc>
        <w:tc>
          <w:tcPr>
            <w:tcW w:w="960" w:type="dxa"/>
            <w:tcBorders>
              <w:top w:val="single" w:sz="18" w:space="0" w:color="FFFFFF"/>
              <w:bottom w:val="single" w:sz="4" w:space="0" w:color="000000"/>
              <w:right w:val="single" w:sz="8" w:space="0" w:color="000000"/>
            </w:tcBorders>
          </w:tcPr>
          <w:p>
            <w:pPr>
              <w:pStyle w:val="TableParagraph"/>
              <w:spacing w:before="19"/>
              <w:ind w:left="25"/>
              <w:rPr>
                <w:sz w:val="22"/>
              </w:rPr>
            </w:pPr>
            <w:r>
              <w:rPr>
                <w:spacing w:val="-2"/>
                <w:w w:val="105"/>
                <w:sz w:val="22"/>
              </w:rPr>
              <w:t>.974</w:t>
            </w:r>
            <w:r>
              <w:rPr>
                <w:spacing w:val="-2"/>
                <w:w w:val="105"/>
                <w:sz w:val="22"/>
                <w:vertAlign w:val="superscript"/>
              </w:rPr>
              <w:t>**</w:t>
            </w:r>
          </w:p>
          <w:p>
            <w:pPr>
              <w:pStyle w:val="TableParagraph"/>
              <w:spacing w:before="83"/>
              <w:ind w:left="25"/>
              <w:rPr>
                <w:sz w:val="22"/>
              </w:rPr>
            </w:pPr>
            <w:r>
              <w:rPr>
                <w:spacing w:val="-2"/>
                <w:sz w:val="22"/>
              </w:rPr>
              <w:t>.0001</w:t>
            </w:r>
          </w:p>
          <w:p>
            <w:pPr>
              <w:pStyle w:val="TableParagraph"/>
              <w:spacing w:line="249" w:lineRule="exact" w:before="78"/>
              <w:ind w:left="25"/>
              <w:rPr>
                <w:sz w:val="22"/>
              </w:rPr>
            </w:pPr>
            <w:r>
              <w:rPr>
                <w:spacing w:val="-5"/>
                <w:sz w:val="22"/>
              </w:rPr>
              <w:t>16</w:t>
            </w:r>
          </w:p>
        </w:tc>
        <w:tc>
          <w:tcPr>
            <w:tcW w:w="960" w:type="dxa"/>
            <w:tcBorders>
              <w:top w:val="single" w:sz="18" w:space="0" w:color="FFFFFF"/>
              <w:left w:val="single" w:sz="8" w:space="0" w:color="000000"/>
              <w:bottom w:val="single" w:sz="4" w:space="0" w:color="000000"/>
              <w:right w:val="single" w:sz="8" w:space="0" w:color="000000"/>
            </w:tcBorders>
          </w:tcPr>
          <w:p>
            <w:pPr>
              <w:pStyle w:val="TableParagraph"/>
              <w:spacing w:before="19"/>
              <w:ind w:left="33"/>
              <w:rPr>
                <w:sz w:val="22"/>
              </w:rPr>
            </w:pPr>
            <w:r>
              <w:rPr>
                <w:spacing w:val="-2"/>
                <w:w w:val="105"/>
                <w:sz w:val="22"/>
              </w:rPr>
              <w:t>.994</w:t>
            </w:r>
            <w:r>
              <w:rPr>
                <w:spacing w:val="-2"/>
                <w:w w:val="105"/>
                <w:sz w:val="22"/>
                <w:vertAlign w:val="superscript"/>
              </w:rPr>
              <w:t>**</w:t>
            </w:r>
          </w:p>
          <w:p>
            <w:pPr>
              <w:pStyle w:val="TableParagraph"/>
              <w:spacing w:before="83"/>
              <w:ind w:left="33"/>
              <w:rPr>
                <w:sz w:val="22"/>
              </w:rPr>
            </w:pPr>
            <w:r>
              <w:rPr>
                <w:spacing w:val="-2"/>
                <w:sz w:val="22"/>
              </w:rPr>
              <w:t>.0001</w:t>
            </w:r>
          </w:p>
          <w:p>
            <w:pPr>
              <w:pStyle w:val="TableParagraph"/>
              <w:spacing w:line="249" w:lineRule="exact" w:before="78"/>
              <w:ind w:left="33"/>
              <w:rPr>
                <w:sz w:val="22"/>
              </w:rPr>
            </w:pPr>
            <w:r>
              <w:rPr>
                <w:spacing w:val="-5"/>
                <w:sz w:val="22"/>
              </w:rPr>
              <w:t>16</w:t>
            </w:r>
          </w:p>
        </w:tc>
        <w:tc>
          <w:tcPr>
            <w:tcW w:w="2712" w:type="dxa"/>
            <w:tcBorders>
              <w:top w:val="single" w:sz="6" w:space="0" w:color="000000"/>
              <w:left w:val="single" w:sz="8" w:space="0" w:color="000000"/>
              <w:bottom w:val="single" w:sz="4" w:space="0" w:color="000000"/>
            </w:tcBorders>
          </w:tcPr>
          <w:p>
            <w:pPr>
              <w:pStyle w:val="TableParagraph"/>
              <w:spacing w:before="19"/>
              <w:ind w:left="28"/>
              <w:rPr>
                <w:sz w:val="22"/>
              </w:rPr>
            </w:pPr>
            <w:r>
              <w:rPr>
                <w:spacing w:val="-10"/>
                <w:sz w:val="22"/>
              </w:rPr>
              <w:t>1</w:t>
            </w:r>
          </w:p>
          <w:p>
            <w:pPr>
              <w:pStyle w:val="TableParagraph"/>
              <w:spacing w:before="161"/>
              <w:rPr>
                <w:b/>
                <w:sz w:val="22"/>
              </w:rPr>
            </w:pPr>
          </w:p>
          <w:p>
            <w:pPr>
              <w:pStyle w:val="TableParagraph"/>
              <w:spacing w:line="249" w:lineRule="exact"/>
              <w:ind w:left="28"/>
              <w:rPr>
                <w:sz w:val="22"/>
              </w:rPr>
            </w:pPr>
            <w:r>
              <w:rPr>
                <w:spacing w:val="-5"/>
                <w:sz w:val="22"/>
              </w:rPr>
              <w:t>16</w:t>
            </w:r>
          </w:p>
        </w:tc>
      </w:tr>
    </w:tbl>
    <w:p>
      <w:pPr>
        <w:pStyle w:val="BodyText"/>
        <w:spacing w:before="12"/>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820" w:bottom="1180" w:left="1720" w:right="760"/>
        </w:sectPr>
      </w:pPr>
    </w:p>
    <w:p>
      <w:pPr>
        <w:pStyle w:val="Heading2"/>
        <w:spacing w:line="244" w:lineRule="auto" w:before="79"/>
        <w:ind w:left="665" w:right="1108" w:firstLine="52"/>
      </w:pPr>
      <w:r>
        <w:rPr/>
        <w:t>Effects</w:t>
      </w:r>
      <w:r>
        <w:rPr>
          <w:spacing w:val="40"/>
        </w:rPr>
        <w:t> </w:t>
      </w:r>
      <w:r>
        <w:rPr/>
        <w:t>of</w:t>
      </w:r>
      <w:r>
        <w:rPr>
          <w:spacing w:val="40"/>
        </w:rPr>
        <w:t> </w:t>
      </w:r>
      <w:r>
        <w:rPr/>
        <w:t>Disintegrant</w:t>
      </w:r>
      <w:r>
        <w:rPr>
          <w:spacing w:val="40"/>
        </w:rPr>
        <w:t> </w:t>
      </w:r>
      <w:r>
        <w:rPr/>
        <w:t>concentration</w:t>
      </w:r>
      <w:r>
        <w:rPr>
          <w:spacing w:val="40"/>
        </w:rPr>
        <w:t> </w:t>
      </w:r>
      <w:r>
        <w:rPr/>
        <w:t>at</w:t>
      </w:r>
      <w:r>
        <w:rPr>
          <w:spacing w:val="40"/>
        </w:rPr>
        <w:t> </w:t>
      </w:r>
      <w:r>
        <w:rPr/>
        <w:t>2.5</w:t>
      </w:r>
      <w:r>
        <w:rPr>
          <w:spacing w:val="40"/>
        </w:rPr>
        <w:t> </w:t>
      </w:r>
      <w:r>
        <w:rPr/>
        <w:t>%</w:t>
      </w:r>
      <w:r>
        <w:rPr>
          <w:spacing w:val="40"/>
        </w:rPr>
        <w:t> </w:t>
      </w:r>
      <w:r>
        <w:rPr/>
        <w:t>on</w:t>
      </w:r>
      <w:r>
        <w:rPr>
          <w:spacing w:val="40"/>
        </w:rPr>
        <w:t> </w:t>
      </w:r>
      <w:r>
        <w:rPr/>
        <w:t>the</w:t>
      </w:r>
      <w:r>
        <w:rPr>
          <w:spacing w:val="40"/>
        </w:rPr>
        <w:t> </w:t>
      </w:r>
      <w:r>
        <w:rPr/>
        <w:t>physical</w:t>
      </w:r>
      <w:r>
        <w:rPr>
          <w:spacing w:val="40"/>
        </w:rPr>
        <w:t> </w:t>
      </w:r>
      <w:r>
        <w:rPr/>
        <w:t>properties</w:t>
      </w:r>
      <w:r>
        <w:rPr>
          <w:spacing w:val="40"/>
        </w:rPr>
        <w:t> </w:t>
      </w:r>
      <w:r>
        <w:rPr/>
        <w:t>of</w:t>
      </w:r>
      <w:r>
        <w:rPr>
          <w:spacing w:val="40"/>
        </w:rPr>
        <w:t> </w:t>
      </w:r>
      <w:r>
        <w:rPr/>
        <w:t>the granules of DS and MCS compared with MS using correlation Analysis.</w:t>
      </w:r>
    </w:p>
    <w:p>
      <w:pPr>
        <w:pStyle w:val="BodyText"/>
        <w:spacing w:before="210" w:after="1"/>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MS</w:t>
            </w:r>
          </w:p>
        </w:tc>
      </w:tr>
      <w:tr>
        <w:trPr>
          <w:trHeight w:val="976" w:hRule="atLeast"/>
        </w:trPr>
        <w:tc>
          <w:tcPr>
            <w:tcW w:w="2798" w:type="dxa"/>
            <w:tcBorders>
              <w:bottom w:val="single" w:sz="8" w:space="0" w:color="000000"/>
            </w:tcBorders>
          </w:tcPr>
          <w:p>
            <w:pPr>
              <w:pStyle w:val="TableParagraph"/>
              <w:tabs>
                <w:tab w:pos="779" w:val="left" w:leader="none"/>
              </w:tabs>
              <w:spacing w:line="333" w:lineRule="auto" w:before="9"/>
              <w:ind w:left="779" w:right="179" w:hanging="754"/>
              <w:rPr>
                <w:sz w:val="22"/>
              </w:rPr>
            </w:pPr>
            <w:r>
              <w:rPr>
                <w:spacing w:val="-6"/>
                <w:sz w:val="22"/>
              </w:rPr>
              <w:t>DS</w:t>
            </w:r>
            <w:r>
              <w:rPr>
                <w:sz w:val="22"/>
              </w:rPr>
              <w:tab/>
              <w:t>Pearson Correlation Sig. (2-tailed)</w:t>
            </w:r>
          </w:p>
          <w:p>
            <w:pPr>
              <w:pStyle w:val="TableParagraph"/>
              <w:spacing w:line="244" w:lineRule="exact"/>
              <w:ind w:left="779"/>
              <w:rPr>
                <w:sz w:val="22"/>
              </w:rPr>
            </w:pPr>
            <w:r>
              <w:rPr>
                <w:spacing w:val="-10"/>
                <w:sz w:val="22"/>
              </w:rPr>
              <w:t>N</w:t>
            </w:r>
          </w:p>
        </w:tc>
        <w:tc>
          <w:tcPr>
            <w:tcW w:w="1051" w:type="dxa"/>
            <w:tcBorders>
              <w:bottom w:val="single" w:sz="24" w:space="0" w:color="FFFFFF"/>
              <w:right w:val="single" w:sz="8" w:space="0" w:color="000000"/>
            </w:tcBorders>
          </w:tcPr>
          <w:p>
            <w:pPr>
              <w:pStyle w:val="TableParagraph"/>
              <w:spacing w:before="9"/>
              <w:ind w:left="25"/>
              <w:rPr>
                <w:sz w:val="22"/>
              </w:rPr>
            </w:pPr>
            <w:r>
              <w:rPr>
                <w:spacing w:val="-10"/>
                <w:sz w:val="22"/>
              </w:rPr>
              <w:t>1</w:t>
            </w:r>
          </w:p>
          <w:p>
            <w:pPr>
              <w:pStyle w:val="TableParagraph"/>
              <w:spacing w:before="194"/>
              <w:rPr>
                <w:b/>
                <w:sz w:val="22"/>
              </w:rPr>
            </w:pPr>
          </w:p>
          <w:p>
            <w:pPr>
              <w:pStyle w:val="TableParagraph"/>
              <w:spacing w:line="247" w:lineRule="exact"/>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9"/>
              <w:ind w:left="38"/>
              <w:rPr>
                <w:sz w:val="22"/>
              </w:rPr>
            </w:pPr>
            <w:r>
              <w:rPr>
                <w:spacing w:val="-2"/>
                <w:w w:val="105"/>
                <w:sz w:val="22"/>
              </w:rPr>
              <w:t>.966</w:t>
            </w:r>
            <w:r>
              <w:rPr>
                <w:spacing w:val="-2"/>
                <w:w w:val="105"/>
                <w:sz w:val="22"/>
                <w:vertAlign w:val="superscript"/>
              </w:rPr>
              <w:t>**</w:t>
            </w:r>
          </w:p>
          <w:p>
            <w:pPr>
              <w:pStyle w:val="TableParagraph"/>
              <w:spacing w:before="97"/>
              <w:ind w:left="38"/>
              <w:rPr>
                <w:sz w:val="22"/>
              </w:rPr>
            </w:pPr>
            <w:r>
              <w:rPr>
                <w:spacing w:val="-4"/>
                <w:sz w:val="22"/>
              </w:rPr>
              <w:t>.002</w:t>
            </w:r>
          </w:p>
          <w:p>
            <w:pPr>
              <w:pStyle w:val="TableParagraph"/>
              <w:spacing w:line="247" w:lineRule="exact" w:before="97"/>
              <w:ind w:left="38"/>
              <w:rPr>
                <w:sz w:val="22"/>
              </w:rPr>
            </w:pPr>
            <w:r>
              <w:rPr>
                <w:spacing w:val="-10"/>
                <w:sz w:val="22"/>
              </w:rPr>
              <w:t>6</w:t>
            </w:r>
          </w:p>
        </w:tc>
        <w:tc>
          <w:tcPr>
            <w:tcW w:w="1051" w:type="dxa"/>
            <w:tcBorders>
              <w:top w:val="single" w:sz="36" w:space="0" w:color="000000"/>
              <w:left w:val="single" w:sz="8" w:space="0" w:color="000000"/>
              <w:bottom w:val="single" w:sz="24" w:space="0" w:color="FFFFFF"/>
            </w:tcBorders>
          </w:tcPr>
          <w:p>
            <w:pPr>
              <w:pStyle w:val="TableParagraph"/>
              <w:spacing w:before="9"/>
              <w:ind w:left="38"/>
              <w:rPr>
                <w:sz w:val="22"/>
              </w:rPr>
            </w:pPr>
            <w:r>
              <w:rPr>
                <w:spacing w:val="-2"/>
                <w:w w:val="105"/>
                <w:sz w:val="22"/>
              </w:rPr>
              <w:t>.978</w:t>
            </w:r>
            <w:r>
              <w:rPr>
                <w:spacing w:val="-2"/>
                <w:w w:val="105"/>
                <w:sz w:val="22"/>
                <w:vertAlign w:val="superscript"/>
              </w:rPr>
              <w:t>**</w:t>
            </w:r>
          </w:p>
          <w:p>
            <w:pPr>
              <w:pStyle w:val="TableParagraph"/>
              <w:spacing w:before="97"/>
              <w:ind w:left="38"/>
              <w:rPr>
                <w:sz w:val="22"/>
              </w:rPr>
            </w:pPr>
            <w:r>
              <w:rPr>
                <w:spacing w:val="-4"/>
                <w:sz w:val="22"/>
              </w:rPr>
              <w:t>.001</w:t>
            </w:r>
          </w:p>
          <w:p>
            <w:pPr>
              <w:pStyle w:val="TableParagraph"/>
              <w:spacing w:line="247" w:lineRule="exact" w:before="97"/>
              <w:ind w:left="38"/>
              <w:rPr>
                <w:sz w:val="22"/>
              </w:rPr>
            </w:pPr>
            <w:r>
              <w:rPr>
                <w:spacing w:val="-10"/>
                <w:sz w:val="22"/>
              </w:rPr>
              <w:t>6</w:t>
            </w:r>
          </w:p>
        </w:tc>
      </w:tr>
      <w:tr>
        <w:trPr>
          <w:trHeight w:val="950" w:hRule="atLeast"/>
        </w:trPr>
        <w:tc>
          <w:tcPr>
            <w:tcW w:w="2798" w:type="dxa"/>
            <w:tcBorders>
              <w:top w:val="single" w:sz="8" w:space="0" w:color="000000"/>
              <w:bottom w:val="single" w:sz="8" w:space="0" w:color="000000"/>
            </w:tcBorders>
          </w:tcPr>
          <w:p>
            <w:pPr>
              <w:pStyle w:val="TableParagraph"/>
              <w:tabs>
                <w:tab w:pos="779" w:val="left" w:leader="none"/>
              </w:tabs>
              <w:spacing w:line="319" w:lineRule="auto" w:before="9"/>
              <w:ind w:left="779" w:right="179" w:hanging="754"/>
              <w:rPr>
                <w:sz w:val="22"/>
              </w:rPr>
            </w:pPr>
            <w:r>
              <w:rPr>
                <w:spacing w:val="-4"/>
                <w:sz w:val="22"/>
              </w:rPr>
              <w:t>MCS</w:t>
            </w:r>
            <w:r>
              <w:rPr>
                <w:sz w:val="22"/>
              </w:rPr>
              <w:tab/>
              <w:t>Pearson Correlation Sig. (2-tailed)</w:t>
            </w:r>
          </w:p>
          <w:p>
            <w:pPr>
              <w:pStyle w:val="TableParagraph"/>
              <w:spacing w:line="248" w:lineRule="exact"/>
              <w:ind w:left="779"/>
              <w:rPr>
                <w:sz w:val="22"/>
              </w:rPr>
            </w:pPr>
            <w:r>
              <w:rPr>
                <w:spacing w:val="-10"/>
                <w:sz w:val="22"/>
              </w:rPr>
              <w:t>N</w:t>
            </w:r>
          </w:p>
        </w:tc>
        <w:tc>
          <w:tcPr>
            <w:tcW w:w="1051" w:type="dxa"/>
            <w:tcBorders>
              <w:top w:val="single" w:sz="24" w:space="0" w:color="FFFFFF"/>
              <w:bottom w:val="single" w:sz="18" w:space="0" w:color="FFFFFF"/>
              <w:right w:val="single" w:sz="8" w:space="0" w:color="000000"/>
            </w:tcBorders>
          </w:tcPr>
          <w:p>
            <w:pPr>
              <w:pStyle w:val="TableParagraph"/>
              <w:spacing w:before="9"/>
              <w:ind w:left="25"/>
              <w:rPr>
                <w:sz w:val="22"/>
              </w:rPr>
            </w:pPr>
            <w:r>
              <w:rPr>
                <w:spacing w:val="-2"/>
                <w:w w:val="105"/>
                <w:sz w:val="22"/>
              </w:rPr>
              <w:t>.966</w:t>
            </w:r>
            <w:r>
              <w:rPr>
                <w:spacing w:val="-2"/>
                <w:w w:val="105"/>
                <w:sz w:val="22"/>
                <w:vertAlign w:val="superscript"/>
              </w:rPr>
              <w:t>**</w:t>
            </w:r>
          </w:p>
          <w:p>
            <w:pPr>
              <w:pStyle w:val="TableParagraph"/>
              <w:spacing w:before="83"/>
              <w:ind w:left="25"/>
              <w:rPr>
                <w:sz w:val="22"/>
              </w:rPr>
            </w:pPr>
            <w:r>
              <w:rPr>
                <w:spacing w:val="-4"/>
                <w:sz w:val="22"/>
              </w:rPr>
              <w:t>.002</w:t>
            </w:r>
          </w:p>
          <w:p>
            <w:pPr>
              <w:pStyle w:val="TableParagraph"/>
              <w:spacing w:line="249" w:lineRule="exact"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9"/>
              <w:ind w:left="38"/>
              <w:rPr>
                <w:sz w:val="22"/>
              </w:rPr>
            </w:pPr>
            <w:r>
              <w:rPr>
                <w:spacing w:val="-10"/>
                <w:sz w:val="22"/>
              </w:rPr>
              <w:t>1</w:t>
            </w:r>
          </w:p>
          <w:p>
            <w:pPr>
              <w:pStyle w:val="TableParagraph"/>
              <w:spacing w:before="166"/>
              <w:rPr>
                <w:b/>
                <w:sz w:val="22"/>
              </w:rPr>
            </w:pPr>
          </w:p>
          <w:p>
            <w:pPr>
              <w:pStyle w:val="TableParagraph"/>
              <w:spacing w:line="249" w:lineRule="exact"/>
              <w:ind w:left="38"/>
              <w:rPr>
                <w:sz w:val="22"/>
              </w:rPr>
            </w:pPr>
            <w:r>
              <w:rPr>
                <w:spacing w:val="-10"/>
                <w:sz w:val="22"/>
              </w:rPr>
              <w:t>6</w:t>
            </w:r>
          </w:p>
        </w:tc>
        <w:tc>
          <w:tcPr>
            <w:tcW w:w="1051" w:type="dxa"/>
            <w:tcBorders>
              <w:top w:val="single" w:sz="24" w:space="0" w:color="FFFFFF"/>
              <w:left w:val="single" w:sz="8" w:space="0" w:color="000000"/>
              <w:bottom w:val="single" w:sz="8" w:space="0" w:color="000000"/>
            </w:tcBorders>
          </w:tcPr>
          <w:p>
            <w:pPr>
              <w:pStyle w:val="TableParagraph"/>
              <w:spacing w:before="9"/>
              <w:ind w:left="38"/>
              <w:rPr>
                <w:sz w:val="22"/>
              </w:rPr>
            </w:pPr>
            <w:r>
              <w:rPr>
                <w:spacing w:val="-2"/>
                <w:w w:val="105"/>
                <w:sz w:val="22"/>
              </w:rPr>
              <w:t>.999</w:t>
            </w:r>
            <w:r>
              <w:rPr>
                <w:spacing w:val="-2"/>
                <w:w w:val="105"/>
                <w:sz w:val="22"/>
                <w:vertAlign w:val="superscript"/>
              </w:rPr>
              <w:t>**</w:t>
            </w:r>
          </w:p>
          <w:p>
            <w:pPr>
              <w:pStyle w:val="TableParagraph"/>
              <w:spacing w:before="83"/>
              <w:ind w:left="38"/>
              <w:rPr>
                <w:sz w:val="22"/>
              </w:rPr>
            </w:pPr>
            <w:r>
              <w:rPr>
                <w:spacing w:val="-2"/>
                <w:sz w:val="22"/>
              </w:rPr>
              <w:t>.0001</w:t>
            </w:r>
          </w:p>
          <w:p>
            <w:pPr>
              <w:pStyle w:val="TableParagraph"/>
              <w:spacing w:line="249" w:lineRule="exact" w:before="83"/>
              <w:ind w:left="38"/>
              <w:rPr>
                <w:sz w:val="22"/>
              </w:rPr>
            </w:pPr>
            <w:r>
              <w:rPr>
                <w:spacing w:val="-10"/>
                <w:sz w:val="22"/>
              </w:rPr>
              <w:t>6</w:t>
            </w:r>
          </w:p>
        </w:tc>
      </w:tr>
      <w:tr>
        <w:trPr>
          <w:trHeight w:val="967" w:hRule="atLeast"/>
        </w:trPr>
        <w:tc>
          <w:tcPr>
            <w:tcW w:w="2798" w:type="dxa"/>
            <w:tcBorders>
              <w:top w:val="single" w:sz="8" w:space="0" w:color="000000"/>
            </w:tcBorders>
          </w:tcPr>
          <w:p>
            <w:pPr>
              <w:pStyle w:val="TableParagraph"/>
              <w:tabs>
                <w:tab w:pos="779" w:val="left" w:leader="none"/>
              </w:tabs>
              <w:spacing w:line="319" w:lineRule="auto" w:before="17"/>
              <w:ind w:left="779" w:right="179" w:hanging="754"/>
              <w:rPr>
                <w:sz w:val="22"/>
              </w:rPr>
            </w:pPr>
            <w:r>
              <w:rPr>
                <w:spacing w:val="-6"/>
                <w:sz w:val="22"/>
              </w:rPr>
              <w:t>MS</w:t>
            </w:r>
            <w:r>
              <w:rPr>
                <w:sz w:val="22"/>
              </w:rPr>
              <w:tab/>
              <w:t>Pearson Correlation Sig. (2-tailed)</w:t>
            </w:r>
          </w:p>
          <w:p>
            <w:pPr>
              <w:pStyle w:val="TableParagraph"/>
              <w:spacing w:line="252"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7"/>
              <w:ind w:left="25"/>
              <w:rPr>
                <w:sz w:val="22"/>
              </w:rPr>
            </w:pPr>
            <w:r>
              <w:rPr>
                <w:spacing w:val="-2"/>
                <w:w w:val="105"/>
                <w:sz w:val="22"/>
              </w:rPr>
              <w:t>.978</w:t>
            </w:r>
            <w:r>
              <w:rPr>
                <w:spacing w:val="-2"/>
                <w:w w:val="105"/>
                <w:sz w:val="22"/>
                <w:vertAlign w:val="superscript"/>
              </w:rPr>
              <w:t>**</w:t>
            </w:r>
          </w:p>
          <w:p>
            <w:pPr>
              <w:pStyle w:val="TableParagraph"/>
              <w:spacing w:before="83"/>
              <w:ind w:left="25"/>
              <w:rPr>
                <w:sz w:val="22"/>
              </w:rPr>
            </w:pPr>
            <w:r>
              <w:rPr>
                <w:spacing w:val="-4"/>
                <w:sz w:val="22"/>
              </w:rPr>
              <w:t>.001</w:t>
            </w:r>
          </w:p>
          <w:p>
            <w:pPr>
              <w:pStyle w:val="TableParagraph"/>
              <w:spacing w:before="83"/>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7"/>
              <w:ind w:left="38"/>
              <w:rPr>
                <w:sz w:val="22"/>
              </w:rPr>
            </w:pPr>
            <w:r>
              <w:rPr>
                <w:spacing w:val="-2"/>
                <w:w w:val="105"/>
                <w:sz w:val="22"/>
              </w:rPr>
              <w:t>.999</w:t>
            </w:r>
            <w:r>
              <w:rPr>
                <w:spacing w:val="-2"/>
                <w:w w:val="105"/>
                <w:sz w:val="22"/>
                <w:vertAlign w:val="superscript"/>
              </w:rPr>
              <w:t>**</w:t>
            </w:r>
          </w:p>
          <w:p>
            <w:pPr>
              <w:pStyle w:val="TableParagraph"/>
              <w:spacing w:before="83"/>
              <w:ind w:left="38"/>
              <w:rPr>
                <w:sz w:val="22"/>
              </w:rPr>
            </w:pPr>
            <w:r>
              <w:rPr>
                <w:spacing w:val="-2"/>
                <w:sz w:val="22"/>
              </w:rPr>
              <w:t>.0001</w:t>
            </w:r>
          </w:p>
          <w:p>
            <w:pPr>
              <w:pStyle w:val="TableParagraph"/>
              <w:spacing w:before="83"/>
              <w:ind w:left="38"/>
              <w:rPr>
                <w:sz w:val="22"/>
              </w:rPr>
            </w:pPr>
            <w:r>
              <w:rPr>
                <w:spacing w:val="-10"/>
                <w:sz w:val="22"/>
              </w:rPr>
              <w:t>6</w:t>
            </w:r>
          </w:p>
        </w:tc>
        <w:tc>
          <w:tcPr>
            <w:tcW w:w="1051" w:type="dxa"/>
            <w:tcBorders>
              <w:top w:val="single" w:sz="8" w:space="0" w:color="000000"/>
              <w:left w:val="single" w:sz="8" w:space="0" w:color="000000"/>
            </w:tcBorders>
          </w:tcPr>
          <w:p>
            <w:pPr>
              <w:pStyle w:val="TableParagraph"/>
              <w:spacing w:before="17"/>
              <w:ind w:left="38"/>
              <w:rPr>
                <w:sz w:val="22"/>
              </w:rPr>
            </w:pPr>
            <w:r>
              <w:rPr>
                <w:spacing w:val="-10"/>
                <w:sz w:val="22"/>
              </w:rPr>
              <w:t>1</w:t>
            </w:r>
          </w:p>
          <w:p>
            <w:pPr>
              <w:pStyle w:val="TableParagraph"/>
              <w:spacing w:before="165"/>
              <w:rPr>
                <w:b/>
                <w:sz w:val="22"/>
              </w:rPr>
            </w:pPr>
          </w:p>
          <w:p>
            <w:pPr>
              <w:pStyle w:val="TableParagraph"/>
              <w:spacing w:before="1"/>
              <w:ind w:left="38"/>
              <w:rPr>
                <w:sz w:val="22"/>
              </w:rPr>
            </w:pPr>
            <w:r>
              <w:rPr>
                <w:spacing w:val="-10"/>
                <w:sz w:val="22"/>
              </w:rPr>
              <w:t>6</w:t>
            </w: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pStyle w:val="BodyText"/>
      </w:pPr>
    </w:p>
    <w:p>
      <w:pPr>
        <w:pStyle w:val="BodyText"/>
      </w:pPr>
    </w:p>
    <w:p>
      <w:pPr>
        <w:pStyle w:val="BodyText"/>
      </w:pPr>
    </w:p>
    <w:p>
      <w:pPr>
        <w:pStyle w:val="BodyText"/>
        <w:spacing w:before="89"/>
      </w:pPr>
    </w:p>
    <w:p>
      <w:pPr>
        <w:pStyle w:val="Heading2"/>
        <w:spacing w:line="249" w:lineRule="auto" w:before="1"/>
        <w:ind w:left="694" w:right="1550" w:firstLine="0"/>
      </w:pPr>
      <w:r>
        <w:rPr/>
        <w:t>Effects of Disintegrant concentration at 5.0 % on the physical properties of the and MCS compared with MS using correlation Analysis</w:t>
      </w:r>
    </w:p>
    <w:p>
      <w:pPr>
        <w:pStyle w:val="BodyText"/>
        <w:spacing w:before="176"/>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2721"/>
      </w:tblGrid>
      <w:tr>
        <w:trPr>
          <w:trHeight w:val="282" w:hRule="atLeast"/>
        </w:trPr>
        <w:tc>
          <w:tcPr>
            <w:tcW w:w="2798" w:type="dxa"/>
          </w:tcPr>
          <w:p>
            <w:pPr>
              <w:pStyle w:val="TableParagraph"/>
              <w:rPr>
                <w:sz w:val="20"/>
              </w:rPr>
            </w:pPr>
          </w:p>
        </w:tc>
        <w:tc>
          <w:tcPr>
            <w:tcW w:w="1051" w:type="dxa"/>
            <w:tcBorders>
              <w:right w:val="single" w:sz="8" w:space="0" w:color="000000"/>
            </w:tcBorders>
          </w:tcPr>
          <w:p>
            <w:pPr>
              <w:pStyle w:val="TableParagraph"/>
              <w:spacing w:line="239" w:lineRule="exact" w:before="24"/>
              <w:ind w:left="25"/>
              <w:rPr>
                <w:sz w:val="22"/>
              </w:rPr>
            </w:pPr>
            <w:r>
              <w:rPr>
                <w:spacing w:val="-5"/>
                <w:sz w:val="22"/>
              </w:rPr>
              <w:t>DS</w:t>
            </w:r>
          </w:p>
        </w:tc>
        <w:tc>
          <w:tcPr>
            <w:tcW w:w="1046" w:type="dxa"/>
            <w:tcBorders>
              <w:left w:val="single" w:sz="8" w:space="0" w:color="000000"/>
              <w:bottom w:val="single" w:sz="36" w:space="0" w:color="FFFFFF"/>
              <w:right w:val="single" w:sz="8" w:space="0" w:color="000000"/>
            </w:tcBorders>
          </w:tcPr>
          <w:p>
            <w:pPr>
              <w:pStyle w:val="TableParagraph"/>
              <w:spacing w:line="239" w:lineRule="exact" w:before="24"/>
              <w:ind w:left="38"/>
              <w:rPr>
                <w:sz w:val="22"/>
              </w:rPr>
            </w:pPr>
            <w:r>
              <w:rPr>
                <w:spacing w:val="-5"/>
                <w:sz w:val="22"/>
              </w:rPr>
              <w:t>MCS</w:t>
            </w:r>
          </w:p>
        </w:tc>
        <w:tc>
          <w:tcPr>
            <w:tcW w:w="2721" w:type="dxa"/>
            <w:tcBorders>
              <w:left w:val="single" w:sz="8" w:space="0" w:color="000000"/>
              <w:bottom w:val="single" w:sz="36" w:space="0" w:color="FFFFFF"/>
            </w:tcBorders>
          </w:tcPr>
          <w:p>
            <w:pPr>
              <w:pStyle w:val="TableParagraph"/>
              <w:spacing w:line="239" w:lineRule="exact" w:before="24"/>
              <w:ind w:left="38"/>
              <w:rPr>
                <w:sz w:val="22"/>
              </w:rPr>
            </w:pPr>
            <w:r>
              <w:rPr>
                <w:spacing w:val="-5"/>
                <w:sz w:val="22"/>
              </w:rPr>
              <w:t>MS</w:t>
            </w:r>
          </w:p>
        </w:tc>
      </w:tr>
      <w:tr>
        <w:trPr>
          <w:trHeight w:val="986" w:hRule="atLeast"/>
        </w:trPr>
        <w:tc>
          <w:tcPr>
            <w:tcW w:w="2798" w:type="dxa"/>
            <w:tcBorders>
              <w:bottom w:val="single" w:sz="8" w:space="0" w:color="000000"/>
            </w:tcBorders>
          </w:tcPr>
          <w:p>
            <w:pPr>
              <w:pStyle w:val="TableParagraph"/>
              <w:tabs>
                <w:tab w:pos="779" w:val="left" w:leader="none"/>
              </w:tabs>
              <w:spacing w:line="336" w:lineRule="auto" w:before="6"/>
              <w:ind w:left="779" w:right="179" w:hanging="754"/>
              <w:rPr>
                <w:sz w:val="22"/>
              </w:rPr>
            </w:pPr>
            <w:r>
              <w:rPr>
                <w:spacing w:val="-6"/>
                <w:sz w:val="22"/>
              </w:rPr>
              <w:t>DS</w:t>
            </w:r>
            <w:r>
              <w:rPr>
                <w:sz w:val="22"/>
              </w:rPr>
              <w:tab/>
              <w:t>Pearson Correlation Sig. (2-tailed)</w:t>
            </w:r>
          </w:p>
          <w:p>
            <w:pPr>
              <w:pStyle w:val="TableParagraph"/>
              <w:spacing w:line="250" w:lineRule="exact"/>
              <w:ind w:left="779"/>
              <w:rPr>
                <w:sz w:val="22"/>
              </w:rPr>
            </w:pPr>
            <w:r>
              <w:rPr>
                <w:spacing w:val="-10"/>
                <w:sz w:val="22"/>
              </w:rPr>
              <w:t>N</w:t>
            </w:r>
          </w:p>
        </w:tc>
        <w:tc>
          <w:tcPr>
            <w:tcW w:w="1051" w:type="dxa"/>
            <w:tcBorders>
              <w:bottom w:val="single" w:sz="18" w:space="0" w:color="FFFFFF"/>
              <w:right w:val="single" w:sz="8" w:space="0" w:color="000000"/>
            </w:tcBorders>
          </w:tcPr>
          <w:p>
            <w:pPr>
              <w:pStyle w:val="TableParagraph"/>
              <w:spacing w:before="6"/>
              <w:ind w:left="25"/>
              <w:rPr>
                <w:sz w:val="22"/>
              </w:rPr>
            </w:pPr>
            <w:r>
              <w:rPr>
                <w:spacing w:val="-10"/>
                <w:sz w:val="22"/>
              </w:rPr>
              <w:t>1</w:t>
            </w:r>
          </w:p>
          <w:p>
            <w:pPr>
              <w:pStyle w:val="TableParagraph"/>
              <w:spacing w:before="200"/>
              <w:rPr>
                <w:b/>
                <w:sz w:val="22"/>
              </w:rPr>
            </w:pPr>
          </w:p>
          <w:p>
            <w:pPr>
              <w:pStyle w:val="TableParagraph"/>
              <w:ind w:left="25"/>
              <w:rPr>
                <w:sz w:val="22"/>
              </w:rPr>
            </w:pPr>
            <w:r>
              <w:rPr>
                <w:spacing w:val="-10"/>
                <w:sz w:val="22"/>
              </w:rPr>
              <w:t>6</w:t>
            </w:r>
          </w:p>
        </w:tc>
        <w:tc>
          <w:tcPr>
            <w:tcW w:w="1046" w:type="dxa"/>
            <w:tcBorders>
              <w:top w:val="single" w:sz="36" w:space="0" w:color="FFFFFF"/>
              <w:left w:val="single" w:sz="8" w:space="0" w:color="000000"/>
              <w:bottom w:val="single" w:sz="8" w:space="0" w:color="000000"/>
              <w:right w:val="single" w:sz="8" w:space="0" w:color="000000"/>
            </w:tcBorders>
          </w:tcPr>
          <w:p>
            <w:pPr>
              <w:pStyle w:val="TableParagraph"/>
              <w:spacing w:before="6"/>
              <w:ind w:left="38"/>
              <w:rPr>
                <w:sz w:val="22"/>
              </w:rPr>
            </w:pPr>
            <w:r>
              <w:rPr>
                <w:spacing w:val="-2"/>
                <w:w w:val="105"/>
                <w:sz w:val="22"/>
              </w:rPr>
              <w:t>0.999</w:t>
            </w:r>
            <w:r>
              <w:rPr>
                <w:spacing w:val="-2"/>
                <w:w w:val="105"/>
                <w:sz w:val="22"/>
                <w:vertAlign w:val="superscript"/>
              </w:rPr>
              <w:t>*</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8"/>
              <w:ind w:left="38"/>
              <w:rPr>
                <w:sz w:val="22"/>
              </w:rPr>
            </w:pPr>
            <w:r>
              <w:rPr>
                <w:spacing w:val="-10"/>
                <w:sz w:val="22"/>
              </w:rPr>
              <w:t>6</w:t>
            </w:r>
          </w:p>
        </w:tc>
        <w:tc>
          <w:tcPr>
            <w:tcW w:w="2721" w:type="dxa"/>
            <w:tcBorders>
              <w:top w:val="single" w:sz="36" w:space="0" w:color="FFFFFF"/>
              <w:left w:val="single" w:sz="8" w:space="0" w:color="000000"/>
              <w:bottom w:val="single" w:sz="18" w:space="0" w:color="FFFFFF"/>
            </w:tcBorders>
          </w:tcPr>
          <w:p>
            <w:pPr>
              <w:pStyle w:val="TableParagraph"/>
              <w:spacing w:before="6"/>
              <w:ind w:left="38"/>
              <w:rPr>
                <w:sz w:val="22"/>
              </w:rPr>
            </w:pPr>
            <w:r>
              <w:rPr>
                <w:spacing w:val="-2"/>
                <w:w w:val="105"/>
                <w:sz w:val="22"/>
              </w:rPr>
              <w:t>.939</w:t>
            </w:r>
            <w:r>
              <w:rPr>
                <w:spacing w:val="-2"/>
                <w:w w:val="105"/>
                <w:sz w:val="22"/>
                <w:vertAlign w:val="superscript"/>
              </w:rPr>
              <w:t>**</w:t>
            </w:r>
          </w:p>
          <w:p>
            <w:pPr>
              <w:pStyle w:val="TableParagraph"/>
              <w:spacing w:before="102"/>
              <w:ind w:left="38"/>
              <w:rPr>
                <w:sz w:val="22"/>
              </w:rPr>
            </w:pPr>
            <w:r>
              <w:rPr>
                <w:spacing w:val="-4"/>
                <w:sz w:val="22"/>
              </w:rPr>
              <w:t>.006</w:t>
            </w:r>
          </w:p>
          <w:p>
            <w:pPr>
              <w:pStyle w:val="TableParagraph"/>
              <w:spacing w:before="98"/>
              <w:ind w:left="38"/>
              <w:rPr>
                <w:sz w:val="22"/>
              </w:rPr>
            </w:pPr>
            <w:r>
              <w:rPr>
                <w:spacing w:val="-10"/>
                <w:sz w:val="22"/>
              </w:rPr>
              <w:t>6</w:t>
            </w:r>
          </w:p>
        </w:tc>
      </w:tr>
      <w:tr>
        <w:trPr>
          <w:trHeight w:val="950" w:hRule="atLeast"/>
        </w:trPr>
        <w:tc>
          <w:tcPr>
            <w:tcW w:w="2798" w:type="dxa"/>
            <w:tcBorders>
              <w:top w:val="single" w:sz="8" w:space="0" w:color="000000"/>
              <w:bottom w:val="single" w:sz="8" w:space="0" w:color="000000"/>
            </w:tcBorders>
          </w:tcPr>
          <w:p>
            <w:pPr>
              <w:pStyle w:val="TableParagraph"/>
              <w:tabs>
                <w:tab w:pos="779" w:val="left" w:leader="none"/>
              </w:tabs>
              <w:spacing w:line="324" w:lineRule="auto" w:before="12"/>
              <w:ind w:left="779" w:right="179" w:hanging="754"/>
              <w:rPr>
                <w:sz w:val="22"/>
              </w:rPr>
            </w:pPr>
            <w:r>
              <w:rPr>
                <w:spacing w:val="-4"/>
                <w:sz w:val="22"/>
              </w:rPr>
              <w:t>MCS</w:t>
            </w:r>
            <w:r>
              <w:rPr>
                <w:sz w:val="22"/>
              </w:rPr>
              <w:tab/>
              <w:t>Pearson Correlation Sig. (2-tailed)</w:t>
            </w:r>
          </w:p>
          <w:p>
            <w:pPr>
              <w:pStyle w:val="TableParagraph"/>
              <w:spacing w:line="236" w:lineRule="exact"/>
              <w:ind w:left="779"/>
              <w:rPr>
                <w:sz w:val="22"/>
              </w:rPr>
            </w:pPr>
            <w:r>
              <w:rPr>
                <w:spacing w:val="-10"/>
                <w:sz w:val="22"/>
              </w:rPr>
              <w:t>N</w:t>
            </w:r>
          </w:p>
        </w:tc>
        <w:tc>
          <w:tcPr>
            <w:tcW w:w="1051" w:type="dxa"/>
            <w:tcBorders>
              <w:top w:val="single" w:sz="18" w:space="0" w:color="FFFFFF"/>
              <w:bottom w:val="single" w:sz="24" w:space="0" w:color="FFFFFF"/>
              <w:right w:val="single" w:sz="8" w:space="0" w:color="000000"/>
            </w:tcBorders>
          </w:tcPr>
          <w:p>
            <w:pPr>
              <w:pStyle w:val="TableParagraph"/>
              <w:spacing w:before="12"/>
              <w:ind w:left="25"/>
              <w:rPr>
                <w:sz w:val="22"/>
              </w:rPr>
            </w:pPr>
            <w:r>
              <w:rPr>
                <w:spacing w:val="-2"/>
                <w:w w:val="105"/>
                <w:sz w:val="22"/>
              </w:rPr>
              <w:t>0.999</w:t>
            </w:r>
            <w:r>
              <w:rPr>
                <w:spacing w:val="-2"/>
                <w:w w:val="105"/>
                <w:sz w:val="22"/>
                <w:vertAlign w:val="superscript"/>
              </w:rPr>
              <w:t>*</w:t>
            </w:r>
            <w:r>
              <w:rPr>
                <w:spacing w:val="-2"/>
                <w:w w:val="105"/>
                <w:sz w:val="22"/>
                <w:vertAlign w:val="superscript"/>
              </w:rPr>
              <w:t>*</w:t>
            </w:r>
          </w:p>
          <w:p>
            <w:pPr>
              <w:pStyle w:val="TableParagraph"/>
              <w:spacing w:before="88"/>
              <w:ind w:left="25"/>
              <w:rPr>
                <w:sz w:val="22"/>
              </w:rPr>
            </w:pPr>
            <w:r>
              <w:rPr>
                <w:spacing w:val="-2"/>
                <w:sz w:val="22"/>
              </w:rPr>
              <w:t>.0001</w:t>
            </w:r>
          </w:p>
          <w:p>
            <w:pPr>
              <w:pStyle w:val="TableParagraph"/>
              <w:spacing w:line="247" w:lineRule="exact" w:before="78"/>
              <w:ind w:left="25"/>
              <w:rPr>
                <w:sz w:val="22"/>
              </w:rPr>
            </w:pPr>
            <w:r>
              <w:rPr>
                <w:spacing w:val="-10"/>
                <w:sz w:val="22"/>
              </w:rPr>
              <w:t>6</w:t>
            </w:r>
          </w:p>
        </w:tc>
        <w:tc>
          <w:tcPr>
            <w:tcW w:w="1046" w:type="dxa"/>
            <w:tcBorders>
              <w:top w:val="single" w:sz="8" w:space="0" w:color="000000"/>
              <w:left w:val="single" w:sz="8" w:space="0" w:color="000000"/>
              <w:bottom w:val="single" w:sz="24" w:space="0" w:color="FFFFFF"/>
              <w:right w:val="single" w:sz="8" w:space="0" w:color="000000"/>
            </w:tcBorders>
          </w:tcPr>
          <w:p>
            <w:pPr>
              <w:pStyle w:val="TableParagraph"/>
              <w:spacing w:before="12"/>
              <w:ind w:left="38"/>
              <w:rPr>
                <w:sz w:val="22"/>
              </w:rPr>
            </w:pPr>
            <w:r>
              <w:rPr>
                <w:spacing w:val="-10"/>
                <w:sz w:val="22"/>
              </w:rPr>
              <w:t>1</w:t>
            </w:r>
          </w:p>
          <w:p>
            <w:pPr>
              <w:pStyle w:val="TableParagraph"/>
              <w:spacing w:before="166"/>
              <w:rPr>
                <w:b/>
                <w:sz w:val="22"/>
              </w:rPr>
            </w:pPr>
          </w:p>
          <w:p>
            <w:pPr>
              <w:pStyle w:val="TableParagraph"/>
              <w:spacing w:line="247" w:lineRule="exact"/>
              <w:ind w:left="38"/>
              <w:rPr>
                <w:sz w:val="22"/>
              </w:rPr>
            </w:pPr>
            <w:r>
              <w:rPr>
                <w:spacing w:val="-10"/>
                <w:sz w:val="22"/>
              </w:rPr>
              <w:t>6</w:t>
            </w:r>
          </w:p>
        </w:tc>
        <w:tc>
          <w:tcPr>
            <w:tcW w:w="2721" w:type="dxa"/>
            <w:tcBorders>
              <w:top w:val="single" w:sz="18" w:space="0" w:color="FFFFFF"/>
              <w:left w:val="single" w:sz="8" w:space="0" w:color="000000"/>
              <w:bottom w:val="single" w:sz="8" w:space="0" w:color="000000"/>
            </w:tcBorders>
          </w:tcPr>
          <w:p>
            <w:pPr>
              <w:pStyle w:val="TableParagraph"/>
              <w:spacing w:before="12"/>
              <w:ind w:left="38"/>
              <w:rPr>
                <w:sz w:val="22"/>
              </w:rPr>
            </w:pPr>
            <w:r>
              <w:rPr>
                <w:spacing w:val="-2"/>
                <w:w w:val="105"/>
                <w:sz w:val="22"/>
              </w:rPr>
              <w:t>.940</w:t>
            </w:r>
            <w:r>
              <w:rPr>
                <w:spacing w:val="-2"/>
                <w:w w:val="105"/>
                <w:sz w:val="22"/>
                <w:vertAlign w:val="superscript"/>
              </w:rPr>
              <w:t>**</w:t>
            </w:r>
          </w:p>
          <w:p>
            <w:pPr>
              <w:pStyle w:val="TableParagraph"/>
              <w:spacing w:before="88"/>
              <w:ind w:left="38"/>
              <w:rPr>
                <w:sz w:val="22"/>
              </w:rPr>
            </w:pPr>
            <w:r>
              <w:rPr>
                <w:spacing w:val="-4"/>
                <w:sz w:val="22"/>
              </w:rPr>
              <w:t>.005</w:t>
            </w:r>
          </w:p>
          <w:p>
            <w:pPr>
              <w:pStyle w:val="TableParagraph"/>
              <w:spacing w:line="247" w:lineRule="exact" w:before="78"/>
              <w:ind w:left="38"/>
              <w:rPr>
                <w:sz w:val="22"/>
              </w:rPr>
            </w:pPr>
            <w:r>
              <w:rPr>
                <w:spacing w:val="-10"/>
                <w:sz w:val="22"/>
              </w:rPr>
              <w:t>6</w:t>
            </w:r>
          </w:p>
        </w:tc>
      </w:tr>
      <w:tr>
        <w:trPr>
          <w:trHeight w:val="960" w:hRule="atLeast"/>
        </w:trPr>
        <w:tc>
          <w:tcPr>
            <w:tcW w:w="2798" w:type="dxa"/>
            <w:tcBorders>
              <w:top w:val="single" w:sz="8" w:space="0" w:color="000000"/>
            </w:tcBorders>
          </w:tcPr>
          <w:p>
            <w:pPr>
              <w:pStyle w:val="TableParagraph"/>
              <w:tabs>
                <w:tab w:pos="779" w:val="left" w:leader="none"/>
              </w:tabs>
              <w:spacing w:line="319" w:lineRule="auto" w:before="9"/>
              <w:ind w:left="779" w:right="179" w:hanging="754"/>
              <w:rPr>
                <w:sz w:val="22"/>
              </w:rPr>
            </w:pPr>
            <w:r>
              <w:rPr>
                <w:spacing w:val="-6"/>
                <w:sz w:val="22"/>
              </w:rPr>
              <w:t>MS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24" w:space="0" w:color="FFFFFF"/>
              <w:right w:val="single" w:sz="8" w:space="0" w:color="000000"/>
            </w:tcBorders>
          </w:tcPr>
          <w:p>
            <w:pPr>
              <w:pStyle w:val="TableParagraph"/>
              <w:spacing w:before="9"/>
              <w:ind w:left="25"/>
              <w:rPr>
                <w:sz w:val="22"/>
              </w:rPr>
            </w:pPr>
            <w:r>
              <w:rPr>
                <w:spacing w:val="-2"/>
                <w:w w:val="105"/>
                <w:sz w:val="22"/>
              </w:rPr>
              <w:t>.939</w:t>
            </w:r>
            <w:r>
              <w:rPr>
                <w:spacing w:val="-2"/>
                <w:w w:val="105"/>
                <w:sz w:val="22"/>
                <w:vertAlign w:val="superscript"/>
              </w:rPr>
              <w:t>**</w:t>
            </w:r>
          </w:p>
          <w:p>
            <w:pPr>
              <w:pStyle w:val="TableParagraph"/>
              <w:spacing w:before="83"/>
              <w:ind w:left="25"/>
              <w:rPr>
                <w:sz w:val="22"/>
              </w:rPr>
            </w:pPr>
            <w:r>
              <w:rPr>
                <w:spacing w:val="-4"/>
                <w:sz w:val="22"/>
              </w:rPr>
              <w:t>.006</w:t>
            </w:r>
          </w:p>
          <w:p>
            <w:pPr>
              <w:pStyle w:val="TableParagraph"/>
              <w:spacing w:before="78"/>
              <w:ind w:left="25"/>
              <w:rPr>
                <w:sz w:val="22"/>
              </w:rPr>
            </w:pPr>
            <w:r>
              <w:rPr>
                <w:spacing w:val="-10"/>
                <w:sz w:val="22"/>
              </w:rPr>
              <w:t>6</w:t>
            </w:r>
          </w:p>
        </w:tc>
        <w:tc>
          <w:tcPr>
            <w:tcW w:w="1046" w:type="dxa"/>
            <w:tcBorders>
              <w:top w:val="single" w:sz="24" w:space="0" w:color="FFFFFF"/>
              <w:left w:val="single" w:sz="8" w:space="0" w:color="000000"/>
              <w:right w:val="single" w:sz="8" w:space="0" w:color="000000"/>
            </w:tcBorders>
          </w:tcPr>
          <w:p>
            <w:pPr>
              <w:pStyle w:val="TableParagraph"/>
              <w:spacing w:before="9"/>
              <w:ind w:left="38"/>
              <w:rPr>
                <w:sz w:val="22"/>
              </w:rPr>
            </w:pPr>
            <w:r>
              <w:rPr>
                <w:spacing w:val="-2"/>
                <w:w w:val="105"/>
                <w:sz w:val="22"/>
              </w:rPr>
              <w:t>.940</w:t>
            </w:r>
            <w:r>
              <w:rPr>
                <w:spacing w:val="-2"/>
                <w:w w:val="105"/>
                <w:sz w:val="22"/>
                <w:vertAlign w:val="superscript"/>
              </w:rPr>
              <w:t>**</w:t>
            </w:r>
          </w:p>
          <w:p>
            <w:pPr>
              <w:pStyle w:val="TableParagraph"/>
              <w:spacing w:before="83"/>
              <w:ind w:left="38"/>
              <w:rPr>
                <w:sz w:val="22"/>
              </w:rPr>
            </w:pPr>
            <w:r>
              <w:rPr>
                <w:spacing w:val="-4"/>
                <w:sz w:val="22"/>
              </w:rPr>
              <w:t>.005</w:t>
            </w:r>
          </w:p>
          <w:p>
            <w:pPr>
              <w:pStyle w:val="TableParagraph"/>
              <w:spacing w:before="78"/>
              <w:ind w:left="38"/>
              <w:rPr>
                <w:sz w:val="22"/>
              </w:rPr>
            </w:pPr>
            <w:r>
              <w:rPr>
                <w:spacing w:val="-10"/>
                <w:sz w:val="22"/>
              </w:rPr>
              <w:t>6</w:t>
            </w:r>
          </w:p>
        </w:tc>
        <w:tc>
          <w:tcPr>
            <w:tcW w:w="2721" w:type="dxa"/>
            <w:tcBorders>
              <w:top w:val="single" w:sz="8" w:space="0" w:color="000000"/>
              <w:left w:val="single" w:sz="8" w:space="0" w:color="000000"/>
            </w:tcBorders>
          </w:tcPr>
          <w:p>
            <w:pPr>
              <w:pStyle w:val="TableParagraph"/>
              <w:spacing w:before="9"/>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520" w:bottom="1180" w:left="1720" w:right="760"/>
        </w:sectPr>
      </w:pPr>
    </w:p>
    <w:p>
      <w:pPr>
        <w:pStyle w:val="Heading2"/>
        <w:spacing w:line="244" w:lineRule="auto" w:before="79"/>
        <w:ind w:left="665" w:right="1108" w:firstLine="0"/>
      </w:pPr>
      <w:r>
        <w:rPr/>
        <w:t>Effect</w:t>
      </w:r>
      <w:r>
        <w:rPr>
          <w:spacing w:val="40"/>
        </w:rPr>
        <w:t> </w:t>
      </w:r>
      <w:r>
        <w:rPr/>
        <w:t>of</w:t>
      </w:r>
      <w:r>
        <w:rPr>
          <w:spacing w:val="40"/>
        </w:rPr>
        <w:t> </w:t>
      </w:r>
      <w:r>
        <w:rPr/>
        <w:t>Disintegrant</w:t>
      </w:r>
      <w:r>
        <w:rPr>
          <w:spacing w:val="40"/>
        </w:rPr>
        <w:t> </w:t>
      </w:r>
      <w:r>
        <w:rPr/>
        <w:t>concentration</w:t>
      </w:r>
      <w:r>
        <w:rPr>
          <w:spacing w:val="40"/>
        </w:rPr>
        <w:t> </w:t>
      </w:r>
      <w:r>
        <w:rPr/>
        <w:t>at</w:t>
      </w:r>
      <w:r>
        <w:rPr>
          <w:spacing w:val="40"/>
        </w:rPr>
        <w:t> </w:t>
      </w:r>
      <w:r>
        <w:rPr/>
        <w:t>7.5</w:t>
      </w:r>
      <w:r>
        <w:rPr>
          <w:spacing w:val="40"/>
        </w:rPr>
        <w:t> </w:t>
      </w:r>
      <w:r>
        <w:rPr/>
        <w:t>%</w:t>
      </w:r>
      <w:r>
        <w:rPr>
          <w:spacing w:val="40"/>
        </w:rPr>
        <w:t> </w:t>
      </w:r>
      <w:r>
        <w:rPr/>
        <w:t>on</w:t>
      </w:r>
      <w:r>
        <w:rPr>
          <w:spacing w:val="40"/>
        </w:rPr>
        <w:t> </w:t>
      </w:r>
      <w:r>
        <w:rPr/>
        <w:t>the</w:t>
      </w:r>
      <w:r>
        <w:rPr>
          <w:spacing w:val="40"/>
        </w:rPr>
        <w:t> </w:t>
      </w:r>
      <w:r>
        <w:rPr/>
        <w:t>physical</w:t>
      </w:r>
      <w:r>
        <w:rPr>
          <w:spacing w:val="40"/>
        </w:rPr>
        <w:t> </w:t>
      </w:r>
      <w:r>
        <w:rPr/>
        <w:t>properties</w:t>
      </w:r>
      <w:r>
        <w:rPr>
          <w:spacing w:val="40"/>
        </w:rPr>
        <w:t> </w:t>
      </w:r>
      <w:r>
        <w:rPr/>
        <w:t>of</w:t>
      </w:r>
      <w:r>
        <w:rPr>
          <w:spacing w:val="40"/>
        </w:rPr>
        <w:t> </w:t>
      </w:r>
      <w:r>
        <w:rPr/>
        <w:t>the granules of DS and MCS compared with MS using correlation Analysis.</w:t>
      </w:r>
    </w:p>
    <w:p>
      <w:pPr>
        <w:pStyle w:val="BodyText"/>
        <w:spacing w:before="81"/>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MS</w:t>
            </w:r>
          </w:p>
        </w:tc>
      </w:tr>
      <w:tr>
        <w:trPr>
          <w:trHeight w:val="983" w:hRule="atLeast"/>
        </w:trPr>
        <w:tc>
          <w:tcPr>
            <w:tcW w:w="2798" w:type="dxa"/>
            <w:tcBorders>
              <w:bottom w:val="single" w:sz="8" w:space="0" w:color="000000"/>
            </w:tcBorders>
          </w:tcPr>
          <w:p>
            <w:pPr>
              <w:pStyle w:val="TableParagraph"/>
              <w:tabs>
                <w:tab w:pos="779" w:val="left" w:leader="none"/>
              </w:tabs>
              <w:spacing w:line="336" w:lineRule="auto" w:before="4"/>
              <w:ind w:left="779" w:right="179" w:hanging="754"/>
              <w:rPr>
                <w:sz w:val="22"/>
              </w:rPr>
            </w:pPr>
            <w:r>
              <w:rPr>
                <w:spacing w:val="-6"/>
                <w:sz w:val="22"/>
              </w:rPr>
              <w:t>DS</w:t>
            </w:r>
            <w:r>
              <w:rPr>
                <w:sz w:val="22"/>
              </w:rPr>
              <w:tab/>
              <w:t>Pearson Correlation Sig. (2-tailed)</w:t>
            </w:r>
          </w:p>
          <w:p>
            <w:pPr>
              <w:pStyle w:val="TableParagraph"/>
              <w:spacing w:line="250" w:lineRule="exact"/>
              <w:ind w:left="779"/>
              <w:rPr>
                <w:sz w:val="22"/>
              </w:rPr>
            </w:pPr>
            <w:r>
              <w:rPr>
                <w:spacing w:val="-10"/>
                <w:sz w:val="22"/>
              </w:rPr>
              <w:t>N</w:t>
            </w:r>
          </w:p>
        </w:tc>
        <w:tc>
          <w:tcPr>
            <w:tcW w:w="1051" w:type="dxa"/>
            <w:tcBorders>
              <w:bottom w:val="single" w:sz="18" w:space="0" w:color="FFFFFF"/>
              <w:right w:val="single" w:sz="8" w:space="0" w:color="000000"/>
            </w:tcBorders>
          </w:tcPr>
          <w:p>
            <w:pPr>
              <w:pStyle w:val="TableParagraph"/>
              <w:spacing w:before="4"/>
              <w:ind w:left="25"/>
              <w:rPr>
                <w:sz w:val="22"/>
              </w:rPr>
            </w:pPr>
            <w:r>
              <w:rPr>
                <w:spacing w:val="-10"/>
                <w:sz w:val="22"/>
              </w:rPr>
              <w:t>1</w:t>
            </w:r>
          </w:p>
          <w:p>
            <w:pPr>
              <w:pStyle w:val="TableParagraph"/>
              <w:spacing w:before="199"/>
              <w:rPr>
                <w:b/>
                <w:sz w:val="22"/>
              </w:rPr>
            </w:pPr>
          </w:p>
          <w:p>
            <w:pPr>
              <w:pStyle w:val="TableParagraph"/>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8"/>
              <w:rPr>
                <w:sz w:val="22"/>
              </w:rPr>
            </w:pPr>
            <w:r>
              <w:rPr>
                <w:spacing w:val="-2"/>
                <w:w w:val="105"/>
                <w:sz w:val="22"/>
              </w:rPr>
              <w:t>.998</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c>
          <w:tcPr>
            <w:tcW w:w="1051" w:type="dxa"/>
            <w:tcBorders>
              <w:top w:val="single" w:sz="36" w:space="0" w:color="000000"/>
              <w:left w:val="single" w:sz="8" w:space="0" w:color="000000"/>
              <w:bottom w:val="single" w:sz="18" w:space="0" w:color="FFFFFF"/>
            </w:tcBorders>
          </w:tcPr>
          <w:p>
            <w:pPr>
              <w:pStyle w:val="TableParagraph"/>
              <w:spacing w:before="4"/>
              <w:ind w:left="38"/>
              <w:rPr>
                <w:sz w:val="22"/>
              </w:rPr>
            </w:pPr>
            <w:r>
              <w:rPr>
                <w:spacing w:val="-2"/>
                <w:w w:val="105"/>
                <w:sz w:val="22"/>
              </w:rPr>
              <w:t>.962</w:t>
            </w:r>
            <w:r>
              <w:rPr>
                <w:spacing w:val="-2"/>
                <w:w w:val="105"/>
                <w:sz w:val="22"/>
                <w:vertAlign w:val="superscript"/>
              </w:rPr>
              <w:t>**</w:t>
            </w:r>
          </w:p>
          <w:p>
            <w:pPr>
              <w:pStyle w:val="TableParagraph"/>
              <w:spacing w:before="102"/>
              <w:ind w:left="38"/>
              <w:rPr>
                <w:sz w:val="22"/>
              </w:rPr>
            </w:pPr>
            <w:r>
              <w:rPr>
                <w:spacing w:val="-4"/>
                <w:sz w:val="22"/>
              </w:rPr>
              <w:t>.002</w:t>
            </w:r>
          </w:p>
          <w:p>
            <w:pPr>
              <w:pStyle w:val="TableParagraph"/>
              <w:spacing w:before="97"/>
              <w:ind w:left="38"/>
              <w:rPr>
                <w:sz w:val="22"/>
              </w:rPr>
            </w:pPr>
            <w:r>
              <w:rPr>
                <w:spacing w:val="-10"/>
                <w:sz w:val="22"/>
              </w:rPr>
              <w:t>6</w:t>
            </w:r>
          </w:p>
        </w:tc>
      </w:tr>
      <w:tr>
        <w:trPr>
          <w:trHeight w:val="960" w:hRule="atLeast"/>
        </w:trPr>
        <w:tc>
          <w:tcPr>
            <w:tcW w:w="2798" w:type="dxa"/>
            <w:tcBorders>
              <w:top w:val="single" w:sz="8" w:space="0" w:color="000000"/>
              <w:bottom w:val="single" w:sz="6" w:space="0" w:color="000000"/>
            </w:tcBorders>
          </w:tcPr>
          <w:p>
            <w:pPr>
              <w:pStyle w:val="TableParagraph"/>
              <w:tabs>
                <w:tab w:pos="779" w:val="left" w:leader="none"/>
              </w:tabs>
              <w:spacing w:line="314" w:lineRule="auto" w:before="21"/>
              <w:ind w:left="779" w:right="179" w:hanging="754"/>
              <w:rPr>
                <w:sz w:val="22"/>
              </w:rPr>
            </w:pPr>
            <w:r>
              <w:rPr>
                <w:spacing w:val="-4"/>
                <w:sz w:val="22"/>
              </w:rPr>
              <w:t>MCS</w:t>
            </w:r>
            <w:r>
              <w:rPr>
                <w:sz w:val="22"/>
              </w:rPr>
              <w:tab/>
              <w:t>Pearson Correlation Sig. (2-tailed)</w:t>
            </w:r>
          </w:p>
          <w:p>
            <w:pPr>
              <w:pStyle w:val="TableParagraph"/>
              <w:spacing w:line="252" w:lineRule="exact" w:before="5"/>
              <w:ind w:left="779"/>
              <w:rPr>
                <w:sz w:val="22"/>
              </w:rPr>
            </w:pPr>
            <w:r>
              <w:rPr>
                <w:spacing w:val="-10"/>
                <w:sz w:val="22"/>
              </w:rPr>
              <w:t>N</w:t>
            </w:r>
          </w:p>
        </w:tc>
        <w:tc>
          <w:tcPr>
            <w:tcW w:w="1051" w:type="dxa"/>
            <w:tcBorders>
              <w:top w:val="single" w:sz="18" w:space="0" w:color="FFFFFF"/>
              <w:bottom w:val="single" w:sz="18" w:space="0" w:color="FFFFFF"/>
              <w:right w:val="single" w:sz="8" w:space="0" w:color="000000"/>
            </w:tcBorders>
          </w:tcPr>
          <w:p>
            <w:pPr>
              <w:pStyle w:val="TableParagraph"/>
              <w:spacing w:before="21"/>
              <w:ind w:left="25"/>
              <w:rPr>
                <w:sz w:val="22"/>
              </w:rPr>
            </w:pPr>
            <w:r>
              <w:rPr>
                <w:spacing w:val="-2"/>
                <w:w w:val="105"/>
                <w:sz w:val="22"/>
              </w:rPr>
              <w:t>.998</w:t>
            </w:r>
            <w:r>
              <w:rPr>
                <w:spacing w:val="-2"/>
                <w:w w:val="105"/>
                <w:sz w:val="22"/>
                <w:vertAlign w:val="superscript"/>
              </w:rPr>
              <w:t>**</w:t>
            </w:r>
          </w:p>
          <w:p>
            <w:pPr>
              <w:pStyle w:val="TableParagraph"/>
              <w:spacing w:before="79"/>
              <w:ind w:left="25"/>
              <w:rPr>
                <w:sz w:val="22"/>
              </w:rPr>
            </w:pPr>
            <w:r>
              <w:rPr>
                <w:spacing w:val="-2"/>
                <w:sz w:val="22"/>
              </w:rPr>
              <w:t>.0001</w:t>
            </w:r>
          </w:p>
          <w:p>
            <w:pPr>
              <w:pStyle w:val="TableParagraph"/>
              <w:spacing w:line="252" w:lineRule="exact"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21"/>
              <w:ind w:left="38"/>
              <w:rPr>
                <w:sz w:val="22"/>
              </w:rPr>
            </w:pPr>
            <w:r>
              <w:rPr>
                <w:spacing w:val="-10"/>
                <w:sz w:val="22"/>
              </w:rPr>
              <w:t>1</w:t>
            </w:r>
          </w:p>
          <w:p>
            <w:pPr>
              <w:pStyle w:val="TableParagraph"/>
              <w:spacing w:before="161"/>
              <w:rPr>
                <w:b/>
                <w:sz w:val="22"/>
              </w:rPr>
            </w:pPr>
          </w:p>
          <w:p>
            <w:pPr>
              <w:pStyle w:val="TableParagraph"/>
              <w:spacing w:line="252" w:lineRule="exact" w:before="1"/>
              <w:ind w:left="38"/>
              <w:rPr>
                <w:sz w:val="22"/>
              </w:rPr>
            </w:pPr>
            <w:r>
              <w:rPr>
                <w:spacing w:val="-10"/>
                <w:sz w:val="22"/>
              </w:rPr>
              <w:t>6</w:t>
            </w:r>
          </w:p>
        </w:tc>
        <w:tc>
          <w:tcPr>
            <w:tcW w:w="1051" w:type="dxa"/>
            <w:tcBorders>
              <w:top w:val="single" w:sz="18" w:space="0" w:color="FFFFFF"/>
              <w:left w:val="single" w:sz="8" w:space="0" w:color="000000"/>
              <w:bottom w:val="single" w:sz="6" w:space="0" w:color="000000"/>
            </w:tcBorders>
          </w:tcPr>
          <w:p>
            <w:pPr>
              <w:pStyle w:val="TableParagraph"/>
              <w:spacing w:before="21"/>
              <w:ind w:left="38"/>
              <w:rPr>
                <w:sz w:val="22"/>
              </w:rPr>
            </w:pPr>
            <w:r>
              <w:rPr>
                <w:spacing w:val="-2"/>
                <w:w w:val="105"/>
                <w:sz w:val="22"/>
              </w:rPr>
              <w:t>.946</w:t>
            </w:r>
            <w:r>
              <w:rPr>
                <w:spacing w:val="-2"/>
                <w:w w:val="105"/>
                <w:sz w:val="22"/>
                <w:vertAlign w:val="superscript"/>
              </w:rPr>
              <w:t>**</w:t>
            </w:r>
          </w:p>
          <w:p>
            <w:pPr>
              <w:pStyle w:val="TableParagraph"/>
              <w:spacing w:before="79"/>
              <w:ind w:left="38"/>
              <w:rPr>
                <w:sz w:val="22"/>
              </w:rPr>
            </w:pPr>
            <w:r>
              <w:rPr>
                <w:spacing w:val="-4"/>
                <w:sz w:val="22"/>
              </w:rPr>
              <w:t>.004</w:t>
            </w:r>
          </w:p>
          <w:p>
            <w:pPr>
              <w:pStyle w:val="TableParagraph"/>
              <w:spacing w:line="252" w:lineRule="exact" w:before="83"/>
              <w:ind w:left="38"/>
              <w:rPr>
                <w:sz w:val="22"/>
              </w:rPr>
            </w:pPr>
            <w:r>
              <w:rPr>
                <w:spacing w:val="-10"/>
                <w:sz w:val="22"/>
              </w:rPr>
              <w:t>6</w:t>
            </w:r>
          </w:p>
        </w:tc>
      </w:tr>
      <w:tr>
        <w:trPr>
          <w:trHeight w:val="965" w:hRule="atLeast"/>
        </w:trPr>
        <w:tc>
          <w:tcPr>
            <w:tcW w:w="2798" w:type="dxa"/>
            <w:tcBorders>
              <w:top w:val="single" w:sz="6" w:space="0" w:color="000000"/>
            </w:tcBorders>
          </w:tcPr>
          <w:p>
            <w:pPr>
              <w:pStyle w:val="TableParagraph"/>
              <w:tabs>
                <w:tab w:pos="779" w:val="left" w:leader="none"/>
              </w:tabs>
              <w:spacing w:line="319" w:lineRule="auto" w:before="14"/>
              <w:ind w:left="779" w:right="179" w:hanging="754"/>
              <w:rPr>
                <w:sz w:val="22"/>
              </w:rPr>
            </w:pPr>
            <w:r>
              <w:rPr>
                <w:spacing w:val="-6"/>
                <w:sz w:val="22"/>
              </w:rPr>
              <w:t>MS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4"/>
              <w:ind w:left="25"/>
              <w:rPr>
                <w:sz w:val="22"/>
              </w:rPr>
            </w:pPr>
            <w:r>
              <w:rPr>
                <w:spacing w:val="-2"/>
                <w:w w:val="105"/>
                <w:sz w:val="22"/>
              </w:rPr>
              <w:t>.962</w:t>
            </w:r>
            <w:r>
              <w:rPr>
                <w:spacing w:val="-2"/>
                <w:w w:val="105"/>
                <w:sz w:val="22"/>
                <w:vertAlign w:val="superscript"/>
              </w:rPr>
              <w:t>**</w:t>
            </w:r>
          </w:p>
          <w:p>
            <w:pPr>
              <w:pStyle w:val="TableParagraph"/>
              <w:spacing w:before="83"/>
              <w:ind w:left="25"/>
              <w:rPr>
                <w:sz w:val="22"/>
              </w:rPr>
            </w:pPr>
            <w:r>
              <w:rPr>
                <w:spacing w:val="-4"/>
                <w:sz w:val="22"/>
              </w:rPr>
              <w:t>.002</w:t>
            </w:r>
          </w:p>
          <w:p>
            <w:pPr>
              <w:pStyle w:val="TableParagraph"/>
              <w:spacing w:before="78"/>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4"/>
              <w:ind w:left="38"/>
              <w:rPr>
                <w:sz w:val="22"/>
              </w:rPr>
            </w:pPr>
            <w:r>
              <w:rPr>
                <w:spacing w:val="-2"/>
                <w:w w:val="105"/>
                <w:sz w:val="22"/>
              </w:rPr>
              <w:t>.946</w:t>
            </w:r>
            <w:r>
              <w:rPr>
                <w:spacing w:val="-2"/>
                <w:w w:val="105"/>
                <w:sz w:val="22"/>
                <w:vertAlign w:val="superscript"/>
              </w:rPr>
              <w:t>**</w:t>
            </w:r>
          </w:p>
          <w:p>
            <w:pPr>
              <w:pStyle w:val="TableParagraph"/>
              <w:spacing w:before="83"/>
              <w:ind w:left="38"/>
              <w:rPr>
                <w:sz w:val="22"/>
              </w:rPr>
            </w:pPr>
            <w:r>
              <w:rPr>
                <w:spacing w:val="-4"/>
                <w:sz w:val="22"/>
              </w:rPr>
              <w:t>.004</w:t>
            </w:r>
          </w:p>
          <w:p>
            <w:pPr>
              <w:pStyle w:val="TableParagraph"/>
              <w:spacing w:before="78"/>
              <w:ind w:left="38"/>
              <w:rPr>
                <w:sz w:val="22"/>
              </w:rPr>
            </w:pPr>
            <w:r>
              <w:rPr>
                <w:spacing w:val="-10"/>
                <w:sz w:val="22"/>
              </w:rPr>
              <w:t>6</w:t>
            </w:r>
          </w:p>
        </w:tc>
        <w:tc>
          <w:tcPr>
            <w:tcW w:w="1051" w:type="dxa"/>
            <w:tcBorders>
              <w:top w:val="single" w:sz="6" w:space="0" w:color="000000"/>
              <w:left w:val="single" w:sz="8" w:space="0" w:color="000000"/>
            </w:tcBorders>
          </w:tcPr>
          <w:p>
            <w:pPr>
              <w:pStyle w:val="TableParagraph"/>
              <w:spacing w:before="14"/>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r>
    </w:tbl>
    <w:p>
      <w:pPr>
        <w:pStyle w:val="BodyText"/>
        <w:spacing w:before="1"/>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520" w:bottom="1180" w:left="1720" w:right="760"/>
        </w:sectPr>
      </w:pPr>
    </w:p>
    <w:p>
      <w:pPr>
        <w:pStyle w:val="Heading2"/>
        <w:spacing w:line="244" w:lineRule="auto" w:before="79"/>
        <w:ind w:left="665" w:right="1108" w:firstLine="0"/>
      </w:pPr>
      <w:r>
        <w:rPr/>
        <w:t>Effect</w:t>
      </w:r>
      <w:r>
        <w:rPr>
          <w:spacing w:val="40"/>
        </w:rPr>
        <w:t> </w:t>
      </w:r>
      <w:r>
        <w:rPr/>
        <w:t>of</w:t>
      </w:r>
      <w:r>
        <w:rPr>
          <w:spacing w:val="40"/>
        </w:rPr>
        <w:t> </w:t>
      </w:r>
      <w:r>
        <w:rPr/>
        <w:t>Disintegrant</w:t>
      </w:r>
      <w:r>
        <w:rPr>
          <w:spacing w:val="40"/>
        </w:rPr>
        <w:t> </w:t>
      </w:r>
      <w:r>
        <w:rPr/>
        <w:t>concentration</w:t>
      </w:r>
      <w:r>
        <w:rPr>
          <w:spacing w:val="40"/>
        </w:rPr>
        <w:t> </w:t>
      </w:r>
      <w:r>
        <w:rPr/>
        <w:t>at</w:t>
      </w:r>
      <w:r>
        <w:rPr>
          <w:spacing w:val="40"/>
        </w:rPr>
        <w:t> </w:t>
      </w:r>
      <w:r>
        <w:rPr/>
        <w:t>10.0</w:t>
      </w:r>
      <w:r>
        <w:rPr>
          <w:spacing w:val="40"/>
        </w:rPr>
        <w:t> </w:t>
      </w:r>
      <w:r>
        <w:rPr/>
        <w:t>%</w:t>
      </w:r>
      <w:r>
        <w:rPr>
          <w:spacing w:val="40"/>
        </w:rPr>
        <w:t> </w:t>
      </w:r>
      <w:r>
        <w:rPr/>
        <w:t>on</w:t>
      </w:r>
      <w:r>
        <w:rPr>
          <w:spacing w:val="40"/>
        </w:rPr>
        <w:t> </w:t>
      </w:r>
      <w:r>
        <w:rPr/>
        <w:t>the</w:t>
      </w:r>
      <w:r>
        <w:rPr>
          <w:spacing w:val="40"/>
        </w:rPr>
        <w:t> </w:t>
      </w:r>
      <w:r>
        <w:rPr/>
        <w:t>physical</w:t>
      </w:r>
      <w:r>
        <w:rPr>
          <w:spacing w:val="40"/>
        </w:rPr>
        <w:t> </w:t>
      </w:r>
      <w:r>
        <w:rPr/>
        <w:t>properties</w:t>
      </w:r>
      <w:r>
        <w:rPr>
          <w:spacing w:val="40"/>
        </w:rPr>
        <w:t> </w:t>
      </w:r>
      <w:r>
        <w:rPr/>
        <w:t>of</w:t>
      </w:r>
      <w:r>
        <w:rPr>
          <w:spacing w:val="40"/>
        </w:rPr>
        <w:t> </w:t>
      </w:r>
      <w:r>
        <w:rPr/>
        <w:t>the granules of DS and MCS compared with MS using correlation Analysis</w:t>
      </w:r>
    </w:p>
    <w:p>
      <w:pPr>
        <w:pStyle w:val="BodyText"/>
        <w:spacing w:before="81"/>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MS</w:t>
            </w:r>
          </w:p>
        </w:tc>
      </w:tr>
      <w:tr>
        <w:trPr>
          <w:trHeight w:val="983" w:hRule="atLeast"/>
        </w:trPr>
        <w:tc>
          <w:tcPr>
            <w:tcW w:w="2798" w:type="dxa"/>
            <w:tcBorders>
              <w:bottom w:val="single" w:sz="8" w:space="0" w:color="000000"/>
            </w:tcBorders>
          </w:tcPr>
          <w:p>
            <w:pPr>
              <w:pStyle w:val="TableParagraph"/>
              <w:tabs>
                <w:tab w:pos="779" w:val="left" w:leader="none"/>
              </w:tabs>
              <w:spacing w:line="336" w:lineRule="auto" w:before="4"/>
              <w:ind w:left="779" w:right="179" w:hanging="754"/>
              <w:rPr>
                <w:sz w:val="22"/>
              </w:rPr>
            </w:pPr>
            <w:r>
              <w:rPr>
                <w:spacing w:val="-6"/>
                <w:sz w:val="22"/>
              </w:rPr>
              <w:t>DS</w:t>
            </w:r>
            <w:r>
              <w:rPr>
                <w:sz w:val="22"/>
              </w:rPr>
              <w:tab/>
              <w:t>Pearson Correlation Sig. (2-tailed)</w:t>
            </w:r>
          </w:p>
          <w:p>
            <w:pPr>
              <w:pStyle w:val="TableParagraph"/>
              <w:spacing w:line="250" w:lineRule="exact"/>
              <w:ind w:left="779"/>
              <w:rPr>
                <w:sz w:val="22"/>
              </w:rPr>
            </w:pPr>
            <w:r>
              <w:rPr>
                <w:spacing w:val="-10"/>
                <w:sz w:val="22"/>
              </w:rPr>
              <w:t>N</w:t>
            </w:r>
          </w:p>
        </w:tc>
        <w:tc>
          <w:tcPr>
            <w:tcW w:w="1051" w:type="dxa"/>
            <w:tcBorders>
              <w:bottom w:val="single" w:sz="18" w:space="0" w:color="FFFFFF"/>
              <w:right w:val="single" w:sz="8" w:space="0" w:color="000000"/>
            </w:tcBorders>
          </w:tcPr>
          <w:p>
            <w:pPr>
              <w:pStyle w:val="TableParagraph"/>
              <w:spacing w:before="4"/>
              <w:ind w:left="25"/>
              <w:rPr>
                <w:sz w:val="22"/>
              </w:rPr>
            </w:pPr>
            <w:r>
              <w:rPr>
                <w:spacing w:val="-10"/>
                <w:sz w:val="22"/>
              </w:rPr>
              <w:t>1</w:t>
            </w:r>
          </w:p>
          <w:p>
            <w:pPr>
              <w:pStyle w:val="TableParagraph"/>
              <w:spacing w:before="199"/>
              <w:rPr>
                <w:b/>
                <w:sz w:val="22"/>
              </w:rPr>
            </w:pPr>
          </w:p>
          <w:p>
            <w:pPr>
              <w:pStyle w:val="TableParagraph"/>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8"/>
              <w:rPr>
                <w:sz w:val="22"/>
              </w:rPr>
            </w:pPr>
            <w:r>
              <w:rPr>
                <w:spacing w:val="-2"/>
                <w:w w:val="105"/>
                <w:sz w:val="22"/>
              </w:rPr>
              <w:t>.992</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c>
          <w:tcPr>
            <w:tcW w:w="1051" w:type="dxa"/>
            <w:tcBorders>
              <w:top w:val="single" w:sz="36" w:space="0" w:color="000000"/>
              <w:left w:val="single" w:sz="8" w:space="0" w:color="000000"/>
              <w:bottom w:val="single" w:sz="18" w:space="0" w:color="FFFFFF"/>
            </w:tcBorders>
          </w:tcPr>
          <w:p>
            <w:pPr>
              <w:pStyle w:val="TableParagraph"/>
              <w:spacing w:before="4"/>
              <w:ind w:left="38"/>
              <w:rPr>
                <w:sz w:val="22"/>
              </w:rPr>
            </w:pPr>
            <w:r>
              <w:rPr>
                <w:spacing w:val="-2"/>
                <w:w w:val="105"/>
                <w:sz w:val="22"/>
              </w:rPr>
              <w:t>.995</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r>
      <w:tr>
        <w:trPr>
          <w:trHeight w:val="960" w:hRule="atLeast"/>
        </w:trPr>
        <w:tc>
          <w:tcPr>
            <w:tcW w:w="2798" w:type="dxa"/>
            <w:tcBorders>
              <w:top w:val="single" w:sz="8" w:space="0" w:color="000000"/>
              <w:bottom w:val="single" w:sz="6" w:space="0" w:color="000000"/>
            </w:tcBorders>
          </w:tcPr>
          <w:p>
            <w:pPr>
              <w:pStyle w:val="TableParagraph"/>
              <w:tabs>
                <w:tab w:pos="779" w:val="left" w:leader="none"/>
              </w:tabs>
              <w:spacing w:line="314" w:lineRule="auto" w:before="21"/>
              <w:ind w:left="779" w:right="179" w:hanging="754"/>
              <w:rPr>
                <w:sz w:val="22"/>
              </w:rPr>
            </w:pPr>
            <w:r>
              <w:rPr>
                <w:spacing w:val="-4"/>
                <w:sz w:val="22"/>
              </w:rPr>
              <w:t>MCS</w:t>
            </w:r>
            <w:r>
              <w:rPr>
                <w:sz w:val="22"/>
              </w:rPr>
              <w:tab/>
              <w:t>Pearson Correlation Sig. (2-tailed)</w:t>
            </w:r>
          </w:p>
          <w:p>
            <w:pPr>
              <w:pStyle w:val="TableParagraph"/>
              <w:spacing w:line="252" w:lineRule="exact" w:before="5"/>
              <w:ind w:left="779"/>
              <w:rPr>
                <w:sz w:val="22"/>
              </w:rPr>
            </w:pPr>
            <w:r>
              <w:rPr>
                <w:spacing w:val="-10"/>
                <w:sz w:val="22"/>
              </w:rPr>
              <w:t>N</w:t>
            </w:r>
          </w:p>
        </w:tc>
        <w:tc>
          <w:tcPr>
            <w:tcW w:w="1051" w:type="dxa"/>
            <w:tcBorders>
              <w:top w:val="single" w:sz="18" w:space="0" w:color="FFFFFF"/>
              <w:bottom w:val="single" w:sz="18" w:space="0" w:color="FFFFFF"/>
              <w:right w:val="single" w:sz="8" w:space="0" w:color="000000"/>
            </w:tcBorders>
          </w:tcPr>
          <w:p>
            <w:pPr>
              <w:pStyle w:val="TableParagraph"/>
              <w:spacing w:before="21"/>
              <w:ind w:left="25"/>
              <w:rPr>
                <w:sz w:val="22"/>
              </w:rPr>
            </w:pPr>
            <w:r>
              <w:rPr>
                <w:spacing w:val="-2"/>
                <w:w w:val="105"/>
                <w:sz w:val="22"/>
              </w:rPr>
              <w:t>.992</w:t>
            </w:r>
            <w:r>
              <w:rPr>
                <w:spacing w:val="-2"/>
                <w:w w:val="105"/>
                <w:sz w:val="22"/>
                <w:vertAlign w:val="superscript"/>
              </w:rPr>
              <w:t>**</w:t>
            </w:r>
          </w:p>
          <w:p>
            <w:pPr>
              <w:pStyle w:val="TableParagraph"/>
              <w:spacing w:before="79"/>
              <w:ind w:left="25"/>
              <w:rPr>
                <w:sz w:val="22"/>
              </w:rPr>
            </w:pPr>
            <w:r>
              <w:rPr>
                <w:spacing w:val="-2"/>
                <w:sz w:val="22"/>
              </w:rPr>
              <w:t>.0001</w:t>
            </w:r>
          </w:p>
          <w:p>
            <w:pPr>
              <w:pStyle w:val="TableParagraph"/>
              <w:spacing w:line="252" w:lineRule="exact"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21"/>
              <w:ind w:left="38"/>
              <w:rPr>
                <w:sz w:val="22"/>
              </w:rPr>
            </w:pPr>
            <w:r>
              <w:rPr>
                <w:spacing w:val="-10"/>
                <w:sz w:val="22"/>
              </w:rPr>
              <w:t>1</w:t>
            </w:r>
          </w:p>
          <w:p>
            <w:pPr>
              <w:pStyle w:val="TableParagraph"/>
              <w:spacing w:before="161"/>
              <w:rPr>
                <w:b/>
                <w:sz w:val="22"/>
              </w:rPr>
            </w:pPr>
          </w:p>
          <w:p>
            <w:pPr>
              <w:pStyle w:val="TableParagraph"/>
              <w:spacing w:line="252" w:lineRule="exact" w:before="1"/>
              <w:ind w:left="38"/>
              <w:rPr>
                <w:sz w:val="22"/>
              </w:rPr>
            </w:pPr>
            <w:r>
              <w:rPr>
                <w:spacing w:val="-10"/>
                <w:sz w:val="22"/>
              </w:rPr>
              <w:t>6</w:t>
            </w:r>
          </w:p>
        </w:tc>
        <w:tc>
          <w:tcPr>
            <w:tcW w:w="1051" w:type="dxa"/>
            <w:tcBorders>
              <w:top w:val="single" w:sz="18" w:space="0" w:color="FFFFFF"/>
              <w:left w:val="single" w:sz="8" w:space="0" w:color="000000"/>
              <w:bottom w:val="single" w:sz="6" w:space="0" w:color="000000"/>
            </w:tcBorders>
          </w:tcPr>
          <w:p>
            <w:pPr>
              <w:pStyle w:val="TableParagraph"/>
              <w:spacing w:before="21"/>
              <w:ind w:left="38"/>
              <w:rPr>
                <w:sz w:val="22"/>
              </w:rPr>
            </w:pPr>
            <w:r>
              <w:rPr>
                <w:spacing w:val="-2"/>
                <w:w w:val="105"/>
                <w:sz w:val="22"/>
              </w:rPr>
              <w:t>.999</w:t>
            </w:r>
            <w:r>
              <w:rPr>
                <w:spacing w:val="-2"/>
                <w:w w:val="105"/>
                <w:sz w:val="22"/>
                <w:vertAlign w:val="superscript"/>
              </w:rPr>
              <w:t>**</w:t>
            </w:r>
          </w:p>
          <w:p>
            <w:pPr>
              <w:pStyle w:val="TableParagraph"/>
              <w:spacing w:before="79"/>
              <w:ind w:left="38"/>
              <w:rPr>
                <w:sz w:val="22"/>
              </w:rPr>
            </w:pPr>
            <w:r>
              <w:rPr>
                <w:spacing w:val="-2"/>
                <w:sz w:val="22"/>
              </w:rPr>
              <w:t>.0001</w:t>
            </w:r>
          </w:p>
          <w:p>
            <w:pPr>
              <w:pStyle w:val="TableParagraph"/>
              <w:spacing w:line="252" w:lineRule="exact" w:before="83"/>
              <w:ind w:left="38"/>
              <w:rPr>
                <w:sz w:val="22"/>
              </w:rPr>
            </w:pPr>
            <w:r>
              <w:rPr>
                <w:spacing w:val="-10"/>
                <w:sz w:val="22"/>
              </w:rPr>
              <w:t>6</w:t>
            </w:r>
          </w:p>
        </w:tc>
      </w:tr>
      <w:tr>
        <w:trPr>
          <w:trHeight w:val="965" w:hRule="atLeast"/>
        </w:trPr>
        <w:tc>
          <w:tcPr>
            <w:tcW w:w="2798" w:type="dxa"/>
            <w:tcBorders>
              <w:top w:val="single" w:sz="6" w:space="0" w:color="000000"/>
            </w:tcBorders>
          </w:tcPr>
          <w:p>
            <w:pPr>
              <w:pStyle w:val="TableParagraph"/>
              <w:tabs>
                <w:tab w:pos="779" w:val="left" w:leader="none"/>
              </w:tabs>
              <w:spacing w:line="319" w:lineRule="auto" w:before="14"/>
              <w:ind w:left="779" w:right="179" w:hanging="754"/>
              <w:rPr>
                <w:sz w:val="22"/>
              </w:rPr>
            </w:pPr>
            <w:r>
              <w:rPr>
                <w:spacing w:val="-6"/>
                <w:sz w:val="22"/>
              </w:rPr>
              <w:t>MS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4"/>
              <w:ind w:left="25"/>
              <w:rPr>
                <w:sz w:val="22"/>
              </w:rPr>
            </w:pPr>
            <w:r>
              <w:rPr>
                <w:spacing w:val="-2"/>
                <w:w w:val="105"/>
                <w:sz w:val="22"/>
              </w:rPr>
              <w:t>.995</w:t>
            </w:r>
            <w:r>
              <w:rPr>
                <w:spacing w:val="-2"/>
                <w:w w:val="105"/>
                <w:sz w:val="22"/>
                <w:vertAlign w:val="superscript"/>
              </w:rPr>
              <w:t>**</w:t>
            </w:r>
          </w:p>
          <w:p>
            <w:pPr>
              <w:pStyle w:val="TableParagraph"/>
              <w:spacing w:before="83"/>
              <w:ind w:left="25"/>
              <w:rPr>
                <w:sz w:val="22"/>
              </w:rPr>
            </w:pPr>
            <w:r>
              <w:rPr>
                <w:spacing w:val="-2"/>
                <w:sz w:val="22"/>
              </w:rPr>
              <w:t>.0001</w:t>
            </w:r>
          </w:p>
          <w:p>
            <w:pPr>
              <w:pStyle w:val="TableParagraph"/>
              <w:spacing w:before="78"/>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4"/>
              <w:ind w:left="38"/>
              <w:rPr>
                <w:sz w:val="22"/>
              </w:rPr>
            </w:pPr>
            <w:r>
              <w:rPr>
                <w:spacing w:val="-2"/>
                <w:w w:val="105"/>
                <w:sz w:val="22"/>
              </w:rPr>
              <w:t>.999</w:t>
            </w:r>
            <w:r>
              <w:rPr>
                <w:spacing w:val="-2"/>
                <w:w w:val="105"/>
                <w:sz w:val="22"/>
                <w:vertAlign w:val="superscript"/>
              </w:rPr>
              <w:t>**</w:t>
            </w:r>
          </w:p>
          <w:p>
            <w:pPr>
              <w:pStyle w:val="TableParagraph"/>
              <w:spacing w:before="83"/>
              <w:ind w:left="38"/>
              <w:rPr>
                <w:sz w:val="22"/>
              </w:rPr>
            </w:pPr>
            <w:r>
              <w:rPr>
                <w:spacing w:val="-2"/>
                <w:sz w:val="22"/>
              </w:rPr>
              <w:t>.0001</w:t>
            </w:r>
          </w:p>
          <w:p>
            <w:pPr>
              <w:pStyle w:val="TableParagraph"/>
              <w:spacing w:before="78"/>
              <w:ind w:left="38"/>
              <w:rPr>
                <w:sz w:val="22"/>
              </w:rPr>
            </w:pPr>
            <w:r>
              <w:rPr>
                <w:spacing w:val="-10"/>
                <w:sz w:val="22"/>
              </w:rPr>
              <w:t>6</w:t>
            </w:r>
          </w:p>
        </w:tc>
        <w:tc>
          <w:tcPr>
            <w:tcW w:w="1051" w:type="dxa"/>
            <w:tcBorders>
              <w:top w:val="single" w:sz="6" w:space="0" w:color="000000"/>
              <w:left w:val="single" w:sz="8" w:space="0" w:color="000000"/>
            </w:tcBorders>
          </w:tcPr>
          <w:p>
            <w:pPr>
              <w:pStyle w:val="TableParagraph"/>
              <w:spacing w:before="14"/>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r>
    </w:tbl>
    <w:p>
      <w:pPr>
        <w:pStyle w:val="BodyText"/>
        <w:spacing w:before="1"/>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520" w:bottom="1180" w:left="1720" w:right="760"/>
        </w:sectPr>
      </w:pPr>
    </w:p>
    <w:p>
      <w:pPr>
        <w:pStyle w:val="Heading2"/>
        <w:spacing w:line="244" w:lineRule="auto" w:before="79"/>
        <w:ind w:left="665" w:right="1108" w:firstLine="0"/>
      </w:pPr>
      <w:r>
        <w:rPr/>
        <w:t>Effect</w:t>
      </w:r>
      <w:r>
        <w:rPr>
          <w:spacing w:val="40"/>
        </w:rPr>
        <w:t> </w:t>
      </w:r>
      <w:r>
        <w:rPr/>
        <w:t>of</w:t>
      </w:r>
      <w:r>
        <w:rPr>
          <w:spacing w:val="40"/>
        </w:rPr>
        <w:t> </w:t>
      </w:r>
      <w:r>
        <w:rPr/>
        <w:t>Disintegrant</w:t>
      </w:r>
      <w:r>
        <w:rPr>
          <w:spacing w:val="40"/>
        </w:rPr>
        <w:t> </w:t>
      </w:r>
      <w:r>
        <w:rPr/>
        <w:t>concentration</w:t>
      </w:r>
      <w:r>
        <w:rPr>
          <w:spacing w:val="40"/>
        </w:rPr>
        <w:t> </w:t>
      </w:r>
      <w:r>
        <w:rPr/>
        <w:t>at</w:t>
      </w:r>
      <w:r>
        <w:rPr>
          <w:spacing w:val="40"/>
        </w:rPr>
        <w:t> </w:t>
      </w:r>
      <w:r>
        <w:rPr/>
        <w:t>12.5</w:t>
      </w:r>
      <w:r>
        <w:rPr>
          <w:spacing w:val="40"/>
        </w:rPr>
        <w:t> </w:t>
      </w:r>
      <w:r>
        <w:rPr/>
        <w:t>%</w:t>
      </w:r>
      <w:r>
        <w:rPr>
          <w:spacing w:val="40"/>
        </w:rPr>
        <w:t> </w:t>
      </w:r>
      <w:r>
        <w:rPr/>
        <w:t>on</w:t>
      </w:r>
      <w:r>
        <w:rPr>
          <w:spacing w:val="40"/>
        </w:rPr>
        <w:t> </w:t>
      </w:r>
      <w:r>
        <w:rPr/>
        <w:t>the</w:t>
      </w:r>
      <w:r>
        <w:rPr>
          <w:spacing w:val="40"/>
        </w:rPr>
        <w:t> </w:t>
      </w:r>
      <w:r>
        <w:rPr/>
        <w:t>physical</w:t>
      </w:r>
      <w:r>
        <w:rPr>
          <w:spacing w:val="40"/>
        </w:rPr>
        <w:t> </w:t>
      </w:r>
      <w:r>
        <w:rPr/>
        <w:t>properties</w:t>
      </w:r>
      <w:r>
        <w:rPr>
          <w:spacing w:val="40"/>
        </w:rPr>
        <w:t> </w:t>
      </w:r>
      <w:r>
        <w:rPr/>
        <w:t>of</w:t>
      </w:r>
      <w:r>
        <w:rPr>
          <w:spacing w:val="40"/>
        </w:rPr>
        <w:t> </w:t>
      </w:r>
      <w:r>
        <w:rPr/>
        <w:t>the granules of DS and MCS compared with MS using correlation Analysis</w:t>
      </w:r>
    </w:p>
    <w:p>
      <w:pPr>
        <w:pStyle w:val="BodyText"/>
        <w:spacing w:before="81"/>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MS</w:t>
            </w:r>
          </w:p>
        </w:tc>
      </w:tr>
      <w:tr>
        <w:trPr>
          <w:trHeight w:val="983" w:hRule="atLeast"/>
        </w:trPr>
        <w:tc>
          <w:tcPr>
            <w:tcW w:w="2798" w:type="dxa"/>
            <w:tcBorders>
              <w:bottom w:val="single" w:sz="8" w:space="0" w:color="000000"/>
            </w:tcBorders>
          </w:tcPr>
          <w:p>
            <w:pPr>
              <w:pStyle w:val="TableParagraph"/>
              <w:tabs>
                <w:tab w:pos="779" w:val="left" w:leader="none"/>
              </w:tabs>
              <w:spacing w:line="336" w:lineRule="auto" w:before="4"/>
              <w:ind w:left="779" w:right="179" w:hanging="754"/>
              <w:rPr>
                <w:sz w:val="22"/>
              </w:rPr>
            </w:pPr>
            <w:r>
              <w:rPr>
                <w:spacing w:val="-6"/>
                <w:sz w:val="22"/>
              </w:rPr>
              <w:t>DS</w:t>
            </w:r>
            <w:r>
              <w:rPr>
                <w:sz w:val="22"/>
              </w:rPr>
              <w:tab/>
              <w:t>Pearson Correlation Sig. (2-tailed)</w:t>
            </w:r>
          </w:p>
          <w:p>
            <w:pPr>
              <w:pStyle w:val="TableParagraph"/>
              <w:spacing w:line="250" w:lineRule="exact"/>
              <w:ind w:left="779"/>
              <w:rPr>
                <w:sz w:val="22"/>
              </w:rPr>
            </w:pPr>
            <w:r>
              <w:rPr>
                <w:spacing w:val="-10"/>
                <w:sz w:val="22"/>
              </w:rPr>
              <w:t>N</w:t>
            </w:r>
          </w:p>
        </w:tc>
        <w:tc>
          <w:tcPr>
            <w:tcW w:w="1051" w:type="dxa"/>
            <w:tcBorders>
              <w:bottom w:val="single" w:sz="18" w:space="0" w:color="FFFFFF"/>
              <w:right w:val="single" w:sz="8" w:space="0" w:color="000000"/>
            </w:tcBorders>
          </w:tcPr>
          <w:p>
            <w:pPr>
              <w:pStyle w:val="TableParagraph"/>
              <w:spacing w:before="4"/>
              <w:ind w:left="25"/>
              <w:rPr>
                <w:sz w:val="22"/>
              </w:rPr>
            </w:pPr>
            <w:r>
              <w:rPr>
                <w:spacing w:val="-10"/>
                <w:sz w:val="22"/>
              </w:rPr>
              <w:t>1</w:t>
            </w:r>
          </w:p>
          <w:p>
            <w:pPr>
              <w:pStyle w:val="TableParagraph"/>
              <w:spacing w:before="199"/>
              <w:rPr>
                <w:b/>
                <w:sz w:val="22"/>
              </w:rPr>
            </w:pPr>
          </w:p>
          <w:p>
            <w:pPr>
              <w:pStyle w:val="TableParagraph"/>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8"/>
              <w:rPr>
                <w:sz w:val="22"/>
              </w:rPr>
            </w:pPr>
            <w:r>
              <w:rPr>
                <w:spacing w:val="-2"/>
                <w:w w:val="105"/>
                <w:sz w:val="22"/>
              </w:rPr>
              <w:t>.997</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c>
          <w:tcPr>
            <w:tcW w:w="1051" w:type="dxa"/>
            <w:tcBorders>
              <w:top w:val="single" w:sz="36" w:space="0" w:color="000000"/>
              <w:left w:val="single" w:sz="8" w:space="0" w:color="000000"/>
              <w:bottom w:val="single" w:sz="18" w:space="0" w:color="FFFFFF"/>
            </w:tcBorders>
          </w:tcPr>
          <w:p>
            <w:pPr>
              <w:pStyle w:val="TableParagraph"/>
              <w:spacing w:before="4"/>
              <w:ind w:left="38"/>
              <w:rPr>
                <w:sz w:val="22"/>
              </w:rPr>
            </w:pPr>
            <w:r>
              <w:rPr>
                <w:spacing w:val="-2"/>
                <w:w w:val="105"/>
                <w:sz w:val="22"/>
              </w:rPr>
              <w:t>.996</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r>
      <w:tr>
        <w:trPr>
          <w:trHeight w:val="960" w:hRule="atLeast"/>
        </w:trPr>
        <w:tc>
          <w:tcPr>
            <w:tcW w:w="2798" w:type="dxa"/>
            <w:tcBorders>
              <w:top w:val="single" w:sz="8" w:space="0" w:color="000000"/>
              <w:bottom w:val="single" w:sz="6" w:space="0" w:color="000000"/>
            </w:tcBorders>
          </w:tcPr>
          <w:p>
            <w:pPr>
              <w:pStyle w:val="TableParagraph"/>
              <w:tabs>
                <w:tab w:pos="779" w:val="left" w:leader="none"/>
              </w:tabs>
              <w:spacing w:line="314" w:lineRule="auto" w:before="21"/>
              <w:ind w:left="779" w:right="179" w:hanging="754"/>
              <w:rPr>
                <w:sz w:val="22"/>
              </w:rPr>
            </w:pPr>
            <w:r>
              <w:rPr>
                <w:spacing w:val="-4"/>
                <w:sz w:val="22"/>
              </w:rPr>
              <w:t>MCS</w:t>
            </w:r>
            <w:r>
              <w:rPr>
                <w:sz w:val="22"/>
              </w:rPr>
              <w:tab/>
              <w:t>Pearson Correlation Sig. (2-tailed)</w:t>
            </w:r>
          </w:p>
          <w:p>
            <w:pPr>
              <w:pStyle w:val="TableParagraph"/>
              <w:spacing w:line="252" w:lineRule="exact" w:before="5"/>
              <w:ind w:left="779"/>
              <w:rPr>
                <w:sz w:val="22"/>
              </w:rPr>
            </w:pPr>
            <w:r>
              <w:rPr>
                <w:spacing w:val="-10"/>
                <w:sz w:val="22"/>
              </w:rPr>
              <w:t>N</w:t>
            </w:r>
          </w:p>
        </w:tc>
        <w:tc>
          <w:tcPr>
            <w:tcW w:w="1051" w:type="dxa"/>
            <w:tcBorders>
              <w:top w:val="single" w:sz="18" w:space="0" w:color="FFFFFF"/>
              <w:bottom w:val="single" w:sz="18" w:space="0" w:color="FFFFFF"/>
              <w:right w:val="single" w:sz="8" w:space="0" w:color="000000"/>
            </w:tcBorders>
          </w:tcPr>
          <w:p>
            <w:pPr>
              <w:pStyle w:val="TableParagraph"/>
              <w:spacing w:before="21"/>
              <w:ind w:left="25"/>
              <w:rPr>
                <w:sz w:val="22"/>
              </w:rPr>
            </w:pPr>
            <w:r>
              <w:rPr>
                <w:spacing w:val="-2"/>
                <w:w w:val="105"/>
                <w:sz w:val="22"/>
              </w:rPr>
              <w:t>.997</w:t>
            </w:r>
            <w:r>
              <w:rPr>
                <w:spacing w:val="-2"/>
                <w:w w:val="105"/>
                <w:sz w:val="22"/>
                <w:vertAlign w:val="superscript"/>
              </w:rPr>
              <w:t>**</w:t>
            </w:r>
          </w:p>
          <w:p>
            <w:pPr>
              <w:pStyle w:val="TableParagraph"/>
              <w:spacing w:before="79"/>
              <w:ind w:left="25"/>
              <w:rPr>
                <w:sz w:val="22"/>
              </w:rPr>
            </w:pPr>
            <w:r>
              <w:rPr>
                <w:spacing w:val="-2"/>
                <w:sz w:val="22"/>
              </w:rPr>
              <w:t>.0001</w:t>
            </w:r>
          </w:p>
          <w:p>
            <w:pPr>
              <w:pStyle w:val="TableParagraph"/>
              <w:spacing w:line="252" w:lineRule="exact"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21"/>
              <w:ind w:left="38"/>
              <w:rPr>
                <w:sz w:val="22"/>
              </w:rPr>
            </w:pPr>
            <w:r>
              <w:rPr>
                <w:spacing w:val="-10"/>
                <w:sz w:val="22"/>
              </w:rPr>
              <w:t>1</w:t>
            </w:r>
          </w:p>
          <w:p>
            <w:pPr>
              <w:pStyle w:val="TableParagraph"/>
              <w:spacing w:before="161"/>
              <w:rPr>
                <w:b/>
                <w:sz w:val="22"/>
              </w:rPr>
            </w:pPr>
          </w:p>
          <w:p>
            <w:pPr>
              <w:pStyle w:val="TableParagraph"/>
              <w:spacing w:line="252" w:lineRule="exact" w:before="1"/>
              <w:ind w:left="38"/>
              <w:rPr>
                <w:sz w:val="22"/>
              </w:rPr>
            </w:pPr>
            <w:r>
              <w:rPr>
                <w:spacing w:val="-10"/>
                <w:sz w:val="22"/>
              </w:rPr>
              <w:t>6</w:t>
            </w:r>
          </w:p>
        </w:tc>
        <w:tc>
          <w:tcPr>
            <w:tcW w:w="1051" w:type="dxa"/>
            <w:tcBorders>
              <w:top w:val="single" w:sz="18" w:space="0" w:color="FFFFFF"/>
              <w:left w:val="single" w:sz="8" w:space="0" w:color="000000"/>
              <w:bottom w:val="single" w:sz="6" w:space="0" w:color="000000"/>
            </w:tcBorders>
          </w:tcPr>
          <w:p>
            <w:pPr>
              <w:pStyle w:val="TableParagraph"/>
              <w:spacing w:before="21"/>
              <w:ind w:left="38"/>
              <w:rPr>
                <w:sz w:val="22"/>
              </w:rPr>
            </w:pPr>
            <w:r>
              <w:rPr>
                <w:spacing w:val="-2"/>
                <w:w w:val="105"/>
                <w:sz w:val="22"/>
              </w:rPr>
              <w:t>.987</w:t>
            </w:r>
            <w:r>
              <w:rPr>
                <w:spacing w:val="-2"/>
                <w:w w:val="105"/>
                <w:sz w:val="22"/>
                <w:vertAlign w:val="superscript"/>
              </w:rPr>
              <w:t>**</w:t>
            </w:r>
          </w:p>
          <w:p>
            <w:pPr>
              <w:pStyle w:val="TableParagraph"/>
              <w:spacing w:before="79"/>
              <w:ind w:left="38"/>
              <w:rPr>
                <w:sz w:val="22"/>
              </w:rPr>
            </w:pPr>
            <w:r>
              <w:rPr>
                <w:spacing w:val="-2"/>
                <w:sz w:val="22"/>
              </w:rPr>
              <w:t>.0001</w:t>
            </w:r>
          </w:p>
          <w:p>
            <w:pPr>
              <w:pStyle w:val="TableParagraph"/>
              <w:spacing w:line="252" w:lineRule="exact" w:before="83"/>
              <w:ind w:left="38"/>
              <w:rPr>
                <w:sz w:val="22"/>
              </w:rPr>
            </w:pPr>
            <w:r>
              <w:rPr>
                <w:spacing w:val="-10"/>
                <w:sz w:val="22"/>
              </w:rPr>
              <w:t>6</w:t>
            </w:r>
          </w:p>
        </w:tc>
      </w:tr>
      <w:tr>
        <w:trPr>
          <w:trHeight w:val="965" w:hRule="atLeast"/>
        </w:trPr>
        <w:tc>
          <w:tcPr>
            <w:tcW w:w="2798" w:type="dxa"/>
            <w:tcBorders>
              <w:top w:val="single" w:sz="6" w:space="0" w:color="000000"/>
            </w:tcBorders>
          </w:tcPr>
          <w:p>
            <w:pPr>
              <w:pStyle w:val="TableParagraph"/>
              <w:tabs>
                <w:tab w:pos="779" w:val="left" w:leader="none"/>
              </w:tabs>
              <w:spacing w:line="319" w:lineRule="auto" w:before="14"/>
              <w:ind w:left="779" w:right="179" w:hanging="754"/>
              <w:rPr>
                <w:sz w:val="22"/>
              </w:rPr>
            </w:pPr>
            <w:r>
              <w:rPr>
                <w:spacing w:val="-6"/>
                <w:sz w:val="22"/>
              </w:rPr>
              <w:t>MS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4"/>
              <w:ind w:left="25"/>
              <w:rPr>
                <w:sz w:val="22"/>
              </w:rPr>
            </w:pPr>
            <w:r>
              <w:rPr>
                <w:spacing w:val="-2"/>
                <w:w w:val="105"/>
                <w:sz w:val="22"/>
              </w:rPr>
              <w:t>.996</w:t>
            </w:r>
            <w:r>
              <w:rPr>
                <w:spacing w:val="-2"/>
                <w:w w:val="105"/>
                <w:sz w:val="22"/>
                <w:vertAlign w:val="superscript"/>
              </w:rPr>
              <w:t>**</w:t>
            </w:r>
          </w:p>
          <w:p>
            <w:pPr>
              <w:pStyle w:val="TableParagraph"/>
              <w:spacing w:before="83"/>
              <w:ind w:left="25"/>
              <w:rPr>
                <w:sz w:val="22"/>
              </w:rPr>
            </w:pPr>
            <w:r>
              <w:rPr>
                <w:spacing w:val="-2"/>
                <w:sz w:val="22"/>
              </w:rPr>
              <w:t>.0001</w:t>
            </w:r>
          </w:p>
          <w:p>
            <w:pPr>
              <w:pStyle w:val="TableParagraph"/>
              <w:spacing w:before="78"/>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4"/>
              <w:ind w:left="38"/>
              <w:rPr>
                <w:sz w:val="22"/>
              </w:rPr>
            </w:pPr>
            <w:r>
              <w:rPr>
                <w:spacing w:val="-2"/>
                <w:w w:val="105"/>
                <w:sz w:val="22"/>
              </w:rPr>
              <w:t>.987</w:t>
            </w:r>
            <w:r>
              <w:rPr>
                <w:spacing w:val="-2"/>
                <w:w w:val="105"/>
                <w:sz w:val="22"/>
                <w:vertAlign w:val="superscript"/>
              </w:rPr>
              <w:t>**</w:t>
            </w:r>
          </w:p>
          <w:p>
            <w:pPr>
              <w:pStyle w:val="TableParagraph"/>
              <w:spacing w:before="83"/>
              <w:ind w:left="38"/>
              <w:rPr>
                <w:sz w:val="22"/>
              </w:rPr>
            </w:pPr>
            <w:r>
              <w:rPr>
                <w:spacing w:val="-2"/>
                <w:sz w:val="22"/>
              </w:rPr>
              <w:t>.0001</w:t>
            </w:r>
          </w:p>
          <w:p>
            <w:pPr>
              <w:pStyle w:val="TableParagraph"/>
              <w:spacing w:before="78"/>
              <w:ind w:left="38"/>
              <w:rPr>
                <w:sz w:val="22"/>
              </w:rPr>
            </w:pPr>
            <w:r>
              <w:rPr>
                <w:spacing w:val="-10"/>
                <w:sz w:val="22"/>
              </w:rPr>
              <w:t>6</w:t>
            </w:r>
          </w:p>
        </w:tc>
        <w:tc>
          <w:tcPr>
            <w:tcW w:w="1051" w:type="dxa"/>
            <w:tcBorders>
              <w:top w:val="single" w:sz="6" w:space="0" w:color="000000"/>
              <w:left w:val="single" w:sz="8" w:space="0" w:color="000000"/>
            </w:tcBorders>
          </w:tcPr>
          <w:p>
            <w:pPr>
              <w:pStyle w:val="TableParagraph"/>
              <w:spacing w:before="14"/>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r>
    </w:tbl>
    <w:p>
      <w:pPr>
        <w:pStyle w:val="BodyText"/>
        <w:spacing w:before="1"/>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520" w:bottom="1180" w:left="1720" w:right="760"/>
        </w:sectPr>
      </w:pPr>
    </w:p>
    <w:p>
      <w:pPr>
        <w:pStyle w:val="Heading2"/>
        <w:spacing w:line="244" w:lineRule="auto" w:before="80"/>
        <w:ind w:left="665" w:right="994" w:firstLine="0"/>
      </w:pPr>
      <w:r>
        <w:rPr/>
        <w:t>Effect</w:t>
      </w:r>
      <w:r>
        <w:rPr>
          <w:spacing w:val="26"/>
        </w:rPr>
        <w:t> </w:t>
      </w:r>
      <w:r>
        <w:rPr/>
        <w:t>of</w:t>
      </w:r>
      <w:r>
        <w:rPr>
          <w:spacing w:val="27"/>
        </w:rPr>
        <w:t> </w:t>
      </w:r>
      <w:r>
        <w:rPr/>
        <w:t>Binder</w:t>
      </w:r>
      <w:r>
        <w:rPr>
          <w:spacing w:val="20"/>
        </w:rPr>
        <w:t> </w:t>
      </w:r>
      <w:r>
        <w:rPr/>
        <w:t>concentration</w:t>
      </w:r>
      <w:r>
        <w:rPr>
          <w:spacing w:val="29"/>
        </w:rPr>
        <w:t> </w:t>
      </w:r>
      <w:r>
        <w:rPr/>
        <w:t>at</w:t>
      </w:r>
      <w:r>
        <w:rPr>
          <w:spacing w:val="26"/>
        </w:rPr>
        <w:t> </w:t>
      </w:r>
      <w:r>
        <w:rPr/>
        <w:t>2.5</w:t>
      </w:r>
      <w:r>
        <w:rPr>
          <w:spacing w:val="33"/>
        </w:rPr>
        <w:t> </w:t>
      </w:r>
      <w:r>
        <w:rPr/>
        <w:t>%</w:t>
      </w:r>
      <w:r>
        <w:rPr>
          <w:spacing w:val="24"/>
        </w:rPr>
        <w:t> </w:t>
      </w:r>
      <w:r>
        <w:rPr/>
        <w:t>on</w:t>
      </w:r>
      <w:r>
        <w:rPr>
          <w:spacing w:val="29"/>
        </w:rPr>
        <w:t> </w:t>
      </w:r>
      <w:r>
        <w:rPr/>
        <w:t>the</w:t>
      </w:r>
      <w:r>
        <w:rPr>
          <w:spacing w:val="20"/>
        </w:rPr>
        <w:t> </w:t>
      </w:r>
      <w:r>
        <w:rPr/>
        <w:t>physical</w:t>
      </w:r>
      <w:r>
        <w:rPr>
          <w:spacing w:val="24"/>
        </w:rPr>
        <w:t> </w:t>
      </w:r>
      <w:r>
        <w:rPr/>
        <w:t>properties</w:t>
      </w:r>
      <w:r>
        <w:rPr>
          <w:spacing w:val="22"/>
        </w:rPr>
        <w:t> </w:t>
      </w:r>
      <w:r>
        <w:rPr/>
        <w:t>of</w:t>
      </w:r>
      <w:r>
        <w:rPr>
          <w:spacing w:val="26"/>
        </w:rPr>
        <w:t> </w:t>
      </w:r>
      <w:r>
        <w:rPr/>
        <w:t>the</w:t>
      </w:r>
      <w:r>
        <w:rPr>
          <w:spacing w:val="24"/>
        </w:rPr>
        <w:t> </w:t>
      </w:r>
      <w:r>
        <w:rPr/>
        <w:t>granules of DS and MCS compared with GEL using correlation analysis</w:t>
      </w:r>
    </w:p>
    <w:p>
      <w:pPr>
        <w:pStyle w:val="BodyText"/>
        <w:spacing w:before="23"/>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GEL</w:t>
            </w:r>
          </w:p>
        </w:tc>
      </w:tr>
      <w:tr>
        <w:trPr>
          <w:trHeight w:val="976" w:hRule="atLeast"/>
        </w:trPr>
        <w:tc>
          <w:tcPr>
            <w:tcW w:w="2798" w:type="dxa"/>
            <w:tcBorders>
              <w:bottom w:val="single" w:sz="8" w:space="0" w:color="000000"/>
            </w:tcBorders>
          </w:tcPr>
          <w:p>
            <w:pPr>
              <w:pStyle w:val="TableParagraph"/>
              <w:tabs>
                <w:tab w:pos="779" w:val="left" w:leader="none"/>
              </w:tabs>
              <w:spacing w:line="333" w:lineRule="auto" w:before="9"/>
              <w:ind w:left="779" w:right="179" w:hanging="754"/>
              <w:rPr>
                <w:sz w:val="22"/>
              </w:rPr>
            </w:pPr>
            <w:r>
              <w:rPr>
                <w:spacing w:val="-6"/>
                <w:sz w:val="22"/>
              </w:rPr>
              <w:t>DS</w:t>
            </w:r>
            <w:r>
              <w:rPr>
                <w:sz w:val="22"/>
              </w:rPr>
              <w:tab/>
              <w:t>Pearson Correlation Sig. (2-tailed)</w:t>
            </w:r>
          </w:p>
          <w:p>
            <w:pPr>
              <w:pStyle w:val="TableParagraph"/>
              <w:spacing w:line="244" w:lineRule="exact"/>
              <w:ind w:left="779"/>
              <w:rPr>
                <w:sz w:val="22"/>
              </w:rPr>
            </w:pPr>
            <w:r>
              <w:rPr>
                <w:spacing w:val="-10"/>
                <w:sz w:val="22"/>
              </w:rPr>
              <w:t>N</w:t>
            </w:r>
          </w:p>
        </w:tc>
        <w:tc>
          <w:tcPr>
            <w:tcW w:w="1051" w:type="dxa"/>
            <w:tcBorders>
              <w:bottom w:val="single" w:sz="24" w:space="0" w:color="FFFFFF"/>
              <w:right w:val="single" w:sz="8" w:space="0" w:color="000000"/>
            </w:tcBorders>
          </w:tcPr>
          <w:p>
            <w:pPr>
              <w:pStyle w:val="TableParagraph"/>
              <w:spacing w:before="9"/>
              <w:ind w:left="25"/>
              <w:rPr>
                <w:sz w:val="22"/>
              </w:rPr>
            </w:pPr>
            <w:r>
              <w:rPr>
                <w:spacing w:val="-10"/>
                <w:sz w:val="22"/>
              </w:rPr>
              <w:t>1</w:t>
            </w:r>
          </w:p>
          <w:p>
            <w:pPr>
              <w:pStyle w:val="TableParagraph"/>
              <w:spacing w:before="194"/>
              <w:rPr>
                <w:b/>
                <w:sz w:val="22"/>
              </w:rPr>
            </w:pPr>
          </w:p>
          <w:p>
            <w:pPr>
              <w:pStyle w:val="TableParagraph"/>
              <w:spacing w:line="247" w:lineRule="exact"/>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9"/>
              <w:ind w:left="38"/>
              <w:rPr>
                <w:sz w:val="22"/>
              </w:rPr>
            </w:pPr>
            <w:r>
              <w:rPr>
                <w:spacing w:val="-2"/>
                <w:w w:val="105"/>
                <w:sz w:val="22"/>
              </w:rPr>
              <w:t>.999</w:t>
            </w:r>
            <w:r>
              <w:rPr>
                <w:spacing w:val="-2"/>
                <w:w w:val="105"/>
                <w:sz w:val="22"/>
                <w:vertAlign w:val="superscript"/>
              </w:rPr>
              <w:t>**</w:t>
            </w:r>
          </w:p>
          <w:p>
            <w:pPr>
              <w:pStyle w:val="TableParagraph"/>
              <w:spacing w:before="97"/>
              <w:ind w:left="38"/>
              <w:rPr>
                <w:sz w:val="22"/>
              </w:rPr>
            </w:pPr>
            <w:r>
              <w:rPr>
                <w:spacing w:val="-2"/>
                <w:sz w:val="22"/>
              </w:rPr>
              <w:t>.0001</w:t>
            </w:r>
          </w:p>
          <w:p>
            <w:pPr>
              <w:pStyle w:val="TableParagraph"/>
              <w:spacing w:line="247" w:lineRule="exact" w:before="97"/>
              <w:ind w:left="38"/>
              <w:rPr>
                <w:sz w:val="22"/>
              </w:rPr>
            </w:pPr>
            <w:r>
              <w:rPr>
                <w:spacing w:val="-10"/>
                <w:sz w:val="22"/>
              </w:rPr>
              <w:t>6</w:t>
            </w:r>
          </w:p>
        </w:tc>
        <w:tc>
          <w:tcPr>
            <w:tcW w:w="1051" w:type="dxa"/>
            <w:tcBorders>
              <w:top w:val="single" w:sz="36" w:space="0" w:color="000000"/>
              <w:left w:val="single" w:sz="8" w:space="0" w:color="000000"/>
              <w:bottom w:val="single" w:sz="24" w:space="0" w:color="FFFFFF"/>
            </w:tcBorders>
          </w:tcPr>
          <w:p>
            <w:pPr>
              <w:pStyle w:val="TableParagraph"/>
              <w:spacing w:before="9"/>
              <w:ind w:left="38"/>
              <w:rPr>
                <w:sz w:val="22"/>
              </w:rPr>
            </w:pPr>
            <w:r>
              <w:rPr>
                <w:spacing w:val="-2"/>
                <w:w w:val="105"/>
                <w:sz w:val="22"/>
              </w:rPr>
              <w:t>.992</w:t>
            </w:r>
            <w:r>
              <w:rPr>
                <w:spacing w:val="-2"/>
                <w:w w:val="105"/>
                <w:sz w:val="22"/>
                <w:vertAlign w:val="superscript"/>
              </w:rPr>
              <w:t>**</w:t>
            </w:r>
          </w:p>
          <w:p>
            <w:pPr>
              <w:pStyle w:val="TableParagraph"/>
              <w:spacing w:before="97"/>
              <w:ind w:left="38"/>
              <w:rPr>
                <w:sz w:val="22"/>
              </w:rPr>
            </w:pPr>
            <w:r>
              <w:rPr>
                <w:spacing w:val="-2"/>
                <w:sz w:val="22"/>
              </w:rPr>
              <w:t>.0001</w:t>
            </w:r>
          </w:p>
          <w:p>
            <w:pPr>
              <w:pStyle w:val="TableParagraph"/>
              <w:spacing w:line="247" w:lineRule="exact" w:before="97"/>
              <w:ind w:left="38"/>
              <w:rPr>
                <w:sz w:val="22"/>
              </w:rPr>
            </w:pPr>
            <w:r>
              <w:rPr>
                <w:spacing w:val="-10"/>
                <w:sz w:val="22"/>
              </w:rPr>
              <w:t>6</w:t>
            </w:r>
          </w:p>
        </w:tc>
      </w:tr>
      <w:tr>
        <w:trPr>
          <w:trHeight w:val="955" w:hRule="atLeast"/>
        </w:trPr>
        <w:tc>
          <w:tcPr>
            <w:tcW w:w="2798" w:type="dxa"/>
            <w:tcBorders>
              <w:top w:val="single" w:sz="8" w:space="0" w:color="000000"/>
              <w:bottom w:val="single" w:sz="8" w:space="0" w:color="000000"/>
            </w:tcBorders>
          </w:tcPr>
          <w:p>
            <w:pPr>
              <w:pStyle w:val="TableParagraph"/>
              <w:tabs>
                <w:tab w:pos="779" w:val="left" w:leader="none"/>
              </w:tabs>
              <w:spacing w:line="314" w:lineRule="auto" w:before="14"/>
              <w:ind w:left="779" w:right="179" w:hanging="754"/>
              <w:rPr>
                <w:sz w:val="22"/>
              </w:rPr>
            </w:pPr>
            <w:r>
              <w:rPr>
                <w:spacing w:val="-4"/>
                <w:sz w:val="22"/>
              </w:rPr>
              <w:t>MCS</w:t>
            </w:r>
            <w:r>
              <w:rPr>
                <w:sz w:val="22"/>
              </w:rPr>
              <w:tab/>
              <w:t>Pearson Correlation Sig. (2-tailed)</w:t>
            </w:r>
          </w:p>
          <w:p>
            <w:pPr>
              <w:pStyle w:val="TableParagraph"/>
              <w:spacing w:before="4"/>
              <w:ind w:left="779"/>
              <w:rPr>
                <w:sz w:val="22"/>
              </w:rPr>
            </w:pPr>
            <w:r>
              <w:rPr>
                <w:spacing w:val="-10"/>
                <w:sz w:val="22"/>
              </w:rPr>
              <w:t>N</w:t>
            </w:r>
          </w:p>
        </w:tc>
        <w:tc>
          <w:tcPr>
            <w:tcW w:w="1051" w:type="dxa"/>
            <w:tcBorders>
              <w:top w:val="single" w:sz="24" w:space="0" w:color="FFFFFF"/>
              <w:bottom w:val="single" w:sz="18" w:space="0" w:color="FFFFFF"/>
              <w:right w:val="single" w:sz="8" w:space="0" w:color="000000"/>
            </w:tcBorders>
          </w:tcPr>
          <w:p>
            <w:pPr>
              <w:pStyle w:val="TableParagraph"/>
              <w:spacing w:before="14"/>
              <w:ind w:left="25"/>
              <w:rPr>
                <w:sz w:val="22"/>
              </w:rPr>
            </w:pPr>
            <w:r>
              <w:rPr>
                <w:spacing w:val="-2"/>
                <w:w w:val="105"/>
                <w:sz w:val="22"/>
              </w:rPr>
              <w:t>.999</w:t>
            </w:r>
            <w:r>
              <w:rPr>
                <w:spacing w:val="-2"/>
                <w:w w:val="105"/>
                <w:sz w:val="22"/>
                <w:vertAlign w:val="superscript"/>
              </w:rPr>
              <w:t>**</w:t>
            </w:r>
          </w:p>
          <w:p>
            <w:pPr>
              <w:pStyle w:val="TableParagraph"/>
              <w:spacing w:before="78"/>
              <w:ind w:left="25"/>
              <w:rPr>
                <w:sz w:val="22"/>
              </w:rPr>
            </w:pPr>
            <w:r>
              <w:rPr>
                <w:spacing w:val="-2"/>
                <w:sz w:val="22"/>
              </w:rPr>
              <w:t>.0001</w:t>
            </w:r>
          </w:p>
          <w:p>
            <w:pPr>
              <w:pStyle w:val="TableParagraph"/>
              <w:spacing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14"/>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c>
          <w:tcPr>
            <w:tcW w:w="1051" w:type="dxa"/>
            <w:tcBorders>
              <w:top w:val="single" w:sz="24" w:space="0" w:color="FFFFFF"/>
              <w:left w:val="single" w:sz="8" w:space="0" w:color="000000"/>
              <w:bottom w:val="single" w:sz="8" w:space="0" w:color="000000"/>
            </w:tcBorders>
          </w:tcPr>
          <w:p>
            <w:pPr>
              <w:pStyle w:val="TableParagraph"/>
              <w:spacing w:before="14"/>
              <w:ind w:left="38"/>
              <w:rPr>
                <w:sz w:val="22"/>
              </w:rPr>
            </w:pPr>
            <w:r>
              <w:rPr>
                <w:spacing w:val="-2"/>
                <w:w w:val="105"/>
                <w:sz w:val="22"/>
              </w:rPr>
              <w:t>.996</w:t>
            </w:r>
            <w:r>
              <w:rPr>
                <w:spacing w:val="-2"/>
                <w:w w:val="105"/>
                <w:sz w:val="22"/>
                <w:vertAlign w:val="superscript"/>
              </w:rPr>
              <w:t>**</w:t>
            </w:r>
          </w:p>
          <w:p>
            <w:pPr>
              <w:pStyle w:val="TableParagraph"/>
              <w:spacing w:before="78"/>
              <w:ind w:left="38"/>
              <w:rPr>
                <w:sz w:val="22"/>
              </w:rPr>
            </w:pPr>
            <w:r>
              <w:rPr>
                <w:spacing w:val="-2"/>
                <w:sz w:val="22"/>
              </w:rPr>
              <w:t>.0001</w:t>
            </w:r>
          </w:p>
          <w:p>
            <w:pPr>
              <w:pStyle w:val="TableParagraph"/>
              <w:spacing w:before="83"/>
              <w:ind w:left="38"/>
              <w:rPr>
                <w:sz w:val="22"/>
              </w:rPr>
            </w:pPr>
            <w:r>
              <w:rPr>
                <w:spacing w:val="-10"/>
                <w:sz w:val="22"/>
              </w:rPr>
              <w:t>6</w:t>
            </w:r>
          </w:p>
        </w:tc>
      </w:tr>
      <w:tr>
        <w:trPr>
          <w:trHeight w:val="963" w:hRule="atLeast"/>
        </w:trPr>
        <w:tc>
          <w:tcPr>
            <w:tcW w:w="2798" w:type="dxa"/>
            <w:tcBorders>
              <w:top w:val="single" w:sz="8" w:space="0" w:color="000000"/>
            </w:tcBorders>
          </w:tcPr>
          <w:p>
            <w:pPr>
              <w:pStyle w:val="TableParagraph"/>
              <w:tabs>
                <w:tab w:pos="779" w:val="left" w:leader="none"/>
              </w:tabs>
              <w:spacing w:line="319" w:lineRule="auto" w:before="12"/>
              <w:ind w:left="779" w:right="179" w:hanging="754"/>
              <w:rPr>
                <w:sz w:val="22"/>
              </w:rPr>
            </w:pPr>
            <w:r>
              <w:rPr>
                <w:spacing w:val="-4"/>
                <w:sz w:val="22"/>
              </w:rPr>
              <w:t>GEL</w:t>
            </w:r>
            <w:r>
              <w:rPr>
                <w:sz w:val="22"/>
              </w:rPr>
              <w:tab/>
              <w:t>Pearson Correlation Sig. (2-tailed)</w:t>
            </w:r>
          </w:p>
          <w:p>
            <w:pPr>
              <w:pStyle w:val="TableParagraph"/>
              <w:spacing w:line="252"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2"/>
              <w:ind w:left="25"/>
              <w:rPr>
                <w:sz w:val="22"/>
              </w:rPr>
            </w:pPr>
            <w:r>
              <w:rPr>
                <w:spacing w:val="-2"/>
                <w:w w:val="105"/>
                <w:sz w:val="22"/>
              </w:rPr>
              <w:t>.992</w:t>
            </w:r>
            <w:r>
              <w:rPr>
                <w:spacing w:val="-2"/>
                <w:w w:val="105"/>
                <w:sz w:val="22"/>
                <w:vertAlign w:val="superscript"/>
              </w:rPr>
              <w:t>**</w:t>
            </w:r>
          </w:p>
          <w:p>
            <w:pPr>
              <w:pStyle w:val="TableParagraph"/>
              <w:spacing w:before="83"/>
              <w:ind w:left="25"/>
              <w:rPr>
                <w:sz w:val="22"/>
              </w:rPr>
            </w:pPr>
            <w:r>
              <w:rPr>
                <w:spacing w:val="-2"/>
                <w:sz w:val="22"/>
              </w:rPr>
              <w:t>.0001</w:t>
            </w:r>
          </w:p>
          <w:p>
            <w:pPr>
              <w:pStyle w:val="TableParagraph"/>
              <w:spacing w:before="83"/>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2"/>
              <w:ind w:left="38"/>
              <w:rPr>
                <w:sz w:val="22"/>
              </w:rPr>
            </w:pPr>
            <w:r>
              <w:rPr>
                <w:spacing w:val="-2"/>
                <w:w w:val="105"/>
                <w:sz w:val="22"/>
              </w:rPr>
              <w:t>.996</w:t>
            </w:r>
            <w:r>
              <w:rPr>
                <w:spacing w:val="-2"/>
                <w:w w:val="105"/>
                <w:sz w:val="22"/>
                <w:vertAlign w:val="superscript"/>
              </w:rPr>
              <w:t>**</w:t>
            </w:r>
          </w:p>
          <w:p>
            <w:pPr>
              <w:pStyle w:val="TableParagraph"/>
              <w:spacing w:before="83"/>
              <w:ind w:left="38"/>
              <w:rPr>
                <w:sz w:val="22"/>
              </w:rPr>
            </w:pPr>
            <w:r>
              <w:rPr>
                <w:spacing w:val="-2"/>
                <w:sz w:val="22"/>
              </w:rPr>
              <w:t>.0001</w:t>
            </w:r>
          </w:p>
          <w:p>
            <w:pPr>
              <w:pStyle w:val="TableParagraph"/>
              <w:spacing w:before="83"/>
              <w:ind w:left="38"/>
              <w:rPr>
                <w:sz w:val="22"/>
              </w:rPr>
            </w:pPr>
            <w:r>
              <w:rPr>
                <w:spacing w:val="-10"/>
                <w:sz w:val="22"/>
              </w:rPr>
              <w:t>6</w:t>
            </w:r>
          </w:p>
        </w:tc>
        <w:tc>
          <w:tcPr>
            <w:tcW w:w="1051" w:type="dxa"/>
            <w:tcBorders>
              <w:top w:val="single" w:sz="8" w:space="0" w:color="000000"/>
              <w:left w:val="single" w:sz="8" w:space="0" w:color="000000"/>
            </w:tcBorders>
          </w:tcPr>
          <w:p>
            <w:pPr>
              <w:pStyle w:val="TableParagraph"/>
              <w:spacing w:before="12"/>
              <w:ind w:left="38"/>
              <w:rPr>
                <w:sz w:val="22"/>
              </w:rPr>
            </w:pPr>
            <w:r>
              <w:rPr>
                <w:spacing w:val="-10"/>
                <w:sz w:val="22"/>
              </w:rPr>
              <w:t>1</w:t>
            </w:r>
          </w:p>
          <w:p>
            <w:pPr>
              <w:pStyle w:val="TableParagraph"/>
              <w:spacing w:before="166"/>
              <w:rPr>
                <w:b/>
                <w:sz w:val="22"/>
              </w:rPr>
            </w:pPr>
          </w:p>
          <w:p>
            <w:pPr>
              <w:pStyle w:val="TableParagraph"/>
              <w:ind w:left="38"/>
              <w:rPr>
                <w:sz w:val="22"/>
              </w:rPr>
            </w:pPr>
            <w:r>
              <w:rPr>
                <w:spacing w:val="-10"/>
                <w:sz w:val="22"/>
              </w:rPr>
              <w:t>6</w:t>
            </w: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260" w:bottom="1180" w:left="1720" w:right="760"/>
        </w:sectPr>
      </w:pPr>
    </w:p>
    <w:p>
      <w:pPr>
        <w:pStyle w:val="Heading2"/>
        <w:spacing w:line="244" w:lineRule="auto" w:before="79"/>
        <w:ind w:left="665" w:right="994" w:firstLine="0"/>
      </w:pPr>
      <w:r>
        <w:rPr/>
        <w:t>Effect</w:t>
      </w:r>
      <w:r>
        <w:rPr>
          <w:spacing w:val="26"/>
        </w:rPr>
        <w:t> </w:t>
      </w:r>
      <w:r>
        <w:rPr/>
        <w:t>of</w:t>
      </w:r>
      <w:r>
        <w:rPr>
          <w:spacing w:val="26"/>
        </w:rPr>
        <w:t> </w:t>
      </w:r>
      <w:r>
        <w:rPr/>
        <w:t>Binder</w:t>
      </w:r>
      <w:r>
        <w:rPr>
          <w:spacing w:val="20"/>
        </w:rPr>
        <w:t> </w:t>
      </w:r>
      <w:r>
        <w:rPr/>
        <w:t>concentration</w:t>
      </w:r>
      <w:r>
        <w:rPr>
          <w:spacing w:val="29"/>
        </w:rPr>
        <w:t> </w:t>
      </w:r>
      <w:r>
        <w:rPr/>
        <w:t>at</w:t>
      </w:r>
      <w:r>
        <w:rPr>
          <w:spacing w:val="26"/>
        </w:rPr>
        <w:t> </w:t>
      </w:r>
      <w:r>
        <w:rPr/>
        <w:t>5.0</w:t>
      </w:r>
      <w:r>
        <w:rPr>
          <w:spacing w:val="33"/>
        </w:rPr>
        <w:t> </w:t>
      </w:r>
      <w:r>
        <w:rPr/>
        <w:t>%</w:t>
      </w:r>
      <w:r>
        <w:rPr>
          <w:spacing w:val="24"/>
        </w:rPr>
        <w:t> </w:t>
      </w:r>
      <w:r>
        <w:rPr/>
        <w:t>on</w:t>
      </w:r>
      <w:r>
        <w:rPr>
          <w:spacing w:val="29"/>
        </w:rPr>
        <w:t> </w:t>
      </w:r>
      <w:r>
        <w:rPr/>
        <w:t>the</w:t>
      </w:r>
      <w:r>
        <w:rPr>
          <w:spacing w:val="20"/>
        </w:rPr>
        <w:t> </w:t>
      </w:r>
      <w:r>
        <w:rPr/>
        <w:t>physical</w:t>
      </w:r>
      <w:r>
        <w:rPr>
          <w:spacing w:val="24"/>
        </w:rPr>
        <w:t> </w:t>
      </w:r>
      <w:r>
        <w:rPr/>
        <w:t>properties</w:t>
      </w:r>
      <w:r>
        <w:rPr>
          <w:spacing w:val="22"/>
        </w:rPr>
        <w:t> </w:t>
      </w:r>
      <w:r>
        <w:rPr/>
        <w:t>of</w:t>
      </w:r>
      <w:r>
        <w:rPr>
          <w:spacing w:val="26"/>
        </w:rPr>
        <w:t> </w:t>
      </w:r>
      <w:r>
        <w:rPr/>
        <w:t>the</w:t>
      </w:r>
      <w:r>
        <w:rPr>
          <w:spacing w:val="24"/>
        </w:rPr>
        <w:t> </w:t>
      </w:r>
      <w:r>
        <w:rPr/>
        <w:t>granules of DS and MCS compared with GEL using correlation analysis</w:t>
      </w:r>
    </w:p>
    <w:p>
      <w:pPr>
        <w:pStyle w:val="BodyText"/>
        <w:spacing w:before="81"/>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98"/>
        <w:gridCol w:w="1051"/>
        <w:gridCol w:w="1046"/>
        <w:gridCol w:w="1051"/>
      </w:tblGrid>
      <w:tr>
        <w:trPr>
          <w:trHeight w:val="285" w:hRule="atLeast"/>
        </w:trPr>
        <w:tc>
          <w:tcPr>
            <w:tcW w:w="2798" w:type="dxa"/>
          </w:tcPr>
          <w:p>
            <w:pPr>
              <w:pStyle w:val="TableParagraph"/>
              <w:rPr>
                <w:sz w:val="20"/>
              </w:rPr>
            </w:pPr>
          </w:p>
        </w:tc>
        <w:tc>
          <w:tcPr>
            <w:tcW w:w="1051" w:type="dxa"/>
            <w:tcBorders>
              <w:right w:val="single" w:sz="8" w:space="0" w:color="000000"/>
            </w:tcBorders>
          </w:tcPr>
          <w:p>
            <w:pPr>
              <w:pStyle w:val="TableParagraph"/>
              <w:spacing w:line="241" w:lineRule="exact" w:before="24"/>
              <w:ind w:left="25"/>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41" w:lineRule="exact" w:before="24"/>
              <w:ind w:left="38"/>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41" w:lineRule="exact" w:before="24"/>
              <w:ind w:left="38"/>
              <w:rPr>
                <w:sz w:val="22"/>
              </w:rPr>
            </w:pPr>
            <w:r>
              <w:rPr>
                <w:spacing w:val="-5"/>
                <w:sz w:val="22"/>
              </w:rPr>
              <w:t>GEL</w:t>
            </w:r>
          </w:p>
        </w:tc>
      </w:tr>
      <w:tr>
        <w:trPr>
          <w:trHeight w:val="983" w:hRule="atLeast"/>
        </w:trPr>
        <w:tc>
          <w:tcPr>
            <w:tcW w:w="2798" w:type="dxa"/>
            <w:tcBorders>
              <w:bottom w:val="single" w:sz="8" w:space="0" w:color="000000"/>
            </w:tcBorders>
          </w:tcPr>
          <w:p>
            <w:pPr>
              <w:pStyle w:val="TableParagraph"/>
              <w:tabs>
                <w:tab w:pos="779" w:val="left" w:leader="none"/>
              </w:tabs>
              <w:spacing w:line="336" w:lineRule="auto" w:before="4"/>
              <w:ind w:left="779" w:right="179" w:hanging="754"/>
              <w:rPr>
                <w:sz w:val="22"/>
              </w:rPr>
            </w:pPr>
            <w:r>
              <w:rPr>
                <w:spacing w:val="-6"/>
                <w:sz w:val="22"/>
              </w:rPr>
              <w:t>DS</w:t>
            </w:r>
            <w:r>
              <w:rPr>
                <w:sz w:val="22"/>
              </w:rPr>
              <w:tab/>
              <w:t>Pearson Correlation Sig. (2-tailed)</w:t>
            </w:r>
          </w:p>
          <w:p>
            <w:pPr>
              <w:pStyle w:val="TableParagraph"/>
              <w:spacing w:line="250" w:lineRule="exact"/>
              <w:ind w:left="779"/>
              <w:rPr>
                <w:sz w:val="22"/>
              </w:rPr>
            </w:pPr>
            <w:r>
              <w:rPr>
                <w:spacing w:val="-10"/>
                <w:sz w:val="22"/>
              </w:rPr>
              <w:t>N</w:t>
            </w:r>
          </w:p>
        </w:tc>
        <w:tc>
          <w:tcPr>
            <w:tcW w:w="1051" w:type="dxa"/>
            <w:tcBorders>
              <w:bottom w:val="single" w:sz="18" w:space="0" w:color="FFFFFF"/>
              <w:right w:val="single" w:sz="8" w:space="0" w:color="000000"/>
            </w:tcBorders>
          </w:tcPr>
          <w:p>
            <w:pPr>
              <w:pStyle w:val="TableParagraph"/>
              <w:spacing w:before="4"/>
              <w:ind w:left="25"/>
              <w:rPr>
                <w:sz w:val="22"/>
              </w:rPr>
            </w:pPr>
            <w:r>
              <w:rPr>
                <w:spacing w:val="-10"/>
                <w:sz w:val="22"/>
              </w:rPr>
              <w:t>1</w:t>
            </w:r>
          </w:p>
          <w:p>
            <w:pPr>
              <w:pStyle w:val="TableParagraph"/>
              <w:spacing w:before="199"/>
              <w:rPr>
                <w:b/>
                <w:sz w:val="22"/>
              </w:rPr>
            </w:pPr>
          </w:p>
          <w:p>
            <w:pPr>
              <w:pStyle w:val="TableParagraph"/>
              <w:ind w:left="25"/>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8"/>
              <w:rPr>
                <w:sz w:val="22"/>
              </w:rPr>
            </w:pPr>
            <w:r>
              <w:rPr>
                <w:spacing w:val="-2"/>
                <w:w w:val="105"/>
                <w:sz w:val="22"/>
              </w:rPr>
              <w:t>.999</w:t>
            </w:r>
            <w:r>
              <w:rPr>
                <w:spacing w:val="-2"/>
                <w:w w:val="105"/>
                <w:sz w:val="22"/>
                <w:vertAlign w:val="superscript"/>
              </w:rPr>
              <w:t>**</w:t>
            </w:r>
          </w:p>
          <w:p>
            <w:pPr>
              <w:pStyle w:val="TableParagraph"/>
              <w:spacing w:before="102"/>
              <w:ind w:left="38"/>
              <w:rPr>
                <w:sz w:val="22"/>
              </w:rPr>
            </w:pPr>
            <w:r>
              <w:rPr>
                <w:spacing w:val="-2"/>
                <w:sz w:val="22"/>
              </w:rPr>
              <w:t>.0001</w:t>
            </w:r>
          </w:p>
          <w:p>
            <w:pPr>
              <w:pStyle w:val="TableParagraph"/>
              <w:spacing w:before="97"/>
              <w:ind w:left="38"/>
              <w:rPr>
                <w:sz w:val="22"/>
              </w:rPr>
            </w:pPr>
            <w:r>
              <w:rPr>
                <w:spacing w:val="-10"/>
                <w:sz w:val="22"/>
              </w:rPr>
              <w:t>6</w:t>
            </w:r>
          </w:p>
        </w:tc>
        <w:tc>
          <w:tcPr>
            <w:tcW w:w="1051" w:type="dxa"/>
            <w:tcBorders>
              <w:top w:val="single" w:sz="36" w:space="0" w:color="000000"/>
              <w:left w:val="single" w:sz="8" w:space="0" w:color="000000"/>
              <w:bottom w:val="single" w:sz="18" w:space="0" w:color="FFFFFF"/>
            </w:tcBorders>
          </w:tcPr>
          <w:p>
            <w:pPr>
              <w:pStyle w:val="TableParagraph"/>
              <w:spacing w:before="4"/>
              <w:ind w:left="38"/>
              <w:rPr>
                <w:sz w:val="22"/>
              </w:rPr>
            </w:pPr>
            <w:r>
              <w:rPr>
                <w:spacing w:val="-2"/>
                <w:w w:val="105"/>
                <w:sz w:val="22"/>
              </w:rPr>
              <w:t>.975</w:t>
            </w:r>
            <w:r>
              <w:rPr>
                <w:spacing w:val="-2"/>
                <w:w w:val="105"/>
                <w:sz w:val="22"/>
                <w:vertAlign w:val="superscript"/>
              </w:rPr>
              <w:t>**</w:t>
            </w:r>
          </w:p>
          <w:p>
            <w:pPr>
              <w:pStyle w:val="TableParagraph"/>
              <w:spacing w:before="102"/>
              <w:ind w:left="38"/>
              <w:rPr>
                <w:sz w:val="22"/>
              </w:rPr>
            </w:pPr>
            <w:r>
              <w:rPr>
                <w:spacing w:val="-4"/>
                <w:sz w:val="22"/>
              </w:rPr>
              <w:t>.001</w:t>
            </w:r>
          </w:p>
          <w:p>
            <w:pPr>
              <w:pStyle w:val="TableParagraph"/>
              <w:spacing w:before="97"/>
              <w:ind w:left="38"/>
              <w:rPr>
                <w:sz w:val="22"/>
              </w:rPr>
            </w:pPr>
            <w:r>
              <w:rPr>
                <w:spacing w:val="-10"/>
                <w:sz w:val="22"/>
              </w:rPr>
              <w:t>6</w:t>
            </w:r>
          </w:p>
        </w:tc>
      </w:tr>
      <w:tr>
        <w:trPr>
          <w:trHeight w:val="960" w:hRule="atLeast"/>
        </w:trPr>
        <w:tc>
          <w:tcPr>
            <w:tcW w:w="2798" w:type="dxa"/>
            <w:tcBorders>
              <w:top w:val="single" w:sz="8" w:space="0" w:color="000000"/>
              <w:bottom w:val="single" w:sz="6" w:space="0" w:color="000000"/>
            </w:tcBorders>
          </w:tcPr>
          <w:p>
            <w:pPr>
              <w:pStyle w:val="TableParagraph"/>
              <w:tabs>
                <w:tab w:pos="779" w:val="left" w:leader="none"/>
              </w:tabs>
              <w:spacing w:line="314" w:lineRule="auto" w:before="21"/>
              <w:ind w:left="779" w:right="179" w:hanging="754"/>
              <w:rPr>
                <w:sz w:val="22"/>
              </w:rPr>
            </w:pPr>
            <w:r>
              <w:rPr>
                <w:spacing w:val="-4"/>
                <w:sz w:val="22"/>
              </w:rPr>
              <w:t>MCS</w:t>
            </w:r>
            <w:r>
              <w:rPr>
                <w:sz w:val="22"/>
              </w:rPr>
              <w:tab/>
              <w:t>Pearson Correlation Sig. (2-tailed)</w:t>
            </w:r>
          </w:p>
          <w:p>
            <w:pPr>
              <w:pStyle w:val="TableParagraph"/>
              <w:spacing w:line="252" w:lineRule="exact" w:before="5"/>
              <w:ind w:left="779"/>
              <w:rPr>
                <w:sz w:val="22"/>
              </w:rPr>
            </w:pPr>
            <w:r>
              <w:rPr>
                <w:spacing w:val="-10"/>
                <w:sz w:val="22"/>
              </w:rPr>
              <w:t>N</w:t>
            </w:r>
          </w:p>
        </w:tc>
        <w:tc>
          <w:tcPr>
            <w:tcW w:w="1051" w:type="dxa"/>
            <w:tcBorders>
              <w:top w:val="single" w:sz="18" w:space="0" w:color="FFFFFF"/>
              <w:bottom w:val="single" w:sz="18" w:space="0" w:color="FFFFFF"/>
              <w:right w:val="single" w:sz="8" w:space="0" w:color="000000"/>
            </w:tcBorders>
          </w:tcPr>
          <w:p>
            <w:pPr>
              <w:pStyle w:val="TableParagraph"/>
              <w:spacing w:before="21"/>
              <w:ind w:left="25"/>
              <w:rPr>
                <w:sz w:val="22"/>
              </w:rPr>
            </w:pPr>
            <w:r>
              <w:rPr>
                <w:spacing w:val="-2"/>
                <w:w w:val="105"/>
                <w:sz w:val="22"/>
              </w:rPr>
              <w:t>.999</w:t>
            </w:r>
            <w:r>
              <w:rPr>
                <w:spacing w:val="-2"/>
                <w:w w:val="105"/>
                <w:sz w:val="22"/>
                <w:vertAlign w:val="superscript"/>
              </w:rPr>
              <w:t>**</w:t>
            </w:r>
          </w:p>
          <w:p>
            <w:pPr>
              <w:pStyle w:val="TableParagraph"/>
              <w:spacing w:before="79"/>
              <w:ind w:left="25"/>
              <w:rPr>
                <w:sz w:val="22"/>
              </w:rPr>
            </w:pPr>
            <w:r>
              <w:rPr>
                <w:spacing w:val="-2"/>
                <w:sz w:val="22"/>
              </w:rPr>
              <w:t>.0001</w:t>
            </w:r>
          </w:p>
          <w:p>
            <w:pPr>
              <w:pStyle w:val="TableParagraph"/>
              <w:spacing w:line="252" w:lineRule="exact" w:before="83"/>
              <w:ind w:left="25"/>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21"/>
              <w:ind w:left="38"/>
              <w:rPr>
                <w:sz w:val="22"/>
              </w:rPr>
            </w:pPr>
            <w:r>
              <w:rPr>
                <w:spacing w:val="-10"/>
                <w:sz w:val="22"/>
              </w:rPr>
              <w:t>1</w:t>
            </w:r>
          </w:p>
          <w:p>
            <w:pPr>
              <w:pStyle w:val="TableParagraph"/>
              <w:spacing w:before="161"/>
              <w:rPr>
                <w:b/>
                <w:sz w:val="22"/>
              </w:rPr>
            </w:pPr>
          </w:p>
          <w:p>
            <w:pPr>
              <w:pStyle w:val="TableParagraph"/>
              <w:spacing w:line="252" w:lineRule="exact" w:before="1"/>
              <w:ind w:left="38"/>
              <w:rPr>
                <w:sz w:val="22"/>
              </w:rPr>
            </w:pPr>
            <w:r>
              <w:rPr>
                <w:spacing w:val="-10"/>
                <w:sz w:val="22"/>
              </w:rPr>
              <w:t>6</w:t>
            </w:r>
          </w:p>
        </w:tc>
        <w:tc>
          <w:tcPr>
            <w:tcW w:w="1051" w:type="dxa"/>
            <w:tcBorders>
              <w:top w:val="single" w:sz="18" w:space="0" w:color="FFFFFF"/>
              <w:left w:val="single" w:sz="8" w:space="0" w:color="000000"/>
              <w:bottom w:val="single" w:sz="6" w:space="0" w:color="000000"/>
            </w:tcBorders>
          </w:tcPr>
          <w:p>
            <w:pPr>
              <w:pStyle w:val="TableParagraph"/>
              <w:spacing w:before="21"/>
              <w:ind w:left="38"/>
              <w:rPr>
                <w:sz w:val="22"/>
              </w:rPr>
            </w:pPr>
            <w:r>
              <w:rPr>
                <w:spacing w:val="-2"/>
                <w:w w:val="105"/>
                <w:sz w:val="22"/>
              </w:rPr>
              <w:t>.966</w:t>
            </w:r>
            <w:r>
              <w:rPr>
                <w:spacing w:val="-2"/>
                <w:w w:val="105"/>
                <w:sz w:val="22"/>
                <w:vertAlign w:val="superscript"/>
              </w:rPr>
              <w:t>**</w:t>
            </w:r>
          </w:p>
          <w:p>
            <w:pPr>
              <w:pStyle w:val="TableParagraph"/>
              <w:spacing w:before="79"/>
              <w:ind w:left="38"/>
              <w:rPr>
                <w:sz w:val="22"/>
              </w:rPr>
            </w:pPr>
            <w:r>
              <w:rPr>
                <w:spacing w:val="-4"/>
                <w:sz w:val="22"/>
              </w:rPr>
              <w:t>.002</w:t>
            </w:r>
          </w:p>
          <w:p>
            <w:pPr>
              <w:pStyle w:val="TableParagraph"/>
              <w:spacing w:line="252" w:lineRule="exact" w:before="83"/>
              <w:ind w:left="38"/>
              <w:rPr>
                <w:sz w:val="22"/>
              </w:rPr>
            </w:pPr>
            <w:r>
              <w:rPr>
                <w:spacing w:val="-10"/>
                <w:sz w:val="22"/>
              </w:rPr>
              <w:t>6</w:t>
            </w:r>
          </w:p>
        </w:tc>
      </w:tr>
      <w:tr>
        <w:trPr>
          <w:trHeight w:val="965" w:hRule="atLeast"/>
        </w:trPr>
        <w:tc>
          <w:tcPr>
            <w:tcW w:w="2798" w:type="dxa"/>
            <w:tcBorders>
              <w:top w:val="single" w:sz="6" w:space="0" w:color="000000"/>
            </w:tcBorders>
          </w:tcPr>
          <w:p>
            <w:pPr>
              <w:pStyle w:val="TableParagraph"/>
              <w:tabs>
                <w:tab w:pos="779" w:val="left" w:leader="none"/>
              </w:tabs>
              <w:spacing w:line="319" w:lineRule="auto" w:before="14"/>
              <w:ind w:left="779" w:right="179" w:hanging="754"/>
              <w:rPr>
                <w:sz w:val="22"/>
              </w:rPr>
            </w:pPr>
            <w:r>
              <w:rPr>
                <w:spacing w:val="-4"/>
                <w:sz w:val="22"/>
              </w:rPr>
              <w:t>GEL</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18" w:space="0" w:color="FFFFFF"/>
              <w:right w:val="single" w:sz="8" w:space="0" w:color="000000"/>
            </w:tcBorders>
          </w:tcPr>
          <w:p>
            <w:pPr>
              <w:pStyle w:val="TableParagraph"/>
              <w:spacing w:before="14"/>
              <w:ind w:left="25"/>
              <w:rPr>
                <w:sz w:val="22"/>
              </w:rPr>
            </w:pPr>
            <w:r>
              <w:rPr>
                <w:spacing w:val="-2"/>
                <w:w w:val="105"/>
                <w:sz w:val="22"/>
              </w:rPr>
              <w:t>.975</w:t>
            </w:r>
            <w:r>
              <w:rPr>
                <w:spacing w:val="-2"/>
                <w:w w:val="105"/>
                <w:sz w:val="22"/>
                <w:vertAlign w:val="superscript"/>
              </w:rPr>
              <w:t>**</w:t>
            </w:r>
          </w:p>
          <w:p>
            <w:pPr>
              <w:pStyle w:val="TableParagraph"/>
              <w:spacing w:before="83"/>
              <w:ind w:left="25"/>
              <w:rPr>
                <w:sz w:val="22"/>
              </w:rPr>
            </w:pPr>
            <w:r>
              <w:rPr>
                <w:spacing w:val="-4"/>
                <w:sz w:val="22"/>
              </w:rPr>
              <w:t>.001</w:t>
            </w:r>
          </w:p>
          <w:p>
            <w:pPr>
              <w:pStyle w:val="TableParagraph"/>
              <w:spacing w:before="78"/>
              <w:ind w:left="25"/>
              <w:rPr>
                <w:sz w:val="22"/>
              </w:rPr>
            </w:pPr>
            <w:r>
              <w:rPr>
                <w:spacing w:val="-10"/>
                <w:sz w:val="22"/>
              </w:rPr>
              <w:t>6</w:t>
            </w:r>
          </w:p>
        </w:tc>
        <w:tc>
          <w:tcPr>
            <w:tcW w:w="1046" w:type="dxa"/>
            <w:tcBorders>
              <w:top w:val="single" w:sz="18" w:space="0" w:color="FFFFFF"/>
              <w:left w:val="single" w:sz="8" w:space="0" w:color="000000"/>
              <w:right w:val="single" w:sz="8" w:space="0" w:color="000000"/>
            </w:tcBorders>
          </w:tcPr>
          <w:p>
            <w:pPr>
              <w:pStyle w:val="TableParagraph"/>
              <w:spacing w:before="14"/>
              <w:ind w:left="38"/>
              <w:rPr>
                <w:sz w:val="22"/>
              </w:rPr>
            </w:pPr>
            <w:r>
              <w:rPr>
                <w:spacing w:val="-2"/>
                <w:w w:val="105"/>
                <w:sz w:val="22"/>
              </w:rPr>
              <w:t>.966</w:t>
            </w:r>
            <w:r>
              <w:rPr>
                <w:spacing w:val="-2"/>
                <w:w w:val="105"/>
                <w:sz w:val="22"/>
                <w:vertAlign w:val="superscript"/>
              </w:rPr>
              <w:t>**</w:t>
            </w:r>
          </w:p>
          <w:p>
            <w:pPr>
              <w:pStyle w:val="TableParagraph"/>
              <w:spacing w:before="83"/>
              <w:ind w:left="38"/>
              <w:rPr>
                <w:sz w:val="22"/>
              </w:rPr>
            </w:pPr>
            <w:r>
              <w:rPr>
                <w:spacing w:val="-4"/>
                <w:sz w:val="22"/>
              </w:rPr>
              <w:t>.002</w:t>
            </w:r>
          </w:p>
          <w:p>
            <w:pPr>
              <w:pStyle w:val="TableParagraph"/>
              <w:spacing w:before="78"/>
              <w:ind w:left="38"/>
              <w:rPr>
                <w:sz w:val="22"/>
              </w:rPr>
            </w:pPr>
            <w:r>
              <w:rPr>
                <w:spacing w:val="-10"/>
                <w:sz w:val="22"/>
              </w:rPr>
              <w:t>6</w:t>
            </w:r>
          </w:p>
        </w:tc>
        <w:tc>
          <w:tcPr>
            <w:tcW w:w="1051" w:type="dxa"/>
            <w:tcBorders>
              <w:top w:val="single" w:sz="6" w:space="0" w:color="000000"/>
              <w:left w:val="single" w:sz="8" w:space="0" w:color="000000"/>
            </w:tcBorders>
          </w:tcPr>
          <w:p>
            <w:pPr>
              <w:pStyle w:val="TableParagraph"/>
              <w:spacing w:before="14"/>
              <w:ind w:left="38"/>
              <w:rPr>
                <w:sz w:val="22"/>
              </w:rPr>
            </w:pPr>
            <w:r>
              <w:rPr>
                <w:spacing w:val="-10"/>
                <w:sz w:val="22"/>
              </w:rPr>
              <w:t>1</w:t>
            </w:r>
          </w:p>
          <w:p>
            <w:pPr>
              <w:pStyle w:val="TableParagraph"/>
              <w:spacing w:before="161"/>
              <w:rPr>
                <w:b/>
                <w:sz w:val="22"/>
              </w:rPr>
            </w:pPr>
          </w:p>
          <w:p>
            <w:pPr>
              <w:pStyle w:val="TableParagraph"/>
              <w:ind w:left="38"/>
              <w:rPr>
                <w:sz w:val="22"/>
              </w:rPr>
            </w:pPr>
            <w:r>
              <w:rPr>
                <w:spacing w:val="-10"/>
                <w:sz w:val="22"/>
              </w:rPr>
              <w:t>6</w:t>
            </w:r>
          </w:p>
        </w:tc>
      </w:tr>
    </w:tbl>
    <w:p>
      <w:pPr>
        <w:pStyle w:val="BodyText"/>
        <w:spacing w:before="1"/>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520" w:bottom="1180" w:left="1720" w:right="760"/>
        </w:sectPr>
      </w:pPr>
    </w:p>
    <w:p>
      <w:pPr>
        <w:pStyle w:val="Heading2"/>
        <w:spacing w:line="244" w:lineRule="auto" w:before="80"/>
        <w:ind w:left="665" w:right="994" w:firstLine="0"/>
      </w:pPr>
      <w:r>
        <w:rPr/>
        <w:t>Effect</w:t>
      </w:r>
      <w:r>
        <w:rPr>
          <w:spacing w:val="26"/>
        </w:rPr>
        <w:t> </w:t>
      </w:r>
      <w:r>
        <w:rPr/>
        <w:t>of</w:t>
      </w:r>
      <w:r>
        <w:rPr>
          <w:spacing w:val="26"/>
        </w:rPr>
        <w:t> </w:t>
      </w:r>
      <w:r>
        <w:rPr/>
        <w:t>Binder</w:t>
      </w:r>
      <w:r>
        <w:rPr>
          <w:spacing w:val="20"/>
        </w:rPr>
        <w:t> </w:t>
      </w:r>
      <w:r>
        <w:rPr/>
        <w:t>concentration</w:t>
      </w:r>
      <w:r>
        <w:rPr>
          <w:spacing w:val="30"/>
        </w:rPr>
        <w:t> </w:t>
      </w:r>
      <w:r>
        <w:rPr/>
        <w:t>at</w:t>
      </w:r>
      <w:r>
        <w:rPr>
          <w:spacing w:val="26"/>
        </w:rPr>
        <w:t> </w:t>
      </w:r>
      <w:r>
        <w:rPr/>
        <w:t>7.5</w:t>
      </w:r>
      <w:r>
        <w:rPr>
          <w:spacing w:val="33"/>
        </w:rPr>
        <w:t> </w:t>
      </w:r>
      <w:r>
        <w:rPr/>
        <w:t>%</w:t>
      </w:r>
      <w:r>
        <w:rPr>
          <w:spacing w:val="24"/>
        </w:rPr>
        <w:t> </w:t>
      </w:r>
      <w:r>
        <w:rPr/>
        <w:t>on</w:t>
      </w:r>
      <w:r>
        <w:rPr>
          <w:spacing w:val="29"/>
        </w:rPr>
        <w:t> </w:t>
      </w:r>
      <w:r>
        <w:rPr/>
        <w:t>the</w:t>
      </w:r>
      <w:r>
        <w:rPr>
          <w:spacing w:val="20"/>
        </w:rPr>
        <w:t> </w:t>
      </w:r>
      <w:r>
        <w:rPr/>
        <w:t>physical</w:t>
      </w:r>
      <w:r>
        <w:rPr>
          <w:spacing w:val="24"/>
        </w:rPr>
        <w:t> </w:t>
      </w:r>
      <w:r>
        <w:rPr/>
        <w:t>properties</w:t>
      </w:r>
      <w:r>
        <w:rPr>
          <w:spacing w:val="22"/>
        </w:rPr>
        <w:t> </w:t>
      </w:r>
      <w:r>
        <w:rPr/>
        <w:t>of</w:t>
      </w:r>
      <w:r>
        <w:rPr>
          <w:spacing w:val="26"/>
        </w:rPr>
        <w:t> </w:t>
      </w:r>
      <w:r>
        <w:rPr/>
        <w:t>the</w:t>
      </w:r>
      <w:r>
        <w:rPr>
          <w:spacing w:val="24"/>
        </w:rPr>
        <w:t> </w:t>
      </w:r>
      <w:r>
        <w:rPr/>
        <w:t>granules of DS and MCS compared with GEL using correlation analysis</w:t>
      </w:r>
    </w:p>
    <w:p>
      <w:pPr>
        <w:pStyle w:val="BodyText"/>
        <w:spacing w:line="28" w:lineRule="exact"/>
        <w:ind w:left="665"/>
        <w:rPr>
          <w:sz w:val="2"/>
        </w:rPr>
      </w:pPr>
      <w:r>
        <w:rPr>
          <w:position w:val="0"/>
          <w:sz w:val="2"/>
        </w:rPr>
        <mc:AlternateContent>
          <mc:Choice Requires="wps">
            <w:drawing>
              <wp:inline distT="0" distB="0" distL="0" distR="0">
                <wp:extent cx="3776979" cy="18415"/>
                <wp:effectExtent l="0" t="0" r="0" b="0"/>
                <wp:docPr id="492" name="Group 492"/>
                <wp:cNvGraphicFramePr>
                  <a:graphicFrameLocks/>
                </wp:cNvGraphicFramePr>
                <a:graphic>
                  <a:graphicData uri="http://schemas.microsoft.com/office/word/2010/wordprocessingGroup">
                    <wpg:wgp>
                      <wpg:cNvPr id="492" name="Group 492"/>
                      <wpg:cNvGrpSpPr/>
                      <wpg:grpSpPr>
                        <a:xfrm>
                          <a:off x="0" y="0"/>
                          <a:ext cx="3776979" cy="18415"/>
                          <a:chExt cx="3776979" cy="18415"/>
                        </a:xfrm>
                      </wpg:grpSpPr>
                      <wps:wsp>
                        <wps:cNvPr id="493" name="Graphic 493"/>
                        <wps:cNvSpPr/>
                        <wps:spPr>
                          <a:xfrm>
                            <a:off x="0" y="0"/>
                            <a:ext cx="3776979" cy="18415"/>
                          </a:xfrm>
                          <a:custGeom>
                            <a:avLst/>
                            <a:gdLst/>
                            <a:ahLst/>
                            <a:cxnLst/>
                            <a:rect l="l" t="t" r="r" b="b"/>
                            <a:pathLst>
                              <a:path w="3776979" h="18415">
                                <a:moveTo>
                                  <a:pt x="3776472" y="0"/>
                                </a:moveTo>
                                <a:lnTo>
                                  <a:pt x="0" y="0"/>
                                </a:lnTo>
                                <a:lnTo>
                                  <a:pt x="0" y="18288"/>
                                </a:lnTo>
                                <a:lnTo>
                                  <a:pt x="3776472" y="18288"/>
                                </a:lnTo>
                                <a:lnTo>
                                  <a:pt x="377647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97.4pt;height:1.45pt;mso-position-horizontal-relative:char;mso-position-vertical-relative:line" id="docshapegroup474" coordorigin="0,0" coordsize="5948,29">
                <v:rect style="position:absolute;left:0;top:0;width:5948;height:29" id="docshape475" filled="true" fillcolor="#ffffff" stroked="false">
                  <v:fill type="solid"/>
                </v:rect>
              </v:group>
            </w:pict>
          </mc:Fallback>
        </mc:AlternateContent>
      </w:r>
      <w:r>
        <w:rPr>
          <w:position w:val="0"/>
          <w:sz w:val="2"/>
        </w:rPr>
      </w:r>
    </w:p>
    <w:p>
      <w:pPr>
        <w:pStyle w:val="BodyText"/>
        <w:spacing w:before="50"/>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4"/>
        <w:gridCol w:w="2045"/>
        <w:gridCol w:w="1051"/>
        <w:gridCol w:w="1046"/>
        <w:gridCol w:w="1051"/>
      </w:tblGrid>
      <w:tr>
        <w:trPr>
          <w:trHeight w:val="287" w:hRule="atLeast"/>
        </w:trPr>
        <w:tc>
          <w:tcPr>
            <w:tcW w:w="2799" w:type="dxa"/>
            <w:gridSpan w:val="2"/>
          </w:tcPr>
          <w:p>
            <w:pPr>
              <w:pStyle w:val="TableParagraph"/>
              <w:rPr>
                <w:sz w:val="20"/>
              </w:rPr>
            </w:pPr>
          </w:p>
        </w:tc>
        <w:tc>
          <w:tcPr>
            <w:tcW w:w="1051" w:type="dxa"/>
            <w:tcBorders>
              <w:right w:val="single" w:sz="8" w:space="0" w:color="000000"/>
            </w:tcBorders>
          </w:tcPr>
          <w:p>
            <w:pPr>
              <w:pStyle w:val="TableParagraph"/>
              <w:spacing w:line="236" w:lineRule="exact" w:before="31"/>
              <w:ind w:left="24"/>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36" w:lineRule="exact" w:before="31"/>
              <w:ind w:left="37"/>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36" w:lineRule="exact" w:before="31"/>
              <w:ind w:left="37"/>
              <w:rPr>
                <w:sz w:val="22"/>
              </w:rPr>
            </w:pPr>
            <w:r>
              <w:rPr>
                <w:spacing w:val="-5"/>
                <w:sz w:val="22"/>
              </w:rPr>
              <w:t>GEL</w:t>
            </w:r>
          </w:p>
        </w:tc>
      </w:tr>
      <w:tr>
        <w:trPr>
          <w:trHeight w:val="976" w:hRule="atLeast"/>
        </w:trPr>
        <w:tc>
          <w:tcPr>
            <w:tcW w:w="2799" w:type="dxa"/>
            <w:gridSpan w:val="2"/>
            <w:tcBorders>
              <w:bottom w:val="single" w:sz="8" w:space="0" w:color="000000"/>
            </w:tcBorders>
          </w:tcPr>
          <w:p>
            <w:pPr>
              <w:pStyle w:val="TableParagraph"/>
              <w:tabs>
                <w:tab w:pos="779" w:val="left" w:leader="none"/>
              </w:tabs>
              <w:spacing w:line="336" w:lineRule="auto" w:before="4"/>
              <w:ind w:left="779" w:right="180" w:hanging="754"/>
              <w:rPr>
                <w:sz w:val="22"/>
              </w:rPr>
            </w:pPr>
            <w:r>
              <w:rPr>
                <w:spacing w:val="-6"/>
                <w:sz w:val="22"/>
              </w:rPr>
              <w:t>DS</w:t>
            </w:r>
            <w:r>
              <w:rPr>
                <w:sz w:val="22"/>
              </w:rPr>
              <w:tab/>
              <w:t>Pearson Correlation Sig. (2-tailed)</w:t>
            </w:r>
          </w:p>
          <w:p>
            <w:pPr>
              <w:pStyle w:val="TableParagraph"/>
              <w:spacing w:line="244" w:lineRule="exact"/>
              <w:ind w:left="779"/>
              <w:rPr>
                <w:sz w:val="22"/>
              </w:rPr>
            </w:pPr>
            <w:r>
              <w:rPr>
                <w:spacing w:val="-10"/>
                <w:sz w:val="22"/>
              </w:rPr>
              <w:t>N</w:t>
            </w:r>
          </w:p>
        </w:tc>
        <w:tc>
          <w:tcPr>
            <w:tcW w:w="1051" w:type="dxa"/>
            <w:tcBorders>
              <w:bottom w:val="single" w:sz="24" w:space="0" w:color="FFFFFF"/>
              <w:right w:val="single" w:sz="8" w:space="0" w:color="000000"/>
            </w:tcBorders>
          </w:tcPr>
          <w:p>
            <w:pPr>
              <w:pStyle w:val="TableParagraph"/>
              <w:spacing w:before="4"/>
              <w:ind w:left="24"/>
              <w:rPr>
                <w:sz w:val="22"/>
              </w:rPr>
            </w:pPr>
            <w:r>
              <w:rPr>
                <w:spacing w:val="-10"/>
                <w:sz w:val="22"/>
              </w:rPr>
              <w:t>1</w:t>
            </w:r>
          </w:p>
          <w:p>
            <w:pPr>
              <w:pStyle w:val="TableParagraph"/>
              <w:spacing w:before="199"/>
              <w:rPr>
                <w:b/>
                <w:sz w:val="22"/>
              </w:rPr>
            </w:pPr>
          </w:p>
          <w:p>
            <w:pPr>
              <w:pStyle w:val="TableParagraph"/>
              <w:spacing w:line="247" w:lineRule="exact"/>
              <w:ind w:left="24"/>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7"/>
              <w:rPr>
                <w:sz w:val="22"/>
              </w:rPr>
            </w:pPr>
            <w:r>
              <w:rPr>
                <w:spacing w:val="-2"/>
                <w:w w:val="105"/>
                <w:sz w:val="22"/>
              </w:rPr>
              <w:t>.995</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c>
          <w:tcPr>
            <w:tcW w:w="1051" w:type="dxa"/>
            <w:tcBorders>
              <w:top w:val="single" w:sz="36" w:space="0" w:color="000000"/>
              <w:left w:val="single" w:sz="8" w:space="0" w:color="000000"/>
              <w:bottom w:val="single" w:sz="24" w:space="0" w:color="FFFFFF"/>
            </w:tcBorders>
          </w:tcPr>
          <w:p>
            <w:pPr>
              <w:pStyle w:val="TableParagraph"/>
              <w:spacing w:before="4"/>
              <w:ind w:left="37"/>
              <w:rPr>
                <w:sz w:val="22"/>
              </w:rPr>
            </w:pPr>
            <w:r>
              <w:rPr>
                <w:spacing w:val="-2"/>
                <w:w w:val="105"/>
                <w:sz w:val="22"/>
              </w:rPr>
              <w:t>.998</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r>
      <w:tr>
        <w:trPr>
          <w:trHeight w:val="950" w:hRule="atLeast"/>
        </w:trPr>
        <w:tc>
          <w:tcPr>
            <w:tcW w:w="2799" w:type="dxa"/>
            <w:gridSpan w:val="2"/>
            <w:tcBorders>
              <w:top w:val="single" w:sz="8" w:space="0" w:color="000000"/>
              <w:bottom w:val="single" w:sz="8" w:space="0" w:color="000000"/>
            </w:tcBorders>
          </w:tcPr>
          <w:p>
            <w:pPr>
              <w:pStyle w:val="TableParagraph"/>
              <w:tabs>
                <w:tab w:pos="779" w:val="left" w:leader="none"/>
              </w:tabs>
              <w:spacing w:line="319" w:lineRule="auto" w:before="9"/>
              <w:ind w:left="779" w:right="180" w:hanging="754"/>
              <w:rPr>
                <w:sz w:val="22"/>
              </w:rPr>
            </w:pPr>
            <w:r>
              <w:rPr>
                <w:spacing w:val="-4"/>
                <w:sz w:val="22"/>
              </w:rPr>
              <w:t>MCS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24" w:space="0" w:color="FFFFFF"/>
              <w:bottom w:val="single" w:sz="18" w:space="0" w:color="FFFFFF"/>
              <w:right w:val="single" w:sz="8" w:space="0" w:color="000000"/>
            </w:tcBorders>
          </w:tcPr>
          <w:p>
            <w:pPr>
              <w:pStyle w:val="TableParagraph"/>
              <w:spacing w:before="9"/>
              <w:ind w:left="24"/>
              <w:rPr>
                <w:sz w:val="22"/>
              </w:rPr>
            </w:pPr>
            <w:r>
              <w:rPr>
                <w:spacing w:val="-2"/>
                <w:w w:val="105"/>
                <w:sz w:val="22"/>
              </w:rPr>
              <w:t>.995</w:t>
            </w:r>
            <w:r>
              <w:rPr>
                <w:spacing w:val="-2"/>
                <w:w w:val="105"/>
                <w:sz w:val="22"/>
                <w:vertAlign w:val="superscript"/>
              </w:rPr>
              <w:t>**</w:t>
            </w:r>
          </w:p>
          <w:p>
            <w:pPr>
              <w:pStyle w:val="TableParagraph"/>
              <w:spacing w:before="83"/>
              <w:ind w:left="24"/>
              <w:rPr>
                <w:sz w:val="22"/>
              </w:rPr>
            </w:pPr>
            <w:r>
              <w:rPr>
                <w:spacing w:val="-2"/>
                <w:sz w:val="22"/>
              </w:rPr>
              <w:t>.0001</w:t>
            </w:r>
          </w:p>
          <w:p>
            <w:pPr>
              <w:pStyle w:val="TableParagraph"/>
              <w:spacing w:before="78"/>
              <w:ind w:left="24"/>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9"/>
              <w:ind w:left="37"/>
              <w:rPr>
                <w:sz w:val="22"/>
              </w:rPr>
            </w:pPr>
            <w:r>
              <w:rPr>
                <w:spacing w:val="-10"/>
                <w:sz w:val="22"/>
              </w:rPr>
              <w:t>1</w:t>
            </w:r>
          </w:p>
          <w:p>
            <w:pPr>
              <w:pStyle w:val="TableParagraph"/>
              <w:spacing w:before="161"/>
              <w:rPr>
                <w:b/>
                <w:sz w:val="22"/>
              </w:rPr>
            </w:pPr>
          </w:p>
          <w:p>
            <w:pPr>
              <w:pStyle w:val="TableParagraph"/>
              <w:ind w:left="37"/>
              <w:rPr>
                <w:sz w:val="22"/>
              </w:rPr>
            </w:pPr>
            <w:r>
              <w:rPr>
                <w:spacing w:val="-10"/>
                <w:sz w:val="22"/>
              </w:rPr>
              <w:t>6</w:t>
            </w:r>
          </w:p>
        </w:tc>
        <w:tc>
          <w:tcPr>
            <w:tcW w:w="1051" w:type="dxa"/>
            <w:tcBorders>
              <w:top w:val="single" w:sz="24" w:space="0" w:color="FFFFFF"/>
              <w:left w:val="single" w:sz="8" w:space="0" w:color="000000"/>
              <w:bottom w:val="single" w:sz="8" w:space="0" w:color="000000"/>
            </w:tcBorders>
          </w:tcPr>
          <w:p>
            <w:pPr>
              <w:pStyle w:val="TableParagraph"/>
              <w:spacing w:before="9"/>
              <w:ind w:left="37"/>
              <w:rPr>
                <w:sz w:val="22"/>
              </w:rPr>
            </w:pPr>
            <w:r>
              <w:rPr>
                <w:spacing w:val="-2"/>
                <w:w w:val="105"/>
                <w:sz w:val="22"/>
              </w:rPr>
              <w:t>.999</w:t>
            </w:r>
            <w:r>
              <w:rPr>
                <w:spacing w:val="-2"/>
                <w:w w:val="105"/>
                <w:sz w:val="22"/>
                <w:vertAlign w:val="superscript"/>
              </w:rPr>
              <w:t>**</w:t>
            </w:r>
          </w:p>
          <w:p>
            <w:pPr>
              <w:pStyle w:val="TableParagraph"/>
              <w:spacing w:before="83"/>
              <w:ind w:left="37"/>
              <w:rPr>
                <w:sz w:val="22"/>
              </w:rPr>
            </w:pPr>
            <w:r>
              <w:rPr>
                <w:spacing w:val="-2"/>
                <w:sz w:val="22"/>
              </w:rPr>
              <w:t>.0001</w:t>
            </w:r>
          </w:p>
          <w:p>
            <w:pPr>
              <w:pStyle w:val="TableParagraph"/>
              <w:spacing w:before="78"/>
              <w:ind w:left="37"/>
              <w:rPr>
                <w:sz w:val="22"/>
              </w:rPr>
            </w:pPr>
            <w:r>
              <w:rPr>
                <w:spacing w:val="-10"/>
                <w:sz w:val="22"/>
              </w:rPr>
              <w:t>6</w:t>
            </w:r>
          </w:p>
        </w:tc>
      </w:tr>
      <w:tr>
        <w:trPr>
          <w:trHeight w:val="262" w:hRule="atLeast"/>
        </w:trPr>
        <w:tc>
          <w:tcPr>
            <w:tcW w:w="754" w:type="dxa"/>
            <w:vMerge w:val="restart"/>
            <w:tcBorders>
              <w:top w:val="single" w:sz="8" w:space="0" w:color="000000"/>
              <w:right w:val="nil"/>
            </w:tcBorders>
          </w:tcPr>
          <w:p>
            <w:pPr>
              <w:pStyle w:val="TableParagraph"/>
              <w:spacing w:before="21"/>
              <w:ind w:left="25"/>
              <w:rPr>
                <w:sz w:val="22"/>
              </w:rPr>
            </w:pPr>
            <w:r>
              <w:rPr>
                <w:spacing w:val="-5"/>
                <w:sz w:val="22"/>
              </w:rPr>
              <w:t>GEL</w:t>
            </w:r>
          </w:p>
        </w:tc>
        <w:tc>
          <w:tcPr>
            <w:tcW w:w="2045" w:type="dxa"/>
            <w:tcBorders>
              <w:top w:val="single" w:sz="8" w:space="0" w:color="000000"/>
              <w:left w:val="nil"/>
              <w:bottom w:val="single" w:sz="12" w:space="0" w:color="FFFFFF"/>
            </w:tcBorders>
          </w:tcPr>
          <w:p>
            <w:pPr>
              <w:pStyle w:val="TableParagraph"/>
              <w:spacing w:line="220" w:lineRule="exact" w:before="21"/>
              <w:ind w:left="47"/>
              <w:rPr>
                <w:sz w:val="22"/>
              </w:rPr>
            </w:pPr>
            <w:r>
              <w:rPr>
                <w:sz w:val="22"/>
              </w:rPr>
              <w:t>Pearson</w:t>
            </w:r>
            <w:r>
              <w:rPr>
                <w:spacing w:val="14"/>
                <w:sz w:val="22"/>
              </w:rPr>
              <w:t> </w:t>
            </w:r>
            <w:r>
              <w:rPr>
                <w:spacing w:val="-2"/>
                <w:sz w:val="22"/>
              </w:rPr>
              <w:t>Correlation</w:t>
            </w:r>
          </w:p>
        </w:tc>
        <w:tc>
          <w:tcPr>
            <w:tcW w:w="1051" w:type="dxa"/>
            <w:tcBorders>
              <w:top w:val="single" w:sz="18" w:space="0" w:color="FFFFFF"/>
              <w:bottom w:val="single" w:sz="12" w:space="0" w:color="FFFFFF"/>
              <w:right w:val="single" w:sz="8" w:space="0" w:color="000000"/>
            </w:tcBorders>
          </w:tcPr>
          <w:p>
            <w:pPr>
              <w:pStyle w:val="TableParagraph"/>
              <w:spacing w:line="220" w:lineRule="exact" w:before="21"/>
              <w:ind w:left="24"/>
              <w:rPr>
                <w:sz w:val="22"/>
              </w:rPr>
            </w:pPr>
            <w:r>
              <w:rPr>
                <w:spacing w:val="-2"/>
                <w:w w:val="105"/>
                <w:sz w:val="22"/>
              </w:rPr>
              <w:t>.998</w:t>
            </w:r>
            <w:r>
              <w:rPr>
                <w:spacing w:val="-2"/>
                <w:w w:val="105"/>
                <w:sz w:val="22"/>
                <w:vertAlign w:val="superscript"/>
              </w:rPr>
              <w:t>**</w:t>
            </w:r>
          </w:p>
        </w:tc>
        <w:tc>
          <w:tcPr>
            <w:tcW w:w="1046" w:type="dxa"/>
            <w:tcBorders>
              <w:top w:val="single" w:sz="18" w:space="0" w:color="FFFFFF"/>
              <w:left w:val="single" w:sz="8" w:space="0" w:color="000000"/>
              <w:bottom w:val="single" w:sz="12" w:space="0" w:color="FFFFFF"/>
              <w:right w:val="single" w:sz="8" w:space="0" w:color="000000"/>
            </w:tcBorders>
          </w:tcPr>
          <w:p>
            <w:pPr>
              <w:pStyle w:val="TableParagraph"/>
              <w:spacing w:line="220" w:lineRule="exact" w:before="21"/>
              <w:ind w:left="37"/>
              <w:rPr>
                <w:sz w:val="22"/>
              </w:rPr>
            </w:pPr>
            <w:r>
              <w:rPr>
                <w:spacing w:val="-2"/>
                <w:w w:val="105"/>
                <w:sz w:val="22"/>
              </w:rPr>
              <w:t>.999</w:t>
            </w:r>
            <w:r>
              <w:rPr>
                <w:spacing w:val="-2"/>
                <w:w w:val="105"/>
                <w:sz w:val="22"/>
                <w:vertAlign w:val="superscript"/>
              </w:rPr>
              <w:t>**</w:t>
            </w:r>
          </w:p>
        </w:tc>
        <w:tc>
          <w:tcPr>
            <w:tcW w:w="1051" w:type="dxa"/>
            <w:vMerge w:val="restart"/>
            <w:tcBorders>
              <w:top w:val="single" w:sz="8" w:space="0" w:color="000000"/>
              <w:left w:val="single" w:sz="8" w:space="0" w:color="000000"/>
            </w:tcBorders>
          </w:tcPr>
          <w:p>
            <w:pPr>
              <w:pStyle w:val="TableParagraph"/>
              <w:spacing w:before="21"/>
              <w:ind w:left="37"/>
              <w:rPr>
                <w:sz w:val="22"/>
              </w:rPr>
            </w:pPr>
            <w:r>
              <w:rPr>
                <w:spacing w:val="-10"/>
                <w:sz w:val="22"/>
              </w:rPr>
              <w:t>1</w:t>
            </w:r>
          </w:p>
          <w:p>
            <w:pPr>
              <w:pStyle w:val="TableParagraph"/>
              <w:spacing w:before="161"/>
              <w:rPr>
                <w:b/>
                <w:sz w:val="22"/>
              </w:rPr>
            </w:pPr>
          </w:p>
          <w:p>
            <w:pPr>
              <w:pStyle w:val="TableParagraph"/>
              <w:spacing w:before="1"/>
              <w:ind w:left="37"/>
              <w:rPr>
                <w:sz w:val="22"/>
              </w:rPr>
            </w:pPr>
            <w:r>
              <w:rPr>
                <w:spacing w:val="-10"/>
                <w:sz w:val="22"/>
              </w:rPr>
              <w:t>6</w:t>
            </w:r>
          </w:p>
        </w:tc>
      </w:tr>
      <w:tr>
        <w:trPr>
          <w:trHeight w:val="663" w:hRule="atLeast"/>
        </w:trPr>
        <w:tc>
          <w:tcPr>
            <w:tcW w:w="754" w:type="dxa"/>
            <w:vMerge/>
            <w:tcBorders>
              <w:top w:val="nil"/>
              <w:right w:val="nil"/>
            </w:tcBorders>
          </w:tcPr>
          <w:p>
            <w:pPr>
              <w:rPr>
                <w:sz w:val="2"/>
                <w:szCs w:val="2"/>
              </w:rPr>
            </w:pPr>
          </w:p>
        </w:tc>
        <w:tc>
          <w:tcPr>
            <w:tcW w:w="2045" w:type="dxa"/>
            <w:tcBorders>
              <w:top w:val="single" w:sz="12" w:space="0" w:color="FFFFFF"/>
              <w:left w:val="nil"/>
            </w:tcBorders>
          </w:tcPr>
          <w:p>
            <w:pPr>
              <w:pStyle w:val="TableParagraph"/>
              <w:spacing w:before="45"/>
              <w:ind w:left="47"/>
              <w:rPr>
                <w:sz w:val="22"/>
              </w:rPr>
            </w:pPr>
            <w:r>
              <w:rPr>
                <w:sz w:val="22"/>
              </w:rPr>
              <w:t>Sig.</w:t>
            </w:r>
            <w:r>
              <w:rPr>
                <w:spacing w:val="16"/>
                <w:sz w:val="22"/>
              </w:rPr>
              <w:t> </w:t>
            </w:r>
            <w:r>
              <w:rPr>
                <w:sz w:val="22"/>
              </w:rPr>
              <w:t>(2-</w:t>
            </w:r>
            <w:r>
              <w:rPr>
                <w:spacing w:val="-2"/>
                <w:sz w:val="22"/>
              </w:rPr>
              <w:t>tailed)</w:t>
            </w:r>
          </w:p>
          <w:p>
            <w:pPr>
              <w:pStyle w:val="TableParagraph"/>
              <w:spacing w:before="83"/>
              <w:ind w:left="47"/>
              <w:rPr>
                <w:sz w:val="22"/>
              </w:rPr>
            </w:pPr>
            <w:r>
              <w:rPr>
                <w:spacing w:val="-10"/>
                <w:sz w:val="22"/>
              </w:rPr>
              <w:t>N</w:t>
            </w:r>
          </w:p>
        </w:tc>
        <w:tc>
          <w:tcPr>
            <w:tcW w:w="1051" w:type="dxa"/>
            <w:tcBorders>
              <w:top w:val="single" w:sz="12" w:space="0" w:color="FFFFFF"/>
              <w:right w:val="single" w:sz="8" w:space="0" w:color="000000"/>
            </w:tcBorders>
          </w:tcPr>
          <w:p>
            <w:pPr>
              <w:pStyle w:val="TableParagraph"/>
              <w:spacing w:before="45"/>
              <w:ind w:left="24"/>
              <w:rPr>
                <w:sz w:val="22"/>
              </w:rPr>
            </w:pPr>
            <w:r>
              <w:rPr>
                <w:spacing w:val="-2"/>
                <w:sz w:val="22"/>
              </w:rPr>
              <w:t>.0001</w:t>
            </w:r>
          </w:p>
          <w:p>
            <w:pPr>
              <w:pStyle w:val="TableParagraph"/>
              <w:spacing w:before="83"/>
              <w:ind w:left="24"/>
              <w:rPr>
                <w:sz w:val="22"/>
              </w:rPr>
            </w:pPr>
            <w:r>
              <w:rPr>
                <w:spacing w:val="-10"/>
                <w:sz w:val="22"/>
              </w:rPr>
              <w:t>6</w:t>
            </w:r>
          </w:p>
        </w:tc>
        <w:tc>
          <w:tcPr>
            <w:tcW w:w="1046" w:type="dxa"/>
            <w:tcBorders>
              <w:top w:val="single" w:sz="12" w:space="0" w:color="FFFFFF"/>
              <w:left w:val="single" w:sz="8" w:space="0" w:color="000000"/>
              <w:right w:val="single" w:sz="8" w:space="0" w:color="000000"/>
            </w:tcBorders>
          </w:tcPr>
          <w:p>
            <w:pPr>
              <w:pStyle w:val="TableParagraph"/>
              <w:spacing w:before="45"/>
              <w:ind w:left="37"/>
              <w:rPr>
                <w:sz w:val="22"/>
              </w:rPr>
            </w:pPr>
            <w:r>
              <w:rPr>
                <w:spacing w:val="-2"/>
                <w:sz w:val="22"/>
              </w:rPr>
              <w:t>.0001</w:t>
            </w:r>
          </w:p>
          <w:p>
            <w:pPr>
              <w:pStyle w:val="TableParagraph"/>
              <w:spacing w:before="83"/>
              <w:ind w:left="37"/>
              <w:rPr>
                <w:sz w:val="22"/>
              </w:rPr>
            </w:pPr>
            <w:r>
              <w:rPr>
                <w:spacing w:val="-10"/>
                <w:sz w:val="22"/>
              </w:rPr>
              <w:t>6</w:t>
            </w:r>
          </w:p>
        </w:tc>
        <w:tc>
          <w:tcPr>
            <w:tcW w:w="1051" w:type="dxa"/>
            <w:vMerge/>
            <w:tcBorders>
              <w:top w:val="nil"/>
              <w:left w:val="single" w:sz="8" w:space="0" w:color="000000"/>
            </w:tcBorders>
          </w:tcPr>
          <w:p>
            <w:pPr>
              <w:rPr>
                <w:sz w:val="2"/>
                <w:szCs w:val="2"/>
              </w:rPr>
            </w:pP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260" w:bottom="1180" w:left="1720" w:right="760"/>
        </w:sectPr>
      </w:pPr>
    </w:p>
    <w:p>
      <w:pPr>
        <w:pStyle w:val="Heading2"/>
        <w:spacing w:line="244" w:lineRule="auto" w:before="80"/>
        <w:ind w:left="665" w:right="1231" w:firstLine="0"/>
      </w:pPr>
      <w:r>
        <w:rPr/>
        <w:t>Effect of Binder</w:t>
      </w:r>
      <w:r>
        <w:rPr>
          <w:spacing w:val="22"/>
        </w:rPr>
        <w:t> </w:t>
      </w:r>
      <w:r>
        <w:rPr/>
        <w:t>concentration at 10.0 %</w:t>
      </w:r>
      <w:r>
        <w:rPr>
          <w:spacing w:val="21"/>
        </w:rPr>
        <w:t> </w:t>
      </w:r>
      <w:r>
        <w:rPr/>
        <w:t>on the physical</w:t>
      </w:r>
      <w:r>
        <w:rPr>
          <w:spacing w:val="21"/>
        </w:rPr>
        <w:t> </w:t>
      </w:r>
      <w:r>
        <w:rPr/>
        <w:t>properties of</w:t>
      </w:r>
      <w:r>
        <w:rPr>
          <w:spacing w:val="23"/>
        </w:rPr>
        <w:t> </w:t>
      </w:r>
      <w:r>
        <w:rPr/>
        <w:t>the granules of DS and MCS compared with GEL using correlation analysis</w:t>
      </w:r>
    </w:p>
    <w:p>
      <w:pPr>
        <w:pStyle w:val="BodyText"/>
        <w:spacing w:line="28" w:lineRule="exact"/>
        <w:ind w:left="665"/>
        <w:rPr>
          <w:sz w:val="2"/>
        </w:rPr>
      </w:pPr>
      <w:r>
        <w:rPr>
          <w:position w:val="0"/>
          <w:sz w:val="2"/>
        </w:rPr>
        <mc:AlternateContent>
          <mc:Choice Requires="wps">
            <w:drawing>
              <wp:inline distT="0" distB="0" distL="0" distR="0">
                <wp:extent cx="3776979" cy="18415"/>
                <wp:effectExtent l="0" t="0" r="0" b="0"/>
                <wp:docPr id="494" name="Group 494"/>
                <wp:cNvGraphicFramePr>
                  <a:graphicFrameLocks/>
                </wp:cNvGraphicFramePr>
                <a:graphic>
                  <a:graphicData uri="http://schemas.microsoft.com/office/word/2010/wordprocessingGroup">
                    <wpg:wgp>
                      <wpg:cNvPr id="494" name="Group 494"/>
                      <wpg:cNvGrpSpPr/>
                      <wpg:grpSpPr>
                        <a:xfrm>
                          <a:off x="0" y="0"/>
                          <a:ext cx="3776979" cy="18415"/>
                          <a:chExt cx="3776979" cy="18415"/>
                        </a:xfrm>
                      </wpg:grpSpPr>
                      <wps:wsp>
                        <wps:cNvPr id="495" name="Graphic 495"/>
                        <wps:cNvSpPr/>
                        <wps:spPr>
                          <a:xfrm>
                            <a:off x="0" y="0"/>
                            <a:ext cx="3776979" cy="18415"/>
                          </a:xfrm>
                          <a:custGeom>
                            <a:avLst/>
                            <a:gdLst/>
                            <a:ahLst/>
                            <a:cxnLst/>
                            <a:rect l="l" t="t" r="r" b="b"/>
                            <a:pathLst>
                              <a:path w="3776979" h="18415">
                                <a:moveTo>
                                  <a:pt x="3776472" y="0"/>
                                </a:moveTo>
                                <a:lnTo>
                                  <a:pt x="0" y="0"/>
                                </a:lnTo>
                                <a:lnTo>
                                  <a:pt x="0" y="18288"/>
                                </a:lnTo>
                                <a:lnTo>
                                  <a:pt x="3776472" y="18288"/>
                                </a:lnTo>
                                <a:lnTo>
                                  <a:pt x="377647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97.4pt;height:1.45pt;mso-position-horizontal-relative:char;mso-position-vertical-relative:line" id="docshapegroup476" coordorigin="0,0" coordsize="5948,29">
                <v:rect style="position:absolute;left:0;top:0;width:5948;height:29" id="docshape477" filled="true" fillcolor="#ffffff" stroked="false">
                  <v:fill type="solid"/>
                </v:rect>
              </v:group>
            </w:pict>
          </mc:Fallback>
        </mc:AlternateContent>
      </w:r>
      <w:r>
        <w:rPr>
          <w:position w:val="0"/>
          <w:sz w:val="2"/>
        </w:rPr>
      </w:r>
    </w:p>
    <w:p>
      <w:pPr>
        <w:pStyle w:val="BodyText"/>
        <w:spacing w:before="50"/>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4"/>
        <w:gridCol w:w="2045"/>
        <w:gridCol w:w="1051"/>
        <w:gridCol w:w="1046"/>
        <w:gridCol w:w="1051"/>
      </w:tblGrid>
      <w:tr>
        <w:trPr>
          <w:trHeight w:val="287" w:hRule="atLeast"/>
        </w:trPr>
        <w:tc>
          <w:tcPr>
            <w:tcW w:w="2799" w:type="dxa"/>
            <w:gridSpan w:val="2"/>
          </w:tcPr>
          <w:p>
            <w:pPr>
              <w:pStyle w:val="TableParagraph"/>
              <w:rPr>
                <w:sz w:val="20"/>
              </w:rPr>
            </w:pPr>
          </w:p>
        </w:tc>
        <w:tc>
          <w:tcPr>
            <w:tcW w:w="1051" w:type="dxa"/>
            <w:tcBorders>
              <w:right w:val="single" w:sz="8" w:space="0" w:color="000000"/>
            </w:tcBorders>
          </w:tcPr>
          <w:p>
            <w:pPr>
              <w:pStyle w:val="TableParagraph"/>
              <w:spacing w:line="236" w:lineRule="exact" w:before="31"/>
              <w:ind w:left="24"/>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36" w:lineRule="exact" w:before="31"/>
              <w:ind w:left="37"/>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36" w:lineRule="exact" w:before="31"/>
              <w:ind w:left="37"/>
              <w:rPr>
                <w:sz w:val="22"/>
              </w:rPr>
            </w:pPr>
            <w:r>
              <w:rPr>
                <w:spacing w:val="-5"/>
                <w:sz w:val="22"/>
              </w:rPr>
              <w:t>GEL</w:t>
            </w:r>
          </w:p>
        </w:tc>
      </w:tr>
      <w:tr>
        <w:trPr>
          <w:trHeight w:val="976" w:hRule="atLeast"/>
        </w:trPr>
        <w:tc>
          <w:tcPr>
            <w:tcW w:w="2799" w:type="dxa"/>
            <w:gridSpan w:val="2"/>
            <w:tcBorders>
              <w:bottom w:val="single" w:sz="8" w:space="0" w:color="000000"/>
            </w:tcBorders>
          </w:tcPr>
          <w:p>
            <w:pPr>
              <w:pStyle w:val="TableParagraph"/>
              <w:tabs>
                <w:tab w:pos="779" w:val="left" w:leader="none"/>
              </w:tabs>
              <w:spacing w:line="336" w:lineRule="auto" w:before="4"/>
              <w:ind w:left="779" w:right="180" w:hanging="754"/>
              <w:rPr>
                <w:sz w:val="22"/>
              </w:rPr>
            </w:pPr>
            <w:r>
              <w:rPr>
                <w:spacing w:val="-6"/>
                <w:sz w:val="22"/>
              </w:rPr>
              <w:t>DS</w:t>
            </w:r>
            <w:r>
              <w:rPr>
                <w:sz w:val="22"/>
              </w:rPr>
              <w:tab/>
              <w:t>Pearson Correlation Sig. (2-tailed)</w:t>
            </w:r>
          </w:p>
          <w:p>
            <w:pPr>
              <w:pStyle w:val="TableParagraph"/>
              <w:spacing w:line="244" w:lineRule="exact"/>
              <w:ind w:left="779"/>
              <w:rPr>
                <w:sz w:val="22"/>
              </w:rPr>
            </w:pPr>
            <w:r>
              <w:rPr>
                <w:spacing w:val="-10"/>
                <w:sz w:val="22"/>
              </w:rPr>
              <w:t>N</w:t>
            </w:r>
          </w:p>
        </w:tc>
        <w:tc>
          <w:tcPr>
            <w:tcW w:w="1051" w:type="dxa"/>
            <w:tcBorders>
              <w:bottom w:val="single" w:sz="24" w:space="0" w:color="FFFFFF"/>
              <w:right w:val="single" w:sz="8" w:space="0" w:color="000000"/>
            </w:tcBorders>
          </w:tcPr>
          <w:p>
            <w:pPr>
              <w:pStyle w:val="TableParagraph"/>
              <w:spacing w:before="4"/>
              <w:ind w:left="24"/>
              <w:rPr>
                <w:sz w:val="22"/>
              </w:rPr>
            </w:pPr>
            <w:r>
              <w:rPr>
                <w:spacing w:val="-10"/>
                <w:sz w:val="22"/>
              </w:rPr>
              <w:t>1</w:t>
            </w:r>
          </w:p>
          <w:p>
            <w:pPr>
              <w:pStyle w:val="TableParagraph"/>
              <w:spacing w:before="199"/>
              <w:rPr>
                <w:b/>
                <w:sz w:val="22"/>
              </w:rPr>
            </w:pPr>
          </w:p>
          <w:p>
            <w:pPr>
              <w:pStyle w:val="TableParagraph"/>
              <w:spacing w:line="247" w:lineRule="exact"/>
              <w:ind w:left="24"/>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7"/>
              <w:rPr>
                <w:sz w:val="22"/>
              </w:rPr>
            </w:pPr>
            <w:r>
              <w:rPr>
                <w:spacing w:val="-2"/>
                <w:w w:val="105"/>
                <w:sz w:val="22"/>
              </w:rPr>
              <w:t>.991</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c>
          <w:tcPr>
            <w:tcW w:w="1051" w:type="dxa"/>
            <w:tcBorders>
              <w:top w:val="single" w:sz="36" w:space="0" w:color="000000"/>
              <w:left w:val="single" w:sz="8" w:space="0" w:color="000000"/>
              <w:bottom w:val="single" w:sz="24" w:space="0" w:color="FFFFFF"/>
            </w:tcBorders>
          </w:tcPr>
          <w:p>
            <w:pPr>
              <w:pStyle w:val="TableParagraph"/>
              <w:spacing w:before="4"/>
              <w:ind w:left="37"/>
              <w:rPr>
                <w:sz w:val="22"/>
              </w:rPr>
            </w:pPr>
            <w:r>
              <w:rPr>
                <w:spacing w:val="-2"/>
                <w:w w:val="105"/>
                <w:sz w:val="22"/>
              </w:rPr>
              <w:t>.999</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r>
      <w:tr>
        <w:trPr>
          <w:trHeight w:val="950" w:hRule="atLeast"/>
        </w:trPr>
        <w:tc>
          <w:tcPr>
            <w:tcW w:w="2799" w:type="dxa"/>
            <w:gridSpan w:val="2"/>
            <w:tcBorders>
              <w:top w:val="single" w:sz="8" w:space="0" w:color="000000"/>
              <w:bottom w:val="single" w:sz="8" w:space="0" w:color="000000"/>
            </w:tcBorders>
          </w:tcPr>
          <w:p>
            <w:pPr>
              <w:pStyle w:val="TableParagraph"/>
              <w:tabs>
                <w:tab w:pos="779" w:val="left" w:leader="none"/>
              </w:tabs>
              <w:spacing w:line="319" w:lineRule="auto" w:before="9"/>
              <w:ind w:left="779" w:right="180" w:hanging="754"/>
              <w:rPr>
                <w:sz w:val="22"/>
              </w:rPr>
            </w:pPr>
            <w:r>
              <w:rPr>
                <w:spacing w:val="-4"/>
                <w:sz w:val="22"/>
              </w:rPr>
              <w:t>MCS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24" w:space="0" w:color="FFFFFF"/>
              <w:bottom w:val="single" w:sz="18" w:space="0" w:color="FFFFFF"/>
              <w:right w:val="single" w:sz="8" w:space="0" w:color="000000"/>
            </w:tcBorders>
          </w:tcPr>
          <w:p>
            <w:pPr>
              <w:pStyle w:val="TableParagraph"/>
              <w:spacing w:before="9"/>
              <w:ind w:left="24"/>
              <w:rPr>
                <w:sz w:val="22"/>
              </w:rPr>
            </w:pPr>
            <w:r>
              <w:rPr>
                <w:spacing w:val="-2"/>
                <w:w w:val="105"/>
                <w:sz w:val="22"/>
              </w:rPr>
              <w:t>.991</w:t>
            </w:r>
            <w:r>
              <w:rPr>
                <w:spacing w:val="-2"/>
                <w:w w:val="105"/>
                <w:sz w:val="22"/>
                <w:vertAlign w:val="superscript"/>
              </w:rPr>
              <w:t>**</w:t>
            </w:r>
          </w:p>
          <w:p>
            <w:pPr>
              <w:pStyle w:val="TableParagraph"/>
              <w:spacing w:before="83"/>
              <w:ind w:left="24"/>
              <w:rPr>
                <w:sz w:val="22"/>
              </w:rPr>
            </w:pPr>
            <w:r>
              <w:rPr>
                <w:spacing w:val="-2"/>
                <w:sz w:val="22"/>
              </w:rPr>
              <w:t>.0001</w:t>
            </w:r>
          </w:p>
          <w:p>
            <w:pPr>
              <w:pStyle w:val="TableParagraph"/>
              <w:spacing w:before="78"/>
              <w:ind w:left="24"/>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9"/>
              <w:ind w:left="37"/>
              <w:rPr>
                <w:sz w:val="22"/>
              </w:rPr>
            </w:pPr>
            <w:r>
              <w:rPr>
                <w:spacing w:val="-10"/>
                <w:sz w:val="22"/>
              </w:rPr>
              <w:t>1</w:t>
            </w:r>
          </w:p>
          <w:p>
            <w:pPr>
              <w:pStyle w:val="TableParagraph"/>
              <w:spacing w:before="161"/>
              <w:rPr>
                <w:b/>
                <w:sz w:val="22"/>
              </w:rPr>
            </w:pPr>
          </w:p>
          <w:p>
            <w:pPr>
              <w:pStyle w:val="TableParagraph"/>
              <w:ind w:left="37"/>
              <w:rPr>
                <w:sz w:val="22"/>
              </w:rPr>
            </w:pPr>
            <w:r>
              <w:rPr>
                <w:spacing w:val="-10"/>
                <w:sz w:val="22"/>
              </w:rPr>
              <w:t>6</w:t>
            </w:r>
          </w:p>
        </w:tc>
        <w:tc>
          <w:tcPr>
            <w:tcW w:w="1051" w:type="dxa"/>
            <w:tcBorders>
              <w:top w:val="single" w:sz="24" w:space="0" w:color="FFFFFF"/>
              <w:left w:val="single" w:sz="8" w:space="0" w:color="000000"/>
              <w:bottom w:val="single" w:sz="8" w:space="0" w:color="000000"/>
            </w:tcBorders>
          </w:tcPr>
          <w:p>
            <w:pPr>
              <w:pStyle w:val="TableParagraph"/>
              <w:spacing w:before="9"/>
              <w:ind w:left="37"/>
              <w:rPr>
                <w:sz w:val="22"/>
              </w:rPr>
            </w:pPr>
            <w:r>
              <w:rPr>
                <w:spacing w:val="-2"/>
                <w:w w:val="105"/>
                <w:sz w:val="22"/>
              </w:rPr>
              <w:t>.996</w:t>
            </w:r>
            <w:r>
              <w:rPr>
                <w:spacing w:val="-2"/>
                <w:w w:val="105"/>
                <w:sz w:val="22"/>
                <w:vertAlign w:val="superscript"/>
              </w:rPr>
              <w:t>**</w:t>
            </w:r>
          </w:p>
          <w:p>
            <w:pPr>
              <w:pStyle w:val="TableParagraph"/>
              <w:spacing w:before="83"/>
              <w:ind w:left="37"/>
              <w:rPr>
                <w:sz w:val="22"/>
              </w:rPr>
            </w:pPr>
            <w:r>
              <w:rPr>
                <w:spacing w:val="-2"/>
                <w:sz w:val="22"/>
              </w:rPr>
              <w:t>.0001</w:t>
            </w:r>
          </w:p>
          <w:p>
            <w:pPr>
              <w:pStyle w:val="TableParagraph"/>
              <w:spacing w:before="78"/>
              <w:ind w:left="37"/>
              <w:rPr>
                <w:sz w:val="22"/>
              </w:rPr>
            </w:pPr>
            <w:r>
              <w:rPr>
                <w:spacing w:val="-10"/>
                <w:sz w:val="22"/>
              </w:rPr>
              <w:t>6</w:t>
            </w:r>
          </w:p>
        </w:tc>
      </w:tr>
      <w:tr>
        <w:trPr>
          <w:trHeight w:val="262" w:hRule="atLeast"/>
        </w:trPr>
        <w:tc>
          <w:tcPr>
            <w:tcW w:w="754" w:type="dxa"/>
            <w:vMerge w:val="restart"/>
            <w:tcBorders>
              <w:top w:val="single" w:sz="8" w:space="0" w:color="000000"/>
              <w:right w:val="nil"/>
            </w:tcBorders>
          </w:tcPr>
          <w:p>
            <w:pPr>
              <w:pStyle w:val="TableParagraph"/>
              <w:spacing w:before="21"/>
              <w:ind w:left="25"/>
              <w:rPr>
                <w:sz w:val="22"/>
              </w:rPr>
            </w:pPr>
            <w:r>
              <w:rPr>
                <w:spacing w:val="-5"/>
                <w:sz w:val="22"/>
              </w:rPr>
              <w:t>GEL</w:t>
            </w:r>
          </w:p>
        </w:tc>
        <w:tc>
          <w:tcPr>
            <w:tcW w:w="2045" w:type="dxa"/>
            <w:tcBorders>
              <w:top w:val="single" w:sz="8" w:space="0" w:color="000000"/>
              <w:left w:val="nil"/>
              <w:bottom w:val="single" w:sz="12" w:space="0" w:color="FFFFFF"/>
            </w:tcBorders>
          </w:tcPr>
          <w:p>
            <w:pPr>
              <w:pStyle w:val="TableParagraph"/>
              <w:spacing w:line="220" w:lineRule="exact" w:before="21"/>
              <w:ind w:left="47"/>
              <w:rPr>
                <w:sz w:val="22"/>
              </w:rPr>
            </w:pPr>
            <w:r>
              <w:rPr>
                <w:sz w:val="22"/>
              </w:rPr>
              <w:t>Pearson</w:t>
            </w:r>
            <w:r>
              <w:rPr>
                <w:spacing w:val="14"/>
                <w:sz w:val="22"/>
              </w:rPr>
              <w:t> </w:t>
            </w:r>
            <w:r>
              <w:rPr>
                <w:spacing w:val="-2"/>
                <w:sz w:val="22"/>
              </w:rPr>
              <w:t>Correlation</w:t>
            </w:r>
          </w:p>
        </w:tc>
        <w:tc>
          <w:tcPr>
            <w:tcW w:w="1051" w:type="dxa"/>
            <w:tcBorders>
              <w:top w:val="single" w:sz="18" w:space="0" w:color="FFFFFF"/>
              <w:bottom w:val="single" w:sz="12" w:space="0" w:color="FFFFFF"/>
              <w:right w:val="single" w:sz="8" w:space="0" w:color="000000"/>
            </w:tcBorders>
          </w:tcPr>
          <w:p>
            <w:pPr>
              <w:pStyle w:val="TableParagraph"/>
              <w:spacing w:line="220" w:lineRule="exact" w:before="21"/>
              <w:ind w:left="24"/>
              <w:rPr>
                <w:sz w:val="22"/>
              </w:rPr>
            </w:pPr>
            <w:r>
              <w:rPr>
                <w:spacing w:val="-2"/>
                <w:w w:val="105"/>
                <w:sz w:val="22"/>
              </w:rPr>
              <w:t>.999</w:t>
            </w:r>
            <w:r>
              <w:rPr>
                <w:spacing w:val="-2"/>
                <w:w w:val="105"/>
                <w:sz w:val="22"/>
                <w:vertAlign w:val="superscript"/>
              </w:rPr>
              <w:t>**</w:t>
            </w:r>
          </w:p>
        </w:tc>
        <w:tc>
          <w:tcPr>
            <w:tcW w:w="1046" w:type="dxa"/>
            <w:tcBorders>
              <w:top w:val="single" w:sz="18" w:space="0" w:color="FFFFFF"/>
              <w:left w:val="single" w:sz="8" w:space="0" w:color="000000"/>
              <w:bottom w:val="single" w:sz="12" w:space="0" w:color="FFFFFF"/>
              <w:right w:val="single" w:sz="8" w:space="0" w:color="000000"/>
            </w:tcBorders>
          </w:tcPr>
          <w:p>
            <w:pPr>
              <w:pStyle w:val="TableParagraph"/>
              <w:spacing w:line="220" w:lineRule="exact" w:before="21"/>
              <w:ind w:left="37"/>
              <w:rPr>
                <w:sz w:val="22"/>
              </w:rPr>
            </w:pPr>
            <w:r>
              <w:rPr>
                <w:spacing w:val="-2"/>
                <w:w w:val="105"/>
                <w:sz w:val="22"/>
              </w:rPr>
              <w:t>.996</w:t>
            </w:r>
            <w:r>
              <w:rPr>
                <w:spacing w:val="-2"/>
                <w:w w:val="105"/>
                <w:sz w:val="22"/>
                <w:vertAlign w:val="superscript"/>
              </w:rPr>
              <w:t>**</w:t>
            </w:r>
          </w:p>
        </w:tc>
        <w:tc>
          <w:tcPr>
            <w:tcW w:w="1051" w:type="dxa"/>
            <w:vMerge w:val="restart"/>
            <w:tcBorders>
              <w:top w:val="single" w:sz="8" w:space="0" w:color="000000"/>
              <w:left w:val="single" w:sz="8" w:space="0" w:color="000000"/>
            </w:tcBorders>
          </w:tcPr>
          <w:p>
            <w:pPr>
              <w:pStyle w:val="TableParagraph"/>
              <w:spacing w:before="21"/>
              <w:ind w:left="37"/>
              <w:rPr>
                <w:sz w:val="22"/>
              </w:rPr>
            </w:pPr>
            <w:r>
              <w:rPr>
                <w:spacing w:val="-10"/>
                <w:sz w:val="22"/>
              </w:rPr>
              <w:t>1</w:t>
            </w:r>
          </w:p>
          <w:p>
            <w:pPr>
              <w:pStyle w:val="TableParagraph"/>
              <w:spacing w:before="161"/>
              <w:rPr>
                <w:b/>
                <w:sz w:val="22"/>
              </w:rPr>
            </w:pPr>
          </w:p>
          <w:p>
            <w:pPr>
              <w:pStyle w:val="TableParagraph"/>
              <w:spacing w:before="1"/>
              <w:ind w:left="37"/>
              <w:rPr>
                <w:sz w:val="22"/>
              </w:rPr>
            </w:pPr>
            <w:r>
              <w:rPr>
                <w:spacing w:val="-10"/>
                <w:sz w:val="22"/>
              </w:rPr>
              <w:t>6</w:t>
            </w:r>
          </w:p>
        </w:tc>
      </w:tr>
      <w:tr>
        <w:trPr>
          <w:trHeight w:val="663" w:hRule="atLeast"/>
        </w:trPr>
        <w:tc>
          <w:tcPr>
            <w:tcW w:w="754" w:type="dxa"/>
            <w:vMerge/>
            <w:tcBorders>
              <w:top w:val="nil"/>
              <w:right w:val="nil"/>
            </w:tcBorders>
          </w:tcPr>
          <w:p>
            <w:pPr>
              <w:rPr>
                <w:sz w:val="2"/>
                <w:szCs w:val="2"/>
              </w:rPr>
            </w:pPr>
          </w:p>
        </w:tc>
        <w:tc>
          <w:tcPr>
            <w:tcW w:w="2045" w:type="dxa"/>
            <w:tcBorders>
              <w:top w:val="single" w:sz="12" w:space="0" w:color="FFFFFF"/>
              <w:left w:val="nil"/>
            </w:tcBorders>
          </w:tcPr>
          <w:p>
            <w:pPr>
              <w:pStyle w:val="TableParagraph"/>
              <w:spacing w:before="45"/>
              <w:ind w:left="47"/>
              <w:rPr>
                <w:sz w:val="22"/>
              </w:rPr>
            </w:pPr>
            <w:r>
              <w:rPr>
                <w:sz w:val="22"/>
              </w:rPr>
              <w:t>Sig.</w:t>
            </w:r>
            <w:r>
              <w:rPr>
                <w:spacing w:val="16"/>
                <w:sz w:val="22"/>
              </w:rPr>
              <w:t> </w:t>
            </w:r>
            <w:r>
              <w:rPr>
                <w:sz w:val="22"/>
              </w:rPr>
              <w:t>(2-</w:t>
            </w:r>
            <w:r>
              <w:rPr>
                <w:spacing w:val="-2"/>
                <w:sz w:val="22"/>
              </w:rPr>
              <w:t>tailed)</w:t>
            </w:r>
          </w:p>
          <w:p>
            <w:pPr>
              <w:pStyle w:val="TableParagraph"/>
              <w:spacing w:before="83"/>
              <w:ind w:left="47"/>
              <w:rPr>
                <w:sz w:val="22"/>
              </w:rPr>
            </w:pPr>
            <w:r>
              <w:rPr>
                <w:spacing w:val="-10"/>
                <w:sz w:val="22"/>
              </w:rPr>
              <w:t>N</w:t>
            </w:r>
          </w:p>
        </w:tc>
        <w:tc>
          <w:tcPr>
            <w:tcW w:w="1051" w:type="dxa"/>
            <w:tcBorders>
              <w:top w:val="single" w:sz="12" w:space="0" w:color="FFFFFF"/>
              <w:right w:val="single" w:sz="8" w:space="0" w:color="000000"/>
            </w:tcBorders>
          </w:tcPr>
          <w:p>
            <w:pPr>
              <w:pStyle w:val="TableParagraph"/>
              <w:spacing w:before="45"/>
              <w:ind w:left="24"/>
              <w:rPr>
                <w:sz w:val="22"/>
              </w:rPr>
            </w:pPr>
            <w:r>
              <w:rPr>
                <w:spacing w:val="-2"/>
                <w:sz w:val="22"/>
              </w:rPr>
              <w:t>.0001</w:t>
            </w:r>
          </w:p>
          <w:p>
            <w:pPr>
              <w:pStyle w:val="TableParagraph"/>
              <w:spacing w:before="83"/>
              <w:ind w:left="24"/>
              <w:rPr>
                <w:sz w:val="22"/>
              </w:rPr>
            </w:pPr>
            <w:r>
              <w:rPr>
                <w:spacing w:val="-10"/>
                <w:sz w:val="22"/>
              </w:rPr>
              <w:t>6</w:t>
            </w:r>
          </w:p>
        </w:tc>
        <w:tc>
          <w:tcPr>
            <w:tcW w:w="1046" w:type="dxa"/>
            <w:tcBorders>
              <w:top w:val="single" w:sz="12" w:space="0" w:color="FFFFFF"/>
              <w:left w:val="single" w:sz="8" w:space="0" w:color="000000"/>
              <w:right w:val="single" w:sz="8" w:space="0" w:color="000000"/>
            </w:tcBorders>
          </w:tcPr>
          <w:p>
            <w:pPr>
              <w:pStyle w:val="TableParagraph"/>
              <w:spacing w:before="45"/>
              <w:ind w:left="37"/>
              <w:rPr>
                <w:sz w:val="22"/>
              </w:rPr>
            </w:pPr>
            <w:r>
              <w:rPr>
                <w:spacing w:val="-2"/>
                <w:sz w:val="22"/>
              </w:rPr>
              <w:t>.0001</w:t>
            </w:r>
          </w:p>
          <w:p>
            <w:pPr>
              <w:pStyle w:val="TableParagraph"/>
              <w:spacing w:before="83"/>
              <w:ind w:left="37"/>
              <w:rPr>
                <w:sz w:val="22"/>
              </w:rPr>
            </w:pPr>
            <w:r>
              <w:rPr>
                <w:spacing w:val="-10"/>
                <w:sz w:val="22"/>
              </w:rPr>
              <w:t>6</w:t>
            </w:r>
          </w:p>
        </w:tc>
        <w:tc>
          <w:tcPr>
            <w:tcW w:w="1051" w:type="dxa"/>
            <w:vMerge/>
            <w:tcBorders>
              <w:top w:val="nil"/>
              <w:left w:val="single" w:sz="8" w:space="0" w:color="000000"/>
            </w:tcBorders>
          </w:tcPr>
          <w:p>
            <w:pPr>
              <w:rPr>
                <w:sz w:val="2"/>
                <w:szCs w:val="2"/>
              </w:rPr>
            </w:pP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p>
      <w:pPr>
        <w:spacing w:after="0"/>
        <w:sectPr>
          <w:pgSz w:w="12240" w:h="15840"/>
          <w:pgMar w:header="0" w:footer="999" w:top="1260" w:bottom="1180" w:left="1720" w:right="760"/>
        </w:sectPr>
      </w:pPr>
    </w:p>
    <w:p>
      <w:pPr>
        <w:pStyle w:val="Heading2"/>
        <w:spacing w:line="244" w:lineRule="auto" w:before="80"/>
        <w:ind w:left="665" w:right="1231" w:firstLine="0"/>
      </w:pPr>
      <w:r>
        <w:rPr/>
        <w:t>Effect of Binder</w:t>
      </w:r>
      <w:r>
        <w:rPr>
          <w:spacing w:val="22"/>
        </w:rPr>
        <w:t> </w:t>
      </w:r>
      <w:r>
        <w:rPr/>
        <w:t>concentration at 12.5 %</w:t>
      </w:r>
      <w:r>
        <w:rPr>
          <w:spacing w:val="21"/>
        </w:rPr>
        <w:t> </w:t>
      </w:r>
      <w:r>
        <w:rPr/>
        <w:t>on the physical</w:t>
      </w:r>
      <w:r>
        <w:rPr>
          <w:spacing w:val="21"/>
        </w:rPr>
        <w:t> </w:t>
      </w:r>
      <w:r>
        <w:rPr/>
        <w:t>properties of</w:t>
      </w:r>
      <w:r>
        <w:rPr>
          <w:spacing w:val="23"/>
        </w:rPr>
        <w:t> </w:t>
      </w:r>
      <w:r>
        <w:rPr/>
        <w:t>the granules of DS and MCS compared with GEL using correlation analysis</w:t>
      </w:r>
    </w:p>
    <w:p>
      <w:pPr>
        <w:pStyle w:val="BodyText"/>
        <w:spacing w:line="28" w:lineRule="exact"/>
        <w:ind w:left="665"/>
        <w:rPr>
          <w:sz w:val="2"/>
        </w:rPr>
      </w:pPr>
      <w:r>
        <w:rPr>
          <w:position w:val="0"/>
          <w:sz w:val="2"/>
        </w:rPr>
        <mc:AlternateContent>
          <mc:Choice Requires="wps">
            <w:drawing>
              <wp:inline distT="0" distB="0" distL="0" distR="0">
                <wp:extent cx="3776979" cy="18415"/>
                <wp:effectExtent l="0" t="0" r="0" b="0"/>
                <wp:docPr id="496" name="Group 496"/>
                <wp:cNvGraphicFramePr>
                  <a:graphicFrameLocks/>
                </wp:cNvGraphicFramePr>
                <a:graphic>
                  <a:graphicData uri="http://schemas.microsoft.com/office/word/2010/wordprocessingGroup">
                    <wpg:wgp>
                      <wpg:cNvPr id="496" name="Group 496"/>
                      <wpg:cNvGrpSpPr/>
                      <wpg:grpSpPr>
                        <a:xfrm>
                          <a:off x="0" y="0"/>
                          <a:ext cx="3776979" cy="18415"/>
                          <a:chExt cx="3776979" cy="18415"/>
                        </a:xfrm>
                      </wpg:grpSpPr>
                      <wps:wsp>
                        <wps:cNvPr id="497" name="Graphic 497"/>
                        <wps:cNvSpPr/>
                        <wps:spPr>
                          <a:xfrm>
                            <a:off x="0" y="0"/>
                            <a:ext cx="3776979" cy="18415"/>
                          </a:xfrm>
                          <a:custGeom>
                            <a:avLst/>
                            <a:gdLst/>
                            <a:ahLst/>
                            <a:cxnLst/>
                            <a:rect l="l" t="t" r="r" b="b"/>
                            <a:pathLst>
                              <a:path w="3776979" h="18415">
                                <a:moveTo>
                                  <a:pt x="3776472" y="0"/>
                                </a:moveTo>
                                <a:lnTo>
                                  <a:pt x="0" y="0"/>
                                </a:lnTo>
                                <a:lnTo>
                                  <a:pt x="0" y="18288"/>
                                </a:lnTo>
                                <a:lnTo>
                                  <a:pt x="3776472" y="18288"/>
                                </a:lnTo>
                                <a:lnTo>
                                  <a:pt x="377647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97.4pt;height:1.45pt;mso-position-horizontal-relative:char;mso-position-vertical-relative:line" id="docshapegroup478" coordorigin="0,0" coordsize="5948,29">
                <v:rect style="position:absolute;left:0;top:0;width:5948;height:29" id="docshape479" filled="true" fillcolor="#ffffff" stroked="false">
                  <v:fill type="solid"/>
                </v:rect>
              </v:group>
            </w:pict>
          </mc:Fallback>
        </mc:AlternateContent>
      </w:r>
      <w:r>
        <w:rPr>
          <w:position w:val="0"/>
          <w:sz w:val="2"/>
        </w:rPr>
      </w:r>
    </w:p>
    <w:p>
      <w:pPr>
        <w:pStyle w:val="BodyText"/>
        <w:spacing w:before="50"/>
        <w:rPr>
          <w:b/>
          <w:sz w:val="20"/>
        </w:rPr>
      </w:pPr>
    </w:p>
    <w:tbl>
      <w:tblPr>
        <w:tblW w:w="0" w:type="auto"/>
        <w:jc w:val="left"/>
        <w:tblInd w:w="6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4"/>
        <w:gridCol w:w="2045"/>
        <w:gridCol w:w="1051"/>
        <w:gridCol w:w="1046"/>
        <w:gridCol w:w="1051"/>
      </w:tblGrid>
      <w:tr>
        <w:trPr>
          <w:trHeight w:val="287" w:hRule="atLeast"/>
        </w:trPr>
        <w:tc>
          <w:tcPr>
            <w:tcW w:w="2799" w:type="dxa"/>
            <w:gridSpan w:val="2"/>
          </w:tcPr>
          <w:p>
            <w:pPr>
              <w:pStyle w:val="TableParagraph"/>
              <w:rPr>
                <w:sz w:val="20"/>
              </w:rPr>
            </w:pPr>
          </w:p>
        </w:tc>
        <w:tc>
          <w:tcPr>
            <w:tcW w:w="1051" w:type="dxa"/>
            <w:tcBorders>
              <w:right w:val="single" w:sz="8" w:space="0" w:color="000000"/>
            </w:tcBorders>
          </w:tcPr>
          <w:p>
            <w:pPr>
              <w:pStyle w:val="TableParagraph"/>
              <w:spacing w:line="236" w:lineRule="exact" w:before="31"/>
              <w:ind w:left="24"/>
              <w:rPr>
                <w:sz w:val="22"/>
              </w:rPr>
            </w:pPr>
            <w:r>
              <w:rPr>
                <w:spacing w:val="-5"/>
                <w:sz w:val="22"/>
              </w:rPr>
              <w:t>DS</w:t>
            </w:r>
          </w:p>
        </w:tc>
        <w:tc>
          <w:tcPr>
            <w:tcW w:w="1046" w:type="dxa"/>
            <w:tcBorders>
              <w:left w:val="single" w:sz="8" w:space="0" w:color="000000"/>
              <w:bottom w:val="single" w:sz="36" w:space="0" w:color="000000"/>
              <w:right w:val="single" w:sz="8" w:space="0" w:color="000000"/>
            </w:tcBorders>
          </w:tcPr>
          <w:p>
            <w:pPr>
              <w:pStyle w:val="TableParagraph"/>
              <w:spacing w:line="236" w:lineRule="exact" w:before="31"/>
              <w:ind w:left="37"/>
              <w:rPr>
                <w:sz w:val="22"/>
              </w:rPr>
            </w:pPr>
            <w:r>
              <w:rPr>
                <w:spacing w:val="-5"/>
                <w:sz w:val="22"/>
              </w:rPr>
              <w:t>MCS</w:t>
            </w:r>
          </w:p>
        </w:tc>
        <w:tc>
          <w:tcPr>
            <w:tcW w:w="1051" w:type="dxa"/>
            <w:tcBorders>
              <w:left w:val="single" w:sz="8" w:space="0" w:color="000000"/>
              <w:bottom w:val="single" w:sz="36" w:space="0" w:color="000000"/>
            </w:tcBorders>
          </w:tcPr>
          <w:p>
            <w:pPr>
              <w:pStyle w:val="TableParagraph"/>
              <w:spacing w:line="236" w:lineRule="exact" w:before="31"/>
              <w:ind w:left="37"/>
              <w:rPr>
                <w:sz w:val="22"/>
              </w:rPr>
            </w:pPr>
            <w:r>
              <w:rPr>
                <w:spacing w:val="-5"/>
                <w:sz w:val="22"/>
              </w:rPr>
              <w:t>GEL</w:t>
            </w:r>
          </w:p>
        </w:tc>
      </w:tr>
      <w:tr>
        <w:trPr>
          <w:trHeight w:val="976" w:hRule="atLeast"/>
        </w:trPr>
        <w:tc>
          <w:tcPr>
            <w:tcW w:w="2799" w:type="dxa"/>
            <w:gridSpan w:val="2"/>
            <w:tcBorders>
              <w:bottom w:val="single" w:sz="8" w:space="0" w:color="000000"/>
            </w:tcBorders>
          </w:tcPr>
          <w:p>
            <w:pPr>
              <w:pStyle w:val="TableParagraph"/>
              <w:tabs>
                <w:tab w:pos="779" w:val="left" w:leader="none"/>
              </w:tabs>
              <w:spacing w:line="336" w:lineRule="auto" w:before="4"/>
              <w:ind w:left="779" w:right="180" w:hanging="754"/>
              <w:rPr>
                <w:sz w:val="22"/>
              </w:rPr>
            </w:pPr>
            <w:r>
              <w:rPr>
                <w:spacing w:val="-6"/>
                <w:sz w:val="22"/>
              </w:rPr>
              <w:t>DS</w:t>
            </w:r>
            <w:r>
              <w:rPr>
                <w:sz w:val="22"/>
              </w:rPr>
              <w:tab/>
              <w:t>Pearson Correlation Sig. (2-tailed)</w:t>
            </w:r>
          </w:p>
          <w:p>
            <w:pPr>
              <w:pStyle w:val="TableParagraph"/>
              <w:spacing w:line="244" w:lineRule="exact"/>
              <w:ind w:left="779"/>
              <w:rPr>
                <w:sz w:val="22"/>
              </w:rPr>
            </w:pPr>
            <w:r>
              <w:rPr>
                <w:spacing w:val="-10"/>
                <w:sz w:val="22"/>
              </w:rPr>
              <w:t>N</w:t>
            </w:r>
          </w:p>
        </w:tc>
        <w:tc>
          <w:tcPr>
            <w:tcW w:w="1051" w:type="dxa"/>
            <w:tcBorders>
              <w:bottom w:val="single" w:sz="24" w:space="0" w:color="FFFFFF"/>
              <w:right w:val="single" w:sz="8" w:space="0" w:color="000000"/>
            </w:tcBorders>
          </w:tcPr>
          <w:p>
            <w:pPr>
              <w:pStyle w:val="TableParagraph"/>
              <w:spacing w:before="4"/>
              <w:ind w:left="24"/>
              <w:rPr>
                <w:sz w:val="22"/>
              </w:rPr>
            </w:pPr>
            <w:r>
              <w:rPr>
                <w:spacing w:val="-10"/>
                <w:sz w:val="22"/>
              </w:rPr>
              <w:t>1</w:t>
            </w:r>
          </w:p>
          <w:p>
            <w:pPr>
              <w:pStyle w:val="TableParagraph"/>
              <w:spacing w:before="199"/>
              <w:rPr>
                <w:b/>
                <w:sz w:val="22"/>
              </w:rPr>
            </w:pPr>
          </w:p>
          <w:p>
            <w:pPr>
              <w:pStyle w:val="TableParagraph"/>
              <w:spacing w:line="247" w:lineRule="exact"/>
              <w:ind w:left="24"/>
              <w:rPr>
                <w:sz w:val="22"/>
              </w:rPr>
            </w:pPr>
            <w:r>
              <w:rPr>
                <w:spacing w:val="-10"/>
                <w:sz w:val="22"/>
              </w:rPr>
              <w:t>6</w:t>
            </w:r>
          </w:p>
        </w:tc>
        <w:tc>
          <w:tcPr>
            <w:tcW w:w="1046" w:type="dxa"/>
            <w:tcBorders>
              <w:top w:val="single" w:sz="36" w:space="0" w:color="000000"/>
              <w:left w:val="single" w:sz="8" w:space="0" w:color="000000"/>
              <w:bottom w:val="single" w:sz="8" w:space="0" w:color="000000"/>
              <w:right w:val="single" w:sz="8" w:space="0" w:color="000000"/>
            </w:tcBorders>
          </w:tcPr>
          <w:p>
            <w:pPr>
              <w:pStyle w:val="TableParagraph"/>
              <w:spacing w:before="4"/>
              <w:ind w:left="37"/>
              <w:rPr>
                <w:sz w:val="22"/>
              </w:rPr>
            </w:pPr>
            <w:r>
              <w:rPr>
                <w:spacing w:val="-2"/>
                <w:w w:val="105"/>
                <w:sz w:val="22"/>
              </w:rPr>
              <w:t>0.999</w:t>
            </w:r>
            <w:r>
              <w:rPr>
                <w:spacing w:val="-2"/>
                <w:w w:val="105"/>
                <w:sz w:val="22"/>
                <w:vertAlign w:val="superscript"/>
              </w:rPr>
              <w:t>*</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c>
          <w:tcPr>
            <w:tcW w:w="1051" w:type="dxa"/>
            <w:tcBorders>
              <w:top w:val="single" w:sz="36" w:space="0" w:color="000000"/>
              <w:left w:val="single" w:sz="8" w:space="0" w:color="000000"/>
              <w:bottom w:val="single" w:sz="24" w:space="0" w:color="FFFFFF"/>
            </w:tcBorders>
          </w:tcPr>
          <w:p>
            <w:pPr>
              <w:pStyle w:val="TableParagraph"/>
              <w:spacing w:before="4"/>
              <w:ind w:left="37"/>
              <w:rPr>
                <w:sz w:val="22"/>
              </w:rPr>
            </w:pPr>
            <w:r>
              <w:rPr>
                <w:spacing w:val="-2"/>
                <w:w w:val="105"/>
                <w:sz w:val="22"/>
              </w:rPr>
              <w:t>.997</w:t>
            </w:r>
            <w:r>
              <w:rPr>
                <w:spacing w:val="-2"/>
                <w:w w:val="105"/>
                <w:sz w:val="22"/>
                <w:vertAlign w:val="superscript"/>
              </w:rPr>
              <w:t>**</w:t>
            </w:r>
          </w:p>
          <w:p>
            <w:pPr>
              <w:pStyle w:val="TableParagraph"/>
              <w:spacing w:before="102"/>
              <w:ind w:left="37"/>
              <w:rPr>
                <w:sz w:val="22"/>
              </w:rPr>
            </w:pPr>
            <w:r>
              <w:rPr>
                <w:spacing w:val="-2"/>
                <w:sz w:val="22"/>
              </w:rPr>
              <w:t>.0001</w:t>
            </w:r>
          </w:p>
          <w:p>
            <w:pPr>
              <w:pStyle w:val="TableParagraph"/>
              <w:spacing w:line="247" w:lineRule="exact" w:before="97"/>
              <w:ind w:left="37"/>
              <w:rPr>
                <w:sz w:val="22"/>
              </w:rPr>
            </w:pPr>
            <w:r>
              <w:rPr>
                <w:spacing w:val="-10"/>
                <w:sz w:val="22"/>
              </w:rPr>
              <w:t>6</w:t>
            </w:r>
          </w:p>
        </w:tc>
      </w:tr>
      <w:tr>
        <w:trPr>
          <w:trHeight w:val="950" w:hRule="atLeast"/>
        </w:trPr>
        <w:tc>
          <w:tcPr>
            <w:tcW w:w="2799" w:type="dxa"/>
            <w:gridSpan w:val="2"/>
            <w:tcBorders>
              <w:top w:val="single" w:sz="8" w:space="0" w:color="000000"/>
              <w:bottom w:val="single" w:sz="8" w:space="0" w:color="000000"/>
            </w:tcBorders>
          </w:tcPr>
          <w:p>
            <w:pPr>
              <w:pStyle w:val="TableParagraph"/>
              <w:tabs>
                <w:tab w:pos="779" w:val="left" w:leader="none"/>
              </w:tabs>
              <w:spacing w:line="319" w:lineRule="auto" w:before="9"/>
              <w:ind w:left="779" w:right="180" w:hanging="754"/>
              <w:rPr>
                <w:sz w:val="22"/>
              </w:rPr>
            </w:pPr>
            <w:r>
              <w:rPr>
                <w:spacing w:val="-4"/>
                <w:sz w:val="22"/>
              </w:rPr>
              <w:t>MCS</w:t>
            </w:r>
            <w:r>
              <w:rPr>
                <w:sz w:val="22"/>
              </w:rPr>
              <w:tab/>
              <w:t>Pearson Correlation Sig. (2-tailed)</w:t>
            </w:r>
          </w:p>
          <w:p>
            <w:pPr>
              <w:pStyle w:val="TableParagraph"/>
              <w:spacing w:line="247" w:lineRule="exact"/>
              <w:ind w:left="779"/>
              <w:rPr>
                <w:sz w:val="22"/>
              </w:rPr>
            </w:pPr>
            <w:r>
              <w:rPr>
                <w:spacing w:val="-10"/>
                <w:sz w:val="22"/>
              </w:rPr>
              <w:t>N</w:t>
            </w:r>
          </w:p>
        </w:tc>
        <w:tc>
          <w:tcPr>
            <w:tcW w:w="1051" w:type="dxa"/>
            <w:tcBorders>
              <w:top w:val="single" w:sz="24" w:space="0" w:color="FFFFFF"/>
              <w:bottom w:val="single" w:sz="18" w:space="0" w:color="FFFFFF"/>
              <w:right w:val="single" w:sz="8" w:space="0" w:color="000000"/>
            </w:tcBorders>
          </w:tcPr>
          <w:p>
            <w:pPr>
              <w:pStyle w:val="TableParagraph"/>
              <w:spacing w:before="9"/>
              <w:ind w:left="24"/>
              <w:rPr>
                <w:sz w:val="22"/>
              </w:rPr>
            </w:pPr>
            <w:r>
              <w:rPr>
                <w:spacing w:val="-2"/>
                <w:w w:val="105"/>
                <w:sz w:val="22"/>
              </w:rPr>
              <w:t>0.999</w:t>
            </w:r>
            <w:r>
              <w:rPr>
                <w:spacing w:val="-2"/>
                <w:w w:val="105"/>
                <w:sz w:val="22"/>
                <w:vertAlign w:val="superscript"/>
              </w:rPr>
              <w:t>*</w:t>
            </w:r>
            <w:r>
              <w:rPr>
                <w:spacing w:val="-2"/>
                <w:w w:val="105"/>
                <w:sz w:val="22"/>
                <w:vertAlign w:val="superscript"/>
              </w:rPr>
              <w:t>*</w:t>
            </w:r>
          </w:p>
          <w:p>
            <w:pPr>
              <w:pStyle w:val="TableParagraph"/>
              <w:spacing w:before="83"/>
              <w:ind w:left="24"/>
              <w:rPr>
                <w:sz w:val="22"/>
              </w:rPr>
            </w:pPr>
            <w:r>
              <w:rPr>
                <w:spacing w:val="-4"/>
                <w:sz w:val="22"/>
              </w:rPr>
              <w:t>.000</w:t>
            </w:r>
          </w:p>
          <w:p>
            <w:pPr>
              <w:pStyle w:val="TableParagraph"/>
              <w:spacing w:before="78"/>
              <w:ind w:left="24"/>
              <w:rPr>
                <w:sz w:val="22"/>
              </w:rPr>
            </w:pPr>
            <w:r>
              <w:rPr>
                <w:spacing w:val="-10"/>
                <w:sz w:val="22"/>
              </w:rPr>
              <w:t>6</w:t>
            </w:r>
          </w:p>
        </w:tc>
        <w:tc>
          <w:tcPr>
            <w:tcW w:w="1046" w:type="dxa"/>
            <w:tcBorders>
              <w:top w:val="single" w:sz="8" w:space="0" w:color="000000"/>
              <w:left w:val="single" w:sz="8" w:space="0" w:color="000000"/>
              <w:bottom w:val="single" w:sz="18" w:space="0" w:color="FFFFFF"/>
              <w:right w:val="single" w:sz="8" w:space="0" w:color="000000"/>
            </w:tcBorders>
          </w:tcPr>
          <w:p>
            <w:pPr>
              <w:pStyle w:val="TableParagraph"/>
              <w:spacing w:before="9"/>
              <w:ind w:left="37"/>
              <w:rPr>
                <w:sz w:val="22"/>
              </w:rPr>
            </w:pPr>
            <w:r>
              <w:rPr>
                <w:spacing w:val="-10"/>
                <w:sz w:val="22"/>
              </w:rPr>
              <w:t>1</w:t>
            </w:r>
          </w:p>
          <w:p>
            <w:pPr>
              <w:pStyle w:val="TableParagraph"/>
              <w:spacing w:before="161"/>
              <w:rPr>
                <w:b/>
                <w:sz w:val="22"/>
              </w:rPr>
            </w:pPr>
          </w:p>
          <w:p>
            <w:pPr>
              <w:pStyle w:val="TableParagraph"/>
              <w:ind w:left="37"/>
              <w:rPr>
                <w:sz w:val="22"/>
              </w:rPr>
            </w:pPr>
            <w:r>
              <w:rPr>
                <w:spacing w:val="-10"/>
                <w:sz w:val="22"/>
              </w:rPr>
              <w:t>6</w:t>
            </w:r>
          </w:p>
        </w:tc>
        <w:tc>
          <w:tcPr>
            <w:tcW w:w="1051" w:type="dxa"/>
            <w:tcBorders>
              <w:top w:val="single" w:sz="24" w:space="0" w:color="FFFFFF"/>
              <w:left w:val="single" w:sz="8" w:space="0" w:color="000000"/>
              <w:bottom w:val="single" w:sz="8" w:space="0" w:color="000000"/>
            </w:tcBorders>
          </w:tcPr>
          <w:p>
            <w:pPr>
              <w:pStyle w:val="TableParagraph"/>
              <w:spacing w:before="9"/>
              <w:ind w:left="37"/>
              <w:rPr>
                <w:sz w:val="22"/>
              </w:rPr>
            </w:pPr>
            <w:r>
              <w:rPr>
                <w:spacing w:val="-2"/>
                <w:w w:val="105"/>
                <w:sz w:val="22"/>
              </w:rPr>
              <w:t>.995</w:t>
            </w:r>
            <w:r>
              <w:rPr>
                <w:spacing w:val="-2"/>
                <w:w w:val="105"/>
                <w:sz w:val="22"/>
                <w:vertAlign w:val="superscript"/>
              </w:rPr>
              <w:t>**</w:t>
            </w:r>
          </w:p>
          <w:p>
            <w:pPr>
              <w:pStyle w:val="TableParagraph"/>
              <w:spacing w:before="83"/>
              <w:ind w:left="37"/>
              <w:rPr>
                <w:sz w:val="22"/>
              </w:rPr>
            </w:pPr>
            <w:r>
              <w:rPr>
                <w:spacing w:val="-2"/>
                <w:sz w:val="22"/>
              </w:rPr>
              <w:t>.0001</w:t>
            </w:r>
          </w:p>
          <w:p>
            <w:pPr>
              <w:pStyle w:val="TableParagraph"/>
              <w:spacing w:before="78"/>
              <w:ind w:left="37"/>
              <w:rPr>
                <w:sz w:val="22"/>
              </w:rPr>
            </w:pPr>
            <w:r>
              <w:rPr>
                <w:spacing w:val="-10"/>
                <w:sz w:val="22"/>
              </w:rPr>
              <w:t>6</w:t>
            </w:r>
          </w:p>
        </w:tc>
      </w:tr>
      <w:tr>
        <w:trPr>
          <w:trHeight w:val="262" w:hRule="atLeast"/>
        </w:trPr>
        <w:tc>
          <w:tcPr>
            <w:tcW w:w="754" w:type="dxa"/>
            <w:vMerge w:val="restart"/>
            <w:tcBorders>
              <w:top w:val="single" w:sz="8" w:space="0" w:color="000000"/>
              <w:right w:val="nil"/>
            </w:tcBorders>
          </w:tcPr>
          <w:p>
            <w:pPr>
              <w:pStyle w:val="TableParagraph"/>
              <w:spacing w:before="21"/>
              <w:ind w:left="25"/>
              <w:rPr>
                <w:sz w:val="22"/>
              </w:rPr>
            </w:pPr>
            <w:r>
              <w:rPr>
                <w:spacing w:val="-5"/>
                <w:sz w:val="22"/>
              </w:rPr>
              <w:t>GEL</w:t>
            </w:r>
          </w:p>
        </w:tc>
        <w:tc>
          <w:tcPr>
            <w:tcW w:w="2045" w:type="dxa"/>
            <w:tcBorders>
              <w:top w:val="single" w:sz="8" w:space="0" w:color="000000"/>
              <w:left w:val="nil"/>
              <w:bottom w:val="single" w:sz="12" w:space="0" w:color="FFFFFF"/>
            </w:tcBorders>
          </w:tcPr>
          <w:p>
            <w:pPr>
              <w:pStyle w:val="TableParagraph"/>
              <w:spacing w:line="220" w:lineRule="exact" w:before="21"/>
              <w:ind w:left="47"/>
              <w:rPr>
                <w:sz w:val="22"/>
              </w:rPr>
            </w:pPr>
            <w:r>
              <w:rPr>
                <w:sz w:val="22"/>
              </w:rPr>
              <w:t>Pearson</w:t>
            </w:r>
            <w:r>
              <w:rPr>
                <w:spacing w:val="14"/>
                <w:sz w:val="22"/>
              </w:rPr>
              <w:t> </w:t>
            </w:r>
            <w:r>
              <w:rPr>
                <w:spacing w:val="-2"/>
                <w:sz w:val="22"/>
              </w:rPr>
              <w:t>Correlation</w:t>
            </w:r>
          </w:p>
        </w:tc>
        <w:tc>
          <w:tcPr>
            <w:tcW w:w="1051" w:type="dxa"/>
            <w:tcBorders>
              <w:top w:val="single" w:sz="18" w:space="0" w:color="FFFFFF"/>
              <w:bottom w:val="single" w:sz="12" w:space="0" w:color="FFFFFF"/>
              <w:right w:val="single" w:sz="8" w:space="0" w:color="000000"/>
            </w:tcBorders>
          </w:tcPr>
          <w:p>
            <w:pPr>
              <w:pStyle w:val="TableParagraph"/>
              <w:spacing w:line="220" w:lineRule="exact" w:before="21"/>
              <w:ind w:left="24"/>
              <w:rPr>
                <w:sz w:val="22"/>
              </w:rPr>
            </w:pPr>
            <w:r>
              <w:rPr>
                <w:spacing w:val="-2"/>
                <w:w w:val="105"/>
                <w:sz w:val="22"/>
              </w:rPr>
              <w:t>.997</w:t>
            </w:r>
            <w:r>
              <w:rPr>
                <w:spacing w:val="-2"/>
                <w:w w:val="105"/>
                <w:sz w:val="22"/>
                <w:vertAlign w:val="superscript"/>
              </w:rPr>
              <w:t>**</w:t>
            </w:r>
          </w:p>
        </w:tc>
        <w:tc>
          <w:tcPr>
            <w:tcW w:w="1046" w:type="dxa"/>
            <w:tcBorders>
              <w:top w:val="single" w:sz="18" w:space="0" w:color="FFFFFF"/>
              <w:left w:val="single" w:sz="8" w:space="0" w:color="000000"/>
              <w:bottom w:val="single" w:sz="12" w:space="0" w:color="FFFFFF"/>
              <w:right w:val="single" w:sz="8" w:space="0" w:color="000000"/>
            </w:tcBorders>
          </w:tcPr>
          <w:p>
            <w:pPr>
              <w:pStyle w:val="TableParagraph"/>
              <w:spacing w:line="220" w:lineRule="exact" w:before="21"/>
              <w:ind w:left="37"/>
              <w:rPr>
                <w:sz w:val="22"/>
              </w:rPr>
            </w:pPr>
            <w:r>
              <w:rPr>
                <w:spacing w:val="-2"/>
                <w:w w:val="105"/>
                <w:sz w:val="22"/>
              </w:rPr>
              <w:t>.995</w:t>
            </w:r>
            <w:r>
              <w:rPr>
                <w:spacing w:val="-2"/>
                <w:w w:val="105"/>
                <w:sz w:val="22"/>
                <w:vertAlign w:val="superscript"/>
              </w:rPr>
              <w:t>**</w:t>
            </w:r>
          </w:p>
        </w:tc>
        <w:tc>
          <w:tcPr>
            <w:tcW w:w="1051" w:type="dxa"/>
            <w:vMerge w:val="restart"/>
            <w:tcBorders>
              <w:top w:val="single" w:sz="8" w:space="0" w:color="000000"/>
              <w:left w:val="single" w:sz="8" w:space="0" w:color="000000"/>
            </w:tcBorders>
          </w:tcPr>
          <w:p>
            <w:pPr>
              <w:pStyle w:val="TableParagraph"/>
              <w:spacing w:before="21"/>
              <w:ind w:left="37"/>
              <w:rPr>
                <w:sz w:val="22"/>
              </w:rPr>
            </w:pPr>
            <w:r>
              <w:rPr>
                <w:spacing w:val="-10"/>
                <w:sz w:val="22"/>
              </w:rPr>
              <w:t>1</w:t>
            </w:r>
          </w:p>
          <w:p>
            <w:pPr>
              <w:pStyle w:val="TableParagraph"/>
              <w:spacing w:before="161"/>
              <w:rPr>
                <w:b/>
                <w:sz w:val="22"/>
              </w:rPr>
            </w:pPr>
          </w:p>
          <w:p>
            <w:pPr>
              <w:pStyle w:val="TableParagraph"/>
              <w:spacing w:before="1"/>
              <w:ind w:left="37"/>
              <w:rPr>
                <w:sz w:val="22"/>
              </w:rPr>
            </w:pPr>
            <w:r>
              <w:rPr>
                <w:spacing w:val="-10"/>
                <w:sz w:val="22"/>
              </w:rPr>
              <w:t>6</w:t>
            </w:r>
          </w:p>
        </w:tc>
      </w:tr>
      <w:tr>
        <w:trPr>
          <w:trHeight w:val="663" w:hRule="atLeast"/>
        </w:trPr>
        <w:tc>
          <w:tcPr>
            <w:tcW w:w="754" w:type="dxa"/>
            <w:vMerge/>
            <w:tcBorders>
              <w:top w:val="nil"/>
              <w:right w:val="nil"/>
            </w:tcBorders>
          </w:tcPr>
          <w:p>
            <w:pPr>
              <w:rPr>
                <w:sz w:val="2"/>
                <w:szCs w:val="2"/>
              </w:rPr>
            </w:pPr>
          </w:p>
        </w:tc>
        <w:tc>
          <w:tcPr>
            <w:tcW w:w="2045" w:type="dxa"/>
            <w:tcBorders>
              <w:top w:val="single" w:sz="12" w:space="0" w:color="FFFFFF"/>
              <w:left w:val="nil"/>
            </w:tcBorders>
          </w:tcPr>
          <w:p>
            <w:pPr>
              <w:pStyle w:val="TableParagraph"/>
              <w:spacing w:before="45"/>
              <w:ind w:left="47"/>
              <w:rPr>
                <w:sz w:val="22"/>
              </w:rPr>
            </w:pPr>
            <w:r>
              <w:rPr>
                <w:sz w:val="22"/>
              </w:rPr>
              <w:t>Sig.</w:t>
            </w:r>
            <w:r>
              <w:rPr>
                <w:spacing w:val="16"/>
                <w:sz w:val="22"/>
              </w:rPr>
              <w:t> </w:t>
            </w:r>
            <w:r>
              <w:rPr>
                <w:sz w:val="22"/>
              </w:rPr>
              <w:t>(2-</w:t>
            </w:r>
            <w:r>
              <w:rPr>
                <w:spacing w:val="-2"/>
                <w:sz w:val="22"/>
              </w:rPr>
              <w:t>tailed)</w:t>
            </w:r>
          </w:p>
          <w:p>
            <w:pPr>
              <w:pStyle w:val="TableParagraph"/>
              <w:spacing w:before="83"/>
              <w:ind w:left="47"/>
              <w:rPr>
                <w:sz w:val="22"/>
              </w:rPr>
            </w:pPr>
            <w:r>
              <w:rPr>
                <w:spacing w:val="-10"/>
                <w:sz w:val="22"/>
              </w:rPr>
              <w:t>N</w:t>
            </w:r>
          </w:p>
        </w:tc>
        <w:tc>
          <w:tcPr>
            <w:tcW w:w="1051" w:type="dxa"/>
            <w:tcBorders>
              <w:top w:val="single" w:sz="12" w:space="0" w:color="FFFFFF"/>
              <w:right w:val="single" w:sz="8" w:space="0" w:color="000000"/>
            </w:tcBorders>
          </w:tcPr>
          <w:p>
            <w:pPr>
              <w:pStyle w:val="TableParagraph"/>
              <w:spacing w:before="45"/>
              <w:ind w:left="24"/>
              <w:rPr>
                <w:sz w:val="22"/>
              </w:rPr>
            </w:pPr>
            <w:r>
              <w:rPr>
                <w:spacing w:val="-2"/>
                <w:sz w:val="22"/>
              </w:rPr>
              <w:t>.0001</w:t>
            </w:r>
          </w:p>
          <w:p>
            <w:pPr>
              <w:pStyle w:val="TableParagraph"/>
              <w:spacing w:before="83"/>
              <w:ind w:left="24"/>
              <w:rPr>
                <w:sz w:val="22"/>
              </w:rPr>
            </w:pPr>
            <w:r>
              <w:rPr>
                <w:spacing w:val="-10"/>
                <w:sz w:val="22"/>
              </w:rPr>
              <w:t>6</w:t>
            </w:r>
          </w:p>
        </w:tc>
        <w:tc>
          <w:tcPr>
            <w:tcW w:w="1046" w:type="dxa"/>
            <w:tcBorders>
              <w:top w:val="single" w:sz="12" w:space="0" w:color="FFFFFF"/>
              <w:left w:val="single" w:sz="8" w:space="0" w:color="000000"/>
              <w:right w:val="single" w:sz="8" w:space="0" w:color="000000"/>
            </w:tcBorders>
          </w:tcPr>
          <w:p>
            <w:pPr>
              <w:pStyle w:val="TableParagraph"/>
              <w:spacing w:before="45"/>
              <w:ind w:left="37"/>
              <w:rPr>
                <w:sz w:val="22"/>
              </w:rPr>
            </w:pPr>
            <w:r>
              <w:rPr>
                <w:spacing w:val="-2"/>
                <w:sz w:val="22"/>
              </w:rPr>
              <w:t>.0001</w:t>
            </w:r>
          </w:p>
          <w:p>
            <w:pPr>
              <w:pStyle w:val="TableParagraph"/>
              <w:spacing w:before="83"/>
              <w:ind w:left="37"/>
              <w:rPr>
                <w:sz w:val="22"/>
              </w:rPr>
            </w:pPr>
            <w:r>
              <w:rPr>
                <w:spacing w:val="-10"/>
                <w:sz w:val="22"/>
              </w:rPr>
              <w:t>6</w:t>
            </w:r>
          </w:p>
        </w:tc>
        <w:tc>
          <w:tcPr>
            <w:tcW w:w="1051" w:type="dxa"/>
            <w:vMerge/>
            <w:tcBorders>
              <w:top w:val="nil"/>
              <w:left w:val="single" w:sz="8" w:space="0" w:color="000000"/>
            </w:tcBorders>
          </w:tcPr>
          <w:p>
            <w:pPr>
              <w:rPr>
                <w:sz w:val="2"/>
                <w:szCs w:val="2"/>
              </w:rPr>
            </w:pPr>
          </w:p>
        </w:tc>
      </w:tr>
    </w:tbl>
    <w:p>
      <w:pPr>
        <w:pStyle w:val="BodyText"/>
        <w:ind w:left="694"/>
      </w:pPr>
      <w:r>
        <w:rPr/>
        <w:t>**.</w:t>
      </w:r>
      <w:r>
        <w:rPr>
          <w:spacing w:val="9"/>
        </w:rPr>
        <w:t> </w:t>
      </w:r>
      <w:r>
        <w:rPr/>
        <w:t>Correlation</w:t>
      </w:r>
      <w:r>
        <w:rPr>
          <w:spacing w:val="7"/>
        </w:rPr>
        <w:t> </w:t>
      </w:r>
      <w:r>
        <w:rPr/>
        <w:t>is</w:t>
      </w:r>
      <w:r>
        <w:rPr>
          <w:spacing w:val="7"/>
        </w:rPr>
        <w:t> </w:t>
      </w:r>
      <w:r>
        <w:rPr/>
        <w:t>significant</w:t>
      </w:r>
      <w:r>
        <w:rPr>
          <w:spacing w:val="13"/>
        </w:rPr>
        <w:t> </w:t>
      </w:r>
      <w:r>
        <w:rPr/>
        <w:t>at</w:t>
      </w:r>
      <w:r>
        <w:rPr>
          <w:spacing w:val="13"/>
        </w:rPr>
        <w:t> </w:t>
      </w:r>
      <w:r>
        <w:rPr/>
        <w:t>the</w:t>
      </w:r>
      <w:r>
        <w:rPr>
          <w:spacing w:val="4"/>
        </w:rPr>
        <w:t> </w:t>
      </w:r>
      <w:r>
        <w:rPr/>
        <w:t>0.01</w:t>
      </w:r>
      <w:r>
        <w:rPr>
          <w:spacing w:val="11"/>
        </w:rPr>
        <w:t> </w:t>
      </w:r>
      <w:r>
        <w:rPr/>
        <w:t>level</w:t>
      </w:r>
      <w:r>
        <w:rPr>
          <w:spacing w:val="8"/>
        </w:rPr>
        <w:t> </w:t>
      </w:r>
      <w:r>
        <w:rPr/>
        <w:t>(2-</w:t>
      </w:r>
      <w:r>
        <w:rPr>
          <w:spacing w:val="-2"/>
        </w:rPr>
        <w:t>tailed).</w:t>
      </w:r>
    </w:p>
    <w:sectPr>
      <w:pgSz w:w="12240" w:h="15840"/>
      <w:pgMar w:header="0" w:footer="999" w:top="1260" w:bottom="1180" w:left="172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979392">
              <wp:simplePos x="0" y="0"/>
              <wp:positionH relativeFrom="page">
                <wp:posOffset>3884676</wp:posOffset>
              </wp:positionH>
              <wp:positionV relativeFrom="page">
                <wp:posOffset>9284058</wp:posOffset>
              </wp:positionV>
              <wp:extent cx="351790" cy="1841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1790" cy="184150"/>
                      </a:xfrm>
                      <a:prstGeom prst="rect">
                        <a:avLst/>
                      </a:prstGeom>
                    </wps:spPr>
                    <wps:txbx>
                      <w:txbxContent>
                        <w:p>
                          <w:pPr>
                            <w:pStyle w:val="BodyText"/>
                            <w:spacing w:before="15"/>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880005pt;margin-top:731.028259pt;width:27.7pt;height:14.5pt;mso-position-horizontal-relative:page;mso-position-vertical-relative:page;z-index:-21337088" type="#_x0000_t202" id="docshape1" filled="false" stroked="false">
              <v:textbox inset="0,0,0,0">
                <w:txbxContent>
                  <w:p>
                    <w:pPr>
                      <w:pStyle w:val="BodyText"/>
                      <w:spacing w:before="15"/>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979904">
              <wp:simplePos x="0" y="0"/>
              <wp:positionH relativeFrom="page">
                <wp:posOffset>3945635</wp:posOffset>
              </wp:positionH>
              <wp:positionV relativeFrom="page">
                <wp:posOffset>9284058</wp:posOffset>
              </wp:positionV>
              <wp:extent cx="231140" cy="1841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3114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10.679993pt;margin-top:731.028259pt;width:18.2pt;height:14.5pt;mso-position-horizontal-relative:page;mso-position-vertical-relative:page;z-index:-21336576" type="#_x0000_t202" id="docshape1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980416">
              <wp:simplePos x="0" y="0"/>
              <wp:positionH relativeFrom="page">
                <wp:posOffset>4914900</wp:posOffset>
              </wp:positionH>
              <wp:positionV relativeFrom="page">
                <wp:posOffset>6668874</wp:posOffset>
              </wp:positionV>
              <wp:extent cx="234315" cy="18415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4315"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387pt;margin-top:525.108215pt;width:18.45pt;height:14.5pt;mso-position-horizontal-relative:page;mso-position-vertical-relative:page;z-index:-21336064" type="#_x0000_t202" id="docshape59"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980928">
              <wp:simplePos x="0" y="0"/>
              <wp:positionH relativeFrom="page">
                <wp:posOffset>3906011</wp:posOffset>
              </wp:positionH>
              <wp:positionV relativeFrom="page">
                <wp:posOffset>9284058</wp:posOffset>
              </wp:positionV>
              <wp:extent cx="304165" cy="18415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04165"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7.559998pt;margin-top:731.028259pt;width:23.95pt;height:14.5pt;mso-position-horizontal-relative:page;mso-position-vertical-relative:page;z-index:-21335552" type="#_x0000_t202" id="docshape6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upperLetter"/>
      <w:lvlText w:val="%1"/>
      <w:lvlJc w:val="left"/>
      <w:pPr>
        <w:ind w:left="1342" w:hanging="677"/>
        <w:jc w:val="left"/>
      </w:pPr>
      <w:rPr>
        <w:rFonts w:hint="default"/>
        <w:lang w:val="en-US" w:eastAsia="en-US" w:bidi="ar-SA"/>
      </w:rPr>
    </w:lvl>
    <w:lvl w:ilvl="1">
      <w:start w:val="1"/>
      <w:numFmt w:val="decimal"/>
      <w:lvlText w:val="%1.%2"/>
      <w:lvlJc w:val="left"/>
      <w:pPr>
        <w:ind w:left="1342" w:hanging="677"/>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3024" w:hanging="677"/>
      </w:pPr>
      <w:rPr>
        <w:rFonts w:hint="default"/>
        <w:lang w:val="en-US" w:eastAsia="en-US" w:bidi="ar-SA"/>
      </w:rPr>
    </w:lvl>
    <w:lvl w:ilvl="3">
      <w:start w:val="0"/>
      <w:numFmt w:val="bullet"/>
      <w:lvlText w:val="•"/>
      <w:lvlJc w:val="left"/>
      <w:pPr>
        <w:ind w:left="3866" w:hanging="677"/>
      </w:pPr>
      <w:rPr>
        <w:rFonts w:hint="default"/>
        <w:lang w:val="en-US" w:eastAsia="en-US" w:bidi="ar-SA"/>
      </w:rPr>
    </w:lvl>
    <w:lvl w:ilvl="4">
      <w:start w:val="0"/>
      <w:numFmt w:val="bullet"/>
      <w:lvlText w:val="•"/>
      <w:lvlJc w:val="left"/>
      <w:pPr>
        <w:ind w:left="4708" w:hanging="677"/>
      </w:pPr>
      <w:rPr>
        <w:rFonts w:hint="default"/>
        <w:lang w:val="en-US" w:eastAsia="en-US" w:bidi="ar-SA"/>
      </w:rPr>
    </w:lvl>
    <w:lvl w:ilvl="5">
      <w:start w:val="0"/>
      <w:numFmt w:val="bullet"/>
      <w:lvlText w:val="•"/>
      <w:lvlJc w:val="left"/>
      <w:pPr>
        <w:ind w:left="5550" w:hanging="677"/>
      </w:pPr>
      <w:rPr>
        <w:rFonts w:hint="default"/>
        <w:lang w:val="en-US" w:eastAsia="en-US" w:bidi="ar-SA"/>
      </w:rPr>
    </w:lvl>
    <w:lvl w:ilvl="6">
      <w:start w:val="0"/>
      <w:numFmt w:val="bullet"/>
      <w:lvlText w:val="•"/>
      <w:lvlJc w:val="left"/>
      <w:pPr>
        <w:ind w:left="6392" w:hanging="677"/>
      </w:pPr>
      <w:rPr>
        <w:rFonts w:hint="default"/>
        <w:lang w:val="en-US" w:eastAsia="en-US" w:bidi="ar-SA"/>
      </w:rPr>
    </w:lvl>
    <w:lvl w:ilvl="7">
      <w:start w:val="0"/>
      <w:numFmt w:val="bullet"/>
      <w:lvlText w:val="•"/>
      <w:lvlJc w:val="left"/>
      <w:pPr>
        <w:ind w:left="7234" w:hanging="677"/>
      </w:pPr>
      <w:rPr>
        <w:rFonts w:hint="default"/>
        <w:lang w:val="en-US" w:eastAsia="en-US" w:bidi="ar-SA"/>
      </w:rPr>
    </w:lvl>
    <w:lvl w:ilvl="8">
      <w:start w:val="0"/>
      <w:numFmt w:val="bullet"/>
      <w:lvlText w:val="•"/>
      <w:lvlJc w:val="left"/>
      <w:pPr>
        <w:ind w:left="8076" w:hanging="677"/>
      </w:pPr>
      <w:rPr>
        <w:rFonts w:hint="default"/>
        <w:lang w:val="en-US" w:eastAsia="en-US" w:bidi="ar-SA"/>
      </w:rPr>
    </w:lvl>
  </w:abstractNum>
  <w:abstractNum w:abstractNumId="36">
    <w:multiLevelType w:val="hybridMultilevel"/>
    <w:lvl w:ilvl="0">
      <w:start w:val="6"/>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1"/>
      <w:numFmt w:val="decimal"/>
      <w:lvlText w:val="%3."/>
      <w:lvlJc w:val="left"/>
      <w:pPr>
        <w:ind w:left="1342" w:hanging="336"/>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3">
      <w:start w:val="0"/>
      <w:numFmt w:val="bullet"/>
      <w:lvlText w:val="•"/>
      <w:lvlJc w:val="left"/>
      <w:pPr>
        <w:ind w:left="3866" w:hanging="336"/>
      </w:pPr>
      <w:rPr>
        <w:rFonts w:hint="default"/>
        <w:lang w:val="en-US" w:eastAsia="en-US" w:bidi="ar-SA"/>
      </w:rPr>
    </w:lvl>
    <w:lvl w:ilvl="4">
      <w:start w:val="0"/>
      <w:numFmt w:val="bullet"/>
      <w:lvlText w:val="•"/>
      <w:lvlJc w:val="left"/>
      <w:pPr>
        <w:ind w:left="4708" w:hanging="336"/>
      </w:pPr>
      <w:rPr>
        <w:rFonts w:hint="default"/>
        <w:lang w:val="en-US" w:eastAsia="en-US" w:bidi="ar-SA"/>
      </w:rPr>
    </w:lvl>
    <w:lvl w:ilvl="5">
      <w:start w:val="0"/>
      <w:numFmt w:val="bullet"/>
      <w:lvlText w:val="•"/>
      <w:lvlJc w:val="left"/>
      <w:pPr>
        <w:ind w:left="5550" w:hanging="336"/>
      </w:pPr>
      <w:rPr>
        <w:rFonts w:hint="default"/>
        <w:lang w:val="en-US" w:eastAsia="en-US" w:bidi="ar-SA"/>
      </w:rPr>
    </w:lvl>
    <w:lvl w:ilvl="6">
      <w:start w:val="0"/>
      <w:numFmt w:val="bullet"/>
      <w:lvlText w:val="•"/>
      <w:lvlJc w:val="left"/>
      <w:pPr>
        <w:ind w:left="6392" w:hanging="336"/>
      </w:pPr>
      <w:rPr>
        <w:rFonts w:hint="default"/>
        <w:lang w:val="en-US" w:eastAsia="en-US" w:bidi="ar-SA"/>
      </w:rPr>
    </w:lvl>
    <w:lvl w:ilvl="7">
      <w:start w:val="0"/>
      <w:numFmt w:val="bullet"/>
      <w:lvlText w:val="•"/>
      <w:lvlJc w:val="left"/>
      <w:pPr>
        <w:ind w:left="7234" w:hanging="336"/>
      </w:pPr>
      <w:rPr>
        <w:rFonts w:hint="default"/>
        <w:lang w:val="en-US" w:eastAsia="en-US" w:bidi="ar-SA"/>
      </w:rPr>
    </w:lvl>
    <w:lvl w:ilvl="8">
      <w:start w:val="0"/>
      <w:numFmt w:val="bullet"/>
      <w:lvlText w:val="•"/>
      <w:lvlJc w:val="left"/>
      <w:pPr>
        <w:ind w:left="8076" w:hanging="336"/>
      </w:pPr>
      <w:rPr>
        <w:rFonts w:hint="default"/>
        <w:lang w:val="en-US" w:eastAsia="en-US" w:bidi="ar-SA"/>
      </w:rPr>
    </w:lvl>
  </w:abstractNum>
  <w:abstractNum w:abstractNumId="35">
    <w:multiLevelType w:val="hybridMultilevel"/>
    <w:lvl w:ilvl="0">
      <w:start w:val="5"/>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0"/>
      <w:numFmt w:val="bullet"/>
      <w:lvlText w:val="•"/>
      <w:lvlJc w:val="left"/>
      <w:pPr>
        <w:ind w:left="3024" w:hanging="677"/>
      </w:pPr>
      <w:rPr>
        <w:rFonts w:hint="default"/>
        <w:lang w:val="en-US" w:eastAsia="en-US" w:bidi="ar-SA"/>
      </w:rPr>
    </w:lvl>
    <w:lvl w:ilvl="3">
      <w:start w:val="0"/>
      <w:numFmt w:val="bullet"/>
      <w:lvlText w:val="•"/>
      <w:lvlJc w:val="left"/>
      <w:pPr>
        <w:ind w:left="3866" w:hanging="677"/>
      </w:pPr>
      <w:rPr>
        <w:rFonts w:hint="default"/>
        <w:lang w:val="en-US" w:eastAsia="en-US" w:bidi="ar-SA"/>
      </w:rPr>
    </w:lvl>
    <w:lvl w:ilvl="4">
      <w:start w:val="0"/>
      <w:numFmt w:val="bullet"/>
      <w:lvlText w:val="•"/>
      <w:lvlJc w:val="left"/>
      <w:pPr>
        <w:ind w:left="4708" w:hanging="677"/>
      </w:pPr>
      <w:rPr>
        <w:rFonts w:hint="default"/>
        <w:lang w:val="en-US" w:eastAsia="en-US" w:bidi="ar-SA"/>
      </w:rPr>
    </w:lvl>
    <w:lvl w:ilvl="5">
      <w:start w:val="0"/>
      <w:numFmt w:val="bullet"/>
      <w:lvlText w:val="•"/>
      <w:lvlJc w:val="left"/>
      <w:pPr>
        <w:ind w:left="5550" w:hanging="677"/>
      </w:pPr>
      <w:rPr>
        <w:rFonts w:hint="default"/>
        <w:lang w:val="en-US" w:eastAsia="en-US" w:bidi="ar-SA"/>
      </w:rPr>
    </w:lvl>
    <w:lvl w:ilvl="6">
      <w:start w:val="0"/>
      <w:numFmt w:val="bullet"/>
      <w:lvlText w:val="•"/>
      <w:lvlJc w:val="left"/>
      <w:pPr>
        <w:ind w:left="6392" w:hanging="677"/>
      </w:pPr>
      <w:rPr>
        <w:rFonts w:hint="default"/>
        <w:lang w:val="en-US" w:eastAsia="en-US" w:bidi="ar-SA"/>
      </w:rPr>
    </w:lvl>
    <w:lvl w:ilvl="7">
      <w:start w:val="0"/>
      <w:numFmt w:val="bullet"/>
      <w:lvlText w:val="•"/>
      <w:lvlJc w:val="left"/>
      <w:pPr>
        <w:ind w:left="7234" w:hanging="677"/>
      </w:pPr>
      <w:rPr>
        <w:rFonts w:hint="default"/>
        <w:lang w:val="en-US" w:eastAsia="en-US" w:bidi="ar-SA"/>
      </w:rPr>
    </w:lvl>
    <w:lvl w:ilvl="8">
      <w:start w:val="0"/>
      <w:numFmt w:val="bullet"/>
      <w:lvlText w:val="•"/>
      <w:lvlJc w:val="left"/>
      <w:pPr>
        <w:ind w:left="8076" w:hanging="677"/>
      </w:pPr>
      <w:rPr>
        <w:rFonts w:hint="default"/>
        <w:lang w:val="en-US" w:eastAsia="en-US" w:bidi="ar-SA"/>
      </w:rPr>
    </w:lvl>
  </w:abstractNum>
  <w:abstractNum w:abstractNumId="34">
    <w:multiLevelType w:val="hybridMultilevel"/>
    <w:lvl w:ilvl="0">
      <w:start w:val="4"/>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0"/>
      <w:numFmt w:val="bullet"/>
      <w:lvlText w:val="•"/>
      <w:lvlJc w:val="left"/>
      <w:pPr>
        <w:ind w:left="3176" w:hanging="677"/>
      </w:pPr>
      <w:rPr>
        <w:rFonts w:hint="default"/>
        <w:lang w:val="en-US" w:eastAsia="en-US" w:bidi="ar-SA"/>
      </w:rPr>
    </w:lvl>
    <w:lvl w:ilvl="3">
      <w:start w:val="0"/>
      <w:numFmt w:val="bullet"/>
      <w:lvlText w:val="•"/>
      <w:lvlJc w:val="left"/>
      <w:pPr>
        <w:ind w:left="4094" w:hanging="677"/>
      </w:pPr>
      <w:rPr>
        <w:rFonts w:hint="default"/>
        <w:lang w:val="en-US" w:eastAsia="en-US" w:bidi="ar-SA"/>
      </w:rPr>
    </w:lvl>
    <w:lvl w:ilvl="4">
      <w:start w:val="0"/>
      <w:numFmt w:val="bullet"/>
      <w:lvlText w:val="•"/>
      <w:lvlJc w:val="left"/>
      <w:pPr>
        <w:ind w:left="5012" w:hanging="677"/>
      </w:pPr>
      <w:rPr>
        <w:rFonts w:hint="default"/>
        <w:lang w:val="en-US" w:eastAsia="en-US" w:bidi="ar-SA"/>
      </w:rPr>
    </w:lvl>
    <w:lvl w:ilvl="5">
      <w:start w:val="0"/>
      <w:numFmt w:val="bullet"/>
      <w:lvlText w:val="•"/>
      <w:lvlJc w:val="left"/>
      <w:pPr>
        <w:ind w:left="5930" w:hanging="677"/>
      </w:pPr>
      <w:rPr>
        <w:rFonts w:hint="default"/>
        <w:lang w:val="en-US" w:eastAsia="en-US" w:bidi="ar-SA"/>
      </w:rPr>
    </w:lvl>
    <w:lvl w:ilvl="6">
      <w:start w:val="0"/>
      <w:numFmt w:val="bullet"/>
      <w:lvlText w:val="•"/>
      <w:lvlJc w:val="left"/>
      <w:pPr>
        <w:ind w:left="6848" w:hanging="677"/>
      </w:pPr>
      <w:rPr>
        <w:rFonts w:hint="default"/>
        <w:lang w:val="en-US" w:eastAsia="en-US" w:bidi="ar-SA"/>
      </w:rPr>
    </w:lvl>
    <w:lvl w:ilvl="7">
      <w:start w:val="0"/>
      <w:numFmt w:val="bullet"/>
      <w:lvlText w:val="•"/>
      <w:lvlJc w:val="left"/>
      <w:pPr>
        <w:ind w:left="7766" w:hanging="677"/>
      </w:pPr>
      <w:rPr>
        <w:rFonts w:hint="default"/>
        <w:lang w:val="en-US" w:eastAsia="en-US" w:bidi="ar-SA"/>
      </w:rPr>
    </w:lvl>
    <w:lvl w:ilvl="8">
      <w:start w:val="0"/>
      <w:numFmt w:val="bullet"/>
      <w:lvlText w:val="•"/>
      <w:lvlJc w:val="left"/>
      <w:pPr>
        <w:ind w:left="8684" w:hanging="677"/>
      </w:pPr>
      <w:rPr>
        <w:rFonts w:hint="default"/>
        <w:lang w:val="en-US" w:eastAsia="en-US" w:bidi="ar-SA"/>
      </w:rPr>
    </w:lvl>
  </w:abstractNum>
  <w:abstractNum w:abstractNumId="33">
    <w:multiLevelType w:val="hybridMultilevel"/>
    <w:lvl w:ilvl="0">
      <w:start w:val="1"/>
      <w:numFmt w:val="lowerRoman"/>
      <w:lvlText w:val="(%1)"/>
      <w:lvlJc w:val="left"/>
      <w:pPr>
        <w:ind w:left="1342" w:hanging="677"/>
        <w:jc w:val="left"/>
      </w:pPr>
      <w:rPr>
        <w:rFonts w:hint="default" w:ascii="Times New Roman" w:hAnsi="Times New Roman" w:eastAsia="Times New Roman" w:cs="Times New Roman"/>
        <w:b w:val="0"/>
        <w:bCs w:val="0"/>
        <w:i w:val="0"/>
        <w:iCs w:val="0"/>
        <w:spacing w:val="-5"/>
        <w:w w:val="102"/>
        <w:sz w:val="22"/>
        <w:szCs w:val="22"/>
        <w:lang w:val="en-US" w:eastAsia="en-US" w:bidi="ar-SA"/>
      </w:rPr>
    </w:lvl>
    <w:lvl w:ilvl="1">
      <w:start w:val="0"/>
      <w:numFmt w:val="bullet"/>
      <w:lvlText w:val="•"/>
      <w:lvlJc w:val="left"/>
      <w:pPr>
        <w:ind w:left="2258" w:hanging="677"/>
      </w:pPr>
      <w:rPr>
        <w:rFonts w:hint="default"/>
        <w:lang w:val="en-US" w:eastAsia="en-US" w:bidi="ar-SA"/>
      </w:rPr>
    </w:lvl>
    <w:lvl w:ilvl="2">
      <w:start w:val="0"/>
      <w:numFmt w:val="bullet"/>
      <w:lvlText w:val="•"/>
      <w:lvlJc w:val="left"/>
      <w:pPr>
        <w:ind w:left="3176" w:hanging="677"/>
      </w:pPr>
      <w:rPr>
        <w:rFonts w:hint="default"/>
        <w:lang w:val="en-US" w:eastAsia="en-US" w:bidi="ar-SA"/>
      </w:rPr>
    </w:lvl>
    <w:lvl w:ilvl="3">
      <w:start w:val="0"/>
      <w:numFmt w:val="bullet"/>
      <w:lvlText w:val="•"/>
      <w:lvlJc w:val="left"/>
      <w:pPr>
        <w:ind w:left="4094" w:hanging="677"/>
      </w:pPr>
      <w:rPr>
        <w:rFonts w:hint="default"/>
        <w:lang w:val="en-US" w:eastAsia="en-US" w:bidi="ar-SA"/>
      </w:rPr>
    </w:lvl>
    <w:lvl w:ilvl="4">
      <w:start w:val="0"/>
      <w:numFmt w:val="bullet"/>
      <w:lvlText w:val="•"/>
      <w:lvlJc w:val="left"/>
      <w:pPr>
        <w:ind w:left="5012" w:hanging="677"/>
      </w:pPr>
      <w:rPr>
        <w:rFonts w:hint="default"/>
        <w:lang w:val="en-US" w:eastAsia="en-US" w:bidi="ar-SA"/>
      </w:rPr>
    </w:lvl>
    <w:lvl w:ilvl="5">
      <w:start w:val="0"/>
      <w:numFmt w:val="bullet"/>
      <w:lvlText w:val="•"/>
      <w:lvlJc w:val="left"/>
      <w:pPr>
        <w:ind w:left="5930" w:hanging="677"/>
      </w:pPr>
      <w:rPr>
        <w:rFonts w:hint="default"/>
        <w:lang w:val="en-US" w:eastAsia="en-US" w:bidi="ar-SA"/>
      </w:rPr>
    </w:lvl>
    <w:lvl w:ilvl="6">
      <w:start w:val="0"/>
      <w:numFmt w:val="bullet"/>
      <w:lvlText w:val="•"/>
      <w:lvlJc w:val="left"/>
      <w:pPr>
        <w:ind w:left="6848" w:hanging="677"/>
      </w:pPr>
      <w:rPr>
        <w:rFonts w:hint="default"/>
        <w:lang w:val="en-US" w:eastAsia="en-US" w:bidi="ar-SA"/>
      </w:rPr>
    </w:lvl>
    <w:lvl w:ilvl="7">
      <w:start w:val="0"/>
      <w:numFmt w:val="bullet"/>
      <w:lvlText w:val="•"/>
      <w:lvlJc w:val="left"/>
      <w:pPr>
        <w:ind w:left="7766" w:hanging="677"/>
      </w:pPr>
      <w:rPr>
        <w:rFonts w:hint="default"/>
        <w:lang w:val="en-US" w:eastAsia="en-US" w:bidi="ar-SA"/>
      </w:rPr>
    </w:lvl>
    <w:lvl w:ilvl="8">
      <w:start w:val="0"/>
      <w:numFmt w:val="bullet"/>
      <w:lvlText w:val="•"/>
      <w:lvlJc w:val="left"/>
      <w:pPr>
        <w:ind w:left="8684" w:hanging="677"/>
      </w:pPr>
      <w:rPr>
        <w:rFonts w:hint="default"/>
        <w:lang w:val="en-US" w:eastAsia="en-US" w:bidi="ar-SA"/>
      </w:rPr>
    </w:lvl>
  </w:abstractNum>
  <w:abstractNum w:abstractNumId="32">
    <w:multiLevelType w:val="hybridMultilevel"/>
    <w:lvl w:ilvl="0">
      <w:start w:val="3"/>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1"/>
      <w:numFmt w:val="decimal"/>
      <w:lvlText w:val="%1.%2.%3"/>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3">
      <w:start w:val="1"/>
      <w:numFmt w:val="decimal"/>
      <w:lvlText w:val="%1.%2.%3.%4"/>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4">
      <w:start w:val="0"/>
      <w:numFmt w:val="bullet"/>
      <w:lvlText w:val="•"/>
      <w:lvlJc w:val="left"/>
      <w:pPr>
        <w:ind w:left="3635" w:hanging="677"/>
      </w:pPr>
      <w:rPr>
        <w:rFonts w:hint="default"/>
        <w:lang w:val="en-US" w:eastAsia="en-US" w:bidi="ar-SA"/>
      </w:rPr>
    </w:lvl>
    <w:lvl w:ilvl="5">
      <w:start w:val="0"/>
      <w:numFmt w:val="bullet"/>
      <w:lvlText w:val="•"/>
      <w:lvlJc w:val="left"/>
      <w:pPr>
        <w:ind w:left="4782" w:hanging="677"/>
      </w:pPr>
      <w:rPr>
        <w:rFonts w:hint="default"/>
        <w:lang w:val="en-US" w:eastAsia="en-US" w:bidi="ar-SA"/>
      </w:rPr>
    </w:lvl>
    <w:lvl w:ilvl="6">
      <w:start w:val="0"/>
      <w:numFmt w:val="bullet"/>
      <w:lvlText w:val="•"/>
      <w:lvlJc w:val="left"/>
      <w:pPr>
        <w:ind w:left="5930" w:hanging="677"/>
      </w:pPr>
      <w:rPr>
        <w:rFonts w:hint="default"/>
        <w:lang w:val="en-US" w:eastAsia="en-US" w:bidi="ar-SA"/>
      </w:rPr>
    </w:lvl>
    <w:lvl w:ilvl="7">
      <w:start w:val="0"/>
      <w:numFmt w:val="bullet"/>
      <w:lvlText w:val="•"/>
      <w:lvlJc w:val="left"/>
      <w:pPr>
        <w:ind w:left="7077" w:hanging="677"/>
      </w:pPr>
      <w:rPr>
        <w:rFonts w:hint="default"/>
        <w:lang w:val="en-US" w:eastAsia="en-US" w:bidi="ar-SA"/>
      </w:rPr>
    </w:lvl>
    <w:lvl w:ilvl="8">
      <w:start w:val="0"/>
      <w:numFmt w:val="bullet"/>
      <w:lvlText w:val="•"/>
      <w:lvlJc w:val="left"/>
      <w:pPr>
        <w:ind w:left="8225" w:hanging="677"/>
      </w:pPr>
      <w:rPr>
        <w:rFonts w:hint="default"/>
        <w:lang w:val="en-US" w:eastAsia="en-US" w:bidi="ar-SA"/>
      </w:rPr>
    </w:lvl>
  </w:abstractNum>
  <w:abstractNum w:abstractNumId="31">
    <w:multiLevelType w:val="hybridMultilevel"/>
    <w:lvl w:ilvl="0">
      <w:start w:val="0"/>
      <w:numFmt w:val="bullet"/>
      <w:lvlText w:val="-"/>
      <w:lvlJc w:val="left"/>
      <w:pPr>
        <w:ind w:left="1006" w:hanging="341"/>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2">
      <w:start w:val="0"/>
      <w:numFmt w:val="bullet"/>
      <w:lvlText w:val="•"/>
      <w:lvlJc w:val="left"/>
      <w:pPr>
        <w:ind w:left="2360" w:hanging="336"/>
      </w:pPr>
      <w:rPr>
        <w:rFonts w:hint="default"/>
        <w:lang w:val="en-US" w:eastAsia="en-US" w:bidi="ar-SA"/>
      </w:rPr>
    </w:lvl>
    <w:lvl w:ilvl="3">
      <w:start w:val="0"/>
      <w:numFmt w:val="bullet"/>
      <w:lvlText w:val="•"/>
      <w:lvlJc w:val="left"/>
      <w:pPr>
        <w:ind w:left="3380" w:hanging="336"/>
      </w:pPr>
      <w:rPr>
        <w:rFonts w:hint="default"/>
        <w:lang w:val="en-US" w:eastAsia="en-US" w:bidi="ar-SA"/>
      </w:rPr>
    </w:lvl>
    <w:lvl w:ilvl="4">
      <w:start w:val="0"/>
      <w:numFmt w:val="bullet"/>
      <w:lvlText w:val="•"/>
      <w:lvlJc w:val="left"/>
      <w:pPr>
        <w:ind w:left="4400" w:hanging="336"/>
      </w:pPr>
      <w:rPr>
        <w:rFonts w:hint="default"/>
        <w:lang w:val="en-US" w:eastAsia="en-US" w:bidi="ar-SA"/>
      </w:rPr>
    </w:lvl>
    <w:lvl w:ilvl="5">
      <w:start w:val="0"/>
      <w:numFmt w:val="bullet"/>
      <w:lvlText w:val="•"/>
      <w:lvlJc w:val="left"/>
      <w:pPr>
        <w:ind w:left="5420" w:hanging="336"/>
      </w:pPr>
      <w:rPr>
        <w:rFonts w:hint="default"/>
        <w:lang w:val="en-US" w:eastAsia="en-US" w:bidi="ar-SA"/>
      </w:rPr>
    </w:lvl>
    <w:lvl w:ilvl="6">
      <w:start w:val="0"/>
      <w:numFmt w:val="bullet"/>
      <w:lvlText w:val="•"/>
      <w:lvlJc w:val="left"/>
      <w:pPr>
        <w:ind w:left="6440" w:hanging="336"/>
      </w:pPr>
      <w:rPr>
        <w:rFonts w:hint="default"/>
        <w:lang w:val="en-US" w:eastAsia="en-US" w:bidi="ar-SA"/>
      </w:rPr>
    </w:lvl>
    <w:lvl w:ilvl="7">
      <w:start w:val="0"/>
      <w:numFmt w:val="bullet"/>
      <w:lvlText w:val="•"/>
      <w:lvlJc w:val="left"/>
      <w:pPr>
        <w:ind w:left="7460" w:hanging="336"/>
      </w:pPr>
      <w:rPr>
        <w:rFonts w:hint="default"/>
        <w:lang w:val="en-US" w:eastAsia="en-US" w:bidi="ar-SA"/>
      </w:rPr>
    </w:lvl>
    <w:lvl w:ilvl="8">
      <w:start w:val="0"/>
      <w:numFmt w:val="bullet"/>
      <w:lvlText w:val="•"/>
      <w:lvlJc w:val="left"/>
      <w:pPr>
        <w:ind w:left="8480" w:hanging="336"/>
      </w:pPr>
      <w:rPr>
        <w:rFonts w:hint="default"/>
        <w:lang w:val="en-US" w:eastAsia="en-US" w:bidi="ar-SA"/>
      </w:rPr>
    </w:lvl>
  </w:abstractNum>
  <w:abstractNum w:abstractNumId="30">
    <w:multiLevelType w:val="hybridMultilevel"/>
    <w:lvl w:ilvl="0">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29">
    <w:multiLevelType w:val="hybridMultilevel"/>
    <w:lvl w:ilvl="0">
      <w:start w:val="1"/>
      <w:numFmt w:val="lowerLetter"/>
      <w:lvlText w:val="(%1)"/>
      <w:lvlJc w:val="left"/>
      <w:pPr>
        <w:ind w:left="1356" w:hanging="351"/>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1">
      <w:start w:val="0"/>
      <w:numFmt w:val="bullet"/>
      <w:lvlText w:val="•"/>
      <w:lvlJc w:val="left"/>
      <w:pPr>
        <w:ind w:left="2276" w:hanging="351"/>
      </w:pPr>
      <w:rPr>
        <w:rFonts w:hint="default"/>
        <w:lang w:val="en-US" w:eastAsia="en-US" w:bidi="ar-SA"/>
      </w:rPr>
    </w:lvl>
    <w:lvl w:ilvl="2">
      <w:start w:val="0"/>
      <w:numFmt w:val="bullet"/>
      <w:lvlText w:val="•"/>
      <w:lvlJc w:val="left"/>
      <w:pPr>
        <w:ind w:left="3192" w:hanging="351"/>
      </w:pPr>
      <w:rPr>
        <w:rFonts w:hint="default"/>
        <w:lang w:val="en-US" w:eastAsia="en-US" w:bidi="ar-SA"/>
      </w:rPr>
    </w:lvl>
    <w:lvl w:ilvl="3">
      <w:start w:val="0"/>
      <w:numFmt w:val="bullet"/>
      <w:lvlText w:val="•"/>
      <w:lvlJc w:val="left"/>
      <w:pPr>
        <w:ind w:left="4108" w:hanging="351"/>
      </w:pPr>
      <w:rPr>
        <w:rFonts w:hint="default"/>
        <w:lang w:val="en-US" w:eastAsia="en-US" w:bidi="ar-SA"/>
      </w:rPr>
    </w:lvl>
    <w:lvl w:ilvl="4">
      <w:start w:val="0"/>
      <w:numFmt w:val="bullet"/>
      <w:lvlText w:val="•"/>
      <w:lvlJc w:val="left"/>
      <w:pPr>
        <w:ind w:left="5024" w:hanging="351"/>
      </w:pPr>
      <w:rPr>
        <w:rFonts w:hint="default"/>
        <w:lang w:val="en-US" w:eastAsia="en-US" w:bidi="ar-SA"/>
      </w:rPr>
    </w:lvl>
    <w:lvl w:ilvl="5">
      <w:start w:val="0"/>
      <w:numFmt w:val="bullet"/>
      <w:lvlText w:val="•"/>
      <w:lvlJc w:val="left"/>
      <w:pPr>
        <w:ind w:left="5940" w:hanging="351"/>
      </w:pPr>
      <w:rPr>
        <w:rFonts w:hint="default"/>
        <w:lang w:val="en-US" w:eastAsia="en-US" w:bidi="ar-SA"/>
      </w:rPr>
    </w:lvl>
    <w:lvl w:ilvl="6">
      <w:start w:val="0"/>
      <w:numFmt w:val="bullet"/>
      <w:lvlText w:val="•"/>
      <w:lvlJc w:val="left"/>
      <w:pPr>
        <w:ind w:left="6856" w:hanging="351"/>
      </w:pPr>
      <w:rPr>
        <w:rFonts w:hint="default"/>
        <w:lang w:val="en-US" w:eastAsia="en-US" w:bidi="ar-SA"/>
      </w:rPr>
    </w:lvl>
    <w:lvl w:ilvl="7">
      <w:start w:val="0"/>
      <w:numFmt w:val="bullet"/>
      <w:lvlText w:val="•"/>
      <w:lvlJc w:val="left"/>
      <w:pPr>
        <w:ind w:left="7772" w:hanging="351"/>
      </w:pPr>
      <w:rPr>
        <w:rFonts w:hint="default"/>
        <w:lang w:val="en-US" w:eastAsia="en-US" w:bidi="ar-SA"/>
      </w:rPr>
    </w:lvl>
    <w:lvl w:ilvl="8">
      <w:start w:val="0"/>
      <w:numFmt w:val="bullet"/>
      <w:lvlText w:val="•"/>
      <w:lvlJc w:val="left"/>
      <w:pPr>
        <w:ind w:left="8688" w:hanging="351"/>
      </w:pPr>
      <w:rPr>
        <w:rFonts w:hint="default"/>
        <w:lang w:val="en-US" w:eastAsia="en-US" w:bidi="ar-SA"/>
      </w:rPr>
    </w:lvl>
  </w:abstractNum>
  <w:abstractNum w:abstractNumId="28">
    <w:multiLevelType w:val="hybridMultilevel"/>
    <w:lvl w:ilvl="0">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25">
    <w:multiLevelType w:val="hybridMultilevel"/>
    <w:lvl w:ilvl="0">
      <w:start w:val="1"/>
      <w:numFmt w:val="decimal"/>
      <w:lvlText w:val="%1)"/>
      <w:lvlJc w:val="left"/>
      <w:pPr>
        <w:ind w:left="1342" w:hanging="336"/>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27">
    <w:multiLevelType w:val="hybridMultilevel"/>
    <w:lvl w:ilvl="0">
      <w:start w:val="1"/>
      <w:numFmt w:val="upperRoman"/>
      <w:lvlText w:val="%1."/>
      <w:lvlJc w:val="left"/>
      <w:pPr>
        <w:ind w:left="1342" w:hanging="677"/>
        <w:jc w:val="left"/>
      </w:pPr>
      <w:rPr>
        <w:rFonts w:hint="default" w:ascii="Times New Roman" w:hAnsi="Times New Roman" w:eastAsia="Times New Roman" w:cs="Times New Roman"/>
        <w:b/>
        <w:bCs/>
        <w:i w:val="0"/>
        <w:iCs w:val="0"/>
        <w:spacing w:val="-2"/>
        <w:w w:val="102"/>
        <w:sz w:val="22"/>
        <w:szCs w:val="22"/>
        <w:lang w:val="en-US" w:eastAsia="en-US" w:bidi="ar-SA"/>
      </w:rPr>
    </w:lvl>
    <w:lvl w:ilvl="1">
      <w:start w:val="0"/>
      <w:numFmt w:val="bullet"/>
      <w:lvlText w:val="•"/>
      <w:lvlJc w:val="left"/>
      <w:pPr>
        <w:ind w:left="2258" w:hanging="677"/>
      </w:pPr>
      <w:rPr>
        <w:rFonts w:hint="default"/>
        <w:lang w:val="en-US" w:eastAsia="en-US" w:bidi="ar-SA"/>
      </w:rPr>
    </w:lvl>
    <w:lvl w:ilvl="2">
      <w:start w:val="0"/>
      <w:numFmt w:val="bullet"/>
      <w:lvlText w:val="•"/>
      <w:lvlJc w:val="left"/>
      <w:pPr>
        <w:ind w:left="3176" w:hanging="677"/>
      </w:pPr>
      <w:rPr>
        <w:rFonts w:hint="default"/>
        <w:lang w:val="en-US" w:eastAsia="en-US" w:bidi="ar-SA"/>
      </w:rPr>
    </w:lvl>
    <w:lvl w:ilvl="3">
      <w:start w:val="0"/>
      <w:numFmt w:val="bullet"/>
      <w:lvlText w:val="•"/>
      <w:lvlJc w:val="left"/>
      <w:pPr>
        <w:ind w:left="4094" w:hanging="677"/>
      </w:pPr>
      <w:rPr>
        <w:rFonts w:hint="default"/>
        <w:lang w:val="en-US" w:eastAsia="en-US" w:bidi="ar-SA"/>
      </w:rPr>
    </w:lvl>
    <w:lvl w:ilvl="4">
      <w:start w:val="0"/>
      <w:numFmt w:val="bullet"/>
      <w:lvlText w:val="•"/>
      <w:lvlJc w:val="left"/>
      <w:pPr>
        <w:ind w:left="5012" w:hanging="677"/>
      </w:pPr>
      <w:rPr>
        <w:rFonts w:hint="default"/>
        <w:lang w:val="en-US" w:eastAsia="en-US" w:bidi="ar-SA"/>
      </w:rPr>
    </w:lvl>
    <w:lvl w:ilvl="5">
      <w:start w:val="0"/>
      <w:numFmt w:val="bullet"/>
      <w:lvlText w:val="•"/>
      <w:lvlJc w:val="left"/>
      <w:pPr>
        <w:ind w:left="5930" w:hanging="677"/>
      </w:pPr>
      <w:rPr>
        <w:rFonts w:hint="default"/>
        <w:lang w:val="en-US" w:eastAsia="en-US" w:bidi="ar-SA"/>
      </w:rPr>
    </w:lvl>
    <w:lvl w:ilvl="6">
      <w:start w:val="0"/>
      <w:numFmt w:val="bullet"/>
      <w:lvlText w:val="•"/>
      <w:lvlJc w:val="left"/>
      <w:pPr>
        <w:ind w:left="6848" w:hanging="677"/>
      </w:pPr>
      <w:rPr>
        <w:rFonts w:hint="default"/>
        <w:lang w:val="en-US" w:eastAsia="en-US" w:bidi="ar-SA"/>
      </w:rPr>
    </w:lvl>
    <w:lvl w:ilvl="7">
      <w:start w:val="0"/>
      <w:numFmt w:val="bullet"/>
      <w:lvlText w:val="•"/>
      <w:lvlJc w:val="left"/>
      <w:pPr>
        <w:ind w:left="7766" w:hanging="677"/>
      </w:pPr>
      <w:rPr>
        <w:rFonts w:hint="default"/>
        <w:lang w:val="en-US" w:eastAsia="en-US" w:bidi="ar-SA"/>
      </w:rPr>
    </w:lvl>
    <w:lvl w:ilvl="8">
      <w:start w:val="0"/>
      <w:numFmt w:val="bullet"/>
      <w:lvlText w:val="•"/>
      <w:lvlJc w:val="left"/>
      <w:pPr>
        <w:ind w:left="8684" w:hanging="677"/>
      </w:pPr>
      <w:rPr>
        <w:rFonts w:hint="default"/>
        <w:lang w:val="en-US" w:eastAsia="en-US" w:bidi="ar-SA"/>
      </w:rPr>
    </w:lvl>
  </w:abstractNum>
  <w:abstractNum w:abstractNumId="26">
    <w:multiLevelType w:val="hybridMultilevel"/>
    <w:lvl w:ilvl="0">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24">
    <w:multiLevelType w:val="hybridMultilevel"/>
    <w:lvl w:ilvl="0">
      <w:start w:val="2"/>
      <w:numFmt w:val="decimal"/>
      <w:lvlText w:val="%1"/>
      <w:lvlJc w:val="left"/>
      <w:pPr>
        <w:ind w:left="1342" w:hanging="677"/>
        <w:jc w:val="left"/>
      </w:pPr>
      <w:rPr>
        <w:rFonts w:hint="default"/>
        <w:lang w:val="en-US" w:eastAsia="en-US" w:bidi="ar-SA"/>
      </w:rPr>
    </w:lvl>
    <w:lvl w:ilvl="1">
      <w:start w:val="6"/>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1"/>
      <w:numFmt w:val="decimal"/>
      <w:lvlText w:val="%1.%2.%3"/>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3">
      <w:start w:val="1"/>
      <w:numFmt w:val="decimal"/>
      <w:lvlText w:val="%1.%2.%3.%4"/>
      <w:lvlJc w:val="left"/>
      <w:pPr>
        <w:ind w:left="2019" w:hanging="1354"/>
        <w:jc w:val="left"/>
      </w:pPr>
      <w:rPr>
        <w:rFonts w:hint="default" w:ascii="Times New Roman" w:hAnsi="Times New Roman" w:eastAsia="Times New Roman" w:cs="Times New Roman"/>
        <w:b/>
        <w:bCs/>
        <w:i w:val="0"/>
        <w:iCs w:val="0"/>
        <w:spacing w:val="-4"/>
        <w:w w:val="102"/>
        <w:sz w:val="22"/>
        <w:szCs w:val="22"/>
        <w:lang w:val="en-US" w:eastAsia="en-US" w:bidi="ar-SA"/>
      </w:rPr>
    </w:lvl>
    <w:lvl w:ilvl="4">
      <w:start w:val="0"/>
      <w:numFmt w:val="bullet"/>
      <w:lvlText w:val="•"/>
      <w:lvlJc w:val="left"/>
      <w:pPr>
        <w:ind w:left="4853" w:hanging="1354"/>
      </w:pPr>
      <w:rPr>
        <w:rFonts w:hint="default"/>
        <w:lang w:val="en-US" w:eastAsia="en-US" w:bidi="ar-SA"/>
      </w:rPr>
    </w:lvl>
    <w:lvl w:ilvl="5">
      <w:start w:val="0"/>
      <w:numFmt w:val="bullet"/>
      <w:lvlText w:val="•"/>
      <w:lvlJc w:val="left"/>
      <w:pPr>
        <w:ind w:left="5797" w:hanging="1354"/>
      </w:pPr>
      <w:rPr>
        <w:rFonts w:hint="default"/>
        <w:lang w:val="en-US" w:eastAsia="en-US" w:bidi="ar-SA"/>
      </w:rPr>
    </w:lvl>
    <w:lvl w:ilvl="6">
      <w:start w:val="0"/>
      <w:numFmt w:val="bullet"/>
      <w:lvlText w:val="•"/>
      <w:lvlJc w:val="left"/>
      <w:pPr>
        <w:ind w:left="6742" w:hanging="1354"/>
      </w:pPr>
      <w:rPr>
        <w:rFonts w:hint="default"/>
        <w:lang w:val="en-US" w:eastAsia="en-US" w:bidi="ar-SA"/>
      </w:rPr>
    </w:lvl>
    <w:lvl w:ilvl="7">
      <w:start w:val="0"/>
      <w:numFmt w:val="bullet"/>
      <w:lvlText w:val="•"/>
      <w:lvlJc w:val="left"/>
      <w:pPr>
        <w:ind w:left="7686" w:hanging="1354"/>
      </w:pPr>
      <w:rPr>
        <w:rFonts w:hint="default"/>
        <w:lang w:val="en-US" w:eastAsia="en-US" w:bidi="ar-SA"/>
      </w:rPr>
    </w:lvl>
    <w:lvl w:ilvl="8">
      <w:start w:val="0"/>
      <w:numFmt w:val="bullet"/>
      <w:lvlText w:val="•"/>
      <w:lvlJc w:val="left"/>
      <w:pPr>
        <w:ind w:left="8631" w:hanging="1354"/>
      </w:pPr>
      <w:rPr>
        <w:rFonts w:hint="default"/>
        <w:lang w:val="en-US" w:eastAsia="en-US" w:bidi="ar-SA"/>
      </w:rPr>
    </w:lvl>
  </w:abstractNum>
  <w:abstractNum w:abstractNumId="23">
    <w:multiLevelType w:val="hybridMultilevel"/>
    <w:lvl w:ilvl="0">
      <w:start w:val="0"/>
      <w:numFmt w:val="bullet"/>
      <w:lvlText w:val="-"/>
      <w:lvlJc w:val="left"/>
      <w:pPr>
        <w:ind w:left="1006" w:hanging="341"/>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1952" w:hanging="341"/>
      </w:pPr>
      <w:rPr>
        <w:rFonts w:hint="default"/>
        <w:lang w:val="en-US" w:eastAsia="en-US" w:bidi="ar-SA"/>
      </w:rPr>
    </w:lvl>
    <w:lvl w:ilvl="2">
      <w:start w:val="0"/>
      <w:numFmt w:val="bullet"/>
      <w:lvlText w:val="•"/>
      <w:lvlJc w:val="left"/>
      <w:pPr>
        <w:ind w:left="2904" w:hanging="341"/>
      </w:pPr>
      <w:rPr>
        <w:rFonts w:hint="default"/>
        <w:lang w:val="en-US" w:eastAsia="en-US" w:bidi="ar-SA"/>
      </w:rPr>
    </w:lvl>
    <w:lvl w:ilvl="3">
      <w:start w:val="0"/>
      <w:numFmt w:val="bullet"/>
      <w:lvlText w:val="•"/>
      <w:lvlJc w:val="left"/>
      <w:pPr>
        <w:ind w:left="3856" w:hanging="341"/>
      </w:pPr>
      <w:rPr>
        <w:rFonts w:hint="default"/>
        <w:lang w:val="en-US" w:eastAsia="en-US" w:bidi="ar-SA"/>
      </w:rPr>
    </w:lvl>
    <w:lvl w:ilvl="4">
      <w:start w:val="0"/>
      <w:numFmt w:val="bullet"/>
      <w:lvlText w:val="•"/>
      <w:lvlJc w:val="left"/>
      <w:pPr>
        <w:ind w:left="4808" w:hanging="341"/>
      </w:pPr>
      <w:rPr>
        <w:rFonts w:hint="default"/>
        <w:lang w:val="en-US" w:eastAsia="en-US" w:bidi="ar-SA"/>
      </w:rPr>
    </w:lvl>
    <w:lvl w:ilvl="5">
      <w:start w:val="0"/>
      <w:numFmt w:val="bullet"/>
      <w:lvlText w:val="•"/>
      <w:lvlJc w:val="left"/>
      <w:pPr>
        <w:ind w:left="5760" w:hanging="341"/>
      </w:pPr>
      <w:rPr>
        <w:rFonts w:hint="default"/>
        <w:lang w:val="en-US" w:eastAsia="en-US" w:bidi="ar-SA"/>
      </w:rPr>
    </w:lvl>
    <w:lvl w:ilvl="6">
      <w:start w:val="0"/>
      <w:numFmt w:val="bullet"/>
      <w:lvlText w:val="•"/>
      <w:lvlJc w:val="left"/>
      <w:pPr>
        <w:ind w:left="6712" w:hanging="341"/>
      </w:pPr>
      <w:rPr>
        <w:rFonts w:hint="default"/>
        <w:lang w:val="en-US" w:eastAsia="en-US" w:bidi="ar-SA"/>
      </w:rPr>
    </w:lvl>
    <w:lvl w:ilvl="7">
      <w:start w:val="0"/>
      <w:numFmt w:val="bullet"/>
      <w:lvlText w:val="•"/>
      <w:lvlJc w:val="left"/>
      <w:pPr>
        <w:ind w:left="7664" w:hanging="341"/>
      </w:pPr>
      <w:rPr>
        <w:rFonts w:hint="default"/>
        <w:lang w:val="en-US" w:eastAsia="en-US" w:bidi="ar-SA"/>
      </w:rPr>
    </w:lvl>
    <w:lvl w:ilvl="8">
      <w:start w:val="0"/>
      <w:numFmt w:val="bullet"/>
      <w:lvlText w:val="•"/>
      <w:lvlJc w:val="left"/>
      <w:pPr>
        <w:ind w:left="8616" w:hanging="341"/>
      </w:pPr>
      <w:rPr>
        <w:rFonts w:hint="default"/>
        <w:lang w:val="en-US" w:eastAsia="en-US" w:bidi="ar-SA"/>
      </w:rPr>
    </w:lvl>
  </w:abstractNum>
  <w:abstractNum w:abstractNumId="22">
    <w:multiLevelType w:val="hybridMultilevel"/>
    <w:lvl w:ilvl="0">
      <w:start w:val="2"/>
      <w:numFmt w:val="decimal"/>
      <w:lvlText w:val="%1"/>
      <w:lvlJc w:val="left"/>
      <w:pPr>
        <w:ind w:left="1342" w:hanging="677"/>
        <w:jc w:val="left"/>
      </w:pPr>
      <w:rPr>
        <w:rFonts w:hint="default"/>
        <w:lang w:val="en-US" w:eastAsia="en-US" w:bidi="ar-SA"/>
      </w:rPr>
    </w:lvl>
    <w:lvl w:ilvl="1">
      <w:start w:val="5"/>
      <w:numFmt w:val="decimal"/>
      <w:lvlText w:val="%1.%2"/>
      <w:lvlJc w:val="left"/>
      <w:pPr>
        <w:ind w:left="1342" w:hanging="677"/>
        <w:jc w:val="left"/>
      </w:pPr>
      <w:rPr>
        <w:rFonts w:hint="default"/>
        <w:lang w:val="en-US" w:eastAsia="en-US" w:bidi="ar-SA"/>
      </w:rPr>
    </w:lvl>
    <w:lvl w:ilvl="2">
      <w:start w:val="0"/>
      <w:numFmt w:val="decimal"/>
      <w:lvlText w:val="%1.%2.%3"/>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3">
      <w:start w:val="0"/>
      <w:numFmt w:val="bullet"/>
      <w:lvlText w:val=""/>
      <w:lvlJc w:val="left"/>
      <w:pPr>
        <w:ind w:left="1414" w:hanging="336"/>
      </w:pPr>
      <w:rPr>
        <w:rFonts w:hint="default" w:ascii="Symbol" w:hAnsi="Symbol" w:eastAsia="Symbol" w:cs="Symbol"/>
        <w:b w:val="0"/>
        <w:bCs w:val="0"/>
        <w:i w:val="0"/>
        <w:iCs w:val="0"/>
        <w:spacing w:val="0"/>
        <w:w w:val="102"/>
        <w:sz w:val="22"/>
        <w:szCs w:val="22"/>
        <w:lang w:val="en-US" w:eastAsia="en-US" w:bidi="ar-SA"/>
      </w:rPr>
    </w:lvl>
    <w:lvl w:ilvl="4">
      <w:start w:val="0"/>
      <w:numFmt w:val="bullet"/>
      <w:lvlText w:val="•"/>
      <w:lvlJc w:val="left"/>
      <w:pPr>
        <w:ind w:left="4453" w:hanging="336"/>
      </w:pPr>
      <w:rPr>
        <w:rFonts w:hint="default"/>
        <w:lang w:val="en-US" w:eastAsia="en-US" w:bidi="ar-SA"/>
      </w:rPr>
    </w:lvl>
    <w:lvl w:ilvl="5">
      <w:start w:val="0"/>
      <w:numFmt w:val="bullet"/>
      <w:lvlText w:val="•"/>
      <w:lvlJc w:val="left"/>
      <w:pPr>
        <w:ind w:left="5464" w:hanging="336"/>
      </w:pPr>
      <w:rPr>
        <w:rFonts w:hint="default"/>
        <w:lang w:val="en-US" w:eastAsia="en-US" w:bidi="ar-SA"/>
      </w:rPr>
    </w:lvl>
    <w:lvl w:ilvl="6">
      <w:start w:val="0"/>
      <w:numFmt w:val="bullet"/>
      <w:lvlText w:val="•"/>
      <w:lvlJc w:val="left"/>
      <w:pPr>
        <w:ind w:left="6475" w:hanging="336"/>
      </w:pPr>
      <w:rPr>
        <w:rFonts w:hint="default"/>
        <w:lang w:val="en-US" w:eastAsia="en-US" w:bidi="ar-SA"/>
      </w:rPr>
    </w:lvl>
    <w:lvl w:ilvl="7">
      <w:start w:val="0"/>
      <w:numFmt w:val="bullet"/>
      <w:lvlText w:val="•"/>
      <w:lvlJc w:val="left"/>
      <w:pPr>
        <w:ind w:left="7486" w:hanging="336"/>
      </w:pPr>
      <w:rPr>
        <w:rFonts w:hint="default"/>
        <w:lang w:val="en-US" w:eastAsia="en-US" w:bidi="ar-SA"/>
      </w:rPr>
    </w:lvl>
    <w:lvl w:ilvl="8">
      <w:start w:val="0"/>
      <w:numFmt w:val="bullet"/>
      <w:lvlText w:val="•"/>
      <w:lvlJc w:val="left"/>
      <w:pPr>
        <w:ind w:left="8497" w:hanging="336"/>
      </w:pPr>
      <w:rPr>
        <w:rFonts w:hint="default"/>
        <w:lang w:val="en-US" w:eastAsia="en-US" w:bidi="ar-SA"/>
      </w:rPr>
    </w:lvl>
  </w:abstractNum>
  <w:abstractNum w:abstractNumId="21">
    <w:multiLevelType w:val="hybridMultilevel"/>
    <w:lvl w:ilvl="0">
      <w:start w:val="1"/>
      <w:numFmt w:val="decimal"/>
      <w:lvlText w:val="(%1)"/>
      <w:lvlJc w:val="left"/>
      <w:pPr>
        <w:ind w:left="991" w:hanging="327"/>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1006" w:hanging="341"/>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904" w:hanging="341"/>
      </w:pPr>
      <w:rPr>
        <w:rFonts w:hint="default"/>
        <w:lang w:val="en-US" w:eastAsia="en-US" w:bidi="ar-SA"/>
      </w:rPr>
    </w:lvl>
    <w:lvl w:ilvl="3">
      <w:start w:val="0"/>
      <w:numFmt w:val="bullet"/>
      <w:lvlText w:val="•"/>
      <w:lvlJc w:val="left"/>
      <w:pPr>
        <w:ind w:left="3856" w:hanging="341"/>
      </w:pPr>
      <w:rPr>
        <w:rFonts w:hint="default"/>
        <w:lang w:val="en-US" w:eastAsia="en-US" w:bidi="ar-SA"/>
      </w:rPr>
    </w:lvl>
    <w:lvl w:ilvl="4">
      <w:start w:val="0"/>
      <w:numFmt w:val="bullet"/>
      <w:lvlText w:val="•"/>
      <w:lvlJc w:val="left"/>
      <w:pPr>
        <w:ind w:left="4808" w:hanging="341"/>
      </w:pPr>
      <w:rPr>
        <w:rFonts w:hint="default"/>
        <w:lang w:val="en-US" w:eastAsia="en-US" w:bidi="ar-SA"/>
      </w:rPr>
    </w:lvl>
    <w:lvl w:ilvl="5">
      <w:start w:val="0"/>
      <w:numFmt w:val="bullet"/>
      <w:lvlText w:val="•"/>
      <w:lvlJc w:val="left"/>
      <w:pPr>
        <w:ind w:left="5760" w:hanging="341"/>
      </w:pPr>
      <w:rPr>
        <w:rFonts w:hint="default"/>
        <w:lang w:val="en-US" w:eastAsia="en-US" w:bidi="ar-SA"/>
      </w:rPr>
    </w:lvl>
    <w:lvl w:ilvl="6">
      <w:start w:val="0"/>
      <w:numFmt w:val="bullet"/>
      <w:lvlText w:val="•"/>
      <w:lvlJc w:val="left"/>
      <w:pPr>
        <w:ind w:left="6712" w:hanging="341"/>
      </w:pPr>
      <w:rPr>
        <w:rFonts w:hint="default"/>
        <w:lang w:val="en-US" w:eastAsia="en-US" w:bidi="ar-SA"/>
      </w:rPr>
    </w:lvl>
    <w:lvl w:ilvl="7">
      <w:start w:val="0"/>
      <w:numFmt w:val="bullet"/>
      <w:lvlText w:val="•"/>
      <w:lvlJc w:val="left"/>
      <w:pPr>
        <w:ind w:left="7664" w:hanging="341"/>
      </w:pPr>
      <w:rPr>
        <w:rFonts w:hint="default"/>
        <w:lang w:val="en-US" w:eastAsia="en-US" w:bidi="ar-SA"/>
      </w:rPr>
    </w:lvl>
    <w:lvl w:ilvl="8">
      <w:start w:val="0"/>
      <w:numFmt w:val="bullet"/>
      <w:lvlText w:val="•"/>
      <w:lvlJc w:val="left"/>
      <w:pPr>
        <w:ind w:left="8616" w:hanging="341"/>
      </w:pPr>
      <w:rPr>
        <w:rFonts w:hint="default"/>
        <w:lang w:val="en-US" w:eastAsia="en-US" w:bidi="ar-SA"/>
      </w:rPr>
    </w:lvl>
  </w:abstractNum>
  <w:abstractNum w:abstractNumId="16">
    <w:multiLevelType w:val="hybridMultilevel"/>
    <w:lvl w:ilvl="0">
      <w:start w:val="1"/>
      <w:numFmt w:val="decimal"/>
      <w:lvlText w:val="(%1)"/>
      <w:lvlJc w:val="left"/>
      <w:pPr>
        <w:ind w:left="1371" w:hanging="365"/>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1">
      <w:start w:val="0"/>
      <w:numFmt w:val="bullet"/>
      <w:lvlText w:val="•"/>
      <w:lvlJc w:val="left"/>
      <w:pPr>
        <w:ind w:left="2294" w:hanging="365"/>
      </w:pPr>
      <w:rPr>
        <w:rFonts w:hint="default"/>
        <w:lang w:val="en-US" w:eastAsia="en-US" w:bidi="ar-SA"/>
      </w:rPr>
    </w:lvl>
    <w:lvl w:ilvl="2">
      <w:start w:val="0"/>
      <w:numFmt w:val="bullet"/>
      <w:lvlText w:val="•"/>
      <w:lvlJc w:val="left"/>
      <w:pPr>
        <w:ind w:left="3208" w:hanging="365"/>
      </w:pPr>
      <w:rPr>
        <w:rFonts w:hint="default"/>
        <w:lang w:val="en-US" w:eastAsia="en-US" w:bidi="ar-SA"/>
      </w:rPr>
    </w:lvl>
    <w:lvl w:ilvl="3">
      <w:start w:val="0"/>
      <w:numFmt w:val="bullet"/>
      <w:lvlText w:val="•"/>
      <w:lvlJc w:val="left"/>
      <w:pPr>
        <w:ind w:left="4122" w:hanging="365"/>
      </w:pPr>
      <w:rPr>
        <w:rFonts w:hint="default"/>
        <w:lang w:val="en-US" w:eastAsia="en-US" w:bidi="ar-SA"/>
      </w:rPr>
    </w:lvl>
    <w:lvl w:ilvl="4">
      <w:start w:val="0"/>
      <w:numFmt w:val="bullet"/>
      <w:lvlText w:val="•"/>
      <w:lvlJc w:val="left"/>
      <w:pPr>
        <w:ind w:left="5036" w:hanging="365"/>
      </w:pPr>
      <w:rPr>
        <w:rFonts w:hint="default"/>
        <w:lang w:val="en-US" w:eastAsia="en-US" w:bidi="ar-SA"/>
      </w:rPr>
    </w:lvl>
    <w:lvl w:ilvl="5">
      <w:start w:val="0"/>
      <w:numFmt w:val="bullet"/>
      <w:lvlText w:val="•"/>
      <w:lvlJc w:val="left"/>
      <w:pPr>
        <w:ind w:left="5950" w:hanging="365"/>
      </w:pPr>
      <w:rPr>
        <w:rFonts w:hint="default"/>
        <w:lang w:val="en-US" w:eastAsia="en-US" w:bidi="ar-SA"/>
      </w:rPr>
    </w:lvl>
    <w:lvl w:ilvl="6">
      <w:start w:val="0"/>
      <w:numFmt w:val="bullet"/>
      <w:lvlText w:val="•"/>
      <w:lvlJc w:val="left"/>
      <w:pPr>
        <w:ind w:left="6864" w:hanging="365"/>
      </w:pPr>
      <w:rPr>
        <w:rFonts w:hint="default"/>
        <w:lang w:val="en-US" w:eastAsia="en-US" w:bidi="ar-SA"/>
      </w:rPr>
    </w:lvl>
    <w:lvl w:ilvl="7">
      <w:start w:val="0"/>
      <w:numFmt w:val="bullet"/>
      <w:lvlText w:val="•"/>
      <w:lvlJc w:val="left"/>
      <w:pPr>
        <w:ind w:left="7778" w:hanging="365"/>
      </w:pPr>
      <w:rPr>
        <w:rFonts w:hint="default"/>
        <w:lang w:val="en-US" w:eastAsia="en-US" w:bidi="ar-SA"/>
      </w:rPr>
    </w:lvl>
    <w:lvl w:ilvl="8">
      <w:start w:val="0"/>
      <w:numFmt w:val="bullet"/>
      <w:lvlText w:val="•"/>
      <w:lvlJc w:val="left"/>
      <w:pPr>
        <w:ind w:left="8692" w:hanging="365"/>
      </w:pPr>
      <w:rPr>
        <w:rFonts w:hint="default"/>
        <w:lang w:val="en-US" w:eastAsia="en-US" w:bidi="ar-SA"/>
      </w:rPr>
    </w:lvl>
  </w:abstractNum>
  <w:abstractNum w:abstractNumId="20">
    <w:multiLevelType w:val="hybridMultilevel"/>
    <w:lvl w:ilvl="0">
      <w:start w:val="1"/>
      <w:numFmt w:val="decimal"/>
      <w:lvlText w:val="(%1)"/>
      <w:lvlJc w:val="left"/>
      <w:pPr>
        <w:ind w:left="1371" w:hanging="365"/>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1">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2">
      <w:start w:val="0"/>
      <w:numFmt w:val="bullet"/>
      <w:lvlText w:val="•"/>
      <w:lvlJc w:val="left"/>
      <w:pPr>
        <w:ind w:left="2395" w:hanging="336"/>
      </w:pPr>
      <w:rPr>
        <w:rFonts w:hint="default"/>
        <w:lang w:val="en-US" w:eastAsia="en-US" w:bidi="ar-SA"/>
      </w:rPr>
    </w:lvl>
    <w:lvl w:ilvl="3">
      <w:start w:val="0"/>
      <w:numFmt w:val="bullet"/>
      <w:lvlText w:val="•"/>
      <w:lvlJc w:val="left"/>
      <w:pPr>
        <w:ind w:left="3411" w:hanging="336"/>
      </w:pPr>
      <w:rPr>
        <w:rFonts w:hint="default"/>
        <w:lang w:val="en-US" w:eastAsia="en-US" w:bidi="ar-SA"/>
      </w:rPr>
    </w:lvl>
    <w:lvl w:ilvl="4">
      <w:start w:val="0"/>
      <w:numFmt w:val="bullet"/>
      <w:lvlText w:val="•"/>
      <w:lvlJc w:val="left"/>
      <w:pPr>
        <w:ind w:left="4426" w:hanging="336"/>
      </w:pPr>
      <w:rPr>
        <w:rFonts w:hint="default"/>
        <w:lang w:val="en-US" w:eastAsia="en-US" w:bidi="ar-SA"/>
      </w:rPr>
    </w:lvl>
    <w:lvl w:ilvl="5">
      <w:start w:val="0"/>
      <w:numFmt w:val="bullet"/>
      <w:lvlText w:val="•"/>
      <w:lvlJc w:val="left"/>
      <w:pPr>
        <w:ind w:left="5442" w:hanging="336"/>
      </w:pPr>
      <w:rPr>
        <w:rFonts w:hint="default"/>
        <w:lang w:val="en-US" w:eastAsia="en-US" w:bidi="ar-SA"/>
      </w:rPr>
    </w:lvl>
    <w:lvl w:ilvl="6">
      <w:start w:val="0"/>
      <w:numFmt w:val="bullet"/>
      <w:lvlText w:val="•"/>
      <w:lvlJc w:val="left"/>
      <w:pPr>
        <w:ind w:left="6457" w:hanging="336"/>
      </w:pPr>
      <w:rPr>
        <w:rFonts w:hint="default"/>
        <w:lang w:val="en-US" w:eastAsia="en-US" w:bidi="ar-SA"/>
      </w:rPr>
    </w:lvl>
    <w:lvl w:ilvl="7">
      <w:start w:val="0"/>
      <w:numFmt w:val="bullet"/>
      <w:lvlText w:val="•"/>
      <w:lvlJc w:val="left"/>
      <w:pPr>
        <w:ind w:left="7473" w:hanging="336"/>
      </w:pPr>
      <w:rPr>
        <w:rFonts w:hint="default"/>
        <w:lang w:val="en-US" w:eastAsia="en-US" w:bidi="ar-SA"/>
      </w:rPr>
    </w:lvl>
    <w:lvl w:ilvl="8">
      <w:start w:val="0"/>
      <w:numFmt w:val="bullet"/>
      <w:lvlText w:val="•"/>
      <w:lvlJc w:val="left"/>
      <w:pPr>
        <w:ind w:left="8488" w:hanging="336"/>
      </w:pPr>
      <w:rPr>
        <w:rFonts w:hint="default"/>
        <w:lang w:val="en-US" w:eastAsia="en-US" w:bidi="ar-SA"/>
      </w:rPr>
    </w:lvl>
  </w:abstractNum>
  <w:abstractNum w:abstractNumId="19">
    <w:multiLevelType w:val="hybridMultilevel"/>
    <w:lvl w:ilvl="0">
      <w:start w:val="1"/>
      <w:numFmt w:val="decimal"/>
      <w:lvlText w:val="%1."/>
      <w:lvlJc w:val="left"/>
      <w:pPr>
        <w:ind w:left="1342" w:hanging="336"/>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18">
    <w:multiLevelType w:val="hybridMultilevel"/>
    <w:lvl w:ilvl="0">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17">
    <w:multiLevelType w:val="hybridMultilevel"/>
    <w:lvl w:ilvl="0">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15">
    <w:multiLevelType w:val="hybridMultilevel"/>
    <w:lvl w:ilvl="0">
      <w:start w:val="1"/>
      <w:numFmt w:val="decimal"/>
      <w:lvlText w:val="(%1)"/>
      <w:lvlJc w:val="left"/>
      <w:pPr>
        <w:ind w:left="1371" w:hanging="365"/>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1">
      <w:start w:val="0"/>
      <w:numFmt w:val="bullet"/>
      <w:lvlText w:val="•"/>
      <w:lvlJc w:val="left"/>
      <w:pPr>
        <w:ind w:left="2294" w:hanging="365"/>
      </w:pPr>
      <w:rPr>
        <w:rFonts w:hint="default"/>
        <w:lang w:val="en-US" w:eastAsia="en-US" w:bidi="ar-SA"/>
      </w:rPr>
    </w:lvl>
    <w:lvl w:ilvl="2">
      <w:start w:val="0"/>
      <w:numFmt w:val="bullet"/>
      <w:lvlText w:val="•"/>
      <w:lvlJc w:val="left"/>
      <w:pPr>
        <w:ind w:left="3208" w:hanging="365"/>
      </w:pPr>
      <w:rPr>
        <w:rFonts w:hint="default"/>
        <w:lang w:val="en-US" w:eastAsia="en-US" w:bidi="ar-SA"/>
      </w:rPr>
    </w:lvl>
    <w:lvl w:ilvl="3">
      <w:start w:val="0"/>
      <w:numFmt w:val="bullet"/>
      <w:lvlText w:val="•"/>
      <w:lvlJc w:val="left"/>
      <w:pPr>
        <w:ind w:left="4122" w:hanging="365"/>
      </w:pPr>
      <w:rPr>
        <w:rFonts w:hint="default"/>
        <w:lang w:val="en-US" w:eastAsia="en-US" w:bidi="ar-SA"/>
      </w:rPr>
    </w:lvl>
    <w:lvl w:ilvl="4">
      <w:start w:val="0"/>
      <w:numFmt w:val="bullet"/>
      <w:lvlText w:val="•"/>
      <w:lvlJc w:val="left"/>
      <w:pPr>
        <w:ind w:left="5036" w:hanging="365"/>
      </w:pPr>
      <w:rPr>
        <w:rFonts w:hint="default"/>
        <w:lang w:val="en-US" w:eastAsia="en-US" w:bidi="ar-SA"/>
      </w:rPr>
    </w:lvl>
    <w:lvl w:ilvl="5">
      <w:start w:val="0"/>
      <w:numFmt w:val="bullet"/>
      <w:lvlText w:val="•"/>
      <w:lvlJc w:val="left"/>
      <w:pPr>
        <w:ind w:left="5950" w:hanging="365"/>
      </w:pPr>
      <w:rPr>
        <w:rFonts w:hint="default"/>
        <w:lang w:val="en-US" w:eastAsia="en-US" w:bidi="ar-SA"/>
      </w:rPr>
    </w:lvl>
    <w:lvl w:ilvl="6">
      <w:start w:val="0"/>
      <w:numFmt w:val="bullet"/>
      <w:lvlText w:val="•"/>
      <w:lvlJc w:val="left"/>
      <w:pPr>
        <w:ind w:left="6864" w:hanging="365"/>
      </w:pPr>
      <w:rPr>
        <w:rFonts w:hint="default"/>
        <w:lang w:val="en-US" w:eastAsia="en-US" w:bidi="ar-SA"/>
      </w:rPr>
    </w:lvl>
    <w:lvl w:ilvl="7">
      <w:start w:val="0"/>
      <w:numFmt w:val="bullet"/>
      <w:lvlText w:val="•"/>
      <w:lvlJc w:val="left"/>
      <w:pPr>
        <w:ind w:left="7778" w:hanging="365"/>
      </w:pPr>
      <w:rPr>
        <w:rFonts w:hint="default"/>
        <w:lang w:val="en-US" w:eastAsia="en-US" w:bidi="ar-SA"/>
      </w:rPr>
    </w:lvl>
    <w:lvl w:ilvl="8">
      <w:start w:val="0"/>
      <w:numFmt w:val="bullet"/>
      <w:lvlText w:val="•"/>
      <w:lvlJc w:val="left"/>
      <w:pPr>
        <w:ind w:left="8692" w:hanging="365"/>
      </w:pPr>
      <w:rPr>
        <w:rFonts w:hint="default"/>
        <w:lang w:val="en-US" w:eastAsia="en-US" w:bidi="ar-SA"/>
      </w:rPr>
    </w:lvl>
  </w:abstractNum>
  <w:abstractNum w:abstractNumId="14">
    <w:multiLevelType w:val="hybridMultilevel"/>
    <w:lvl w:ilvl="0">
      <w:start w:val="2"/>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1"/>
      <w:numFmt w:val="decimal"/>
      <w:lvlText w:val="%1.%2.%3"/>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3">
      <w:start w:val="1"/>
      <w:numFmt w:val="decimal"/>
      <w:lvlText w:val="%1.%2.%3.%4"/>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4">
      <w:start w:val="0"/>
      <w:numFmt w:val="bullet"/>
      <w:lvlText w:val="-"/>
      <w:lvlJc w:val="left"/>
      <w:pPr>
        <w:ind w:left="1006" w:hanging="341"/>
      </w:pPr>
      <w:rPr>
        <w:rFonts w:hint="default" w:ascii="Times New Roman" w:hAnsi="Times New Roman" w:eastAsia="Times New Roman" w:cs="Times New Roman"/>
        <w:b w:val="0"/>
        <w:bCs w:val="0"/>
        <w:i w:val="0"/>
        <w:iCs w:val="0"/>
        <w:spacing w:val="0"/>
        <w:w w:val="102"/>
        <w:sz w:val="22"/>
        <w:szCs w:val="22"/>
        <w:lang w:val="en-US" w:eastAsia="en-US" w:bidi="ar-SA"/>
      </w:rPr>
    </w:lvl>
    <w:lvl w:ilvl="5">
      <w:start w:val="1"/>
      <w:numFmt w:val="lowerLetter"/>
      <w:lvlText w:val="(%6)"/>
      <w:lvlJc w:val="left"/>
      <w:pPr>
        <w:ind w:left="2033" w:hanging="351"/>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6">
      <w:start w:val="0"/>
      <w:numFmt w:val="bullet"/>
      <w:lvlText w:val="•"/>
      <w:lvlJc w:val="left"/>
      <w:pPr>
        <w:ind w:left="6280" w:hanging="351"/>
      </w:pPr>
      <w:rPr>
        <w:rFonts w:hint="default"/>
        <w:lang w:val="en-US" w:eastAsia="en-US" w:bidi="ar-SA"/>
      </w:rPr>
    </w:lvl>
    <w:lvl w:ilvl="7">
      <w:start w:val="0"/>
      <w:numFmt w:val="bullet"/>
      <w:lvlText w:val="•"/>
      <w:lvlJc w:val="left"/>
      <w:pPr>
        <w:ind w:left="7340" w:hanging="351"/>
      </w:pPr>
      <w:rPr>
        <w:rFonts w:hint="default"/>
        <w:lang w:val="en-US" w:eastAsia="en-US" w:bidi="ar-SA"/>
      </w:rPr>
    </w:lvl>
    <w:lvl w:ilvl="8">
      <w:start w:val="0"/>
      <w:numFmt w:val="bullet"/>
      <w:lvlText w:val="•"/>
      <w:lvlJc w:val="left"/>
      <w:pPr>
        <w:ind w:left="8400" w:hanging="351"/>
      </w:pPr>
      <w:rPr>
        <w:rFonts w:hint="default"/>
        <w:lang w:val="en-US" w:eastAsia="en-US" w:bidi="ar-SA"/>
      </w:rPr>
    </w:lvl>
  </w:abstractNum>
  <w:abstractNum w:abstractNumId="13">
    <w:multiLevelType w:val="hybridMultilevel"/>
    <w:lvl w:ilvl="0">
      <w:start w:val="1"/>
      <w:numFmt w:val="lowerRoman"/>
      <w:lvlText w:val="(%1)"/>
      <w:lvlJc w:val="left"/>
      <w:pPr>
        <w:ind w:left="1174" w:hanging="336"/>
        <w:jc w:val="left"/>
      </w:pPr>
      <w:rPr>
        <w:rFonts w:hint="default" w:ascii="Times New Roman" w:hAnsi="Times New Roman" w:eastAsia="Times New Roman" w:cs="Times New Roman"/>
        <w:b w:val="0"/>
        <w:bCs w:val="0"/>
        <w:i w:val="0"/>
        <w:iCs w:val="0"/>
        <w:spacing w:val="-5"/>
        <w:w w:val="102"/>
        <w:sz w:val="22"/>
        <w:szCs w:val="22"/>
        <w:lang w:val="en-US" w:eastAsia="en-US" w:bidi="ar-SA"/>
      </w:rPr>
    </w:lvl>
    <w:lvl w:ilvl="1">
      <w:start w:val="1"/>
      <w:numFmt w:val="lowerRoman"/>
      <w:lvlText w:val="(%2)"/>
      <w:lvlJc w:val="left"/>
      <w:pPr>
        <w:ind w:left="1683" w:hanging="677"/>
        <w:jc w:val="left"/>
      </w:pPr>
      <w:rPr>
        <w:rFonts w:hint="default" w:ascii="Times New Roman" w:hAnsi="Times New Roman" w:eastAsia="Times New Roman" w:cs="Times New Roman"/>
        <w:b w:val="0"/>
        <w:bCs w:val="0"/>
        <w:i w:val="0"/>
        <w:iCs w:val="0"/>
        <w:spacing w:val="-5"/>
        <w:w w:val="102"/>
        <w:sz w:val="22"/>
        <w:szCs w:val="22"/>
        <w:lang w:val="en-US" w:eastAsia="en-US" w:bidi="ar-SA"/>
      </w:rPr>
    </w:lvl>
    <w:lvl w:ilvl="2">
      <w:start w:val="0"/>
      <w:numFmt w:val="bullet"/>
      <w:lvlText w:val="•"/>
      <w:lvlJc w:val="left"/>
      <w:pPr>
        <w:ind w:left="2662" w:hanging="677"/>
      </w:pPr>
      <w:rPr>
        <w:rFonts w:hint="default"/>
        <w:lang w:val="en-US" w:eastAsia="en-US" w:bidi="ar-SA"/>
      </w:rPr>
    </w:lvl>
    <w:lvl w:ilvl="3">
      <w:start w:val="0"/>
      <w:numFmt w:val="bullet"/>
      <w:lvlText w:val="•"/>
      <w:lvlJc w:val="left"/>
      <w:pPr>
        <w:ind w:left="3644" w:hanging="677"/>
      </w:pPr>
      <w:rPr>
        <w:rFonts w:hint="default"/>
        <w:lang w:val="en-US" w:eastAsia="en-US" w:bidi="ar-SA"/>
      </w:rPr>
    </w:lvl>
    <w:lvl w:ilvl="4">
      <w:start w:val="0"/>
      <w:numFmt w:val="bullet"/>
      <w:lvlText w:val="•"/>
      <w:lvlJc w:val="left"/>
      <w:pPr>
        <w:ind w:left="4626" w:hanging="677"/>
      </w:pPr>
      <w:rPr>
        <w:rFonts w:hint="default"/>
        <w:lang w:val="en-US" w:eastAsia="en-US" w:bidi="ar-SA"/>
      </w:rPr>
    </w:lvl>
    <w:lvl w:ilvl="5">
      <w:start w:val="0"/>
      <w:numFmt w:val="bullet"/>
      <w:lvlText w:val="•"/>
      <w:lvlJc w:val="left"/>
      <w:pPr>
        <w:ind w:left="5608" w:hanging="677"/>
      </w:pPr>
      <w:rPr>
        <w:rFonts w:hint="default"/>
        <w:lang w:val="en-US" w:eastAsia="en-US" w:bidi="ar-SA"/>
      </w:rPr>
    </w:lvl>
    <w:lvl w:ilvl="6">
      <w:start w:val="0"/>
      <w:numFmt w:val="bullet"/>
      <w:lvlText w:val="•"/>
      <w:lvlJc w:val="left"/>
      <w:pPr>
        <w:ind w:left="6591" w:hanging="677"/>
      </w:pPr>
      <w:rPr>
        <w:rFonts w:hint="default"/>
        <w:lang w:val="en-US" w:eastAsia="en-US" w:bidi="ar-SA"/>
      </w:rPr>
    </w:lvl>
    <w:lvl w:ilvl="7">
      <w:start w:val="0"/>
      <w:numFmt w:val="bullet"/>
      <w:lvlText w:val="•"/>
      <w:lvlJc w:val="left"/>
      <w:pPr>
        <w:ind w:left="7573" w:hanging="677"/>
      </w:pPr>
      <w:rPr>
        <w:rFonts w:hint="default"/>
        <w:lang w:val="en-US" w:eastAsia="en-US" w:bidi="ar-SA"/>
      </w:rPr>
    </w:lvl>
    <w:lvl w:ilvl="8">
      <w:start w:val="0"/>
      <w:numFmt w:val="bullet"/>
      <w:lvlText w:val="•"/>
      <w:lvlJc w:val="left"/>
      <w:pPr>
        <w:ind w:left="8555" w:hanging="677"/>
      </w:pPr>
      <w:rPr>
        <w:rFonts w:hint="default"/>
        <w:lang w:val="en-US" w:eastAsia="en-US" w:bidi="ar-SA"/>
      </w:rPr>
    </w:lvl>
  </w:abstractNum>
  <w:abstractNum w:abstractNumId="12">
    <w:multiLevelType w:val="hybridMultilevel"/>
    <w:lvl w:ilvl="0">
      <w:start w:val="1"/>
      <w:numFmt w:val="lowerRoman"/>
      <w:lvlText w:val="(%1)"/>
      <w:lvlJc w:val="left"/>
      <w:pPr>
        <w:ind w:left="665" w:hanging="322"/>
        <w:jc w:val="left"/>
      </w:pPr>
      <w:rPr>
        <w:rFonts w:hint="default" w:ascii="Times New Roman" w:hAnsi="Times New Roman" w:eastAsia="Times New Roman" w:cs="Times New Roman"/>
        <w:b/>
        <w:bCs/>
        <w:i w:val="0"/>
        <w:iCs w:val="0"/>
        <w:spacing w:val="0"/>
        <w:w w:val="102"/>
        <w:sz w:val="22"/>
        <w:szCs w:val="22"/>
        <w:lang w:val="en-US" w:eastAsia="en-US" w:bidi="ar-SA"/>
      </w:rPr>
    </w:lvl>
    <w:lvl w:ilvl="1">
      <w:start w:val="0"/>
      <w:numFmt w:val="bullet"/>
      <w:lvlText w:val="•"/>
      <w:lvlJc w:val="left"/>
      <w:pPr>
        <w:ind w:left="1646" w:hanging="322"/>
      </w:pPr>
      <w:rPr>
        <w:rFonts w:hint="default"/>
        <w:lang w:val="en-US" w:eastAsia="en-US" w:bidi="ar-SA"/>
      </w:rPr>
    </w:lvl>
    <w:lvl w:ilvl="2">
      <w:start w:val="0"/>
      <w:numFmt w:val="bullet"/>
      <w:lvlText w:val="•"/>
      <w:lvlJc w:val="left"/>
      <w:pPr>
        <w:ind w:left="2632" w:hanging="322"/>
      </w:pPr>
      <w:rPr>
        <w:rFonts w:hint="default"/>
        <w:lang w:val="en-US" w:eastAsia="en-US" w:bidi="ar-SA"/>
      </w:rPr>
    </w:lvl>
    <w:lvl w:ilvl="3">
      <w:start w:val="0"/>
      <w:numFmt w:val="bullet"/>
      <w:lvlText w:val="•"/>
      <w:lvlJc w:val="left"/>
      <w:pPr>
        <w:ind w:left="3618" w:hanging="322"/>
      </w:pPr>
      <w:rPr>
        <w:rFonts w:hint="default"/>
        <w:lang w:val="en-US" w:eastAsia="en-US" w:bidi="ar-SA"/>
      </w:rPr>
    </w:lvl>
    <w:lvl w:ilvl="4">
      <w:start w:val="0"/>
      <w:numFmt w:val="bullet"/>
      <w:lvlText w:val="•"/>
      <w:lvlJc w:val="left"/>
      <w:pPr>
        <w:ind w:left="4604" w:hanging="322"/>
      </w:pPr>
      <w:rPr>
        <w:rFonts w:hint="default"/>
        <w:lang w:val="en-US" w:eastAsia="en-US" w:bidi="ar-SA"/>
      </w:rPr>
    </w:lvl>
    <w:lvl w:ilvl="5">
      <w:start w:val="0"/>
      <w:numFmt w:val="bullet"/>
      <w:lvlText w:val="•"/>
      <w:lvlJc w:val="left"/>
      <w:pPr>
        <w:ind w:left="5590" w:hanging="322"/>
      </w:pPr>
      <w:rPr>
        <w:rFonts w:hint="default"/>
        <w:lang w:val="en-US" w:eastAsia="en-US" w:bidi="ar-SA"/>
      </w:rPr>
    </w:lvl>
    <w:lvl w:ilvl="6">
      <w:start w:val="0"/>
      <w:numFmt w:val="bullet"/>
      <w:lvlText w:val="•"/>
      <w:lvlJc w:val="left"/>
      <w:pPr>
        <w:ind w:left="6576" w:hanging="322"/>
      </w:pPr>
      <w:rPr>
        <w:rFonts w:hint="default"/>
        <w:lang w:val="en-US" w:eastAsia="en-US" w:bidi="ar-SA"/>
      </w:rPr>
    </w:lvl>
    <w:lvl w:ilvl="7">
      <w:start w:val="0"/>
      <w:numFmt w:val="bullet"/>
      <w:lvlText w:val="•"/>
      <w:lvlJc w:val="left"/>
      <w:pPr>
        <w:ind w:left="7562" w:hanging="322"/>
      </w:pPr>
      <w:rPr>
        <w:rFonts w:hint="default"/>
        <w:lang w:val="en-US" w:eastAsia="en-US" w:bidi="ar-SA"/>
      </w:rPr>
    </w:lvl>
    <w:lvl w:ilvl="8">
      <w:start w:val="0"/>
      <w:numFmt w:val="bullet"/>
      <w:lvlText w:val="•"/>
      <w:lvlJc w:val="left"/>
      <w:pPr>
        <w:ind w:left="8548" w:hanging="322"/>
      </w:pPr>
      <w:rPr>
        <w:rFonts w:hint="default"/>
        <w:lang w:val="en-US" w:eastAsia="en-US" w:bidi="ar-SA"/>
      </w:rPr>
    </w:lvl>
  </w:abstractNum>
  <w:abstractNum w:abstractNumId="11">
    <w:multiLevelType w:val="hybridMultilevel"/>
    <w:lvl w:ilvl="0">
      <w:start w:val="1"/>
      <w:numFmt w:val="decimal"/>
      <w:lvlText w:val="%1."/>
      <w:lvlJc w:val="left"/>
      <w:pPr>
        <w:ind w:left="1342" w:hanging="336"/>
        <w:jc w:val="left"/>
      </w:pPr>
      <w:rPr>
        <w:rFonts w:hint="default" w:ascii="Times New Roman" w:hAnsi="Times New Roman" w:eastAsia="Times New Roman" w:cs="Times New Roman"/>
        <w:b w:val="0"/>
        <w:bCs w:val="0"/>
        <w:i w:val="0"/>
        <w:iCs w:val="0"/>
        <w:spacing w:val="-3"/>
        <w:w w:val="102"/>
        <w:sz w:val="22"/>
        <w:szCs w:val="22"/>
        <w:lang w:val="en-US" w:eastAsia="en-US" w:bidi="ar-SA"/>
      </w:rPr>
    </w:lvl>
    <w:lvl w:ilvl="1">
      <w:start w:val="0"/>
      <w:numFmt w:val="bullet"/>
      <w:lvlText w:val="•"/>
      <w:lvlJc w:val="left"/>
      <w:pPr>
        <w:ind w:left="2258" w:hanging="336"/>
      </w:pPr>
      <w:rPr>
        <w:rFonts w:hint="default"/>
        <w:lang w:val="en-US" w:eastAsia="en-US" w:bidi="ar-SA"/>
      </w:rPr>
    </w:lvl>
    <w:lvl w:ilvl="2">
      <w:start w:val="0"/>
      <w:numFmt w:val="bullet"/>
      <w:lvlText w:val="•"/>
      <w:lvlJc w:val="left"/>
      <w:pPr>
        <w:ind w:left="3176" w:hanging="336"/>
      </w:pPr>
      <w:rPr>
        <w:rFonts w:hint="default"/>
        <w:lang w:val="en-US" w:eastAsia="en-US" w:bidi="ar-SA"/>
      </w:rPr>
    </w:lvl>
    <w:lvl w:ilvl="3">
      <w:start w:val="0"/>
      <w:numFmt w:val="bullet"/>
      <w:lvlText w:val="•"/>
      <w:lvlJc w:val="left"/>
      <w:pPr>
        <w:ind w:left="4094" w:hanging="336"/>
      </w:pPr>
      <w:rPr>
        <w:rFonts w:hint="default"/>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10">
    <w:multiLevelType w:val="hybridMultilevel"/>
    <w:lvl w:ilvl="0">
      <w:start w:val="1"/>
      <w:numFmt w:val="decimal"/>
      <w:lvlText w:val="%1"/>
      <w:lvlJc w:val="left"/>
      <w:pPr>
        <w:ind w:left="1342" w:hanging="677"/>
        <w:jc w:val="left"/>
      </w:pPr>
      <w:rPr>
        <w:rFonts w:hint="default"/>
        <w:lang w:val="en-US" w:eastAsia="en-US" w:bidi="ar-SA"/>
      </w:rPr>
    </w:lvl>
    <w:lvl w:ilvl="1">
      <w:start w:val="0"/>
      <w:numFmt w:val="decimal"/>
      <w:lvlText w:val="%1.%2"/>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2">
      <w:start w:val="1"/>
      <w:numFmt w:val="decimal"/>
      <w:lvlText w:val="%1.%2.%3"/>
      <w:lvlJc w:val="left"/>
      <w:pPr>
        <w:ind w:left="1342" w:hanging="677"/>
        <w:jc w:val="left"/>
      </w:pPr>
      <w:rPr>
        <w:rFonts w:hint="default" w:ascii="Times New Roman" w:hAnsi="Times New Roman" w:eastAsia="Times New Roman" w:cs="Times New Roman"/>
        <w:b/>
        <w:bCs/>
        <w:i w:val="0"/>
        <w:iCs w:val="0"/>
        <w:spacing w:val="-4"/>
        <w:w w:val="102"/>
        <w:sz w:val="22"/>
        <w:szCs w:val="22"/>
        <w:lang w:val="en-US" w:eastAsia="en-US" w:bidi="ar-SA"/>
      </w:rPr>
    </w:lvl>
    <w:lvl w:ilvl="3">
      <w:start w:val="0"/>
      <w:numFmt w:val="bullet"/>
      <w:lvlText w:val=""/>
      <w:lvlJc w:val="left"/>
      <w:pPr>
        <w:ind w:left="1342" w:hanging="336"/>
      </w:pPr>
      <w:rPr>
        <w:rFonts w:hint="default" w:ascii="Symbol" w:hAnsi="Symbol" w:eastAsia="Symbol" w:cs="Symbol"/>
        <w:b w:val="0"/>
        <w:bCs w:val="0"/>
        <w:i w:val="0"/>
        <w:iCs w:val="0"/>
        <w:spacing w:val="0"/>
        <w:w w:val="102"/>
        <w:sz w:val="22"/>
        <w:szCs w:val="22"/>
        <w:lang w:val="en-US" w:eastAsia="en-US" w:bidi="ar-SA"/>
      </w:rPr>
    </w:lvl>
    <w:lvl w:ilvl="4">
      <w:start w:val="0"/>
      <w:numFmt w:val="bullet"/>
      <w:lvlText w:val="•"/>
      <w:lvlJc w:val="left"/>
      <w:pPr>
        <w:ind w:left="5012" w:hanging="336"/>
      </w:pPr>
      <w:rPr>
        <w:rFonts w:hint="default"/>
        <w:lang w:val="en-US" w:eastAsia="en-US" w:bidi="ar-SA"/>
      </w:rPr>
    </w:lvl>
    <w:lvl w:ilvl="5">
      <w:start w:val="0"/>
      <w:numFmt w:val="bullet"/>
      <w:lvlText w:val="•"/>
      <w:lvlJc w:val="left"/>
      <w:pPr>
        <w:ind w:left="5930" w:hanging="336"/>
      </w:pPr>
      <w:rPr>
        <w:rFonts w:hint="default"/>
        <w:lang w:val="en-US" w:eastAsia="en-US" w:bidi="ar-SA"/>
      </w:rPr>
    </w:lvl>
    <w:lvl w:ilvl="6">
      <w:start w:val="0"/>
      <w:numFmt w:val="bullet"/>
      <w:lvlText w:val="•"/>
      <w:lvlJc w:val="left"/>
      <w:pPr>
        <w:ind w:left="6848" w:hanging="336"/>
      </w:pPr>
      <w:rPr>
        <w:rFonts w:hint="default"/>
        <w:lang w:val="en-US" w:eastAsia="en-US" w:bidi="ar-SA"/>
      </w:rPr>
    </w:lvl>
    <w:lvl w:ilvl="7">
      <w:start w:val="0"/>
      <w:numFmt w:val="bullet"/>
      <w:lvlText w:val="•"/>
      <w:lvlJc w:val="left"/>
      <w:pPr>
        <w:ind w:left="7766" w:hanging="336"/>
      </w:pPr>
      <w:rPr>
        <w:rFonts w:hint="default"/>
        <w:lang w:val="en-US" w:eastAsia="en-US" w:bidi="ar-SA"/>
      </w:rPr>
    </w:lvl>
    <w:lvl w:ilvl="8">
      <w:start w:val="0"/>
      <w:numFmt w:val="bullet"/>
      <w:lvlText w:val="•"/>
      <w:lvlJc w:val="left"/>
      <w:pPr>
        <w:ind w:left="8684" w:hanging="336"/>
      </w:pPr>
      <w:rPr>
        <w:rFonts w:hint="default"/>
        <w:lang w:val="en-US" w:eastAsia="en-US" w:bidi="ar-SA"/>
      </w:rPr>
    </w:lvl>
  </w:abstractNum>
  <w:abstractNum w:abstractNumId="9">
    <w:multiLevelType w:val="hybridMultilevel"/>
    <w:lvl w:ilvl="0">
      <w:start w:val="1"/>
      <w:numFmt w:val="upperLetter"/>
      <w:lvlText w:val="%1"/>
      <w:lvlJc w:val="left"/>
      <w:pPr>
        <w:ind w:left="1851" w:hanging="1186"/>
        <w:jc w:val="left"/>
      </w:pPr>
      <w:rPr>
        <w:rFonts w:hint="default"/>
        <w:lang w:val="en-US" w:eastAsia="en-US" w:bidi="ar-SA"/>
      </w:rPr>
    </w:lvl>
    <w:lvl w:ilvl="1">
      <w:start w:val="1"/>
      <w:numFmt w:val="decimal"/>
      <w:lvlText w:val="%1.%2"/>
      <w:lvlJc w:val="left"/>
      <w:pPr>
        <w:ind w:left="1851" w:hanging="118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592" w:hanging="1186"/>
      </w:pPr>
      <w:rPr>
        <w:rFonts w:hint="default"/>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8">
    <w:multiLevelType w:val="hybridMultilevel"/>
    <w:lvl w:ilvl="0">
      <w:start w:val="6"/>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0"/>
      <w:numFmt w:val="bullet"/>
      <w:lvlText w:val="•"/>
      <w:lvlJc w:val="left"/>
      <w:pPr>
        <w:ind w:left="3592" w:hanging="1186"/>
      </w:pPr>
      <w:rPr>
        <w:rFonts w:hint="default"/>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7">
    <w:multiLevelType w:val="hybridMultilevel"/>
    <w:lvl w:ilvl="0">
      <w:start w:val="5"/>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0"/>
      <w:numFmt w:val="bullet"/>
      <w:lvlText w:val="•"/>
      <w:lvlJc w:val="left"/>
      <w:pPr>
        <w:ind w:left="3592" w:hanging="1186"/>
      </w:pPr>
      <w:rPr>
        <w:rFonts w:hint="default"/>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6">
    <w:multiLevelType w:val="hybridMultilevel"/>
    <w:lvl w:ilvl="0">
      <w:start w:val="4"/>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0"/>
      <w:numFmt w:val="bullet"/>
      <w:lvlText w:val="•"/>
      <w:lvlJc w:val="left"/>
      <w:pPr>
        <w:ind w:left="3592" w:hanging="1186"/>
      </w:pPr>
      <w:rPr>
        <w:rFonts w:hint="default"/>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5">
    <w:multiLevelType w:val="hybridMultilevel"/>
    <w:lvl w:ilvl="0">
      <w:start w:val="3"/>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1"/>
      <w:numFmt w:val="decimal"/>
      <w:lvlText w:val="%1.%2.%3"/>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3">
      <w:start w:val="1"/>
      <w:numFmt w:val="decimal"/>
      <w:lvlText w:val="%1.%2.%3.%4"/>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4">
      <w:start w:val="0"/>
      <w:numFmt w:val="bullet"/>
      <w:lvlText w:val="•"/>
      <w:lvlJc w:val="left"/>
      <w:pPr>
        <w:ind w:left="4746" w:hanging="1186"/>
      </w:pPr>
      <w:rPr>
        <w:rFonts w:hint="default"/>
        <w:lang w:val="en-US" w:eastAsia="en-US" w:bidi="ar-SA"/>
      </w:rPr>
    </w:lvl>
    <w:lvl w:ilvl="5">
      <w:start w:val="0"/>
      <w:numFmt w:val="bullet"/>
      <w:lvlText w:val="•"/>
      <w:lvlJc w:val="left"/>
      <w:pPr>
        <w:ind w:left="5708" w:hanging="1186"/>
      </w:pPr>
      <w:rPr>
        <w:rFonts w:hint="default"/>
        <w:lang w:val="en-US" w:eastAsia="en-US" w:bidi="ar-SA"/>
      </w:rPr>
    </w:lvl>
    <w:lvl w:ilvl="6">
      <w:start w:val="0"/>
      <w:numFmt w:val="bullet"/>
      <w:lvlText w:val="•"/>
      <w:lvlJc w:val="left"/>
      <w:pPr>
        <w:ind w:left="6671" w:hanging="1186"/>
      </w:pPr>
      <w:rPr>
        <w:rFonts w:hint="default"/>
        <w:lang w:val="en-US" w:eastAsia="en-US" w:bidi="ar-SA"/>
      </w:rPr>
    </w:lvl>
    <w:lvl w:ilvl="7">
      <w:start w:val="0"/>
      <w:numFmt w:val="bullet"/>
      <w:lvlText w:val="•"/>
      <w:lvlJc w:val="left"/>
      <w:pPr>
        <w:ind w:left="7633" w:hanging="1186"/>
      </w:pPr>
      <w:rPr>
        <w:rFonts w:hint="default"/>
        <w:lang w:val="en-US" w:eastAsia="en-US" w:bidi="ar-SA"/>
      </w:rPr>
    </w:lvl>
    <w:lvl w:ilvl="8">
      <w:start w:val="0"/>
      <w:numFmt w:val="bullet"/>
      <w:lvlText w:val="•"/>
      <w:lvlJc w:val="left"/>
      <w:pPr>
        <w:ind w:left="8595" w:hanging="1186"/>
      </w:pPr>
      <w:rPr>
        <w:rFonts w:hint="default"/>
        <w:lang w:val="en-US" w:eastAsia="en-US" w:bidi="ar-SA"/>
      </w:rPr>
    </w:lvl>
  </w:abstractNum>
  <w:abstractNum w:abstractNumId="4">
    <w:multiLevelType w:val="hybridMultilevel"/>
    <w:lvl w:ilvl="0">
      <w:start w:val="2"/>
      <w:numFmt w:val="decimal"/>
      <w:lvlText w:val="%1"/>
      <w:lvlJc w:val="left"/>
      <w:pPr>
        <w:ind w:left="1851" w:hanging="1186"/>
        <w:jc w:val="left"/>
      </w:pPr>
      <w:rPr>
        <w:rFonts w:hint="default"/>
        <w:lang w:val="en-US" w:eastAsia="en-US" w:bidi="ar-SA"/>
      </w:rPr>
    </w:lvl>
    <w:lvl w:ilvl="1">
      <w:start w:val="13"/>
      <w:numFmt w:val="decimal"/>
      <w:lvlText w:val="%1.%2"/>
      <w:lvlJc w:val="left"/>
      <w:pPr>
        <w:ind w:left="1851" w:hanging="1186"/>
        <w:jc w:val="left"/>
      </w:pPr>
      <w:rPr>
        <w:rFonts w:hint="default"/>
        <w:lang w:val="en-US" w:eastAsia="en-US" w:bidi="ar-SA"/>
      </w:rPr>
    </w:lvl>
    <w:lvl w:ilvl="2">
      <w:start w:val="1"/>
      <w:numFmt w:val="decimal"/>
      <w:lvlText w:val="%1.%2.%3"/>
      <w:lvlJc w:val="left"/>
      <w:pPr>
        <w:ind w:left="1851" w:hanging="1186"/>
        <w:jc w:val="left"/>
      </w:pPr>
      <w:rPr>
        <w:rFonts w:hint="default"/>
        <w:lang w:val="en-US" w:eastAsia="en-US" w:bidi="ar-SA"/>
      </w:rPr>
    </w:lvl>
    <w:lvl w:ilvl="3">
      <w:start w:val="3"/>
      <w:numFmt w:val="decimal"/>
      <w:lvlText w:val="%1.%2.%3.%4"/>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3">
    <w:multiLevelType w:val="hybridMultilevel"/>
    <w:lvl w:ilvl="0">
      <w:start w:val="2"/>
      <w:numFmt w:val="decimal"/>
      <w:lvlText w:val="%1"/>
      <w:lvlJc w:val="left"/>
      <w:pPr>
        <w:ind w:left="1851" w:hanging="1186"/>
        <w:jc w:val="left"/>
      </w:pPr>
      <w:rPr>
        <w:rFonts w:hint="default"/>
        <w:lang w:val="en-US" w:eastAsia="en-US" w:bidi="ar-SA"/>
      </w:rPr>
    </w:lvl>
    <w:lvl w:ilvl="1">
      <w:start w:val="6"/>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1"/>
      <w:numFmt w:val="decimal"/>
      <w:lvlText w:val="%1.%2.%3"/>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3">
      <w:start w:val="1"/>
      <w:numFmt w:val="decimal"/>
      <w:lvlText w:val="%1.%2.%3.%4"/>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2">
    <w:multiLevelType w:val="hybridMultilevel"/>
    <w:lvl w:ilvl="0">
      <w:start w:val="2"/>
      <w:numFmt w:val="decimal"/>
      <w:lvlText w:val="%1"/>
      <w:lvlJc w:val="left"/>
      <w:pPr>
        <w:ind w:left="1851" w:hanging="1186"/>
        <w:jc w:val="left"/>
      </w:pPr>
      <w:rPr>
        <w:rFonts w:hint="default"/>
        <w:lang w:val="en-US" w:eastAsia="en-US" w:bidi="ar-SA"/>
      </w:rPr>
    </w:lvl>
    <w:lvl w:ilvl="1">
      <w:start w:val="5"/>
      <w:numFmt w:val="decimal"/>
      <w:lvlText w:val="%1.%2"/>
      <w:lvlJc w:val="left"/>
      <w:pPr>
        <w:ind w:left="1851" w:hanging="1186"/>
        <w:jc w:val="left"/>
      </w:pPr>
      <w:rPr>
        <w:rFonts w:hint="default"/>
        <w:lang w:val="en-US" w:eastAsia="en-US" w:bidi="ar-SA"/>
      </w:rPr>
    </w:lvl>
    <w:lvl w:ilvl="2">
      <w:start w:val="0"/>
      <w:numFmt w:val="decimal"/>
      <w:lvlText w:val="%1.%2.%3"/>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1">
    <w:multiLevelType w:val="hybridMultilevel"/>
    <w:lvl w:ilvl="0">
      <w:start w:val="2"/>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1"/>
      <w:numFmt w:val="decimal"/>
      <w:lvlText w:val="%1.%2.%3"/>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3">
      <w:start w:val="1"/>
      <w:numFmt w:val="decimal"/>
      <w:lvlText w:val="%1.%2.%3.%4"/>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abstractNum w:abstractNumId="0">
    <w:multiLevelType w:val="hybridMultilevel"/>
    <w:lvl w:ilvl="0">
      <w:start w:val="1"/>
      <w:numFmt w:val="decimal"/>
      <w:lvlText w:val="%1"/>
      <w:lvlJc w:val="left"/>
      <w:pPr>
        <w:ind w:left="1851" w:hanging="1186"/>
        <w:jc w:val="left"/>
      </w:pPr>
      <w:rPr>
        <w:rFonts w:hint="default"/>
        <w:lang w:val="en-US" w:eastAsia="en-US" w:bidi="ar-SA"/>
      </w:rPr>
    </w:lvl>
    <w:lvl w:ilvl="1">
      <w:start w:val="0"/>
      <w:numFmt w:val="decimal"/>
      <w:lvlText w:val="%1.%2"/>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2">
      <w:start w:val="1"/>
      <w:numFmt w:val="decimal"/>
      <w:lvlText w:val="%1.%2.%3"/>
      <w:lvlJc w:val="left"/>
      <w:pPr>
        <w:ind w:left="1851" w:hanging="1186"/>
        <w:jc w:val="left"/>
      </w:pPr>
      <w:rPr>
        <w:rFonts w:hint="default" w:ascii="Times New Roman" w:hAnsi="Times New Roman" w:eastAsia="Times New Roman" w:cs="Times New Roman"/>
        <w:b w:val="0"/>
        <w:bCs w:val="0"/>
        <w:i w:val="0"/>
        <w:iCs w:val="0"/>
        <w:spacing w:val="-4"/>
        <w:w w:val="102"/>
        <w:sz w:val="22"/>
        <w:szCs w:val="22"/>
        <w:lang w:val="en-US" w:eastAsia="en-US" w:bidi="ar-SA"/>
      </w:rPr>
    </w:lvl>
    <w:lvl w:ilvl="3">
      <w:start w:val="0"/>
      <w:numFmt w:val="bullet"/>
      <w:lvlText w:val="•"/>
      <w:lvlJc w:val="left"/>
      <w:pPr>
        <w:ind w:left="4458" w:hanging="1186"/>
      </w:pPr>
      <w:rPr>
        <w:rFonts w:hint="default"/>
        <w:lang w:val="en-US" w:eastAsia="en-US" w:bidi="ar-SA"/>
      </w:rPr>
    </w:lvl>
    <w:lvl w:ilvl="4">
      <w:start w:val="0"/>
      <w:numFmt w:val="bullet"/>
      <w:lvlText w:val="•"/>
      <w:lvlJc w:val="left"/>
      <w:pPr>
        <w:ind w:left="5324" w:hanging="1186"/>
      </w:pPr>
      <w:rPr>
        <w:rFonts w:hint="default"/>
        <w:lang w:val="en-US" w:eastAsia="en-US" w:bidi="ar-SA"/>
      </w:rPr>
    </w:lvl>
    <w:lvl w:ilvl="5">
      <w:start w:val="0"/>
      <w:numFmt w:val="bullet"/>
      <w:lvlText w:val="•"/>
      <w:lvlJc w:val="left"/>
      <w:pPr>
        <w:ind w:left="6190" w:hanging="1186"/>
      </w:pPr>
      <w:rPr>
        <w:rFonts w:hint="default"/>
        <w:lang w:val="en-US" w:eastAsia="en-US" w:bidi="ar-SA"/>
      </w:rPr>
    </w:lvl>
    <w:lvl w:ilvl="6">
      <w:start w:val="0"/>
      <w:numFmt w:val="bullet"/>
      <w:lvlText w:val="•"/>
      <w:lvlJc w:val="left"/>
      <w:pPr>
        <w:ind w:left="7056" w:hanging="1186"/>
      </w:pPr>
      <w:rPr>
        <w:rFonts w:hint="default"/>
        <w:lang w:val="en-US" w:eastAsia="en-US" w:bidi="ar-SA"/>
      </w:rPr>
    </w:lvl>
    <w:lvl w:ilvl="7">
      <w:start w:val="0"/>
      <w:numFmt w:val="bullet"/>
      <w:lvlText w:val="•"/>
      <w:lvlJc w:val="left"/>
      <w:pPr>
        <w:ind w:left="7922" w:hanging="1186"/>
      </w:pPr>
      <w:rPr>
        <w:rFonts w:hint="default"/>
        <w:lang w:val="en-US" w:eastAsia="en-US" w:bidi="ar-SA"/>
      </w:rPr>
    </w:lvl>
    <w:lvl w:ilvl="8">
      <w:start w:val="0"/>
      <w:numFmt w:val="bullet"/>
      <w:lvlText w:val="•"/>
      <w:lvlJc w:val="left"/>
      <w:pPr>
        <w:ind w:left="8788" w:hanging="1186"/>
      </w:pPr>
      <w:rPr>
        <w:rFonts w:hint="default"/>
        <w:lang w:val="en-US" w:eastAsia="en-US" w:bidi="ar-SA"/>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6">
    <w:abstractNumId w:val="25"/>
  </w:num>
  <w:num w:numId="28">
    <w:abstractNumId w:val="27"/>
  </w:num>
  <w:num w:numId="27">
    <w:abstractNumId w:val="26"/>
  </w:num>
  <w:num w:numId="25">
    <w:abstractNumId w:val="24"/>
  </w:num>
  <w:num w:numId="24">
    <w:abstractNumId w:val="23"/>
  </w:num>
  <w:num w:numId="23">
    <w:abstractNumId w:val="22"/>
  </w:num>
  <w:num w:numId="22">
    <w:abstractNumId w:val="21"/>
  </w:num>
  <w:num w:numId="17">
    <w:abstractNumId w:val="16"/>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02"/>
      <w:ind w:left="1851" w:hanging="1186"/>
    </w:pPr>
    <w:rPr>
      <w:rFonts w:ascii="Times New Roman" w:hAnsi="Times New Roman" w:eastAsia="Times New Roman" w:cs="Times New Roman"/>
      <w:sz w:val="22"/>
      <w:szCs w:val="22"/>
      <w:lang w:val="en-US" w:eastAsia="en-US" w:bidi="ar-SA"/>
    </w:rPr>
  </w:style>
  <w:style w:styleId="TOC2" w:type="paragraph">
    <w:name w:val="TOC 2"/>
    <w:basedOn w:val="Normal"/>
    <w:uiPriority w:val="1"/>
    <w:qFormat/>
    <w:pPr>
      <w:spacing w:before="97"/>
      <w:ind w:left="1851" w:hanging="1186"/>
    </w:pPr>
    <w:rPr>
      <w:rFonts w:ascii="Times New Roman" w:hAnsi="Times New Roman" w:eastAsia="Times New Roman" w:cs="Times New Roman"/>
      <w:b/>
      <w:bCs/>
      <w:i/>
      <w:iCs/>
      <w:lang w:val="en-US" w:eastAsia="en-US" w:bidi="ar-SA"/>
    </w:rPr>
  </w:style>
  <w:style w:styleId="TOC3" w:type="paragraph">
    <w:name w:val="TOC 3"/>
    <w:basedOn w:val="Normal"/>
    <w:uiPriority w:val="1"/>
    <w:qFormat/>
    <w:pPr>
      <w:spacing w:before="44"/>
      <w:ind w:left="1966"/>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80"/>
      <w:ind w:left="1342" w:right="2265"/>
      <w:jc w:val="center"/>
      <w:outlineLvl w:val="1"/>
    </w:pPr>
    <w:rPr>
      <w:rFonts w:ascii="Times New Roman" w:hAnsi="Times New Roman" w:eastAsia="Times New Roman" w:cs="Times New Roman"/>
      <w:b/>
      <w:bCs/>
      <w:sz w:val="22"/>
      <w:szCs w:val="22"/>
      <w:lang w:val="en-US" w:eastAsia="en-US" w:bidi="ar-SA"/>
    </w:rPr>
  </w:style>
  <w:style w:styleId="Heading2" w:type="paragraph">
    <w:name w:val="Heading 2"/>
    <w:basedOn w:val="Normal"/>
    <w:uiPriority w:val="1"/>
    <w:qFormat/>
    <w:pPr>
      <w:ind w:left="1342" w:hanging="677"/>
      <w:outlineLvl w:val="2"/>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1851" w:hanging="1186"/>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Microsoft Word - PRINT SUBMITTED</dc:title>
  <dcterms:created xsi:type="dcterms:W3CDTF">2023-11-14T18:04:38Z</dcterms:created>
  <dcterms:modified xsi:type="dcterms:W3CDTF">2023-11-14T18:04:38Z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Creator">
    <vt:lpwstr>Microsoft Word - PRINT SUBMITTED</vt:lpwstr>
  </property>
  <property fmtid="{D5CDD505-2E9C-101B-9397-08002B2CF9AE}" pid="4" name="Producer">
    <vt:lpwstr>doPDF   Ver 6.3 Build 308 (Windows XP  x32)</vt:lpwstr>
  </property>
  <property fmtid="{D5CDD505-2E9C-101B-9397-08002B2CF9AE}" pid="5" name="LastSaved">
    <vt:filetime>2013-04-30T00:00:00Z</vt:filetime>
  </property>
</Properties>
</file>