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2" w:lineRule="auto" w:before="76"/>
        <w:ind w:left="1562" w:right="1381"/>
        <w:jc w:val="center"/>
      </w:pPr>
      <w:r>
        <w:rPr/>
        <w:t>EVALUATION OF HAEMATOLOGICAL PROFILES OF WOMEN AND CHILDREN</w:t>
      </w:r>
      <w:r>
        <w:rPr>
          <w:spacing w:val="-58"/>
        </w:rPr>
        <w:t> </w:t>
      </w:r>
      <w:r>
        <w:rPr/>
        <w:t>INFECTED WITH MALARIAL PARASITES IN BOSSO AND PAIKORO LOCAL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AREAS OF</w:t>
      </w:r>
      <w:r>
        <w:rPr>
          <w:spacing w:val="-3"/>
        </w:rPr>
        <w:t> </w:t>
      </w:r>
      <w:r>
        <w:rPr/>
        <w:t>NIGER STATE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3"/>
        </w:rPr>
      </w:pPr>
    </w:p>
    <w:p>
      <w:pPr>
        <w:spacing w:before="0"/>
        <w:ind w:left="1561" w:right="1381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2"/>
        </w:rPr>
      </w:pPr>
    </w:p>
    <w:p>
      <w:pPr>
        <w:pStyle w:val="Heading1"/>
        <w:spacing w:line="360" w:lineRule="auto" w:before="0"/>
        <w:ind w:left="4450" w:right="4267"/>
        <w:jc w:val="center"/>
      </w:pPr>
      <w:r>
        <w:rPr/>
        <w:t>AJANYA, Benjamin Unekwuojo</w:t>
      </w:r>
      <w:r>
        <w:rPr>
          <w:spacing w:val="-58"/>
        </w:rPr>
        <w:t> </w:t>
      </w:r>
      <w:r>
        <w:rPr/>
        <w:t>MTech/SLS/2017/6780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1"/>
        <w:ind w:left="3691" w:right="3450" w:hanging="59"/>
        <w:jc w:val="center"/>
        <w:rPr>
          <w:b/>
          <w:sz w:val="24"/>
        </w:rPr>
      </w:pPr>
      <w:r>
        <w:rPr>
          <w:b/>
          <w:sz w:val="24"/>
        </w:rPr>
        <w:t>DEPARTMENT OF MICROBIOLOGY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FEDERAL UNIVERSITY OF TECHNOLOGY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MINNA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1"/>
        </w:rPr>
      </w:pPr>
    </w:p>
    <w:p>
      <w:pPr>
        <w:pStyle w:val="Heading1"/>
        <w:spacing w:before="0"/>
        <w:ind w:left="1559" w:right="1381"/>
        <w:jc w:val="center"/>
      </w:pPr>
      <w:r>
        <w:rPr/>
        <w:t>SEPTEMBER,</w:t>
      </w:r>
      <w:r>
        <w:rPr>
          <w:spacing w:val="-2"/>
        </w:rPr>
        <w:t> </w:t>
      </w:r>
      <w:r>
        <w:rPr/>
        <w:t>2021</w:t>
      </w:r>
    </w:p>
    <w:p>
      <w:pPr>
        <w:spacing w:after="0"/>
        <w:jc w:val="center"/>
        <w:sectPr>
          <w:type w:val="continuous"/>
          <w:pgSz w:w="12240" w:h="15840"/>
          <w:pgMar w:top="1360" w:bottom="280" w:left="0" w:right="180"/>
        </w:sectPr>
      </w:pPr>
    </w:p>
    <w:p>
      <w:pPr>
        <w:pStyle w:val="BodyText"/>
        <w:spacing w:before="2"/>
        <w:rPr>
          <w:b/>
          <w:sz w:val="28"/>
        </w:rPr>
      </w:pPr>
    </w:p>
    <w:p>
      <w:pPr>
        <w:pStyle w:val="Heading1"/>
        <w:ind w:left="1116" w:right="1381"/>
        <w:jc w:val="center"/>
      </w:pPr>
      <w:bookmarkStart w:name="_TOC_250046" w:id="1"/>
      <w:bookmarkEnd w:id="1"/>
      <w:r>
        <w:rPr/>
        <w:t>ABSTRACT</w:t>
      </w:r>
    </w:p>
    <w:p>
      <w:pPr>
        <w:pStyle w:val="BodyText"/>
        <w:spacing w:before="195"/>
        <w:ind w:left="991" w:right="1252"/>
        <w:jc w:val="both"/>
      </w:pPr>
      <w:r>
        <w:rPr/>
        <w:t>Malaria continues to be a major public health challenge especially in the African region despite the</w:t>
      </w:r>
      <w:r>
        <w:rPr>
          <w:spacing w:val="1"/>
        </w:rPr>
        <w:t> </w:t>
      </w:r>
      <w:r>
        <w:rPr/>
        <w:t>availability</w:t>
      </w:r>
      <w:r>
        <w:rPr>
          <w:spacing w:val="5"/>
        </w:rPr>
        <w:t> </w:t>
      </w:r>
      <w:r>
        <w:rPr/>
        <w:t>of</w:t>
      </w:r>
      <w:r>
        <w:rPr>
          <w:spacing w:val="11"/>
        </w:rPr>
        <w:t> </w:t>
      </w:r>
      <w:r>
        <w:rPr/>
        <w:t>anti</w:t>
      </w:r>
      <w:r>
        <w:rPr>
          <w:spacing w:val="12"/>
        </w:rPr>
        <w:t> </w:t>
      </w:r>
      <w:r>
        <w:rPr/>
        <w:t>malarial</w:t>
      </w:r>
      <w:r>
        <w:rPr>
          <w:spacing w:val="10"/>
        </w:rPr>
        <w:t> </w:t>
      </w:r>
      <w:r>
        <w:rPr/>
        <w:t>drugs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application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several</w:t>
      </w:r>
      <w:r>
        <w:rPr>
          <w:spacing w:val="12"/>
        </w:rPr>
        <w:t> </w:t>
      </w:r>
      <w:r>
        <w:rPr/>
        <w:t>preventive</w:t>
      </w:r>
      <w:r>
        <w:rPr>
          <w:spacing w:val="9"/>
        </w:rPr>
        <w:t> </w:t>
      </w:r>
      <w:r>
        <w:rPr/>
        <w:t>strategies</w:t>
      </w:r>
      <w:r>
        <w:rPr>
          <w:spacing w:val="12"/>
        </w:rPr>
        <w:t> </w:t>
      </w:r>
      <w:r>
        <w:rPr/>
        <w:t>such</w:t>
      </w:r>
      <w:r>
        <w:rPr>
          <w:spacing w:val="14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use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insecticide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nets,</w:t>
      </w:r>
      <w:r>
        <w:rPr>
          <w:spacing w:val="1"/>
        </w:rPr>
        <w:t> </w:t>
      </w:r>
      <w:r>
        <w:rPr/>
        <w:t>indoor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spraying,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intermittent</w:t>
      </w:r>
      <w:r>
        <w:rPr>
          <w:spacing w:val="1"/>
        </w:rPr>
        <w:t> </w:t>
      </w:r>
      <w:r>
        <w:rPr/>
        <w:t>preventive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pregnancy. This study was aimed at investigating the prevalence of malaria parasite and its effect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haematological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attending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government</w:t>
      </w:r>
      <w:r>
        <w:rPr>
          <w:spacing w:val="60"/>
        </w:rPr>
        <w:t> </w:t>
      </w:r>
      <w:r>
        <w:rPr/>
        <w:t>health</w:t>
      </w:r>
      <w:r>
        <w:rPr>
          <w:spacing w:val="1"/>
        </w:rPr>
        <w:t> </w:t>
      </w:r>
      <w:r>
        <w:rPr/>
        <w:t>facilities in Bosso and Paikoro Local Government Areas of Niger State, Nigeria. Blood samples 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attending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60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 areas. Examination for </w:t>
      </w:r>
      <w:r>
        <w:rPr>
          <w:i/>
        </w:rPr>
        <w:t>Plasmodium </w:t>
      </w:r>
      <w:r>
        <w:rPr/>
        <w:t>was carried out using rapid diagnostic test cassette</w:t>
      </w:r>
      <w:r>
        <w:rPr>
          <w:spacing w:val="1"/>
        </w:rPr>
        <w:t> </w:t>
      </w:r>
      <w:r>
        <w:rPr/>
        <w:t>for the qualitative detection of Histidine Rich Protein II (HRP-II) antigen of </w:t>
      </w:r>
      <w:r>
        <w:rPr>
          <w:i/>
        </w:rPr>
        <w:t>Plasmodium fulciparum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blood.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haematological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automated</w:t>
      </w:r>
      <w:r>
        <w:rPr>
          <w:spacing w:val="1"/>
        </w:rPr>
        <w:t> </w:t>
      </w:r>
      <w:r>
        <w:rPr/>
        <w:t>standard</w:t>
      </w:r>
      <w:r>
        <w:rPr>
          <w:spacing w:val="-57"/>
        </w:rPr>
        <w:t> </w:t>
      </w:r>
      <w:r>
        <w:rPr/>
        <w:t>methods.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49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Bossso</w:t>
      </w:r>
      <w:r>
        <w:rPr>
          <w:spacing w:val="1"/>
        </w:rPr>
        <w:t> </w:t>
      </w:r>
      <w:r>
        <w:rPr/>
        <w:t>LGA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prevalence of 48 % while Paikoro LGA had 50 % prevalence. Of the total population, children</w:t>
      </w:r>
      <w:r>
        <w:rPr>
          <w:spacing w:val="1"/>
        </w:rPr>
        <w:t> </w:t>
      </w:r>
      <w:r>
        <w:rPr/>
        <w:t>recorded malaria prevalence of 70.7 %, pregnant women had 44.6 % while the non pregnant women</w:t>
      </w:r>
      <w:r>
        <w:rPr>
          <w:spacing w:val="1"/>
        </w:rPr>
        <w:t> </w:t>
      </w:r>
      <w:r>
        <w:rPr/>
        <w:t>recorded 33.9 % prevalence. Age, gender, educational background, occupation, haemoglobin content</w:t>
      </w:r>
      <w:r>
        <w:rPr>
          <w:spacing w:val="1"/>
        </w:rPr>
        <w:t> </w:t>
      </w:r>
      <w:r>
        <w:rPr/>
        <w:t>and blood group were all statistically significant at p &lt; 0.05 indicating that these parameters could be</w:t>
      </w:r>
      <w:r>
        <w:rPr>
          <w:spacing w:val="1"/>
        </w:rPr>
        <w:t> </w:t>
      </w:r>
      <w:r>
        <w:rPr/>
        <w:t>regarded as risk factors that predispose to malarial infection. The haematological analysis revealed</w:t>
      </w:r>
      <w:r>
        <w:rPr>
          <w:spacing w:val="1"/>
        </w:rPr>
        <w:t> </w:t>
      </w:r>
      <w:r>
        <w:rPr/>
        <w:t>that there was association between anaemia and malaria as the severities were measured at p &lt; 0.05.</w:t>
      </w:r>
      <w:r>
        <w:rPr>
          <w:spacing w:val="1"/>
        </w:rPr>
        <w:t> </w:t>
      </w:r>
      <w:r>
        <w:rPr/>
        <w:t>These severities ranged from mild, moderate and to severe anaemia. Genotype AA recorded more</w:t>
      </w:r>
      <w:r>
        <w:rPr>
          <w:spacing w:val="1"/>
        </w:rPr>
        <w:t> </w:t>
      </w:r>
      <w:r>
        <w:rPr/>
        <w:t>cases of malarial parasite infection than the other genotypes. A prevalence of 50.2 % was seen among</w:t>
      </w:r>
      <w:r>
        <w:rPr>
          <w:spacing w:val="-57"/>
        </w:rPr>
        <w:t> </w:t>
      </w:r>
      <w:r>
        <w:rPr/>
        <w:t>the genotype AA population. The least prevalence of 16.6 % was recorded among subjects with</w:t>
      </w:r>
      <w:r>
        <w:rPr>
          <w:spacing w:val="1"/>
        </w:rPr>
        <w:t> </w:t>
      </w:r>
      <w:r>
        <w:rPr/>
        <w:t>genotype SS. Among the children, age group 10-12 years recorded the highest prevalence (75.0 %) of</w:t>
      </w:r>
      <w:r>
        <w:rPr>
          <w:spacing w:val="-57"/>
        </w:rPr>
        <w:t> </w:t>
      </w:r>
      <w:r>
        <w:rPr/>
        <w:t>malaria and was followed by age group 0-4 with prevalence of 70.8 %. Age group 41-50 recorded the</w:t>
      </w:r>
      <w:r>
        <w:rPr>
          <w:spacing w:val="-57"/>
        </w:rPr>
        <w:t> </w:t>
      </w:r>
      <w:r>
        <w:rPr/>
        <w:t>lowest malaria prevalence of 35.7 %. Age is seen from this study as a risk factor influencing malarial</w:t>
      </w:r>
      <w:r>
        <w:rPr>
          <w:spacing w:val="1"/>
        </w:rPr>
        <w:t> </w:t>
      </w:r>
      <w:r>
        <w:rPr/>
        <w:t>infection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P</w:t>
      </w:r>
      <w:r>
        <w:rPr>
          <w:spacing w:val="23"/>
        </w:rPr>
        <w:t> </w:t>
      </w:r>
      <w:r>
        <w:rPr/>
        <w:t>was</w:t>
      </w:r>
      <w:r>
        <w:rPr>
          <w:spacing w:val="23"/>
        </w:rPr>
        <w:t> </w:t>
      </w:r>
      <w:r>
        <w:rPr/>
        <w:t>at</w:t>
      </w:r>
      <w:r>
        <w:rPr>
          <w:spacing w:val="23"/>
        </w:rPr>
        <w:t> </w:t>
      </w:r>
      <w:r>
        <w:rPr/>
        <w:t>0.05.</w:t>
      </w:r>
      <w:r>
        <w:rPr>
          <w:spacing w:val="24"/>
        </w:rPr>
        <w:t> </w:t>
      </w:r>
      <w:r>
        <w:rPr/>
        <w:t>To</w:t>
      </w:r>
      <w:r>
        <w:rPr>
          <w:spacing w:val="22"/>
        </w:rPr>
        <w:t> </w:t>
      </w:r>
      <w:r>
        <w:rPr/>
        <w:t>sustain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considerable</w:t>
      </w:r>
      <w:r>
        <w:rPr>
          <w:spacing w:val="22"/>
        </w:rPr>
        <w:t> </w:t>
      </w:r>
      <w:r>
        <w:rPr/>
        <w:t>progress</w:t>
      </w:r>
      <w:r>
        <w:rPr>
          <w:spacing w:val="23"/>
        </w:rPr>
        <w:t> </w:t>
      </w:r>
      <w:r>
        <w:rPr/>
        <w:t>made</w:t>
      </w:r>
      <w:r>
        <w:rPr>
          <w:spacing w:val="21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global</w:t>
      </w:r>
      <w:r>
        <w:rPr>
          <w:spacing w:val="22"/>
        </w:rPr>
        <w:t> </w:t>
      </w:r>
      <w:r>
        <w:rPr/>
        <w:t>fight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and eliminate malaria, more efforts should be channeled into effective enforcement of the various</w:t>
      </w:r>
      <w:r>
        <w:rPr>
          <w:spacing w:val="1"/>
        </w:rPr>
        <w:t> </w:t>
      </w:r>
      <w:r>
        <w:rPr/>
        <w:t>control strategies such as the use of Insecticide Treated Nets (ITN), Intermittent Preventive Treatment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Pregnancy</w:t>
      </w:r>
      <w:r>
        <w:rPr>
          <w:spacing w:val="-6"/>
        </w:rPr>
        <w:t> </w:t>
      </w:r>
      <w:r>
        <w:rPr/>
        <w:t>(IPTP),</w:t>
      </w:r>
      <w:r>
        <w:rPr>
          <w:spacing w:val="2"/>
        </w:rPr>
        <w:t> </w:t>
      </w:r>
      <w:r>
        <w:rPr/>
        <w:t>Larva</w:t>
      </w:r>
      <w:r>
        <w:rPr>
          <w:spacing w:val="-2"/>
        </w:rPr>
        <w:t> </w:t>
      </w:r>
      <w:r>
        <w:rPr/>
        <w:t>Source</w:t>
      </w:r>
      <w:r>
        <w:rPr>
          <w:spacing w:val="-2"/>
        </w:rPr>
        <w:t> </w:t>
      </w:r>
      <w:r>
        <w:rPr/>
        <w:t>Management (LSM) and</w:t>
      </w:r>
      <w:r>
        <w:rPr>
          <w:spacing w:val="3"/>
        </w:rPr>
        <w:t> </w:t>
      </w:r>
      <w:r>
        <w:rPr/>
        <w:t>Indoor</w:t>
      </w:r>
      <w:r>
        <w:rPr>
          <w:spacing w:val="-1"/>
        </w:rPr>
        <w:t> </w:t>
      </w:r>
      <w:r>
        <w:rPr/>
        <w:t>Residual</w:t>
      </w:r>
      <w:r>
        <w:rPr>
          <w:spacing w:val="-1"/>
        </w:rPr>
        <w:t> </w:t>
      </w:r>
      <w:r>
        <w:rPr/>
        <w:t>Spraying</w:t>
      </w:r>
      <w:r>
        <w:rPr>
          <w:spacing w:val="-2"/>
        </w:rPr>
        <w:t> </w:t>
      </w:r>
      <w:r>
        <w:rPr/>
        <w:t>(IRS).</w:t>
      </w:r>
    </w:p>
    <w:p>
      <w:pPr>
        <w:spacing w:after="0"/>
        <w:jc w:val="both"/>
        <w:sectPr>
          <w:footerReference w:type="default" r:id="rId5"/>
          <w:pgSz w:w="12240" w:h="15840"/>
          <w:pgMar w:footer="935" w:header="0" w:top="1500" w:bottom="1120" w:left="0" w:right="180"/>
          <w:pgNumType w:start="1"/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Heading1"/>
        <w:ind w:left="1119" w:right="1381"/>
        <w:jc w:val="center"/>
      </w:pPr>
      <w:bookmarkStart w:name="_TOC_250045" w:id="2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2"/>
      <w:r>
        <w:rPr/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7"/>
        <w:ind w:left="0" w:right="1255" w:firstLine="0"/>
        <w:jc w:val="right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spacing w:before="195"/>
        <w:ind w:left="991"/>
      </w:pPr>
      <w:r>
        <w:rPr/>
        <w:t>Cover</w:t>
      </w:r>
      <w:r>
        <w:rPr>
          <w:spacing w:val="-2"/>
        </w:rPr>
        <w:t> </w:t>
      </w:r>
      <w:r>
        <w:rPr/>
        <w:t>page</w: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tabs>
          <w:tab w:pos="10353" w:val="left" w:leader="none"/>
        </w:tabs>
        <w:spacing w:before="90"/>
        <w:ind w:left="991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spacing w:after="0"/>
        <w:sectPr>
          <w:pgSz w:w="12240" w:h="15840"/>
          <w:pgMar w:header="0" w:footer="935" w:top="1500" w:bottom="1735" w:left="0" w:right="1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487" w:val="right" w:leader="none"/>
            </w:tabs>
            <w:ind w:left="991" w:firstLine="0"/>
          </w:pPr>
          <w:r>
            <w:rPr/>
            <w:t>Declaration</w:t>
            <w:tab/>
            <w:t>ii</w:t>
          </w:r>
        </w:p>
        <w:p>
          <w:pPr>
            <w:pStyle w:val="TOC2"/>
            <w:tabs>
              <w:tab w:pos="10554" w:val="right" w:leader="none"/>
            </w:tabs>
            <w:ind w:left="991" w:firstLine="0"/>
          </w:pPr>
          <w:r>
            <w:rPr/>
            <w:t>Certification</w:t>
            <w:tab/>
            <w:t>iii</w:t>
          </w:r>
        </w:p>
        <w:p>
          <w:pPr>
            <w:pStyle w:val="TOC2"/>
            <w:tabs>
              <w:tab w:pos="10540" w:val="right" w:leader="none"/>
            </w:tabs>
            <w:spacing w:before="203"/>
            <w:ind w:left="991" w:firstLine="0"/>
          </w:pPr>
          <w:r>
            <w:rPr/>
            <w:t>Dedication</w:t>
            <w:tab/>
            <w:t>iv</w:t>
          </w:r>
        </w:p>
        <w:p>
          <w:pPr>
            <w:pStyle w:val="TOC2"/>
            <w:tabs>
              <w:tab w:pos="10539" w:val="right" w:leader="none"/>
            </w:tabs>
            <w:ind w:left="991" w:firstLine="0"/>
          </w:pPr>
          <w:r>
            <w:rPr/>
            <w:t>Acknowledgements</w:t>
            <w:tab/>
            <w:t>vi</w:t>
          </w:r>
        </w:p>
        <w:p>
          <w:pPr>
            <w:pStyle w:val="TOC2"/>
            <w:tabs>
              <w:tab w:pos="10606" w:val="right" w:leader="none"/>
            </w:tabs>
            <w:ind w:left="991" w:firstLine="0"/>
          </w:pPr>
          <w:hyperlink w:history="true" w:anchor="_TOC_250046">
            <w:r>
              <w:rPr/>
              <w:t>Abstract</w:t>
              <w:tab/>
              <w:t>vii</w:t>
            </w:r>
          </w:hyperlink>
        </w:p>
        <w:p>
          <w:pPr>
            <w:pStyle w:val="TOC2"/>
            <w:tabs>
              <w:tab w:pos="10544" w:val="right" w:leader="none"/>
            </w:tabs>
            <w:spacing w:before="202"/>
            <w:ind w:left="991" w:firstLine="0"/>
          </w:pPr>
          <w:hyperlink w:history="true" w:anchor="_TOC_250045">
            <w:r>
              <w:rPr/>
              <w:t>Table of Contents</w:t>
              <w:tab/>
              <w:t>xi</w:t>
            </w:r>
          </w:hyperlink>
        </w:p>
        <w:p>
          <w:pPr>
            <w:pStyle w:val="TOC2"/>
            <w:tabs>
              <w:tab w:pos="10608" w:val="right" w:leader="none"/>
            </w:tabs>
            <w:ind w:left="991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Tables</w:t>
            <w:tab/>
            <w:t>xii</w:t>
          </w:r>
        </w:p>
        <w:p>
          <w:pPr>
            <w:pStyle w:val="TOC2"/>
            <w:tabs>
              <w:tab w:pos="10647" w:val="right" w:leader="none"/>
            </w:tabs>
            <w:ind w:left="991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Figures</w:t>
            <w:tab/>
            <w:t>xiii</w:t>
          </w:r>
        </w:p>
        <w:p>
          <w:pPr>
            <w:pStyle w:val="TOC2"/>
            <w:tabs>
              <w:tab w:pos="10663" w:val="right" w:leader="none"/>
            </w:tabs>
            <w:spacing w:before="202"/>
            <w:ind w:left="991" w:firstLine="0"/>
          </w:pPr>
          <w:hyperlink w:history="true" w:anchor="_TOC_25004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Plates</w:t>
              <w:tab/>
              <w:t>xiv</w:t>
            </w:r>
          </w:hyperlink>
        </w:p>
        <w:p>
          <w:pPr>
            <w:pStyle w:val="TOC2"/>
            <w:tabs>
              <w:tab w:pos="10595" w:val="right" w:leader="none"/>
            </w:tabs>
            <w:ind w:left="991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Appendices</w:t>
            <w:tab/>
            <w:t>xv</w:t>
          </w:r>
        </w:p>
        <w:p>
          <w:pPr>
            <w:pStyle w:val="TOC2"/>
            <w:tabs>
              <w:tab w:pos="10662" w:val="right" w:leader="none"/>
            </w:tabs>
            <w:spacing w:before="200"/>
            <w:ind w:left="991" w:firstLine="0"/>
          </w:pPr>
          <w:r>
            <w:rPr/>
            <w:t>Abbreviations,</w:t>
          </w:r>
          <w:r>
            <w:rPr>
              <w:spacing w:val="-1"/>
            </w:rPr>
            <w:t> </w:t>
          </w:r>
          <w:r>
            <w:rPr/>
            <w:t>Glossary</w:t>
          </w:r>
          <w:r>
            <w:rPr>
              <w:spacing w:val="-3"/>
            </w:rPr>
            <w:t> </w:t>
          </w:r>
          <w:r>
            <w:rPr/>
            <w:t>and Symbols</w:t>
            <w:tab/>
            <w:t>xvi</w:t>
          </w:r>
        </w:p>
        <w:p>
          <w:pPr>
            <w:pStyle w:val="TOC1"/>
            <w:spacing w:before="206"/>
          </w:pPr>
          <w:hyperlink w:history="true" w:anchor="_TOC_250043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802" w:val="left" w:leader="none"/>
              <w:tab w:pos="1803" w:val="left" w:leader="none"/>
              <w:tab w:pos="10473" w:val="right" w:leader="none"/>
            </w:tabs>
            <w:spacing w:line="240" w:lineRule="auto" w:before="194" w:after="0"/>
            <w:ind w:left="1802" w:right="0" w:hanging="721"/>
            <w:jc w:val="left"/>
            <w:rPr>
              <w:b w:val="0"/>
            </w:rPr>
          </w:pPr>
          <w:hyperlink w:history="true" w:anchor="_TOC_250042">
            <w:r>
              <w:rPr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11" w:val="left" w:leader="none"/>
              <w:tab w:pos="1712" w:val="left" w:leader="none"/>
              <w:tab w:pos="10473" w:val="right" w:leader="none"/>
            </w:tabs>
            <w:spacing w:line="240" w:lineRule="auto" w:before="200" w:after="0"/>
            <w:ind w:left="1711" w:right="0" w:hanging="721"/>
            <w:jc w:val="left"/>
          </w:pPr>
          <w:hyperlink w:history="true" w:anchor="_TOC_250041">
            <w:r>
              <w:rPr/>
              <w:t>Background 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11" w:val="left" w:leader="none"/>
              <w:tab w:pos="1712" w:val="left" w:leader="none"/>
              <w:tab w:pos="10473" w:val="right" w:leader="none"/>
            </w:tabs>
            <w:spacing w:line="240" w:lineRule="auto" w:before="199" w:after="0"/>
            <w:ind w:left="1711" w:right="0" w:hanging="721"/>
            <w:jc w:val="left"/>
          </w:pPr>
          <w:hyperlink w:history="true" w:anchor="_TOC_250040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Research Problem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11" w:val="left" w:leader="none"/>
              <w:tab w:pos="1712" w:val="left" w:leader="none"/>
              <w:tab w:pos="10473" w:val="right" w:leader="none"/>
            </w:tabs>
            <w:spacing w:line="240" w:lineRule="auto" w:before="201" w:after="0"/>
            <w:ind w:left="1711" w:right="0" w:hanging="721"/>
            <w:jc w:val="left"/>
          </w:pPr>
          <w:hyperlink w:history="true" w:anchor="_TOC_250039">
            <w:r>
              <w:rPr/>
              <w:t>Justification</w:t>
            </w:r>
            <w:r>
              <w:rPr>
                <w:spacing w:val="-1"/>
              </w:rPr>
              <w:t> </w:t>
            </w:r>
            <w:r>
              <w:rPr/>
              <w:t>for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11" w:val="left" w:leader="none"/>
              <w:tab w:pos="1712" w:val="left" w:leader="none"/>
              <w:tab w:pos="10473" w:val="right" w:leader="none"/>
            </w:tabs>
            <w:spacing w:line="240" w:lineRule="auto" w:before="200" w:after="0"/>
            <w:ind w:left="1711" w:right="0" w:hanging="721"/>
            <w:jc w:val="left"/>
          </w:pPr>
          <w:hyperlink w:history="true" w:anchor="_TOC_250038">
            <w:r>
              <w:rPr/>
              <w:t>Aim and 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5</w:t>
            </w:r>
          </w:hyperlink>
        </w:p>
        <w:p>
          <w:pPr>
            <w:pStyle w:val="TOC1"/>
          </w:pPr>
          <w:hyperlink w:history="true" w:anchor="_TOC_250037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711" w:val="left" w:leader="none"/>
              <w:tab w:pos="1712" w:val="left" w:leader="none"/>
              <w:tab w:pos="10473" w:val="right" w:leader="none"/>
            </w:tabs>
            <w:spacing w:line="240" w:lineRule="auto" w:before="202" w:after="0"/>
            <w:ind w:left="1711" w:right="0" w:hanging="721"/>
            <w:jc w:val="left"/>
          </w:pPr>
          <w:hyperlink w:history="true" w:anchor="_TOC_250036">
            <w:r>
              <w:rPr/>
              <w:t>REVIEW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LITERATURE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11" w:val="left" w:leader="none"/>
              <w:tab w:pos="1712" w:val="left" w:leader="none"/>
              <w:tab w:pos="10473" w:val="right" w:leader="none"/>
            </w:tabs>
            <w:spacing w:line="240" w:lineRule="auto" w:before="194" w:after="0"/>
            <w:ind w:left="1711" w:right="0" w:hanging="721"/>
            <w:jc w:val="left"/>
          </w:pPr>
          <w:r>
            <w:rPr/>
            <w:t>Overview</w:t>
          </w:r>
          <w:r>
            <w:rPr>
              <w:spacing w:val="-2"/>
            </w:rPr>
            <w:t> </w:t>
          </w:r>
          <w:r>
            <w:rPr/>
            <w:t>of Malaria</w:t>
            <w:tab/>
            <w:t>6</w:t>
          </w:r>
        </w:p>
        <w:p>
          <w:pPr>
            <w:pStyle w:val="TOC2"/>
            <w:numPr>
              <w:ilvl w:val="1"/>
              <w:numId w:val="2"/>
            </w:numPr>
            <w:tabs>
              <w:tab w:pos="1711" w:val="left" w:leader="none"/>
              <w:tab w:pos="1712" w:val="left" w:leader="none"/>
              <w:tab w:pos="10473" w:val="right" w:leader="none"/>
            </w:tabs>
            <w:spacing w:line="240" w:lineRule="auto" w:before="197" w:after="20"/>
            <w:ind w:left="1711" w:right="0" w:hanging="721"/>
            <w:jc w:val="left"/>
          </w:pPr>
          <w:hyperlink w:history="true" w:anchor="_TOC_250035">
            <w:r>
              <w:rPr/>
              <w:t>Life</w:t>
            </w:r>
            <w:r>
              <w:rPr>
                <w:spacing w:val="-2"/>
              </w:rPr>
              <w:t> </w:t>
            </w:r>
            <w:r>
              <w:rPr/>
              <w:t>Cycle</w:t>
            </w:r>
            <w:r>
              <w:rPr>
                <w:spacing w:val="-1"/>
              </w:rPr>
              <w:t> </w:t>
            </w:r>
            <w:r>
              <w:rPr/>
              <w:t>of Malaria</w:t>
            </w:r>
            <w:r>
              <w:rPr>
                <w:spacing w:val="-2"/>
              </w:rPr>
              <w:t> </w:t>
            </w:r>
            <w:r>
              <w:rPr/>
              <w:t>Parasites</w:t>
              <w:tab/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11" w:val="left" w:leader="none"/>
              <w:tab w:pos="1712" w:val="left" w:leader="none"/>
              <w:tab w:pos="10473" w:val="right" w:leader="none"/>
            </w:tabs>
            <w:spacing w:line="240" w:lineRule="auto" w:before="74" w:after="0"/>
            <w:ind w:left="1711" w:right="0" w:hanging="721"/>
            <w:jc w:val="left"/>
          </w:pPr>
          <w:hyperlink w:history="true" w:anchor="_TOC_250034">
            <w:r>
              <w:rPr/>
              <w:t>Immuno-Pathogenesis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Malaria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11" w:val="left" w:leader="none"/>
              <w:tab w:pos="1712" w:val="left" w:leader="none"/>
              <w:tab w:pos="10473" w:val="right" w:leader="none"/>
            </w:tabs>
            <w:spacing w:line="240" w:lineRule="auto" w:before="476" w:after="0"/>
            <w:ind w:left="1711" w:right="0" w:hanging="721"/>
            <w:jc w:val="left"/>
          </w:pPr>
          <w:hyperlink w:history="true" w:anchor="_TOC_250033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Pre-Erythrocytic</w:t>
            </w:r>
            <w:r>
              <w:rPr>
                <w:spacing w:val="-1"/>
              </w:rPr>
              <w:t> </w:t>
            </w:r>
            <w:r>
              <w:rPr/>
              <w:t>Stage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477" w:after="0"/>
            <w:ind w:left="1711" w:right="0" w:hanging="721"/>
            <w:jc w:val="left"/>
          </w:pPr>
          <w:hyperlink w:history="true" w:anchor="_TOC_250032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Erythrocytic</w:t>
            </w:r>
            <w:r>
              <w:rPr>
                <w:spacing w:val="-1"/>
              </w:rPr>
              <w:t> </w:t>
            </w:r>
            <w:r>
              <w:rPr/>
              <w:t>Stage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476" w:after="0"/>
            <w:ind w:left="1711" w:right="0" w:hanging="721"/>
            <w:jc w:val="left"/>
          </w:pPr>
          <w:hyperlink w:history="true" w:anchor="_TOC_250031">
            <w:r>
              <w:rPr/>
              <w:t>Malaria</w:t>
            </w:r>
            <w:r>
              <w:rPr>
                <w:spacing w:val="-1"/>
              </w:rPr>
              <w:t> </w:t>
            </w:r>
            <w:r>
              <w:rPr/>
              <w:t>Mode</w:t>
            </w:r>
            <w:r>
              <w:rPr>
                <w:spacing w:val="-2"/>
              </w:rPr>
              <w:t> </w:t>
            </w:r>
            <w:r>
              <w:rPr/>
              <w:t>of Transmission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475" w:after="0"/>
            <w:ind w:left="1711" w:right="0" w:hanging="721"/>
            <w:jc w:val="left"/>
          </w:pPr>
          <w:hyperlink w:history="true" w:anchor="_TOC_250030">
            <w:r>
              <w:rPr/>
              <w:t>Vector</w:t>
            </w:r>
            <w:r>
              <w:rPr>
                <w:spacing w:val="-1"/>
              </w:rPr>
              <w:t> </w:t>
            </w:r>
            <w:r>
              <w:rPr/>
              <w:t>Transmission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478" w:after="0"/>
            <w:ind w:left="1711" w:right="0" w:hanging="721"/>
            <w:jc w:val="left"/>
          </w:pPr>
          <w:hyperlink w:history="true" w:anchor="_TOC_250029">
            <w:r>
              <w:rPr/>
              <w:t>Blood</w:t>
            </w:r>
            <w:r>
              <w:rPr>
                <w:spacing w:val="-1"/>
              </w:rPr>
              <w:t> </w:t>
            </w:r>
            <w:r>
              <w:rPr/>
              <w:t>Transfusion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475" w:after="0"/>
            <w:ind w:left="1711" w:right="0" w:hanging="721"/>
            <w:jc w:val="left"/>
          </w:pPr>
          <w:hyperlink w:history="true" w:anchor="_TOC_250028">
            <w:r>
              <w:rPr/>
              <w:t>Congenital</w:t>
            </w:r>
            <w:r>
              <w:rPr>
                <w:spacing w:val="-1"/>
              </w:rPr>
              <w:t> </w:t>
            </w:r>
            <w:r>
              <w:rPr/>
              <w:t>Transmission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475" w:after="0"/>
            <w:ind w:left="1711" w:right="0" w:hanging="721"/>
            <w:jc w:val="left"/>
          </w:pPr>
          <w:hyperlink w:history="true" w:anchor="_TOC_250027">
            <w:r>
              <w:rPr/>
              <w:t>Clinical</w:t>
            </w:r>
            <w:r>
              <w:rPr>
                <w:spacing w:val="-1"/>
              </w:rPr>
              <w:t> </w:t>
            </w:r>
            <w:r>
              <w:rPr/>
              <w:t>Manifestations of</w:t>
            </w:r>
            <w:r>
              <w:rPr>
                <w:spacing w:val="-1"/>
              </w:rPr>
              <w:t> </w:t>
            </w:r>
            <w:r>
              <w:rPr/>
              <w:t>Malaria</w:t>
              <w:tab/>
              <w:t>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478" w:after="0"/>
            <w:ind w:left="1711" w:right="0" w:hanging="721"/>
            <w:jc w:val="left"/>
          </w:pPr>
          <w:hyperlink w:history="true" w:anchor="_TOC_250026">
            <w:r>
              <w:rPr/>
              <w:t>Uncomplicated</w:t>
            </w:r>
            <w:r>
              <w:rPr>
                <w:spacing w:val="-1"/>
              </w:rPr>
              <w:t> </w:t>
            </w:r>
            <w:r>
              <w:rPr/>
              <w:t>Malaria</w:t>
              <w:tab/>
              <w:t>14</w:t>
            </w:r>
          </w:hyperlink>
        </w:p>
        <w:p>
          <w:pPr>
            <w:pStyle w:val="TOC2"/>
            <w:tabs>
              <w:tab w:pos="1711" w:val="left" w:leader="none"/>
              <w:tab w:pos="10593" w:val="right" w:leader="none"/>
            </w:tabs>
            <w:spacing w:before="476"/>
            <w:ind w:left="991" w:firstLine="0"/>
          </w:pPr>
          <w:r>
            <w:rPr/>
            <w:t>2.5.1</w:t>
            <w:tab/>
            <w:t>Severe</w:t>
          </w:r>
          <w:r>
            <w:rPr>
              <w:spacing w:val="-3"/>
            </w:rPr>
            <w:t> </w:t>
          </w:r>
          <w:r>
            <w:rPr/>
            <w:t>Malaria</w:t>
            <w:tab/>
            <w:t>15</w:t>
          </w:r>
        </w:p>
        <w:p>
          <w:pPr>
            <w:pStyle w:val="TOC2"/>
            <w:numPr>
              <w:ilvl w:val="1"/>
              <w:numId w:val="2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475" w:after="0"/>
            <w:ind w:left="1711" w:right="0" w:hanging="721"/>
            <w:jc w:val="left"/>
          </w:pPr>
          <w:hyperlink w:history="true" w:anchor="_TOC_250025">
            <w:r>
              <w:rPr/>
              <w:t>Diagnosis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475" w:after="0"/>
            <w:ind w:left="1711" w:right="0" w:hanging="721"/>
            <w:jc w:val="left"/>
          </w:pPr>
          <w:hyperlink w:history="true" w:anchor="_TOC_250024">
            <w:r>
              <w:rPr/>
              <w:t>Microscopy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478" w:after="0"/>
            <w:ind w:left="1711" w:right="0" w:hanging="721"/>
            <w:jc w:val="left"/>
          </w:pPr>
          <w:hyperlink w:history="true" w:anchor="_TOC_250023">
            <w:r>
              <w:rPr/>
              <w:t>Rapid</w:t>
            </w:r>
            <w:r>
              <w:rPr>
                <w:spacing w:val="-1"/>
              </w:rPr>
              <w:t> </w:t>
            </w:r>
            <w:r>
              <w:rPr/>
              <w:t>Diagnostic Test</w:t>
            </w:r>
            <w:r>
              <w:rPr>
                <w:spacing w:val="2"/>
              </w:rPr>
              <w:t> </w:t>
            </w:r>
            <w:r>
              <w:rPr/>
              <w:t>(RDT)</w:t>
              <w:tab/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475" w:after="0"/>
            <w:ind w:left="1711" w:right="0" w:hanging="721"/>
            <w:jc w:val="left"/>
          </w:pPr>
          <w:hyperlink w:history="true" w:anchor="_TOC_250022">
            <w:r>
              <w:rPr/>
              <w:t>Global</w:t>
            </w:r>
            <w:r>
              <w:rPr>
                <w:spacing w:val="-1"/>
              </w:rPr>
              <w:t> </w:t>
            </w:r>
            <w:r>
              <w:rPr/>
              <w:t>Malaria Burden</w:t>
              <w:tab/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476" w:after="0"/>
            <w:ind w:left="1711" w:right="0" w:hanging="721"/>
            <w:jc w:val="left"/>
          </w:pPr>
          <w:hyperlink w:history="true" w:anchor="_TOC_250021">
            <w:r>
              <w:rPr/>
              <w:t>Epidemiology</w:t>
              <w:tab/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477" w:after="0"/>
            <w:ind w:left="1711" w:right="0" w:hanging="721"/>
            <w:jc w:val="left"/>
          </w:pPr>
          <w:hyperlink w:history="true" w:anchor="_TOC_250020">
            <w:r>
              <w:rPr/>
              <w:t>Prevalence</w:t>
            </w:r>
            <w:r>
              <w:rPr>
                <w:spacing w:val="-2"/>
              </w:rPr>
              <w:t> </w:t>
            </w:r>
            <w:r>
              <w:rPr/>
              <w:t>of Exposure</w:t>
            </w:r>
            <w:r>
              <w:rPr>
                <w:spacing w:val="-2"/>
              </w:rPr>
              <w:t> </w:t>
            </w:r>
            <w:r>
              <w:rPr/>
              <w:t>to malarial</w:t>
            </w:r>
            <w:r>
              <w:rPr>
                <w:spacing w:val="2"/>
              </w:rPr>
              <w:t> </w:t>
            </w:r>
            <w:r>
              <w:rPr/>
              <w:t>Infection during</w:t>
            </w:r>
            <w:r>
              <w:rPr>
                <w:spacing w:val="-4"/>
              </w:rPr>
              <w:t> </w:t>
            </w:r>
            <w:r>
              <w:rPr/>
              <w:t>Pregnancy</w:t>
              <w:tab/>
              <w:t>24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653" w:after="183"/>
            <w:ind w:left="1711" w:right="0" w:hanging="721"/>
            <w:jc w:val="left"/>
          </w:pPr>
          <w:hyperlink w:history="true" w:anchor="_TOC_250019">
            <w:r>
              <w:rPr/>
              <w:t>Malaria</w:t>
            </w:r>
            <w:r>
              <w:rPr>
                <w:spacing w:val="-1"/>
              </w:rPr>
              <w:t> </w:t>
            </w:r>
            <w:r>
              <w:rPr/>
              <w:t>Prevention and</w:t>
            </w:r>
            <w:r>
              <w:rPr>
                <w:spacing w:val="2"/>
              </w:rPr>
              <w:t> </w:t>
            </w:r>
            <w:r>
              <w:rPr/>
              <w:t>Control Measures</w:t>
              <w:tab/>
              <w:t>24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12" w:val="left" w:leader="none"/>
              <w:tab w:pos="10593" w:val="right" w:leader="none"/>
            </w:tabs>
            <w:spacing w:line="240" w:lineRule="auto" w:before="74" w:after="0"/>
            <w:ind w:left="1711" w:right="0" w:hanging="721"/>
            <w:jc w:val="left"/>
          </w:pPr>
          <w:hyperlink w:history="true" w:anchor="_TOC_250018">
            <w:r>
              <w:rPr/>
              <w:t>Long</w:t>
            </w:r>
            <w:r>
              <w:rPr>
                <w:spacing w:val="-2"/>
              </w:rPr>
              <w:t> </w:t>
            </w:r>
            <w:r>
              <w:rPr/>
              <w:t>Lasting</w:t>
            </w:r>
            <w:r>
              <w:rPr>
                <w:spacing w:val="-1"/>
              </w:rPr>
              <w:t> </w:t>
            </w:r>
            <w:r>
              <w:rPr/>
              <w:t>Insecticide</w:t>
            </w:r>
            <w:r>
              <w:rPr>
                <w:spacing w:val="1"/>
              </w:rPr>
              <w:t> </w:t>
            </w:r>
            <w:r>
              <w:rPr/>
              <w:t>Treated</w:t>
            </w:r>
            <w:r>
              <w:rPr>
                <w:spacing w:val="1"/>
              </w:rPr>
              <w:t> </w:t>
            </w:r>
            <w:r>
              <w:rPr/>
              <w:t>Nets</w:t>
              <w:tab/>
              <w:t>25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12" w:val="left" w:leader="none"/>
              <w:tab w:pos="10593" w:val="right" w:leader="none"/>
            </w:tabs>
            <w:spacing w:line="240" w:lineRule="auto" w:before="476" w:after="0"/>
            <w:ind w:left="1711" w:right="0" w:hanging="721"/>
            <w:jc w:val="left"/>
          </w:pPr>
          <w:hyperlink w:history="true" w:anchor="_TOC_250017">
            <w:r>
              <w:rPr/>
              <w:t>Indoor</w:t>
            </w:r>
            <w:r>
              <w:rPr>
                <w:spacing w:val="-2"/>
              </w:rPr>
              <w:t> </w:t>
            </w:r>
            <w:r>
              <w:rPr/>
              <w:t>Residual Spraying</w:t>
            </w:r>
            <w:r>
              <w:rPr>
                <w:spacing w:val="-3"/>
              </w:rPr>
              <w:t> </w:t>
            </w:r>
            <w:r>
              <w:rPr/>
              <w:t>(IRS)</w:t>
              <w:tab/>
              <w:t>26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12" w:val="left" w:leader="none"/>
              <w:tab w:pos="10593" w:val="right" w:leader="none"/>
            </w:tabs>
            <w:spacing w:line="240" w:lineRule="auto" w:before="477" w:after="0"/>
            <w:ind w:left="1711" w:right="0" w:hanging="721"/>
            <w:jc w:val="left"/>
          </w:pPr>
          <w:hyperlink w:history="true" w:anchor="_TOC_250016">
            <w:r>
              <w:rPr/>
              <w:t>Intermittent</w:t>
            </w:r>
            <w:r>
              <w:rPr>
                <w:spacing w:val="-1"/>
              </w:rPr>
              <w:t> </w:t>
            </w:r>
            <w:r>
              <w:rPr/>
              <w:t>Preventive</w:t>
            </w:r>
            <w:r>
              <w:rPr>
                <w:spacing w:val="-1"/>
              </w:rPr>
              <w:t> </w:t>
            </w:r>
            <w:r>
              <w:rPr/>
              <w:t>Treatment in Pregnancy</w:t>
              <w:tab/>
              <w:t>26</w:t>
            </w:r>
          </w:hyperlink>
        </w:p>
        <w:p>
          <w:pPr>
            <w:pStyle w:val="TOC2"/>
            <w:tabs>
              <w:tab w:pos="10593" w:val="right" w:leader="none"/>
            </w:tabs>
            <w:spacing w:before="476"/>
            <w:ind w:left="991" w:firstLine="0"/>
          </w:pPr>
          <w:r>
            <w:rPr/>
            <w:t>2.10.3</w:t>
          </w:r>
          <w:r>
            <w:rPr>
              <w:spacing w:val="59"/>
            </w:rPr>
            <w:t> </w:t>
          </w:r>
          <w:r>
            <w:rPr/>
            <w:t>Supplementary</w:t>
          </w:r>
          <w:r>
            <w:rPr>
              <w:spacing w:val="-3"/>
            </w:rPr>
            <w:t> </w:t>
          </w:r>
          <w:r>
            <w:rPr/>
            <w:t>Vector Control</w:t>
            <w:tab/>
            <w:t>26</w:t>
          </w:r>
        </w:p>
        <w:p>
          <w:pPr>
            <w:pStyle w:val="TOC1"/>
            <w:spacing w:before="480"/>
          </w:pPr>
          <w:hyperlink w:history="true" w:anchor="_TOC_250015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473" w:after="0"/>
            <w:ind w:left="1711" w:right="0" w:hanging="721"/>
            <w:jc w:val="left"/>
            <w:rPr>
              <w:b w:val="0"/>
            </w:rPr>
          </w:pPr>
          <w:hyperlink w:history="true" w:anchor="_TOC_250014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</w:r>
            <w:r>
              <w:rPr>
                <w:b w:val="0"/>
              </w:rPr>
              <w:t>27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199" w:after="0"/>
            <w:ind w:left="1711" w:right="0" w:hanging="721"/>
            <w:jc w:val="left"/>
          </w:pPr>
          <w:hyperlink w:history="true" w:anchor="_TOC_250013">
            <w:r>
              <w:rPr/>
              <w:t>Study</w:t>
            </w:r>
            <w:r>
              <w:rPr>
                <w:spacing w:val="-6"/>
              </w:rPr>
              <w:t> </w:t>
            </w:r>
            <w:r>
              <w:rPr/>
              <w:t>Area</w:t>
              <w:tab/>
              <w:t>27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199" w:after="0"/>
            <w:ind w:left="1711" w:right="0" w:hanging="721"/>
            <w:jc w:val="left"/>
          </w:pPr>
          <w:hyperlink w:history="true" w:anchor="_TOC_250012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Size Determination</w:t>
              <w:tab/>
              <w:t>29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202" w:after="0"/>
            <w:ind w:left="1711" w:right="0" w:hanging="721"/>
            <w:jc w:val="left"/>
          </w:pPr>
          <w:hyperlink w:history="true" w:anchor="_TOC_250011">
            <w:r>
              <w:rPr/>
              <w:t>Ethical</w:t>
            </w:r>
            <w:r>
              <w:rPr>
                <w:spacing w:val="-1"/>
              </w:rPr>
              <w:t> </w:t>
            </w:r>
            <w:r>
              <w:rPr/>
              <w:t>Approval</w:t>
              <w:tab/>
              <w:t>30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11" w:val="left" w:leader="none"/>
              <w:tab w:pos="1712" w:val="left" w:leader="none"/>
              <w:tab w:pos="10605" w:val="right" w:leader="none"/>
            </w:tabs>
            <w:spacing w:line="240" w:lineRule="auto" w:before="199" w:after="0"/>
            <w:ind w:left="1711" w:right="0" w:hanging="721"/>
            <w:jc w:val="left"/>
          </w:pPr>
          <w:hyperlink w:history="true" w:anchor="_TOC_250010">
            <w:r>
              <w:rPr>
                <w:spacing w:val="9"/>
              </w:rPr>
              <w:t>Sample</w:t>
            </w:r>
            <w:r>
              <w:rPr>
                <w:spacing w:val="22"/>
              </w:rPr>
              <w:t> </w:t>
            </w:r>
            <w:r>
              <w:rPr>
                <w:spacing w:val="10"/>
              </w:rPr>
              <w:t>Collection</w:t>
              <w:tab/>
            </w:r>
            <w:r>
              <w:rPr/>
              <w:t>30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199" w:after="0"/>
            <w:ind w:left="1711" w:right="0" w:hanging="721"/>
            <w:jc w:val="left"/>
          </w:pPr>
          <w:r>
            <w:rPr/>
            <w:t>Sample</w:t>
          </w:r>
          <w:r>
            <w:rPr>
              <w:spacing w:val="-2"/>
            </w:rPr>
            <w:t> </w:t>
          </w:r>
          <w:r>
            <w:rPr/>
            <w:t>Analysis</w:t>
            <w:tab/>
            <w:t>31</w:t>
          </w:r>
        </w:p>
        <w:p>
          <w:pPr>
            <w:pStyle w:val="TOC2"/>
            <w:numPr>
              <w:ilvl w:val="2"/>
              <w:numId w:val="4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202" w:after="0"/>
            <w:ind w:left="1711" w:right="0" w:hanging="721"/>
            <w:jc w:val="left"/>
          </w:pPr>
          <w:r>
            <w:rPr/>
            <w:t>Rapid</w:t>
          </w:r>
          <w:r>
            <w:rPr>
              <w:spacing w:val="-1"/>
            </w:rPr>
            <w:t> </w:t>
          </w:r>
          <w:r>
            <w:rPr/>
            <w:t>Diagnostic Tests</w:t>
          </w:r>
          <w:r>
            <w:rPr>
              <w:spacing w:val="2"/>
            </w:rPr>
            <w:t> </w:t>
          </w:r>
          <w:r>
            <w:rPr/>
            <w:t>(RDTs)</w:t>
            <w:tab/>
            <w:t>31</w:t>
          </w:r>
        </w:p>
        <w:p>
          <w:pPr>
            <w:pStyle w:val="TOC2"/>
            <w:numPr>
              <w:ilvl w:val="1"/>
              <w:numId w:val="4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200" w:after="0"/>
            <w:ind w:left="1711" w:right="0" w:hanging="721"/>
            <w:jc w:val="left"/>
          </w:pPr>
          <w:r>
            <w:rPr>
              <w:spacing w:val="10"/>
            </w:rPr>
            <w:t>Haematological</w:t>
          </w:r>
          <w:r>
            <w:rPr>
              <w:spacing w:val="24"/>
            </w:rPr>
            <w:t> </w:t>
          </w:r>
          <w:r>
            <w:rPr>
              <w:spacing w:val="10"/>
            </w:rPr>
            <w:t>Analysis</w:t>
            <w:tab/>
          </w:r>
          <w:r>
            <w:rPr/>
            <w:t>34</w:t>
          </w:r>
        </w:p>
        <w:p>
          <w:pPr>
            <w:pStyle w:val="TOC2"/>
            <w:numPr>
              <w:ilvl w:val="1"/>
              <w:numId w:val="4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199" w:after="0"/>
            <w:ind w:left="1711" w:right="0" w:hanging="721"/>
            <w:jc w:val="left"/>
          </w:pPr>
          <w:r>
            <w:rPr/>
            <w:t>Data</w:t>
          </w:r>
          <w:r>
            <w:rPr>
              <w:spacing w:val="23"/>
            </w:rPr>
            <w:t> </w:t>
          </w:r>
          <w:r>
            <w:rPr>
              <w:spacing w:val="9"/>
            </w:rPr>
            <w:t>Analysis</w:t>
            <w:tab/>
          </w:r>
          <w:r>
            <w:rPr/>
            <w:t>34</w:t>
          </w:r>
        </w:p>
        <w:p>
          <w:pPr>
            <w:pStyle w:val="TOC1"/>
          </w:pPr>
          <w:hyperlink w:history="true" w:anchor="_TOC_250009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711" w:val="left" w:leader="none"/>
              <w:tab w:pos="1712" w:val="left" w:leader="none"/>
              <w:tab w:pos="10773" w:val="right" w:leader="none"/>
            </w:tabs>
            <w:spacing w:line="240" w:lineRule="auto" w:before="197" w:after="0"/>
            <w:ind w:left="1711" w:right="0" w:hanging="721"/>
            <w:jc w:val="left"/>
            <w:rPr>
              <w:b w:val="0"/>
            </w:rPr>
          </w:pPr>
          <w:hyperlink w:history="true" w:anchor="_TOC_250008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 DISCUSSION</w:t>
              <w:tab/>
            </w:r>
            <w:r>
              <w:rPr>
                <w:b w:val="0"/>
              </w:rPr>
              <w:t>35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711" w:val="left" w:leader="none"/>
              <w:tab w:pos="1712" w:val="left" w:leader="none"/>
              <w:tab w:pos="10773" w:val="right" w:leader="none"/>
            </w:tabs>
            <w:spacing w:line="240" w:lineRule="auto" w:before="199" w:after="0"/>
            <w:ind w:left="1711" w:right="0" w:hanging="721"/>
            <w:jc w:val="left"/>
          </w:pPr>
          <w:hyperlink w:history="true" w:anchor="_TOC_250007">
            <w:r>
              <w:rPr/>
              <w:t>Results</w:t>
              <w:tab/>
              <w:t>35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652" w:val="left" w:leader="none"/>
              <w:tab w:pos="10773" w:val="right" w:leader="none"/>
            </w:tabs>
            <w:spacing w:line="240" w:lineRule="auto" w:before="199" w:after="0"/>
            <w:ind w:left="1651" w:right="0" w:hanging="661"/>
            <w:jc w:val="left"/>
          </w:pPr>
          <w:r>
            <w:rPr/>
            <w:t>Sensitivity</w:t>
          </w:r>
          <w:r>
            <w:rPr>
              <w:spacing w:val="-8"/>
            </w:rPr>
            <w:t> </w:t>
          </w:r>
          <w:r>
            <w:rPr/>
            <w:t>pattern</w:t>
          </w:r>
          <w:r>
            <w:rPr>
              <w:spacing w:val="1"/>
            </w:rPr>
            <w:t> </w:t>
          </w:r>
          <w:r>
            <w:rPr/>
            <w:t>of rapid diagnostic tests</w:t>
          </w:r>
          <w:r>
            <w:rPr>
              <w:spacing w:val="5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detecting</w:t>
          </w:r>
          <w:r>
            <w:rPr>
              <w:spacing w:val="-3"/>
            </w:rPr>
            <w:t> </w:t>
          </w:r>
          <w:r>
            <w:rPr/>
            <w:t>malaria</w:t>
          </w:r>
          <w:r>
            <w:rPr>
              <w:spacing w:val="-2"/>
            </w:rPr>
            <w:t> </w:t>
          </w:r>
          <w:r>
            <w:rPr/>
            <w:t>parasites</w:t>
            <w:tab/>
            <w:t>35</w:t>
          </w:r>
        </w:p>
        <w:p>
          <w:pPr>
            <w:pStyle w:val="TOC2"/>
            <w:numPr>
              <w:ilvl w:val="2"/>
              <w:numId w:val="5"/>
            </w:numPr>
            <w:tabs>
              <w:tab w:pos="1711" w:val="left" w:leader="none"/>
              <w:tab w:pos="1712" w:val="left" w:leader="none"/>
              <w:tab w:pos="10773" w:val="right" w:leader="none"/>
            </w:tabs>
            <w:spacing w:line="240" w:lineRule="auto" w:before="202" w:after="0"/>
            <w:ind w:left="1711" w:right="0" w:hanging="721"/>
            <w:jc w:val="left"/>
          </w:pPr>
          <w:r>
            <w:rPr/>
            <w:t>Prevalence</w:t>
          </w:r>
          <w:r>
            <w:rPr>
              <w:spacing w:val="-2"/>
            </w:rPr>
            <w:t> </w:t>
          </w:r>
          <w:r>
            <w:rPr/>
            <w:t>of Malarial</w:t>
          </w:r>
          <w:r>
            <w:rPr>
              <w:spacing w:val="-1"/>
            </w:rPr>
            <w:t> </w:t>
          </w:r>
          <w:r>
            <w:rPr/>
            <w:t>Parasites in</w:t>
          </w:r>
          <w:r>
            <w:rPr>
              <w:spacing w:val="-1"/>
            </w:rPr>
            <w:t> </w:t>
          </w:r>
          <w:r>
            <w:rPr/>
            <w:t>Bosso</w:t>
          </w:r>
          <w:r>
            <w:rPr>
              <w:spacing w:val="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Paikoro</w:t>
          </w:r>
          <w:r>
            <w:rPr>
              <w:spacing w:val="1"/>
            </w:rPr>
            <w:t> </w:t>
          </w:r>
          <w:r>
            <w:rPr/>
            <w:t>LGAs</w:t>
          </w:r>
          <w:r>
            <w:rPr>
              <w:spacing w:val="-1"/>
            </w:rPr>
            <w:t> </w:t>
          </w:r>
          <w:r>
            <w:rPr/>
            <w:t>of Niger</w:t>
          </w:r>
          <w:r>
            <w:rPr>
              <w:spacing w:val="-1"/>
            </w:rPr>
            <w:t> </w:t>
          </w:r>
          <w:r>
            <w:rPr/>
            <w:t>State</w:t>
            <w:tab/>
            <w:t>37</w:t>
          </w:r>
        </w:p>
        <w:p>
          <w:pPr>
            <w:pStyle w:val="TOC2"/>
            <w:numPr>
              <w:ilvl w:val="2"/>
              <w:numId w:val="5"/>
            </w:numPr>
            <w:tabs>
              <w:tab w:pos="1711" w:val="left" w:leader="none"/>
              <w:tab w:pos="1712" w:val="left" w:leader="none"/>
              <w:tab w:pos="10773" w:val="right" w:leader="none"/>
            </w:tabs>
            <w:spacing w:line="240" w:lineRule="auto" w:before="200" w:after="0"/>
            <w:ind w:left="1711" w:right="0" w:hanging="721"/>
            <w:jc w:val="left"/>
          </w:pPr>
          <w:hyperlink w:history="true" w:anchor="_TOC_250006">
            <w:r>
              <w:rPr/>
              <w:t>Prevalence</w:t>
            </w:r>
            <w:r>
              <w:rPr>
                <w:spacing w:val="-2"/>
              </w:rPr>
              <w:t> </w:t>
            </w:r>
            <w:r>
              <w:rPr/>
              <w:t>of Malarial</w:t>
            </w:r>
            <w:r>
              <w:rPr>
                <w:spacing w:val="-1"/>
              </w:rPr>
              <w:t> </w:t>
            </w:r>
            <w:r>
              <w:rPr/>
              <w:t>Parasites in</w:t>
            </w:r>
            <w:r>
              <w:rPr>
                <w:spacing w:val="-1"/>
              </w:rPr>
              <w:t> </w:t>
            </w:r>
            <w:r>
              <w:rPr/>
              <w:t>relation to</w:t>
            </w:r>
            <w:r>
              <w:rPr>
                <w:spacing w:val="1"/>
              </w:rPr>
              <w:t> </w:t>
            </w:r>
            <w:r>
              <w:rPr/>
              <w:t>socio-demographic parameters</w:t>
              <w:tab/>
              <w:t>38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711" w:val="left" w:leader="none"/>
              <w:tab w:pos="1712" w:val="left" w:leader="none"/>
              <w:tab w:pos="10773" w:val="right" w:leader="none"/>
            </w:tabs>
            <w:spacing w:line="240" w:lineRule="auto" w:before="199" w:after="0"/>
            <w:ind w:left="1711" w:right="0" w:hanging="721"/>
            <w:jc w:val="left"/>
          </w:pPr>
          <w:r>
            <w:rPr/>
            <w:t>Prevalence</w:t>
          </w:r>
          <w:r>
            <w:rPr>
              <w:spacing w:val="-2"/>
            </w:rPr>
            <w:t> </w:t>
          </w:r>
          <w:r>
            <w:rPr/>
            <w:t>of Malarial Parasites in pregnant women</w:t>
            <w:tab/>
            <w:t>40</w:t>
          </w:r>
        </w:p>
        <w:p>
          <w:pPr>
            <w:pStyle w:val="TOC2"/>
            <w:numPr>
              <w:ilvl w:val="2"/>
              <w:numId w:val="5"/>
            </w:numPr>
            <w:tabs>
              <w:tab w:pos="1711" w:val="left" w:leader="none"/>
              <w:tab w:pos="1712" w:val="left" w:leader="none"/>
              <w:tab w:pos="10773" w:val="right" w:leader="none"/>
            </w:tabs>
            <w:spacing w:line="240" w:lineRule="auto" w:before="202" w:after="0"/>
            <w:ind w:left="1711" w:right="0" w:hanging="721"/>
            <w:jc w:val="left"/>
          </w:pPr>
          <w:r>
            <w:rPr/>
            <w:t>Prevalence</w:t>
          </w:r>
          <w:r>
            <w:rPr>
              <w:spacing w:val="-2"/>
            </w:rPr>
            <w:t> </w:t>
          </w:r>
          <w:r>
            <w:rPr/>
            <w:t>of Malarial Parasites among</w:t>
          </w:r>
          <w:r>
            <w:rPr>
              <w:spacing w:val="-3"/>
            </w:rPr>
            <w:t> </w:t>
          </w:r>
          <w:r>
            <w:rPr/>
            <w:t>women</w:t>
          </w:r>
          <w:r>
            <w:rPr>
              <w:spacing w:val="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Children</w:t>
            <w:tab/>
            <w:t>41</w:t>
          </w:r>
        </w:p>
        <w:p>
          <w:pPr>
            <w:pStyle w:val="TOC2"/>
            <w:numPr>
              <w:ilvl w:val="2"/>
              <w:numId w:val="5"/>
            </w:numPr>
            <w:tabs>
              <w:tab w:pos="1711" w:val="left" w:leader="none"/>
              <w:tab w:pos="1712" w:val="left" w:leader="none"/>
              <w:tab w:pos="10773" w:val="right" w:leader="none"/>
            </w:tabs>
            <w:spacing w:line="240" w:lineRule="auto" w:before="199" w:after="0"/>
            <w:ind w:left="1711" w:right="0" w:hanging="721"/>
            <w:jc w:val="left"/>
          </w:pPr>
          <w:r>
            <w:rPr/>
            <w:t>Prevalence</w:t>
          </w:r>
          <w:r>
            <w:rPr>
              <w:spacing w:val="-2"/>
            </w:rPr>
            <w:t> </w:t>
          </w:r>
          <w:r>
            <w:rPr/>
            <w:t>of Malarial</w:t>
          </w:r>
          <w:r>
            <w:rPr>
              <w:spacing w:val="-1"/>
            </w:rPr>
            <w:t> </w:t>
          </w:r>
          <w:r>
            <w:rPr/>
            <w:t>Parasites with</w:t>
          </w:r>
          <w:r>
            <w:rPr>
              <w:spacing w:val="-1"/>
            </w:rPr>
            <w:t> </w:t>
          </w:r>
          <w:r>
            <w:rPr/>
            <w:t>Regards to</w:t>
          </w:r>
          <w:r>
            <w:rPr>
              <w:spacing w:val="1"/>
            </w:rPr>
            <w:t> </w:t>
          </w:r>
          <w:r>
            <w:rPr/>
            <w:t>Knowledge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Respondents</w:t>
            <w:tab/>
            <w:t>42</w:t>
          </w:r>
        </w:p>
        <w:p>
          <w:pPr>
            <w:pStyle w:val="TOC2"/>
            <w:numPr>
              <w:ilvl w:val="2"/>
              <w:numId w:val="5"/>
            </w:numPr>
            <w:tabs>
              <w:tab w:pos="1711" w:val="left" w:leader="none"/>
              <w:tab w:pos="1712" w:val="left" w:leader="none"/>
              <w:tab w:pos="10782" w:val="right" w:leader="none"/>
            </w:tabs>
            <w:spacing w:line="240" w:lineRule="auto" w:before="199" w:after="65"/>
            <w:ind w:left="1711" w:right="0" w:hanging="721"/>
            <w:jc w:val="left"/>
          </w:pPr>
          <w:r>
            <w:rPr/>
            <w:t>Prevalence</w:t>
          </w:r>
          <w:r>
            <w:rPr>
              <w:spacing w:val="-2"/>
            </w:rPr>
            <w:t> </w:t>
          </w:r>
          <w:r>
            <w:rPr/>
            <w:t>of Malarial</w:t>
          </w:r>
          <w:r>
            <w:rPr>
              <w:spacing w:val="-1"/>
            </w:rPr>
            <w:t> </w:t>
          </w:r>
          <w:r>
            <w:rPr/>
            <w:t>Parasites with</w:t>
          </w:r>
          <w:r>
            <w:rPr>
              <w:spacing w:val="-1"/>
            </w:rPr>
            <w:t> </w:t>
          </w:r>
          <w:r>
            <w:rPr/>
            <w:t>Regards to</w:t>
          </w:r>
          <w:r>
            <w:rPr>
              <w:spacing w:val="2"/>
            </w:rPr>
            <w:t> </w:t>
          </w:r>
          <w:r>
            <w:rPr/>
            <w:t>haematological Parameters</w:t>
            <w:tab/>
            <w:t>44</w:t>
          </w:r>
        </w:p>
        <w:p>
          <w:pPr>
            <w:pStyle w:val="TOC2"/>
            <w:numPr>
              <w:ilvl w:val="1"/>
              <w:numId w:val="5"/>
            </w:numPr>
            <w:tabs>
              <w:tab w:pos="1711" w:val="left" w:leader="none"/>
              <w:tab w:pos="1712" w:val="left" w:leader="none"/>
              <w:tab w:pos="10653" w:val="right" w:leader="none"/>
            </w:tabs>
            <w:spacing w:line="240" w:lineRule="auto" w:before="1027" w:after="0"/>
            <w:ind w:left="1711" w:right="0" w:hanging="721"/>
            <w:jc w:val="left"/>
          </w:pPr>
          <w:hyperlink w:history="true" w:anchor="_TOC_250005">
            <w:r>
              <w:rPr/>
              <w:t>Discussion</w:t>
              <w:tab/>
              <w:t>46</w:t>
            </w:r>
          </w:hyperlink>
        </w:p>
        <w:p>
          <w:pPr>
            <w:pStyle w:val="TOC1"/>
          </w:pPr>
          <w:hyperlink w:history="true" w:anchor="_TOC_250004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711" w:val="left" w:leader="none"/>
              <w:tab w:pos="1712" w:val="left" w:leader="none"/>
              <w:tab w:pos="10653" w:val="right" w:leader="none"/>
            </w:tabs>
            <w:spacing w:line="240" w:lineRule="auto" w:before="195" w:after="0"/>
            <w:ind w:left="1711" w:right="0" w:hanging="721"/>
            <w:jc w:val="left"/>
            <w:rPr>
              <w:b w:val="0"/>
            </w:rPr>
          </w:pPr>
          <w:hyperlink w:history="true" w:anchor="_TOC_250003"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RECOMMENDATIONS</w:t>
              <w:tab/>
            </w:r>
            <w:r>
              <w:rPr>
                <w:b w:val="0"/>
              </w:rPr>
              <w:t>56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711" w:val="left" w:leader="none"/>
              <w:tab w:pos="1712" w:val="left" w:leader="none"/>
              <w:tab w:pos="10653" w:val="right" w:leader="none"/>
            </w:tabs>
            <w:spacing w:line="240" w:lineRule="auto" w:before="477" w:after="0"/>
            <w:ind w:left="1711" w:right="0" w:hanging="721"/>
            <w:jc w:val="left"/>
          </w:pPr>
          <w:hyperlink w:history="true" w:anchor="_TOC_250002">
            <w:r>
              <w:rPr/>
              <w:t>Conclusion</w:t>
              <w:tab/>
              <w:t>56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711" w:val="left" w:leader="none"/>
              <w:tab w:pos="1712" w:val="left" w:leader="none"/>
              <w:tab w:pos="10593" w:val="right" w:leader="none"/>
            </w:tabs>
            <w:spacing w:line="240" w:lineRule="auto" w:before="476" w:after="0"/>
            <w:ind w:left="1711" w:right="0" w:hanging="721"/>
            <w:jc w:val="left"/>
          </w:pPr>
          <w:hyperlink w:history="true" w:anchor="_TOC_250001">
            <w:r>
              <w:rPr/>
              <w:t>Recommendations</w:t>
              <w:tab/>
              <w:t>57</w:t>
            </w:r>
          </w:hyperlink>
        </w:p>
        <w:p>
          <w:pPr>
            <w:pStyle w:val="TOC4"/>
            <w:tabs>
              <w:tab w:pos="10653" w:val="right" w:leader="none"/>
            </w:tabs>
            <w:rPr>
              <w:b w:val="0"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b w:val="0"/>
              </w:rPr>
              <w:t>57</w:t>
            </w:r>
          </w:hyperlink>
        </w:p>
        <w:p>
          <w:pPr>
            <w:pStyle w:val="TOC4"/>
            <w:tabs>
              <w:tab w:pos="10653" w:val="right" w:leader="none"/>
            </w:tabs>
            <w:spacing w:before="478"/>
            <w:rPr>
              <w:b w:val="0"/>
            </w:rPr>
          </w:pPr>
          <w:r>
            <w:rPr/>
            <w:t>APPENDICES</w:t>
            <w:tab/>
          </w:r>
          <w:r>
            <w:rPr>
              <w:b w:val="0"/>
            </w:rPr>
            <w:t>67</w:t>
          </w:r>
        </w:p>
      </w:sdtContent>
    </w:sdt>
    <w:p>
      <w:pPr>
        <w:spacing w:after="0"/>
        <w:sectPr>
          <w:type w:val="continuous"/>
          <w:pgSz w:w="12240" w:h="15840"/>
          <w:pgMar w:top="1360" w:bottom="1735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7780"/>
        <w:gridCol w:w="992"/>
      </w:tblGrid>
      <w:tr>
        <w:trPr>
          <w:trHeight w:val="509" w:hRule="atLeast"/>
        </w:trPr>
        <w:tc>
          <w:tcPr>
            <w:tcW w:w="7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80" w:type="dxa"/>
          </w:tcPr>
          <w:p>
            <w:pPr>
              <w:pStyle w:val="TableParagraph"/>
              <w:spacing w:line="266" w:lineRule="exact"/>
              <w:ind w:left="3212" w:right="2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98" w:hRule="atLeast"/>
        </w:trPr>
        <w:tc>
          <w:tcPr>
            <w:tcW w:w="751" w:type="dxa"/>
          </w:tcPr>
          <w:p>
            <w:pPr>
              <w:pStyle w:val="TableParagraph"/>
              <w:spacing w:before="2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Tables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2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78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malarial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parasites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socio-demographic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992" w:type="dxa"/>
          </w:tcPr>
          <w:p>
            <w:pPr>
              <w:pStyle w:val="TableParagraph"/>
              <w:spacing w:before="233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2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752" w:hRule="atLeast"/>
        </w:trPr>
        <w:tc>
          <w:tcPr>
            <w:tcW w:w="751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780" w:type="dxa"/>
          </w:tcPr>
          <w:p>
            <w:pPr>
              <w:pStyle w:val="TableParagraph"/>
              <w:spacing w:before="232"/>
              <w:ind w:left="19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malarial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transmission</w:t>
            </w:r>
          </w:p>
        </w:tc>
        <w:tc>
          <w:tcPr>
            <w:tcW w:w="992" w:type="dxa"/>
          </w:tcPr>
          <w:p>
            <w:pPr>
              <w:pStyle w:val="TableParagraph"/>
              <w:spacing w:before="232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752" w:hRule="atLeast"/>
        </w:trPr>
        <w:tc>
          <w:tcPr>
            <w:tcW w:w="751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780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symptoms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malaria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respondents</w:t>
            </w:r>
          </w:p>
        </w:tc>
        <w:tc>
          <w:tcPr>
            <w:tcW w:w="992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751" w:hRule="atLeast"/>
        </w:trPr>
        <w:tc>
          <w:tcPr>
            <w:tcW w:w="751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780" w:type="dxa"/>
          </w:tcPr>
          <w:p>
            <w:pPr>
              <w:pStyle w:val="TableParagraph"/>
              <w:spacing w:before="232"/>
              <w:ind w:left="19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prevention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strategies</w:t>
            </w:r>
          </w:p>
        </w:tc>
        <w:tc>
          <w:tcPr>
            <w:tcW w:w="992" w:type="dxa"/>
          </w:tcPr>
          <w:p>
            <w:pPr>
              <w:pStyle w:val="TableParagraph"/>
              <w:spacing w:before="232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508" w:hRule="atLeast"/>
        </w:trPr>
        <w:tc>
          <w:tcPr>
            <w:tcW w:w="751" w:type="dxa"/>
          </w:tcPr>
          <w:p>
            <w:pPr>
              <w:pStyle w:val="TableParagraph"/>
              <w:spacing w:line="256" w:lineRule="exact" w:before="232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780" w:type="dxa"/>
          </w:tcPr>
          <w:p>
            <w:pPr>
              <w:pStyle w:val="TableParagraph"/>
              <w:spacing w:line="256" w:lineRule="exact" w:before="232"/>
              <w:ind w:left="19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malaria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haematological parameters</w:t>
            </w:r>
          </w:p>
        </w:tc>
        <w:tc>
          <w:tcPr>
            <w:tcW w:w="992" w:type="dxa"/>
          </w:tcPr>
          <w:p>
            <w:pPr>
              <w:pStyle w:val="TableParagraph"/>
              <w:spacing w:line="256" w:lineRule="exact" w:before="232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7584"/>
        <w:gridCol w:w="1008"/>
      </w:tblGrid>
      <w:tr>
        <w:trPr>
          <w:trHeight w:val="509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84" w:type="dxa"/>
          </w:tcPr>
          <w:p>
            <w:pPr>
              <w:pStyle w:val="TableParagraph"/>
              <w:spacing w:line="266" w:lineRule="exact"/>
              <w:ind w:left="3173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10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48" w:hRule="atLeast"/>
        </w:trPr>
        <w:tc>
          <w:tcPr>
            <w:tcW w:w="749" w:type="dxa"/>
          </w:tcPr>
          <w:p>
            <w:pPr>
              <w:pStyle w:val="TableParagraph"/>
              <w:spacing w:before="2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75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spacing w:before="233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648" w:hRule="atLeast"/>
        </w:trPr>
        <w:tc>
          <w:tcPr>
            <w:tcW w:w="749" w:type="dxa"/>
          </w:tcPr>
          <w:p>
            <w:pPr>
              <w:pStyle w:val="TableParagraph"/>
              <w:spacing w:before="229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584" w:type="dxa"/>
          </w:tcPr>
          <w:p>
            <w:pPr>
              <w:pStyle w:val="TableParagraph"/>
              <w:spacing w:before="229"/>
              <w:ind w:left="21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malaria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parasite</w:t>
            </w:r>
          </w:p>
        </w:tc>
        <w:tc>
          <w:tcPr>
            <w:tcW w:w="1008" w:type="dxa"/>
          </w:tcPr>
          <w:p>
            <w:pPr>
              <w:pStyle w:val="TableParagraph"/>
              <w:spacing w:before="229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584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Map of Niger 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areas</w:t>
            </w:r>
          </w:p>
        </w:tc>
        <w:tc>
          <w:tcPr>
            <w:tcW w:w="1008" w:type="dxa"/>
          </w:tcPr>
          <w:p>
            <w:pPr>
              <w:pStyle w:val="TableParagraph"/>
              <w:spacing w:before="133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584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malarial parasites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Bosso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Paikoro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008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584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malarial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parasites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pregnant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women</w:t>
            </w:r>
          </w:p>
        </w:tc>
        <w:tc>
          <w:tcPr>
            <w:tcW w:w="1008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08" w:hRule="atLeast"/>
        </w:trPr>
        <w:tc>
          <w:tcPr>
            <w:tcW w:w="749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584" w:type="dxa"/>
          </w:tcPr>
          <w:p>
            <w:pPr>
              <w:pStyle w:val="TableParagraph"/>
              <w:spacing w:line="256" w:lineRule="exact" w:before="133"/>
              <w:ind w:left="21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malarial parasites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  <w:tc>
          <w:tcPr>
            <w:tcW w:w="1008" w:type="dxa"/>
          </w:tcPr>
          <w:p>
            <w:pPr>
              <w:pStyle w:val="TableParagraph"/>
              <w:spacing w:line="256" w:lineRule="exact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ind w:left="1118" w:right="1381"/>
        <w:jc w:val="center"/>
      </w:pPr>
      <w:bookmarkStart w:name="_TOC_250044" w:id="3"/>
      <w:r>
        <w:rPr/>
        <w:t>LIST OF</w:t>
      </w:r>
      <w:r>
        <w:rPr>
          <w:spacing w:val="-4"/>
        </w:rPr>
        <w:t> </w:t>
      </w:r>
      <w:bookmarkEnd w:id="3"/>
      <w:r>
        <w:rPr/>
        <w:t>PLATES</w:t>
      </w:r>
    </w:p>
    <w:p>
      <w:pPr>
        <w:tabs>
          <w:tab w:pos="9573" w:val="left" w:leader="none"/>
        </w:tabs>
        <w:spacing w:before="0"/>
        <w:ind w:left="991" w:right="0" w:firstLine="0"/>
        <w:jc w:val="left"/>
        <w:rPr>
          <w:b/>
          <w:sz w:val="24"/>
        </w:rPr>
      </w:pPr>
      <w:r>
        <w:rPr>
          <w:b/>
          <w:sz w:val="24"/>
        </w:rPr>
        <w:t>Plate</w:t>
        <w:tab/>
        <w:t>Page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2"/>
        </w:rPr>
      </w:pPr>
    </w:p>
    <w:tbl>
      <w:tblPr>
        <w:tblW w:w="0" w:type="auto"/>
        <w:jc w:val="left"/>
        <w:tblInd w:w="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1"/>
        <w:gridCol w:w="7241"/>
        <w:gridCol w:w="1419"/>
      </w:tblGrid>
      <w:tr>
        <w:trPr>
          <w:trHeight w:val="408" w:hRule="atLeast"/>
        </w:trPr>
        <w:tc>
          <w:tcPr>
            <w:tcW w:w="561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I:</w:t>
            </w:r>
          </w:p>
        </w:tc>
        <w:tc>
          <w:tcPr>
            <w:tcW w:w="7241" w:type="dxa"/>
          </w:tcPr>
          <w:p>
            <w:pPr>
              <w:pStyle w:val="TableParagraph"/>
              <w:spacing w:line="266" w:lineRule="exact"/>
              <w:ind w:left="209"/>
              <w:rPr>
                <w:i/>
                <w:sz w:val="24"/>
              </w:rPr>
            </w:pPr>
            <w:r>
              <w:rPr>
                <w:sz w:val="24"/>
              </w:rPr>
              <w:t>SD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RDT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cassettes 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positive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</w:t>
            </w:r>
            <w:r>
              <w:rPr>
                <w:i/>
                <w:sz w:val="24"/>
              </w:rPr>
              <w:t>P.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falciparum</w:t>
            </w:r>
          </w:p>
        </w:tc>
        <w:tc>
          <w:tcPr>
            <w:tcW w:w="1419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52" w:hRule="atLeast"/>
        </w:trPr>
        <w:tc>
          <w:tcPr>
            <w:tcW w:w="56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II:</w:t>
            </w:r>
          </w:p>
        </w:tc>
        <w:tc>
          <w:tcPr>
            <w:tcW w:w="7241" w:type="dxa"/>
          </w:tcPr>
          <w:p>
            <w:pPr>
              <w:pStyle w:val="TableParagraph"/>
              <w:spacing w:before="133"/>
              <w:ind w:left="209"/>
              <w:rPr>
                <w:i/>
                <w:sz w:val="24"/>
              </w:rPr>
            </w:pPr>
            <w:r>
              <w:rPr>
                <w:sz w:val="24"/>
              </w:rPr>
              <w:t>SD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RDT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cassettes 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negative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falciparum</w:t>
            </w:r>
          </w:p>
        </w:tc>
        <w:tc>
          <w:tcPr>
            <w:tcW w:w="1419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08" w:hRule="atLeast"/>
        </w:trPr>
        <w:tc>
          <w:tcPr>
            <w:tcW w:w="561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III:</w:t>
            </w:r>
          </w:p>
        </w:tc>
        <w:tc>
          <w:tcPr>
            <w:tcW w:w="7241" w:type="dxa"/>
          </w:tcPr>
          <w:p>
            <w:pPr>
              <w:pStyle w:val="TableParagraph"/>
              <w:spacing w:line="256" w:lineRule="exact" w:before="133"/>
              <w:ind w:left="209"/>
              <w:rPr>
                <w:sz w:val="24"/>
              </w:rPr>
            </w:pPr>
            <w:r>
              <w:rPr>
                <w:sz w:val="24"/>
              </w:rPr>
              <w:t>Positive result by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Microscopy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1"/>
        </w:rPr>
      </w:pPr>
    </w:p>
    <w:tbl>
      <w:tblPr>
        <w:tblW w:w="0" w:type="auto"/>
        <w:jc w:val="left"/>
        <w:tblInd w:w="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1"/>
        <w:gridCol w:w="7360"/>
        <w:gridCol w:w="780"/>
      </w:tblGrid>
      <w:tr>
        <w:trPr>
          <w:trHeight w:val="682" w:hRule="atLeast"/>
        </w:trPr>
        <w:tc>
          <w:tcPr>
            <w:tcW w:w="1091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</w:p>
        </w:tc>
        <w:tc>
          <w:tcPr>
            <w:tcW w:w="7360" w:type="dxa"/>
          </w:tcPr>
          <w:p>
            <w:pPr>
              <w:pStyle w:val="TableParagraph"/>
              <w:spacing w:line="266" w:lineRule="exact"/>
              <w:ind w:left="2579" w:right="2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APPENDICES</w:t>
            </w:r>
          </w:p>
        </w:tc>
        <w:tc>
          <w:tcPr>
            <w:tcW w:w="780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1091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7360" w:type="dxa"/>
          </w:tcPr>
          <w:p>
            <w:pPr>
              <w:pStyle w:val="TableParagraph"/>
              <w:spacing w:before="130"/>
              <w:ind w:left="53"/>
              <w:rPr>
                <w:sz w:val="24"/>
              </w:rPr>
            </w:pPr>
            <w:r>
              <w:rPr>
                <w:sz w:val="24"/>
              </w:rPr>
              <w:t>Questionnaire</w:t>
            </w:r>
          </w:p>
        </w:tc>
        <w:tc>
          <w:tcPr>
            <w:tcW w:w="780" w:type="dxa"/>
          </w:tcPr>
          <w:p>
            <w:pPr>
              <w:pStyle w:val="TableParagraph"/>
              <w:spacing w:before="130"/>
              <w:ind w:left="24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551" w:hRule="atLeast"/>
        </w:trPr>
        <w:tc>
          <w:tcPr>
            <w:tcW w:w="109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360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Malaria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RDT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828" w:hRule="atLeast"/>
        </w:trPr>
        <w:tc>
          <w:tcPr>
            <w:tcW w:w="109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360" w:type="dxa"/>
          </w:tcPr>
          <w:p>
            <w:pPr>
              <w:pStyle w:val="TableParagraph"/>
              <w:spacing w:before="133"/>
              <w:ind w:left="159" w:right="991" w:hanging="15"/>
              <w:rPr>
                <w:sz w:val="24"/>
              </w:rPr>
            </w:pPr>
            <w:r>
              <w:rPr>
                <w:sz w:val="24"/>
              </w:rPr>
              <w:t>Sensitivity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pattern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rapid diagnostic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detecting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malarial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parasites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828" w:hRule="atLeast"/>
        </w:trPr>
        <w:tc>
          <w:tcPr>
            <w:tcW w:w="109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7360" w:type="dxa"/>
          </w:tcPr>
          <w:p>
            <w:pPr>
              <w:pStyle w:val="TableParagraph"/>
              <w:spacing w:before="133"/>
              <w:ind w:left="159" w:right="736" w:firstLine="7"/>
              <w:rPr>
                <w:sz w:val="24"/>
              </w:rPr>
            </w:pPr>
            <w:r>
              <w:rPr>
                <w:sz w:val="24"/>
              </w:rPr>
              <w:t>Prevalence of malaria with regards to pregnant women in the study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population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26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109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7360" w:type="dxa"/>
          </w:tcPr>
          <w:p>
            <w:pPr>
              <w:pStyle w:val="TableParagraph"/>
              <w:spacing w:before="133"/>
              <w:ind w:left="39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malarial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patients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30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552" w:hRule="atLeast"/>
        </w:trPr>
        <w:tc>
          <w:tcPr>
            <w:tcW w:w="109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360" w:type="dxa"/>
          </w:tcPr>
          <w:p>
            <w:pPr>
              <w:pStyle w:val="TableParagraph"/>
              <w:spacing w:before="133"/>
              <w:ind w:left="39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malaria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 regards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haemoglobin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genotype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26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551" w:hRule="atLeast"/>
        </w:trPr>
        <w:tc>
          <w:tcPr>
            <w:tcW w:w="109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360" w:type="dxa"/>
          </w:tcPr>
          <w:p>
            <w:pPr>
              <w:pStyle w:val="TableParagraph"/>
              <w:spacing w:before="133"/>
              <w:ind w:left="70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malaria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 regards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haemoglobin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552" w:hRule="atLeast"/>
        </w:trPr>
        <w:tc>
          <w:tcPr>
            <w:tcW w:w="109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7360" w:type="dxa"/>
          </w:tcPr>
          <w:p>
            <w:pPr>
              <w:pStyle w:val="TableParagraph"/>
              <w:spacing w:before="133"/>
              <w:ind w:left="70"/>
              <w:rPr>
                <w:sz w:val="24"/>
              </w:rPr>
            </w:pPr>
            <w:r>
              <w:rPr>
                <w:sz w:val="24"/>
              </w:rPr>
              <w:t>Heamatological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population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552" w:hRule="atLeast"/>
        </w:trPr>
        <w:tc>
          <w:tcPr>
            <w:tcW w:w="109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7360" w:type="dxa"/>
          </w:tcPr>
          <w:p>
            <w:pPr>
              <w:pStyle w:val="TableParagraph"/>
              <w:spacing w:before="133"/>
              <w:ind w:left="70"/>
              <w:rPr>
                <w:sz w:val="24"/>
              </w:rPr>
            </w:pPr>
            <w:r>
              <w:rPr>
                <w:sz w:val="24"/>
              </w:rPr>
              <w:t>Haematological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participants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genotype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28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827" w:hRule="atLeast"/>
        </w:trPr>
        <w:tc>
          <w:tcPr>
            <w:tcW w:w="109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7360" w:type="dxa"/>
          </w:tcPr>
          <w:p>
            <w:pPr>
              <w:pStyle w:val="TableParagraph"/>
              <w:spacing w:before="133"/>
              <w:ind w:left="39" w:right="696" w:firstLine="2"/>
              <w:rPr>
                <w:sz w:val="24"/>
              </w:rPr>
            </w:pPr>
            <w:r>
              <w:rPr>
                <w:sz w:val="24"/>
              </w:rPr>
              <w:t>Hematological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Participants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780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408" w:hRule="atLeast"/>
        </w:trPr>
        <w:tc>
          <w:tcPr>
            <w:tcW w:w="1091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7360" w:type="dxa"/>
          </w:tcPr>
          <w:p>
            <w:pPr>
              <w:pStyle w:val="TableParagraph"/>
              <w:spacing w:line="256" w:lineRule="exact" w:before="133"/>
              <w:ind w:left="70"/>
              <w:rPr>
                <w:sz w:val="24"/>
              </w:rPr>
            </w:pPr>
            <w:r>
              <w:rPr>
                <w:sz w:val="24"/>
              </w:rPr>
              <w:t>Ethical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Approval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conduct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</w:tc>
        <w:tc>
          <w:tcPr>
            <w:tcW w:w="780" w:type="dxa"/>
          </w:tcPr>
          <w:p>
            <w:pPr>
              <w:pStyle w:val="TableParagraph"/>
              <w:spacing w:line="256" w:lineRule="exact" w:before="133"/>
              <w:ind w:left="31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1"/>
        <w:jc w:val="left"/>
      </w:pPr>
      <w:r>
        <w:rPr/>
        <w:t>ABBREVIATIONS,</w:t>
      </w:r>
      <w:r>
        <w:rPr>
          <w:spacing w:val="-2"/>
        </w:rPr>
        <w:t> </w:t>
      </w:r>
      <w:r>
        <w:rPr/>
        <w:t>GLOSSARIES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SYMBOLS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4463"/>
      </w:tblGrid>
      <w:tr>
        <w:trPr>
          <w:trHeight w:val="408" w:hRule="atLeast"/>
        </w:trPr>
        <w:tc>
          <w:tcPr>
            <w:tcW w:w="157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RBM:</w:t>
            </w:r>
          </w:p>
        </w:tc>
        <w:tc>
          <w:tcPr>
            <w:tcW w:w="4463" w:type="dxa"/>
          </w:tcPr>
          <w:p>
            <w:pPr>
              <w:pStyle w:val="TableParagraph"/>
              <w:spacing w:line="266" w:lineRule="exact"/>
              <w:ind w:left="635"/>
              <w:rPr>
                <w:sz w:val="24"/>
              </w:rPr>
            </w:pPr>
            <w:r>
              <w:rPr>
                <w:sz w:val="24"/>
              </w:rPr>
              <w:t>Roll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Malaria</w:t>
            </w:r>
          </w:p>
        </w:tc>
      </w:tr>
      <w:tr>
        <w:trPr>
          <w:trHeight w:val="551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MDGs: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Millennium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Goals</w:t>
            </w:r>
          </w:p>
        </w:tc>
      </w:tr>
      <w:tr>
        <w:trPr>
          <w:trHeight w:val="552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GMAP: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Malaria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Action Plan</w:t>
            </w:r>
          </w:p>
        </w:tc>
      </w:tr>
      <w:tr>
        <w:trPr>
          <w:trHeight w:val="552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SDGs: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Sustainable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Goals</w:t>
            </w:r>
          </w:p>
        </w:tc>
      </w:tr>
      <w:tr>
        <w:trPr>
          <w:trHeight w:val="552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MP: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Malarial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Parasite</w:t>
            </w:r>
          </w:p>
        </w:tc>
      </w:tr>
      <w:tr>
        <w:trPr>
          <w:trHeight w:val="552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ACT: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Artemisinin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Combination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Therapy</w:t>
            </w:r>
          </w:p>
        </w:tc>
      </w:tr>
      <w:tr>
        <w:trPr>
          <w:trHeight w:val="552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LLIN: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Lasting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Insecticide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Nets</w:t>
            </w:r>
          </w:p>
        </w:tc>
      </w:tr>
      <w:tr>
        <w:trPr>
          <w:trHeight w:val="551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IPT: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Intermittent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Prevention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Treatment</w:t>
            </w:r>
          </w:p>
        </w:tc>
      </w:tr>
      <w:tr>
        <w:trPr>
          <w:trHeight w:val="552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ITNs: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Insecticide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Treated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Nets</w:t>
            </w:r>
          </w:p>
        </w:tc>
      </w:tr>
      <w:tr>
        <w:trPr>
          <w:trHeight w:val="552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WHO: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</w:tr>
      <w:tr>
        <w:trPr>
          <w:trHeight w:val="552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LGAs: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Areas</w:t>
            </w:r>
          </w:p>
        </w:tc>
      </w:tr>
      <w:tr>
        <w:trPr>
          <w:trHeight w:val="551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RDT: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Rapid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Diagnostic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</w:tr>
      <w:tr>
        <w:trPr>
          <w:trHeight w:val="552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CSP: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Circum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Sporozoite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Protein</w:t>
            </w:r>
          </w:p>
        </w:tc>
      </w:tr>
      <w:tr>
        <w:trPr>
          <w:trHeight w:val="551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DC: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Dendritic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Cell</w:t>
            </w:r>
          </w:p>
        </w:tc>
      </w:tr>
      <w:tr>
        <w:trPr>
          <w:trHeight w:val="552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EEFs: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Exo-Erythrocytic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Forms</w:t>
            </w:r>
          </w:p>
        </w:tc>
      </w:tr>
      <w:tr>
        <w:trPr>
          <w:trHeight w:val="552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ICAM-1: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Intracellular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Adhesion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Molecule-1</w:t>
            </w:r>
          </w:p>
        </w:tc>
      </w:tr>
      <w:tr>
        <w:trPr>
          <w:trHeight w:val="552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KC: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Killer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Cell</w:t>
            </w:r>
          </w:p>
        </w:tc>
      </w:tr>
      <w:tr>
        <w:trPr>
          <w:trHeight w:val="551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TNF: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Tumor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Necrotic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</w:tc>
      </w:tr>
      <w:tr>
        <w:trPr>
          <w:trHeight w:val="552" w:hRule="atLeast"/>
        </w:trPr>
        <w:tc>
          <w:tcPr>
            <w:tcW w:w="157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IL:</w:t>
            </w:r>
          </w:p>
        </w:tc>
        <w:tc>
          <w:tcPr>
            <w:tcW w:w="4463" w:type="dxa"/>
          </w:tcPr>
          <w:p>
            <w:pPr>
              <w:pStyle w:val="TableParagraph"/>
              <w:spacing w:before="133"/>
              <w:ind w:left="635"/>
              <w:rPr>
                <w:sz w:val="24"/>
              </w:rPr>
            </w:pPr>
            <w:r>
              <w:rPr>
                <w:sz w:val="24"/>
              </w:rPr>
              <w:t>Inter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Leukine</w:t>
            </w:r>
          </w:p>
        </w:tc>
      </w:tr>
      <w:tr>
        <w:trPr>
          <w:trHeight w:val="408" w:hRule="atLeast"/>
        </w:trPr>
        <w:tc>
          <w:tcPr>
            <w:tcW w:w="1575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INF:</w:t>
            </w:r>
          </w:p>
        </w:tc>
        <w:tc>
          <w:tcPr>
            <w:tcW w:w="4463" w:type="dxa"/>
          </w:tcPr>
          <w:p>
            <w:pPr>
              <w:pStyle w:val="TableParagraph"/>
              <w:spacing w:line="256" w:lineRule="exact" w:before="133"/>
              <w:ind w:left="635"/>
              <w:rPr>
                <w:sz w:val="24"/>
              </w:rPr>
            </w:pPr>
            <w:r>
              <w:rPr>
                <w:sz w:val="24"/>
              </w:rPr>
              <w:t>Interferon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5" w:top="1500" w:bottom="1200" w:left="0" w:right="180"/>
        </w:sectPr>
      </w:pPr>
    </w:p>
    <w:tbl>
      <w:tblPr>
        <w:tblW w:w="0" w:type="auto"/>
        <w:jc w:val="left"/>
        <w:tblInd w:w="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4"/>
        <w:gridCol w:w="5282"/>
      </w:tblGrid>
      <w:tr>
        <w:trPr>
          <w:trHeight w:val="409" w:hRule="atLeast"/>
        </w:trPr>
        <w:tc>
          <w:tcPr>
            <w:tcW w:w="1564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TTM:</w:t>
            </w:r>
          </w:p>
        </w:tc>
        <w:tc>
          <w:tcPr>
            <w:tcW w:w="5282" w:type="dxa"/>
          </w:tcPr>
          <w:p>
            <w:pPr>
              <w:pStyle w:val="TableParagraph"/>
              <w:spacing w:line="266" w:lineRule="exact"/>
              <w:ind w:left="646"/>
              <w:rPr>
                <w:sz w:val="24"/>
              </w:rPr>
            </w:pPr>
            <w:r>
              <w:rPr>
                <w:sz w:val="24"/>
              </w:rPr>
              <w:t>Transfusion-Transmitted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Malaria</w:t>
            </w:r>
          </w:p>
        </w:tc>
      </w:tr>
      <w:tr>
        <w:trPr>
          <w:trHeight w:val="552" w:hRule="atLeast"/>
        </w:trPr>
        <w:tc>
          <w:tcPr>
            <w:tcW w:w="156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HIV:</w:t>
            </w:r>
          </w:p>
        </w:tc>
        <w:tc>
          <w:tcPr>
            <w:tcW w:w="5282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z w:val="24"/>
              </w:rPr>
              <w:t>Human Immunodeficiency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Virus</w:t>
            </w:r>
          </w:p>
        </w:tc>
      </w:tr>
      <w:tr>
        <w:trPr>
          <w:trHeight w:val="551" w:hRule="atLeast"/>
        </w:trPr>
        <w:tc>
          <w:tcPr>
            <w:tcW w:w="156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PfHRP2:</w:t>
            </w:r>
          </w:p>
        </w:tc>
        <w:tc>
          <w:tcPr>
            <w:tcW w:w="5282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i/>
                <w:sz w:val="24"/>
              </w:rPr>
              <w:t>Plasmodium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falciparum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Histidine-Rich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Protein</w:t>
            </w:r>
          </w:p>
        </w:tc>
      </w:tr>
      <w:tr>
        <w:trPr>
          <w:trHeight w:val="552" w:hRule="atLeast"/>
        </w:trPr>
        <w:tc>
          <w:tcPr>
            <w:tcW w:w="156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PCR:</w:t>
            </w:r>
          </w:p>
        </w:tc>
        <w:tc>
          <w:tcPr>
            <w:tcW w:w="5282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z w:val="24"/>
              </w:rPr>
              <w:t>Polymerase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Reaction</w:t>
            </w:r>
          </w:p>
        </w:tc>
      </w:tr>
      <w:tr>
        <w:trPr>
          <w:trHeight w:val="551" w:hRule="atLeast"/>
        </w:trPr>
        <w:tc>
          <w:tcPr>
            <w:tcW w:w="156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LAMP:</w:t>
            </w:r>
          </w:p>
        </w:tc>
        <w:tc>
          <w:tcPr>
            <w:tcW w:w="5282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z w:val="24"/>
              </w:rPr>
              <w:t>Loop-Mediated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Isothermal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Amplification</w:t>
            </w:r>
          </w:p>
        </w:tc>
      </w:tr>
      <w:tr>
        <w:trPr>
          <w:trHeight w:val="552" w:hRule="atLeast"/>
        </w:trPr>
        <w:tc>
          <w:tcPr>
            <w:tcW w:w="156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ELISA:</w:t>
            </w:r>
          </w:p>
        </w:tc>
        <w:tc>
          <w:tcPr>
            <w:tcW w:w="5282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z w:val="24"/>
              </w:rPr>
              <w:t>Enzyme-Linked Immuno-Sorbent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Assay</w:t>
            </w:r>
          </w:p>
        </w:tc>
      </w:tr>
      <w:tr>
        <w:trPr>
          <w:trHeight w:val="552" w:hRule="atLeast"/>
        </w:trPr>
        <w:tc>
          <w:tcPr>
            <w:tcW w:w="156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IFA:</w:t>
            </w:r>
          </w:p>
        </w:tc>
        <w:tc>
          <w:tcPr>
            <w:tcW w:w="5282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z w:val="24"/>
              </w:rPr>
              <w:t>Immuno-Fluorescence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Assay</w:t>
            </w:r>
          </w:p>
        </w:tc>
      </w:tr>
      <w:tr>
        <w:trPr>
          <w:trHeight w:val="552" w:hRule="atLeast"/>
        </w:trPr>
        <w:tc>
          <w:tcPr>
            <w:tcW w:w="156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EDTA:</w:t>
            </w:r>
          </w:p>
        </w:tc>
        <w:tc>
          <w:tcPr>
            <w:tcW w:w="5282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z w:val="24"/>
              </w:rPr>
              <w:t>Ethylene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Diamine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Tetraacetic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552" w:hRule="atLeast"/>
        </w:trPr>
        <w:tc>
          <w:tcPr>
            <w:tcW w:w="156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SD:</w:t>
            </w:r>
          </w:p>
        </w:tc>
        <w:tc>
          <w:tcPr>
            <w:tcW w:w="5282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Diagnostic</w:t>
            </w:r>
          </w:p>
        </w:tc>
      </w:tr>
      <w:tr>
        <w:trPr>
          <w:trHeight w:val="552" w:hRule="atLeast"/>
        </w:trPr>
        <w:tc>
          <w:tcPr>
            <w:tcW w:w="156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HB:</w:t>
            </w:r>
          </w:p>
        </w:tc>
        <w:tc>
          <w:tcPr>
            <w:tcW w:w="5282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pacing w:val="10"/>
                <w:sz w:val="24"/>
              </w:rPr>
              <w:t>Haemoglobin</w:t>
            </w:r>
          </w:p>
        </w:tc>
      </w:tr>
      <w:tr>
        <w:trPr>
          <w:trHeight w:val="551" w:hRule="atLeast"/>
        </w:trPr>
        <w:tc>
          <w:tcPr>
            <w:tcW w:w="156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MCV:</w:t>
            </w:r>
          </w:p>
        </w:tc>
        <w:tc>
          <w:tcPr>
            <w:tcW w:w="5282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Cell</w:t>
            </w:r>
            <w:r>
              <w:rPr>
                <w:spacing w:val="47"/>
                <w:sz w:val="24"/>
              </w:rPr>
              <w:t> </w:t>
            </w:r>
            <w:r>
              <w:rPr>
                <w:spacing w:val="9"/>
                <w:sz w:val="24"/>
              </w:rPr>
              <w:t>Volume</w:t>
            </w:r>
          </w:p>
        </w:tc>
      </w:tr>
      <w:tr>
        <w:trPr>
          <w:trHeight w:val="552" w:hRule="atLeast"/>
        </w:trPr>
        <w:tc>
          <w:tcPr>
            <w:tcW w:w="156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WBC:</w:t>
            </w:r>
          </w:p>
        </w:tc>
        <w:tc>
          <w:tcPr>
            <w:tcW w:w="5282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pacing w:val="9"/>
                <w:sz w:val="24"/>
              </w:rPr>
              <w:t>White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9"/>
                <w:sz w:val="24"/>
              </w:rPr>
              <w:t>Cells</w:t>
            </w:r>
          </w:p>
        </w:tc>
      </w:tr>
      <w:tr>
        <w:trPr>
          <w:trHeight w:val="552" w:hRule="atLeast"/>
        </w:trPr>
        <w:tc>
          <w:tcPr>
            <w:tcW w:w="156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MCH:</w:t>
            </w:r>
          </w:p>
        </w:tc>
        <w:tc>
          <w:tcPr>
            <w:tcW w:w="5282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Cell</w:t>
            </w:r>
            <w:r>
              <w:rPr>
                <w:spacing w:val="48"/>
                <w:sz w:val="24"/>
              </w:rPr>
              <w:t> </w:t>
            </w:r>
            <w:r>
              <w:rPr>
                <w:spacing w:val="10"/>
                <w:sz w:val="24"/>
              </w:rPr>
              <w:t>Haemoglobin</w:t>
            </w:r>
          </w:p>
        </w:tc>
      </w:tr>
      <w:tr>
        <w:trPr>
          <w:trHeight w:val="552" w:hRule="atLeast"/>
        </w:trPr>
        <w:tc>
          <w:tcPr>
            <w:tcW w:w="1564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RBC:</w:t>
            </w:r>
          </w:p>
        </w:tc>
        <w:tc>
          <w:tcPr>
            <w:tcW w:w="5282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46"/>
                <w:sz w:val="24"/>
              </w:rPr>
              <w:t> </w:t>
            </w:r>
            <w:r>
              <w:rPr>
                <w:spacing w:val="9"/>
                <w:sz w:val="24"/>
              </w:rPr>
              <w:t>Cell</w:t>
            </w:r>
          </w:p>
        </w:tc>
      </w:tr>
      <w:tr>
        <w:trPr>
          <w:trHeight w:val="551" w:hRule="atLeast"/>
        </w:trPr>
        <w:tc>
          <w:tcPr>
            <w:tcW w:w="156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IRS:</w:t>
            </w:r>
          </w:p>
        </w:tc>
        <w:tc>
          <w:tcPr>
            <w:tcW w:w="5282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z w:val="24"/>
              </w:rPr>
              <w:t>Indoor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Residual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Spraying</w:t>
            </w:r>
          </w:p>
        </w:tc>
      </w:tr>
      <w:tr>
        <w:trPr>
          <w:trHeight w:val="552" w:hRule="atLeast"/>
        </w:trPr>
        <w:tc>
          <w:tcPr>
            <w:tcW w:w="156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IPTP:</w:t>
            </w:r>
          </w:p>
        </w:tc>
        <w:tc>
          <w:tcPr>
            <w:tcW w:w="5282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z w:val="24"/>
              </w:rPr>
              <w:t>Intermittent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Preventive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Pregnancy</w:t>
            </w:r>
          </w:p>
        </w:tc>
      </w:tr>
      <w:tr>
        <w:trPr>
          <w:trHeight w:val="408" w:hRule="atLeast"/>
        </w:trPr>
        <w:tc>
          <w:tcPr>
            <w:tcW w:w="1564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LSM:</w:t>
            </w:r>
          </w:p>
        </w:tc>
        <w:tc>
          <w:tcPr>
            <w:tcW w:w="5282" w:type="dxa"/>
          </w:tcPr>
          <w:p>
            <w:pPr>
              <w:pStyle w:val="TableParagraph"/>
              <w:spacing w:line="256" w:lineRule="exact" w:before="133"/>
              <w:ind w:left="646"/>
              <w:rPr>
                <w:sz w:val="24"/>
              </w:rPr>
            </w:pPr>
            <w:r>
              <w:rPr>
                <w:sz w:val="24"/>
              </w:rPr>
              <w:t>Larval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5" w:top="1440" w:bottom="1200" w:left="0" w:right="180"/>
        </w:sectPr>
      </w:pPr>
    </w:p>
    <w:p>
      <w:pPr>
        <w:pStyle w:val="Heading1"/>
        <w:spacing w:before="79"/>
        <w:ind w:left="1114" w:right="1381"/>
        <w:jc w:val="center"/>
      </w:pPr>
      <w:bookmarkStart w:name="_TOC_250043" w:id="4"/>
      <w:r>
        <w:rPr/>
        <w:t>CHAPTER</w:t>
      </w:r>
      <w:r>
        <w:rPr>
          <w:spacing w:val="-2"/>
        </w:rPr>
        <w:t> </w:t>
      </w:r>
      <w:bookmarkEnd w:id="4"/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7"/>
        </w:numPr>
        <w:tabs>
          <w:tab w:pos="4772" w:val="left" w:leader="none"/>
          <w:tab w:pos="4773" w:val="left" w:leader="none"/>
        </w:tabs>
        <w:spacing w:line="240" w:lineRule="auto" w:before="176" w:after="0"/>
        <w:ind w:left="4772" w:right="0" w:hanging="3782"/>
        <w:jc w:val="left"/>
      </w:pPr>
      <w:bookmarkStart w:name="_TOC_250042" w:id="5"/>
      <w:bookmarkEnd w:id="5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7"/>
        </w:numPr>
        <w:tabs>
          <w:tab w:pos="1711" w:val="left" w:leader="none"/>
          <w:tab w:pos="1712" w:val="left" w:leader="none"/>
        </w:tabs>
        <w:spacing w:line="240" w:lineRule="auto" w:before="179" w:after="0"/>
        <w:ind w:left="1711" w:right="0" w:hanging="721"/>
        <w:jc w:val="left"/>
      </w:pPr>
      <w:bookmarkStart w:name="_TOC_250041" w:id="6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6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91" w:right="1254"/>
        <w:jc w:val="both"/>
      </w:pPr>
      <w:r>
        <w:rPr/>
        <w:t>Malaria is a life threatening parasitic disease transmitted by female </w:t>
      </w:r>
      <w:r>
        <w:rPr>
          <w:i/>
        </w:rPr>
        <w:t>Anopheles </w:t>
      </w:r>
      <w:r>
        <w:rPr/>
        <w:t>mosquitoes (Millicent</w:t>
      </w:r>
      <w:r>
        <w:rPr>
          <w:spacing w:val="1"/>
        </w:rPr>
        <w:t> </w:t>
      </w:r>
      <w:r>
        <w:rPr/>
        <w:t>and Gabriel, 2015). It is the most highly prevalent tropical disease with high morbidity, mortality, and</w:t>
      </w:r>
      <w:r>
        <w:rPr>
          <w:spacing w:val="-57"/>
        </w:rPr>
        <w:t> </w:t>
      </w:r>
      <w:r>
        <w:rPr/>
        <w:t>with high economic and social impact (Dawaki </w:t>
      </w:r>
      <w:r>
        <w:rPr>
          <w:i/>
        </w:rPr>
        <w:t>et al</w:t>
      </w:r>
      <w:r>
        <w:rPr/>
        <w:t>., 2016). The parasite attacks and destroys the red</w:t>
      </w:r>
      <w:r>
        <w:rPr>
          <w:spacing w:val="-57"/>
        </w:rPr>
        <w:t> </w:t>
      </w:r>
      <w:r>
        <w:rPr/>
        <w:t>blood cell and may</w:t>
      </w:r>
      <w:r>
        <w:rPr>
          <w:spacing w:val="-5"/>
        </w:rPr>
        <w:t> </w:t>
      </w:r>
      <w:r>
        <w:rPr/>
        <w:t>affect vital body</w:t>
      </w:r>
      <w:r>
        <w:rPr>
          <w:spacing w:val="-5"/>
        </w:rPr>
        <w:t> </w:t>
      </w:r>
      <w:r>
        <w:rPr/>
        <w:t>organs like</w:t>
      </w:r>
      <w:r>
        <w:rPr>
          <w:spacing w:val="-1"/>
        </w:rPr>
        <w:t> </w:t>
      </w:r>
      <w:r>
        <w:rPr/>
        <w:t>brain, liver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kidneys (Etusim</w:t>
      </w:r>
      <w:r>
        <w:rPr>
          <w:spacing w:val="1"/>
        </w:rPr>
        <w:t>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spacing w:line="480" w:lineRule="auto" w:before="200"/>
        <w:ind w:left="991" w:right="1251"/>
        <w:jc w:val="both"/>
      </w:pPr>
      <w:r>
        <w:rPr/>
        <w:t>Malaria remains a major public health problem in</w:t>
      </w:r>
      <w:r>
        <w:rPr>
          <w:spacing w:val="60"/>
        </w:rPr>
        <w:t> </w:t>
      </w:r>
      <w:r>
        <w:rPr/>
        <w:t>some countries of the world, with Africa bearing</w:t>
      </w:r>
      <w:r>
        <w:rPr>
          <w:spacing w:val="1"/>
        </w:rPr>
        <w:t> </w:t>
      </w:r>
      <w:r>
        <w:rPr/>
        <w:t>the larger burden and Nigeria still bearing a high percentage in Africa in spite of interventions from</w:t>
      </w:r>
      <w:r>
        <w:rPr>
          <w:spacing w:val="1"/>
        </w:rPr>
        <w:t> </w:t>
      </w:r>
      <w:r>
        <w:rPr/>
        <w:t>international organizations over the previous years to reduce the incidence and mortality rate. These</w:t>
      </w:r>
      <w:r>
        <w:rPr>
          <w:spacing w:val="1"/>
        </w:rPr>
        <w:t> </w:t>
      </w:r>
      <w:r>
        <w:rPr/>
        <w:t>intervention programs include Roll Back Malaria (RBM), Millennium Development Goals (MDGs),</w:t>
      </w:r>
      <w:r>
        <w:rPr>
          <w:spacing w:val="1"/>
        </w:rPr>
        <w:t> </w:t>
      </w:r>
      <w:r>
        <w:rPr/>
        <w:t>Global Malaria Action Plan (GMAP), Sustainable Development Goals (SDGs) and Global Technical</w:t>
      </w:r>
      <w:r>
        <w:rPr>
          <w:spacing w:val="1"/>
        </w:rPr>
        <w:t> </w:t>
      </w:r>
      <w:r>
        <w:rPr/>
        <w:t>Strategy for Malaria 2016-2030 (Edogun </w:t>
      </w:r>
      <w:r>
        <w:rPr>
          <w:i/>
        </w:rPr>
        <w:t>et al</w:t>
      </w:r>
      <w:r>
        <w:rPr/>
        <w:t>.. 2017; Aregbeshola and Khan, 2017). Tremendous</w:t>
      </w:r>
      <w:r>
        <w:rPr>
          <w:spacing w:val="1"/>
        </w:rPr>
        <w:t> </w:t>
      </w:r>
      <w:r>
        <w:rPr/>
        <w:t>gains have been made in the fight against malaria. This success has been attributed to the adoption of</w:t>
      </w:r>
      <w:r>
        <w:rPr>
          <w:spacing w:val="1"/>
        </w:rPr>
        <w:t> </w:t>
      </w:r>
      <w:r>
        <w:rPr/>
        <w:t>the artemisinin combination</w:t>
      </w:r>
      <w:r>
        <w:rPr>
          <w:spacing w:val="1"/>
        </w:rPr>
        <w:t> </w:t>
      </w:r>
      <w:r>
        <w:rPr/>
        <w:t>therapy (ACT) as</w:t>
      </w:r>
      <w:r>
        <w:rPr>
          <w:spacing w:val="1"/>
        </w:rPr>
        <w:t> </w:t>
      </w:r>
      <w:r>
        <w:rPr/>
        <w:t>first line drug treatment in</w:t>
      </w:r>
      <w:r>
        <w:rPr>
          <w:spacing w:val="60"/>
        </w:rPr>
        <w:t> </w:t>
      </w:r>
      <w:r>
        <w:rPr/>
        <w:t>malaria endemic regions</w:t>
      </w:r>
      <w:r>
        <w:rPr>
          <w:spacing w:val="1"/>
        </w:rPr>
        <w:t> </w:t>
      </w:r>
      <w:r>
        <w:rPr/>
        <w:t>and also the scale - up of intervention efforts such as the use of long lasting insecticide nets (LLIN),</w:t>
      </w:r>
      <w:r>
        <w:rPr>
          <w:spacing w:val="1"/>
        </w:rPr>
        <w:t> </w:t>
      </w:r>
      <w:r>
        <w:rPr/>
        <w:t>intermittent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(IPT)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pregnant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-57"/>
        </w:rPr>
        <w:t> </w:t>
      </w:r>
      <w:r>
        <w:rPr/>
        <w:t>importantly increased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(Aregbeshola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Khan,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gains,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remains a major health challenge in Nigeria with high morbidity and mortality. Malarial status as a</w:t>
      </w:r>
      <w:r>
        <w:rPr>
          <w:spacing w:val="1"/>
        </w:rPr>
        <w:t> </w:t>
      </w:r>
      <w:r>
        <w:rPr/>
        <w:t>major public health problem in Nigeria remains unchanged due to weak health system, high rate of</w:t>
      </w:r>
      <w:r>
        <w:rPr>
          <w:spacing w:val="1"/>
        </w:rPr>
        <w:t> </w:t>
      </w:r>
      <w:r>
        <w:rPr/>
        <w:t>poverty, poor</w:t>
      </w:r>
      <w:r>
        <w:rPr>
          <w:spacing w:val="1"/>
        </w:rPr>
        <w:t> </w:t>
      </w:r>
      <w:r>
        <w:rPr/>
        <w:t>investment in the health of the Nigerian population by governments at all levels and</w:t>
      </w:r>
      <w:r>
        <w:rPr>
          <w:spacing w:val="1"/>
        </w:rPr>
        <w:t> </w:t>
      </w:r>
      <w:r>
        <w:rPr/>
        <w:t>inequitable</w:t>
      </w:r>
      <w:r>
        <w:rPr>
          <w:spacing w:val="24"/>
        </w:rPr>
        <w:t> </w:t>
      </w:r>
      <w:r>
        <w:rPr/>
        <w:t>access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quality</w:t>
      </w:r>
      <w:r>
        <w:rPr>
          <w:spacing w:val="18"/>
        </w:rPr>
        <w:t> </w:t>
      </w:r>
      <w:r>
        <w:rPr/>
        <w:t>health</w:t>
      </w:r>
      <w:r>
        <w:rPr>
          <w:spacing w:val="25"/>
        </w:rPr>
        <w:t> </w:t>
      </w:r>
      <w:r>
        <w:rPr/>
        <w:t>care</w:t>
      </w:r>
      <w:r>
        <w:rPr>
          <w:spacing w:val="23"/>
        </w:rPr>
        <w:t> </w:t>
      </w:r>
      <w:r>
        <w:rPr/>
        <w:t>services</w:t>
      </w:r>
      <w:r>
        <w:rPr>
          <w:spacing w:val="32"/>
        </w:rPr>
        <w:t> </w:t>
      </w:r>
      <w:r>
        <w:rPr/>
        <w:t>(White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25"/>
        </w:rPr>
        <w:t> </w:t>
      </w:r>
      <w:r>
        <w:rPr>
          <w:i/>
        </w:rPr>
        <w:t>al</w:t>
      </w:r>
      <w:r>
        <w:rPr/>
        <w:t>.,</w:t>
      </w:r>
      <w:r>
        <w:rPr>
          <w:spacing w:val="25"/>
        </w:rPr>
        <w:t> </w:t>
      </w:r>
      <w:r>
        <w:rPr/>
        <w:t>2011).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knowledge,</w:t>
      </w:r>
      <w:r>
        <w:rPr>
          <w:spacing w:val="25"/>
        </w:rPr>
        <w:t> </w:t>
      </w:r>
      <w:r>
        <w:rPr/>
        <w:t>attitude</w:t>
      </w:r>
      <w:r>
        <w:rPr>
          <w:spacing w:val="2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3"/>
        <w:jc w:val="both"/>
      </w:pPr>
      <w:r>
        <w:rPr/>
        <w:t>practices of households also contribute to the prevalence of malaria.</w:t>
      </w:r>
      <w:r>
        <w:rPr>
          <w:spacing w:val="1"/>
        </w:rPr>
        <w:t> </w:t>
      </w:r>
      <w:r>
        <w:rPr/>
        <w:t>Many households especially the</w:t>
      </w:r>
      <w:r>
        <w:rPr>
          <w:spacing w:val="1"/>
        </w:rPr>
        <w:t> </w:t>
      </w:r>
      <w:r>
        <w:rPr/>
        <w:t>vulnerable group which are children under 5 years of age, women and pregnant women still do not</w:t>
      </w:r>
      <w:r>
        <w:rPr>
          <w:spacing w:val="1"/>
        </w:rPr>
        <w:t> </w:t>
      </w:r>
      <w:r>
        <w:rPr/>
        <w:t>sleep under insecticide treated</w:t>
      </w:r>
      <w:r>
        <w:rPr>
          <w:spacing w:val="1"/>
        </w:rPr>
        <w:t> </w:t>
      </w:r>
      <w:r>
        <w:rPr/>
        <w:t>nets (ITNs) due to factors such as family size, level of education,</w:t>
      </w:r>
      <w:r>
        <w:rPr>
          <w:spacing w:val="1"/>
        </w:rPr>
        <w:t> </w:t>
      </w:r>
      <w:r>
        <w:rPr/>
        <w:t>gender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household</w:t>
      </w:r>
      <w:r>
        <w:rPr>
          <w:spacing w:val="59"/>
        </w:rPr>
        <w:t> </w:t>
      </w:r>
      <w:r>
        <w:rPr/>
        <w:t>head,</w:t>
      </w:r>
      <w:r>
        <w:rPr>
          <w:spacing w:val="58"/>
        </w:rPr>
        <w:t> </w:t>
      </w:r>
      <w:r>
        <w:rPr/>
        <w:t>place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residence,</w:t>
      </w:r>
      <w:r>
        <w:rPr>
          <w:spacing w:val="58"/>
        </w:rPr>
        <w:t> </w:t>
      </w:r>
      <w:r>
        <w:rPr/>
        <w:t>geo-political</w:t>
      </w:r>
      <w:r>
        <w:rPr>
          <w:spacing w:val="59"/>
        </w:rPr>
        <w:t> </w:t>
      </w:r>
      <w:r>
        <w:rPr/>
        <w:t>zone,</w:t>
      </w:r>
      <w:r>
        <w:rPr>
          <w:spacing w:val="58"/>
        </w:rPr>
        <w:t> </w:t>
      </w:r>
      <w:r>
        <w:rPr/>
        <w:t>knowledge</w:t>
      </w:r>
      <w:r>
        <w:rPr>
          <w:spacing w:val="57"/>
        </w:rPr>
        <w:t> </w:t>
      </w:r>
      <w:r>
        <w:rPr/>
        <w:t>that</w:t>
      </w:r>
      <w:r>
        <w:rPr>
          <w:spacing w:val="2"/>
        </w:rPr>
        <w:t> </w:t>
      </w:r>
      <w:r>
        <w:rPr/>
        <w:t>ITNs</w:t>
      </w:r>
      <w:r>
        <w:rPr>
          <w:spacing w:val="59"/>
        </w:rPr>
        <w:t> </w:t>
      </w:r>
      <w:r>
        <w:rPr/>
        <w:t>prevent</w:t>
      </w:r>
      <w:r>
        <w:rPr>
          <w:spacing w:val="-58"/>
        </w:rPr>
        <w:t> </w:t>
      </w:r>
      <w:r>
        <w:rPr/>
        <w:t>malaria, and socio-economic status (Ezeama </w:t>
      </w:r>
      <w:r>
        <w:rPr>
          <w:i/>
        </w:rPr>
        <w:t>et al</w:t>
      </w:r>
      <w:r>
        <w:rPr/>
        <w:t>., 2014).</w:t>
      </w:r>
      <w:r>
        <w:rPr>
          <w:spacing w:val="1"/>
        </w:rPr>
        <w:t> </w:t>
      </w:r>
      <w:r>
        <w:rPr/>
        <w:t>A lot of households seek malaria treatment</w:t>
      </w:r>
      <w:r>
        <w:rPr>
          <w:spacing w:val="-57"/>
        </w:rPr>
        <w:t> </w:t>
      </w:r>
      <w:r>
        <w:rPr/>
        <w:t>in pharmacy stores and other types of places</w:t>
      </w:r>
      <w:r>
        <w:rPr>
          <w:spacing w:val="60"/>
        </w:rPr>
        <w:t> </w:t>
      </w:r>
      <w:r>
        <w:rPr/>
        <w:t>rather than public or private health facilities. This may</w:t>
      </w:r>
      <w:r>
        <w:rPr>
          <w:spacing w:val="1"/>
        </w:rPr>
        <w:t> </w:t>
      </w:r>
      <w:r>
        <w:rPr/>
        <w:t>be due to better accessibility and shorter waiting time.</w:t>
      </w:r>
      <w:r>
        <w:rPr>
          <w:spacing w:val="61"/>
        </w:rPr>
        <w:t> </w:t>
      </w:r>
      <w:r>
        <w:rPr/>
        <w:t>On the other hand, many caregivers and</w:t>
      </w:r>
      <w:r>
        <w:rPr>
          <w:spacing w:val="1"/>
        </w:rPr>
        <w:t> </w:t>
      </w:r>
      <w:r>
        <w:rPr/>
        <w:t>parents do not take their children for diagnostic testing.</w:t>
      </w:r>
      <w:r>
        <w:rPr>
          <w:spacing w:val="1"/>
        </w:rPr>
        <w:t> </w:t>
      </w:r>
      <w:r>
        <w:rPr/>
        <w:t>The disease reportedly accounts for an</w:t>
      </w:r>
      <w:r>
        <w:rPr>
          <w:spacing w:val="1"/>
        </w:rPr>
        <w:t> </w:t>
      </w:r>
      <w:r>
        <w:rPr/>
        <w:t>estimated 60% of outpatient hospital visits in Nigeria, 30% of hospitalizations, 30% of under-five</w:t>
      </w:r>
      <w:r>
        <w:rPr>
          <w:spacing w:val="1"/>
        </w:rPr>
        <w:t> </w:t>
      </w:r>
      <w:r>
        <w:rPr/>
        <w:t>mortalities, 25% of infant mortalities and 11% of maternal mortalities (Ali </w:t>
      </w:r>
      <w:r>
        <w:rPr>
          <w:i/>
        </w:rPr>
        <w:t>et al</w:t>
      </w:r>
      <w:r>
        <w:rPr/>
        <w:t>., 2017). Malaria is</w:t>
      </w:r>
      <w:r>
        <w:rPr>
          <w:spacing w:val="1"/>
        </w:rPr>
        <w:t> </w:t>
      </w:r>
      <w:r>
        <w:rPr/>
        <w:t>holo-endemic in Nigeria, with a steady transmission rate throughout the year which comprises of a</w:t>
      </w:r>
      <w:r>
        <w:rPr>
          <w:spacing w:val="1"/>
        </w:rPr>
        <w:t> </w:t>
      </w:r>
      <w:r>
        <w:rPr/>
        <w:t>distinctive rainy</w:t>
      </w:r>
      <w:r>
        <w:rPr>
          <w:spacing w:val="-3"/>
        </w:rPr>
        <w:t> </w:t>
      </w:r>
      <w:r>
        <w:rPr/>
        <w:t>and dry</w:t>
      </w:r>
      <w:r>
        <w:rPr>
          <w:spacing w:val="-3"/>
        </w:rPr>
        <w:t> </w:t>
      </w:r>
      <w:r>
        <w:rPr/>
        <w:t>season</w:t>
      </w:r>
      <w:r>
        <w:rPr>
          <w:spacing w:val="-1"/>
        </w:rPr>
        <w:t> </w:t>
      </w:r>
      <w:r>
        <w:rPr/>
        <w:t>(Millicent and Gabriel, 2015).</w:t>
      </w:r>
    </w:p>
    <w:p>
      <w:pPr>
        <w:pStyle w:val="BodyText"/>
        <w:spacing w:line="480" w:lineRule="auto" w:before="201"/>
        <w:ind w:left="991" w:right="1253"/>
        <w:jc w:val="both"/>
      </w:pPr>
      <w:r>
        <w:rPr/>
        <w:t>About</w:t>
      </w:r>
      <w:r>
        <w:rPr>
          <w:spacing w:val="1"/>
        </w:rPr>
        <w:t> </w:t>
      </w:r>
      <w:r>
        <w:rPr/>
        <w:t>51% of malaria cases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deaths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 occur in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villages</w:t>
      </w:r>
      <w:r>
        <w:rPr>
          <w:spacing w:val="1"/>
        </w:rPr>
        <w:t> </w:t>
      </w:r>
      <w:r>
        <w:rPr/>
        <w:t>away from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diagnostic or treatment facilities (WHO, 2010). Early diagnosis and prompt effective treatment 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cornerstone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interruption of parasite transmission by means of community-based anti-malarial treatment require an</w:t>
      </w:r>
      <w:r>
        <w:rPr>
          <w:spacing w:val="-57"/>
        </w:rPr>
        <w:t> </w:t>
      </w:r>
      <w:r>
        <w:rPr/>
        <w:t>accurate, rapid and practical method of diagnosis. Over the past years, developments in rapid field</w:t>
      </w:r>
      <w:r>
        <w:rPr>
          <w:spacing w:val="1"/>
        </w:rPr>
        <w:t> </w:t>
      </w:r>
      <w:r>
        <w:rPr/>
        <w:t>diagnostic techniques based on the demonstration of parasite antigens have opened new possibilities</w:t>
      </w:r>
      <w:r>
        <w:rPr>
          <w:spacing w:val="1"/>
        </w:rPr>
        <w:t> </w:t>
      </w:r>
      <w:r>
        <w:rPr/>
        <w:t>for improved rural malaria diagnosis that is independent of centralized diagnostic services.</w:t>
      </w:r>
      <w:r>
        <w:rPr>
          <w:spacing w:val="61"/>
        </w:rPr>
        <w:t> </w:t>
      </w:r>
      <w:r>
        <w:rPr/>
        <w:t>There</w:t>
      </w:r>
      <w:r>
        <w:rPr>
          <w:spacing w:val="1"/>
        </w:rPr>
        <w:t> </w:t>
      </w:r>
      <w:r>
        <w:rPr/>
        <w:t>have been a considerable number of reports about knowledge, attitudes, and practices relating to</w:t>
      </w:r>
      <w:r>
        <w:rPr>
          <w:spacing w:val="1"/>
        </w:rPr>
        <w:t> </w:t>
      </w:r>
      <w:r>
        <w:rPr/>
        <w:t>malaria and its control from different parts of Africa. In spite of the giant strands in the control of</w:t>
      </w:r>
      <w:r>
        <w:rPr>
          <w:spacing w:val="1"/>
        </w:rPr>
        <w:t> </w:t>
      </w:r>
      <w:r>
        <w:rPr/>
        <w:t>malaria, misconceptions concerning malaria still exist and that practices for the control of malaria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unsatisfactory.</w:t>
      </w:r>
      <w:r>
        <w:rPr>
          <w:spacing w:val="3"/>
        </w:rPr>
        <w:t> </w:t>
      </w:r>
      <w:r>
        <w:rPr/>
        <w:t>However,</w:t>
      </w:r>
      <w:r>
        <w:rPr>
          <w:spacing w:val="3"/>
        </w:rPr>
        <w:t> </w:t>
      </w:r>
      <w:r>
        <w:rPr/>
        <w:t>epidemiological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-1"/>
        </w:rPr>
        <w:t> </w:t>
      </w:r>
      <w:r>
        <w:rPr/>
        <w:t>are</w:t>
      </w:r>
      <w:r>
        <w:rPr>
          <w:spacing w:val="3"/>
        </w:rPr>
        <w:t> </w:t>
      </w:r>
      <w:r>
        <w:rPr/>
        <w:t>widely</w:t>
      </w:r>
      <w:r>
        <w:rPr>
          <w:spacing w:val="-2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/>
        <w:t>one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2"/>
        <w:jc w:val="both"/>
      </w:pPr>
      <w:r>
        <w:rPr/>
        <w:t>place to another (White </w:t>
      </w:r>
      <w:r>
        <w:rPr>
          <w:i/>
        </w:rPr>
        <w:t>et al</w:t>
      </w:r>
      <w:r>
        <w:rPr/>
        <w:t>., 2011). Specific data of a place collected can help in the making of a</w:t>
      </w:r>
      <w:r>
        <w:rPr>
          <w:spacing w:val="1"/>
        </w:rPr>
        <w:t> </w:t>
      </w:r>
      <w:r>
        <w:rPr/>
        <w:t>design of improved programme for strategic malaria control for a particular location. There are</w:t>
      </w:r>
      <w:r>
        <w:rPr>
          <w:spacing w:val="1"/>
        </w:rPr>
        <w:t> </w:t>
      </w:r>
      <w:r>
        <w:rPr/>
        <w:t>available effective low-cost</w:t>
      </w:r>
      <w:r>
        <w:rPr>
          <w:spacing w:val="1"/>
        </w:rPr>
        <w:t> </w:t>
      </w:r>
      <w:r>
        <w:rPr/>
        <w:t>strategies for the treatment</w:t>
      </w:r>
      <w:r>
        <w:rPr>
          <w:spacing w:val="1"/>
        </w:rPr>
        <w:t> </w:t>
      </w:r>
      <w:r>
        <w:rPr/>
        <w:t>of malaria, but</w:t>
      </w:r>
      <w:r>
        <w:rPr>
          <w:spacing w:val="1"/>
        </w:rPr>
        <w:t> </w:t>
      </w:r>
      <w:r>
        <w:rPr/>
        <w:t>any attempt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control a</w:t>
      </w:r>
      <w:r>
        <w:rPr>
          <w:spacing w:val="1"/>
        </w:rPr>
        <w:t> </w:t>
      </w:r>
      <w:r>
        <w:rPr/>
        <w:t>disease such as malaria in an area or locality should first of all be preceded by an extensive evaluation</w:t>
      </w:r>
      <w:r>
        <w:rPr>
          <w:spacing w:val="-57"/>
        </w:rPr>
        <w:t> </w:t>
      </w:r>
      <w:r>
        <w:rPr/>
        <w:t>of the magnitude of the prevailing situation; a complete description of the health problems of the</w:t>
      </w:r>
      <w:r>
        <w:rPr>
          <w:spacing w:val="1"/>
        </w:rPr>
        <w:t> </w:t>
      </w:r>
      <w:r>
        <w:rPr/>
        <w:t>community comprising an account not only of the prevalence, but also of the community’s view of its</w:t>
      </w:r>
      <w:r>
        <w:rPr>
          <w:spacing w:val="-57"/>
        </w:rPr>
        <w:t> </w:t>
      </w:r>
      <w:r>
        <w:rPr/>
        <w:t>own</w:t>
      </w:r>
      <w:r>
        <w:rPr>
          <w:spacing w:val="-1"/>
        </w:rPr>
        <w:t> </w:t>
      </w:r>
      <w:r>
        <w:rPr/>
        <w:t>problems and its use</w:t>
      </w:r>
      <w:r>
        <w:rPr>
          <w:spacing w:val="1"/>
        </w:rPr>
        <w:t> </w:t>
      </w:r>
      <w:r>
        <w:rPr/>
        <w:t>of existing</w:t>
      </w:r>
      <w:r>
        <w:rPr>
          <w:spacing w:val="-2"/>
        </w:rPr>
        <w:t> </w:t>
      </w:r>
      <w:r>
        <w:rPr/>
        <w:t>health</w:t>
      </w:r>
      <w:r>
        <w:rPr>
          <w:spacing w:val="2"/>
        </w:rPr>
        <w:t> </w:t>
      </w:r>
      <w:r>
        <w:rPr/>
        <w:t>services.</w:t>
      </w:r>
    </w:p>
    <w:p>
      <w:pPr>
        <w:pStyle w:val="BodyText"/>
        <w:spacing w:line="480" w:lineRule="auto" w:before="200"/>
        <w:ind w:left="991" w:right="1253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intervention,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 must be based upon proper epidemiological analysis and application of interventions</w:t>
      </w:r>
      <w:r>
        <w:rPr>
          <w:spacing w:val="1"/>
        </w:rPr>
        <w:t> </w:t>
      </w:r>
      <w:r>
        <w:rPr/>
        <w:t>that address specific needs of localities and countries (Dawaki </w:t>
      </w:r>
      <w:r>
        <w:rPr>
          <w:i/>
        </w:rPr>
        <w:t>et al</w:t>
      </w:r>
      <w:r>
        <w:rPr/>
        <w:t>., 2016). There is thus the need to</w:t>
      </w:r>
      <w:r>
        <w:rPr>
          <w:spacing w:val="1"/>
        </w:rPr>
        <w:t> </w:t>
      </w:r>
      <w:r>
        <w:rPr/>
        <w:t>complement the current research agenda primarily directed towards reducing morbidity and mortality,</w:t>
      </w:r>
      <w:r>
        <w:rPr>
          <w:spacing w:val="-57"/>
        </w:rPr>
        <w:t> </w:t>
      </w:r>
      <w:r>
        <w:rPr/>
        <w:t>with one; that aims to identify key knowledge gaps and will define the strategies and tools that will</w:t>
      </w:r>
      <w:r>
        <w:rPr>
          <w:spacing w:val="1"/>
        </w:rPr>
        <w:t> </w:t>
      </w:r>
      <w:r>
        <w:rPr/>
        <w:t>result in further reduction in the burden of malaria. Operational research is one of the approaches for</w:t>
      </w:r>
      <w:r>
        <w:rPr>
          <w:spacing w:val="1"/>
        </w:rPr>
        <w:t> </w:t>
      </w:r>
      <w:r>
        <w:rPr/>
        <w:t>identifying gaps and areas of malaria control that need to be enhanced as well as for evaluating</w:t>
      </w:r>
      <w:r>
        <w:rPr>
          <w:spacing w:val="1"/>
        </w:rPr>
        <w:t> </w:t>
      </w:r>
      <w:r>
        <w:rPr/>
        <w:t>effectiveness of intervention for possible scale up. Operational research as defined by Ajayi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(2017) is the search for knowledge on interventions, strategies, or tools that can enhance the quality,</w:t>
      </w:r>
      <w:r>
        <w:rPr>
          <w:spacing w:val="1"/>
        </w:rPr>
        <w:t> </w:t>
      </w:r>
      <w:r>
        <w:rPr/>
        <w:t>effectiveness, or coverage of programmes in which the research is being done. Employing malaria</w:t>
      </w:r>
      <w:r>
        <w:rPr>
          <w:spacing w:val="1"/>
        </w:rPr>
        <w:t> </w:t>
      </w:r>
      <w:r>
        <w:rPr/>
        <w:t>operational research (MOR) findings in the planning of national malaria control programmes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gaining increased attention. Operational research can be very instrumental in providing answers to</w:t>
      </w:r>
      <w:r>
        <w:rPr>
          <w:spacing w:val="1"/>
        </w:rPr>
        <w:t> </w:t>
      </w:r>
      <w:r>
        <w:rPr/>
        <w:t>what changes, where, why, when and how these changes should be implemented to ensure smooth</w:t>
      </w:r>
      <w:r>
        <w:rPr>
          <w:spacing w:val="1"/>
        </w:rPr>
        <w:t> </w:t>
      </w:r>
      <w:r>
        <w:rPr/>
        <w:t>transition from control to elimination (Maduka, 2018). However, malaria operational research has</w:t>
      </w:r>
      <w:r>
        <w:rPr>
          <w:spacing w:val="1"/>
        </w:rPr>
        <w:t> </w:t>
      </w:r>
      <w:r>
        <w:rPr/>
        <w:t>continued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receive</w:t>
      </w:r>
      <w:r>
        <w:rPr>
          <w:spacing w:val="44"/>
        </w:rPr>
        <w:t> </w:t>
      </w:r>
      <w:r>
        <w:rPr/>
        <w:t>little</w:t>
      </w:r>
      <w:r>
        <w:rPr>
          <w:spacing w:val="43"/>
        </w:rPr>
        <w:t> </w:t>
      </w:r>
      <w:r>
        <w:rPr/>
        <w:t>attention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relevance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ones</w:t>
      </w:r>
      <w:r>
        <w:rPr>
          <w:spacing w:val="45"/>
        </w:rPr>
        <w:t> </w:t>
      </w:r>
      <w:r>
        <w:rPr/>
        <w:t>being</w:t>
      </w:r>
      <w:r>
        <w:rPr>
          <w:spacing w:val="45"/>
        </w:rPr>
        <w:t> </w:t>
      </w:r>
      <w:r>
        <w:rPr/>
        <w:t>conducted</w:t>
      </w:r>
      <w:r>
        <w:rPr>
          <w:spacing w:val="43"/>
        </w:rPr>
        <w:t> </w:t>
      </w:r>
      <w:r>
        <w:rPr/>
        <w:t>to</w:t>
      </w:r>
      <w:r>
        <w:rPr>
          <w:spacing w:val="45"/>
        </w:rPr>
        <w:t> </w:t>
      </w:r>
      <w:r>
        <w:rPr/>
        <w:t>ensure</w:t>
      </w:r>
      <w:r>
        <w:rPr>
          <w:spacing w:val="43"/>
        </w:rPr>
        <w:t> </w:t>
      </w:r>
      <w:r>
        <w:rPr/>
        <w:t>the</w:t>
      </w:r>
      <w:r>
        <w:rPr>
          <w:spacing w:val="-58"/>
        </w:rPr>
        <w:t> </w:t>
      </w:r>
      <w:r>
        <w:rPr/>
        <w:t>needed</w:t>
      </w:r>
      <w:r>
        <w:rPr>
          <w:spacing w:val="9"/>
        </w:rPr>
        <w:t> </w:t>
      </w:r>
      <w:r>
        <w:rPr/>
        <w:t>progress</w:t>
      </w:r>
      <w:r>
        <w:rPr>
          <w:spacing w:val="11"/>
        </w:rPr>
        <w:t> </w:t>
      </w:r>
      <w:r>
        <w:rPr/>
        <w:t>from</w:t>
      </w:r>
      <w:r>
        <w:rPr>
          <w:spacing w:val="10"/>
        </w:rPr>
        <w:t> </w:t>
      </w:r>
      <w:r>
        <w:rPr/>
        <w:t>malaria</w:t>
      </w:r>
      <w:r>
        <w:rPr>
          <w:spacing w:val="9"/>
        </w:rPr>
        <w:t> </w:t>
      </w:r>
      <w:r>
        <w:rPr/>
        <w:t>control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elimination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not</w:t>
      </w:r>
      <w:r>
        <w:rPr>
          <w:spacing w:val="11"/>
        </w:rPr>
        <w:t> </w:t>
      </w:r>
      <w:r>
        <w:rPr/>
        <w:t>certain.</w:t>
      </w:r>
      <w:r>
        <w:rPr>
          <w:spacing w:val="10"/>
        </w:rPr>
        <w:t> </w:t>
      </w:r>
      <w:r>
        <w:rPr/>
        <w:t>However,</w:t>
      </w:r>
      <w:r>
        <w:rPr>
          <w:spacing w:val="10"/>
        </w:rPr>
        <w:t> </w:t>
      </w:r>
      <w:r>
        <w:rPr/>
        <w:t>poor</w:t>
      </w:r>
      <w:r>
        <w:rPr>
          <w:spacing w:val="10"/>
        </w:rPr>
        <w:t> </w:t>
      </w:r>
      <w:r>
        <w:rPr/>
        <w:t>attention</w:t>
      </w:r>
      <w:r>
        <w:rPr>
          <w:spacing w:val="9"/>
        </w:rPr>
        <w:t> </w:t>
      </w:r>
      <w:r>
        <w:rPr/>
        <w:t>has</w:t>
      </w:r>
      <w:r>
        <w:rPr>
          <w:spacing w:val="11"/>
        </w:rPr>
        <w:t> </w:t>
      </w:r>
      <w:r>
        <w:rPr/>
        <w:t>been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7"/>
        <w:jc w:val="both"/>
      </w:pPr>
      <w:r>
        <w:rPr/>
        <w:t>paid to exploring the priority research topics by researchers and malaria control implementers in</w:t>
      </w:r>
      <w:r>
        <w:rPr>
          <w:spacing w:val="1"/>
        </w:rPr>
        <w:t> </w:t>
      </w:r>
      <w:r>
        <w:rPr/>
        <w:t>Nigeria (Ajayi </w:t>
      </w:r>
      <w:r>
        <w:rPr>
          <w:i/>
        </w:rPr>
        <w:t>et al</w:t>
      </w:r>
      <w:r>
        <w:rPr/>
        <w:t>., 2017). The challenging question faced by the world is whether we are winning</w:t>
      </w:r>
      <w:r>
        <w:rPr>
          <w:spacing w:val="1"/>
        </w:rPr>
        <w:t> </w:t>
      </w:r>
      <w:r>
        <w:rPr/>
        <w:t>the war against malaria or is malaria winning the war? The findings of this study will be useful in</w:t>
      </w:r>
      <w:r>
        <w:rPr>
          <w:spacing w:val="1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malaria operational</w:t>
      </w:r>
      <w:r>
        <w:rPr>
          <w:spacing w:val="-1"/>
        </w:rPr>
        <w:t> </w:t>
      </w:r>
      <w:r>
        <w:rPr/>
        <w:t>research agenda</w:t>
      </w:r>
      <w:r>
        <w:rPr>
          <w:spacing w:val="-2"/>
        </w:rPr>
        <w:t> </w:t>
      </w:r>
      <w:r>
        <w:rPr/>
        <w:t>towards eliminating</w:t>
      </w:r>
      <w:r>
        <w:rPr>
          <w:spacing w:val="-4"/>
        </w:rPr>
        <w:t> </w:t>
      </w:r>
      <w:r>
        <w:rPr/>
        <w:t>malaria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nation.</w:t>
      </w:r>
    </w:p>
    <w:p>
      <w:pPr>
        <w:pStyle w:val="Heading1"/>
        <w:numPr>
          <w:ilvl w:val="1"/>
          <w:numId w:val="7"/>
        </w:numPr>
        <w:tabs>
          <w:tab w:pos="1712" w:val="left" w:leader="none"/>
        </w:tabs>
        <w:spacing w:line="240" w:lineRule="auto" w:before="207" w:after="0"/>
        <w:ind w:left="1711" w:right="0" w:hanging="721"/>
        <w:jc w:val="both"/>
      </w:pPr>
      <w:bookmarkStart w:name="_TOC_250040" w:id="7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7"/>
      <w:r>
        <w:rPr/>
        <w:t>Research 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991" w:right="1256"/>
        <w:jc w:val="both"/>
      </w:pP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malaria-related</w:t>
      </w:r>
      <w:r>
        <w:rPr>
          <w:spacing w:val="1"/>
        </w:rPr>
        <w:t> </w:t>
      </w:r>
      <w:r>
        <w:rPr/>
        <w:t>morbidity and mortality to zero level by the year 2020, but has so far been unable to achieve this as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target</w:t>
      </w:r>
      <w:r>
        <w:rPr>
          <w:spacing w:val="5"/>
        </w:rPr>
        <w:t> </w:t>
      </w:r>
      <w:r>
        <w:rPr/>
        <w:t>year</w:t>
      </w:r>
      <w:r>
        <w:rPr>
          <w:spacing w:val="-2"/>
        </w:rPr>
        <w:t> </w:t>
      </w:r>
      <w:r>
        <w:rPr/>
        <w:t>is here</w:t>
      </w:r>
      <w:r>
        <w:rPr>
          <w:spacing w:val="-2"/>
        </w:rPr>
        <w:t> </w:t>
      </w:r>
      <w:r>
        <w:rPr/>
        <w:t>with us</w:t>
      </w:r>
      <w:r>
        <w:rPr>
          <w:spacing w:val="-1"/>
        </w:rPr>
        <w:t> </w:t>
      </w:r>
      <w:r>
        <w:rPr/>
        <w:t>and as such,</w:t>
      </w:r>
      <w:r>
        <w:rPr>
          <w:spacing w:val="-1"/>
        </w:rPr>
        <w:t> </w:t>
      </w:r>
      <w:r>
        <w:rPr/>
        <w:t>malaria is</w:t>
      </w:r>
      <w:r>
        <w:rPr>
          <w:spacing w:val="-1"/>
        </w:rPr>
        <w:t> </w:t>
      </w:r>
      <w:r>
        <w:rPr/>
        <w:t>still a</w:t>
      </w:r>
      <w:r>
        <w:rPr>
          <w:spacing w:val="-2"/>
        </w:rPr>
        <w:t> </w:t>
      </w:r>
      <w:r>
        <w:rPr/>
        <w:t>serious issue</w:t>
      </w:r>
      <w:r>
        <w:rPr>
          <w:spacing w:val="-2"/>
        </w:rPr>
        <w:t> </w:t>
      </w:r>
      <w:r>
        <w:rPr/>
        <w:t>of concern in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health.</w:t>
      </w:r>
    </w:p>
    <w:p>
      <w:pPr>
        <w:pStyle w:val="BodyText"/>
        <w:spacing w:line="480" w:lineRule="auto" w:before="192"/>
        <w:ind w:left="991" w:right="1253"/>
        <w:jc w:val="both"/>
      </w:pPr>
      <w:r>
        <w:rPr/>
        <w:t>Despite the 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malaria is</w:t>
      </w:r>
      <w:r>
        <w:rPr>
          <w:spacing w:val="1"/>
        </w:rPr>
        <w:t> </w:t>
      </w:r>
      <w:r>
        <w:rPr/>
        <w:t>a preventable and</w:t>
      </w:r>
      <w:r>
        <w:rPr>
          <w:spacing w:val="1"/>
        </w:rPr>
        <w:t> </w:t>
      </w:r>
      <w:r>
        <w:rPr/>
        <w:t>curable disease 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cheap, it is still one of the leading causes of death in Nigeria. Several cases of maternal mortality,</w:t>
      </w:r>
      <w:r>
        <w:rPr>
          <w:spacing w:val="1"/>
        </w:rPr>
        <w:t> </w:t>
      </w:r>
      <w:r>
        <w:rPr/>
        <w:t>infant mortality, abortive pregnancy, and low birth weight have been traced to malaria. Moreso, most</w:t>
      </w:r>
      <w:r>
        <w:rPr>
          <w:spacing w:val="1"/>
        </w:rPr>
        <w:t> </w:t>
      </w:r>
      <w:r>
        <w:rPr/>
        <w:t>of the rural communities and even some of the urban areas still lack the proper knowledge of the</w:t>
      </w:r>
      <w:r>
        <w:rPr>
          <w:spacing w:val="1"/>
        </w:rPr>
        <w:t> </w:t>
      </w:r>
      <w:r>
        <w:rPr/>
        <w:t>vectors responsible for transmitting the disease. They still keep stagnant water and bushes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serve</w:t>
      </w:r>
      <w:r>
        <w:rPr>
          <w:spacing w:val="-3"/>
        </w:rPr>
        <w:t> </w:t>
      </w:r>
      <w:r>
        <w:rPr/>
        <w:t>as breeding</w:t>
      </w:r>
      <w:r>
        <w:rPr>
          <w:spacing w:val="-1"/>
        </w:rPr>
        <w:t> </w:t>
      </w:r>
      <w:r>
        <w:rPr/>
        <w:t>areas for the</w:t>
      </w:r>
      <w:r>
        <w:rPr>
          <w:spacing w:val="-2"/>
        </w:rPr>
        <w:t> </w:t>
      </w:r>
      <w:r>
        <w:rPr/>
        <w:t>vector</w:t>
      </w:r>
      <w:r>
        <w:rPr>
          <w:spacing w:val="4"/>
        </w:rPr>
        <w:t> </w:t>
      </w:r>
      <w:r>
        <w:rPr/>
        <w:t>around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residence.</w:t>
      </w:r>
    </w:p>
    <w:p>
      <w:pPr>
        <w:pStyle w:val="Heading1"/>
        <w:numPr>
          <w:ilvl w:val="1"/>
          <w:numId w:val="7"/>
        </w:numPr>
        <w:tabs>
          <w:tab w:pos="1712" w:val="left" w:leader="none"/>
        </w:tabs>
        <w:spacing w:line="240" w:lineRule="auto" w:before="207" w:after="0"/>
        <w:ind w:left="1711" w:right="0" w:hanging="721"/>
        <w:jc w:val="both"/>
      </w:pPr>
      <w:bookmarkStart w:name="_TOC_250039" w:id="8"/>
      <w:r>
        <w:rPr/>
        <w:t>Justification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bookmarkEnd w:id="8"/>
      <w:r>
        <w:rPr/>
        <w:t>the 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991" w:right="1257"/>
        <w:jc w:val="both"/>
      </w:pPr>
      <w:r>
        <w:rPr/>
        <w:t>Over the years there has been intermittent rising and falling in malaria mortality. There is need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periodically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thereby 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policy making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of new intervention strategies that are</w:t>
      </w:r>
      <w:r>
        <w:rPr>
          <w:spacing w:val="-1"/>
        </w:rPr>
        <w:t> </w:t>
      </w:r>
      <w:r>
        <w:rPr/>
        <w:t>locality</w:t>
      </w:r>
      <w:r>
        <w:rPr>
          <w:spacing w:val="-5"/>
        </w:rPr>
        <w:t> </w:t>
      </w:r>
      <w:r>
        <w:rPr/>
        <w:t>based.</w:t>
      </w:r>
    </w:p>
    <w:p>
      <w:pPr>
        <w:pStyle w:val="BodyText"/>
        <w:spacing w:line="480" w:lineRule="auto" w:before="194"/>
        <w:ind w:left="991" w:right="1253"/>
        <w:jc w:val="both"/>
      </w:pPr>
      <w:r>
        <w:rPr/>
        <w:t>Prevalence studies and other community based malaria surveys are important tools for assessing the</w:t>
      </w:r>
      <w:r>
        <w:rPr>
          <w:spacing w:val="1"/>
        </w:rPr>
        <w:t> </w:t>
      </w:r>
      <w:r>
        <w:rPr/>
        <w:t>impact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effectiveness</w:t>
      </w:r>
      <w:r>
        <w:rPr>
          <w:spacing w:val="30"/>
        </w:rPr>
        <w:t> </w:t>
      </w:r>
      <w:r>
        <w:rPr/>
        <w:t>of</w:t>
      </w:r>
      <w:r>
        <w:rPr>
          <w:spacing w:val="25"/>
        </w:rPr>
        <w:t> </w:t>
      </w:r>
      <w:r>
        <w:rPr/>
        <w:t>malaria</w:t>
      </w:r>
      <w:r>
        <w:rPr>
          <w:spacing w:val="25"/>
        </w:rPr>
        <w:t> </w:t>
      </w:r>
      <w:r>
        <w:rPr/>
        <w:t>control</w:t>
      </w:r>
      <w:r>
        <w:rPr>
          <w:spacing w:val="27"/>
        </w:rPr>
        <w:t> </w:t>
      </w:r>
      <w:r>
        <w:rPr/>
        <w:t>measures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programmes</w:t>
      </w:r>
      <w:r>
        <w:rPr>
          <w:spacing w:val="26"/>
        </w:rPr>
        <w:t> </w:t>
      </w:r>
      <w:r>
        <w:rPr/>
        <w:t>at</w:t>
      </w:r>
      <w:r>
        <w:rPr>
          <w:spacing w:val="29"/>
        </w:rPr>
        <w:t> </w:t>
      </w:r>
      <w:r>
        <w:rPr/>
        <w:t>local</w:t>
      </w:r>
      <w:r>
        <w:rPr>
          <w:spacing w:val="28"/>
        </w:rPr>
        <w:t> </w:t>
      </w:r>
      <w:r>
        <w:rPr/>
        <w:t>and</w:t>
      </w:r>
      <w:r>
        <w:rPr>
          <w:spacing w:val="26"/>
        </w:rPr>
        <w:t> </w:t>
      </w:r>
      <w:r>
        <w:rPr/>
        <w:t>national</w:t>
      </w:r>
      <w:r>
        <w:rPr>
          <w:spacing w:val="28"/>
        </w:rPr>
        <w:t> </w:t>
      </w:r>
      <w:r>
        <w:rPr/>
        <w:t>levels.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2" w:lineRule="auto" w:before="72"/>
        <w:ind w:left="991" w:right="1255"/>
        <w:jc w:val="both"/>
      </w:pPr>
      <w:r>
        <w:rPr/>
        <w:t>This research will help in determining current malaria burden</w:t>
      </w:r>
      <w:r>
        <w:rPr>
          <w:spacing w:val="60"/>
        </w:rPr>
        <w:t> </w:t>
      </w:r>
      <w:r>
        <w:rPr/>
        <w:t>in the study areas. Apart from cases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reported to hospitals there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records</w:t>
      </w:r>
      <w:r>
        <w:rPr>
          <w:spacing w:val="1"/>
        </w:rPr>
        <w:t> </w:t>
      </w:r>
      <w:r>
        <w:rPr/>
        <w:t>of field surveys of malaria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areas.</w:t>
      </w:r>
    </w:p>
    <w:p>
      <w:pPr>
        <w:pStyle w:val="Heading1"/>
        <w:numPr>
          <w:ilvl w:val="1"/>
          <w:numId w:val="7"/>
        </w:numPr>
        <w:tabs>
          <w:tab w:pos="1712" w:val="left" w:leader="none"/>
        </w:tabs>
        <w:spacing w:line="240" w:lineRule="auto" w:before="201" w:after="0"/>
        <w:ind w:left="1711" w:right="0" w:hanging="721"/>
        <w:jc w:val="both"/>
      </w:pPr>
      <w:bookmarkStart w:name="_TOC_250038" w:id="9"/>
      <w:r>
        <w:rPr/>
        <w:t>Aim</w:t>
      </w:r>
      <w:r>
        <w:rPr>
          <w:spacing w:val="-5"/>
        </w:rPr>
        <w:t> </w:t>
      </w:r>
      <w:r>
        <w:rPr/>
        <w:t>and Objectives of</w:t>
      </w:r>
      <w:r>
        <w:rPr>
          <w:spacing w:val="1"/>
        </w:rPr>
        <w:t> </w:t>
      </w:r>
      <w:bookmarkEnd w:id="9"/>
      <w:r>
        <w:rPr/>
        <w:t>the 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991" w:right="1252"/>
        <w:jc w:val="both"/>
      </w:pPr>
      <w:r>
        <w:rPr/>
        <w:t>The aim of this study was to determine the prevalence of malaria burden and haematological profile</w:t>
      </w:r>
      <w:r>
        <w:rPr>
          <w:spacing w:val="1"/>
        </w:rPr>
        <w:t> </w:t>
      </w:r>
      <w:r>
        <w:rPr/>
        <w:t>among women and children attending selected government health</w:t>
      </w:r>
      <w:r>
        <w:rPr>
          <w:spacing w:val="60"/>
        </w:rPr>
        <w:t> </w:t>
      </w:r>
      <w:r>
        <w:rPr/>
        <w:t>facilities in Bosso and Paikoro</w:t>
      </w:r>
      <w:r>
        <w:rPr>
          <w:spacing w:val="1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 areas</w:t>
      </w:r>
      <w:r>
        <w:rPr>
          <w:spacing w:val="2"/>
        </w:rPr>
        <w:t> </w:t>
      </w:r>
      <w:r>
        <w:rPr/>
        <w:t>(LGAs)</w:t>
      </w:r>
      <w:r>
        <w:rPr>
          <w:spacing w:val="1"/>
        </w:rPr>
        <w:t> </w:t>
      </w:r>
      <w:r>
        <w:rPr/>
        <w:t>of Niger</w:t>
      </w:r>
      <w:r>
        <w:rPr>
          <w:spacing w:val="-1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203"/>
        <w:ind w:left="991"/>
        <w:jc w:val="both"/>
      </w:pPr>
      <w:r>
        <w:rPr/>
        <w:t>The</w:t>
      </w:r>
      <w:r>
        <w:rPr>
          <w:spacing w:val="-3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 were</w:t>
      </w:r>
      <w:r>
        <w:rPr>
          <w:spacing w:val="-2"/>
        </w:rPr>
        <w:t> </w:t>
      </w:r>
      <w:r>
        <w:rPr/>
        <w:t>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712" w:val="left" w:leader="none"/>
        </w:tabs>
        <w:spacing w:line="480" w:lineRule="auto" w:before="174" w:after="0"/>
        <w:ind w:left="1711" w:right="1254" w:hanging="721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incidence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women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60"/>
          <w:sz w:val="24"/>
        </w:rPr>
        <w:t> </w:t>
      </w:r>
      <w:r>
        <w:rPr>
          <w:sz w:val="24"/>
        </w:rPr>
        <w:t>attending</w:t>
      </w:r>
      <w:r>
        <w:rPr>
          <w:spacing w:val="1"/>
          <w:sz w:val="24"/>
        </w:rPr>
        <w:t> </w:t>
      </w:r>
      <w:r>
        <w:rPr>
          <w:sz w:val="24"/>
        </w:rPr>
        <w:t>government health facilities in Bosso and Paikoro LGAs of Niger State using the Rapid</w:t>
      </w:r>
      <w:r>
        <w:rPr>
          <w:spacing w:val="1"/>
          <w:sz w:val="24"/>
        </w:rPr>
        <w:t> </w:t>
      </w:r>
      <w:r>
        <w:rPr>
          <w:sz w:val="24"/>
        </w:rPr>
        <w:t>diagnostic</w:t>
      </w:r>
      <w:r>
        <w:rPr>
          <w:spacing w:val="-1"/>
          <w:sz w:val="24"/>
        </w:rPr>
        <w:t> </w:t>
      </w:r>
      <w:r>
        <w:rPr>
          <w:sz w:val="24"/>
        </w:rPr>
        <w:t>kit.</w:t>
      </w:r>
    </w:p>
    <w:p>
      <w:pPr>
        <w:pStyle w:val="ListParagraph"/>
        <w:numPr>
          <w:ilvl w:val="0"/>
          <w:numId w:val="8"/>
        </w:numPr>
        <w:tabs>
          <w:tab w:pos="1712" w:val="left" w:leader="none"/>
        </w:tabs>
        <w:spacing w:line="240" w:lineRule="auto" w:before="201" w:after="0"/>
        <w:ind w:left="1711" w:right="0" w:hanging="721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sensitivity</w:t>
      </w:r>
      <w:r>
        <w:rPr>
          <w:spacing w:val="-4"/>
          <w:sz w:val="24"/>
        </w:rPr>
        <w:t> </w:t>
      </w:r>
      <w:r>
        <w:rPr>
          <w:sz w:val="24"/>
        </w:rPr>
        <w:t>of rapid</w:t>
      </w:r>
      <w:r>
        <w:rPr>
          <w:spacing w:val="-1"/>
          <w:sz w:val="24"/>
        </w:rPr>
        <w:t> </w:t>
      </w:r>
      <w:r>
        <w:rPr>
          <w:sz w:val="24"/>
        </w:rPr>
        <w:t>diagnostic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cassette.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712" w:val="left" w:leader="none"/>
        </w:tabs>
        <w:spacing w:line="482" w:lineRule="auto" w:before="177" w:after="0"/>
        <w:ind w:left="1711" w:right="1255" w:hanging="721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haematological</w:t>
      </w:r>
      <w:r>
        <w:rPr>
          <w:spacing w:val="1"/>
          <w:sz w:val="24"/>
        </w:rPr>
        <w:t> </w:t>
      </w:r>
      <w:r>
        <w:rPr>
          <w:sz w:val="24"/>
        </w:rPr>
        <w:t>profiles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1"/>
          <w:sz w:val="24"/>
        </w:rPr>
        <w:t> </w:t>
      </w:r>
      <w:r>
        <w:rPr>
          <w:sz w:val="24"/>
        </w:rPr>
        <w:t>infected</w:t>
      </w:r>
      <w:r>
        <w:rPr>
          <w:spacing w:val="60"/>
          <w:sz w:val="24"/>
        </w:rPr>
        <w:t> </w:t>
      </w:r>
      <w:r>
        <w:rPr>
          <w:sz w:val="24"/>
        </w:rPr>
        <w:t>subjects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comparison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not infected with the</w:t>
      </w:r>
      <w:r>
        <w:rPr>
          <w:spacing w:val="-1"/>
          <w:sz w:val="24"/>
        </w:rPr>
        <w:t> </w:t>
      </w:r>
      <w:r>
        <w:rPr>
          <w:sz w:val="24"/>
        </w:rPr>
        <w:t>parasite.</w:t>
      </w:r>
    </w:p>
    <w:p>
      <w:pPr>
        <w:pStyle w:val="ListParagraph"/>
        <w:numPr>
          <w:ilvl w:val="0"/>
          <w:numId w:val="8"/>
        </w:numPr>
        <w:tabs>
          <w:tab w:pos="1711" w:val="left" w:leader="none"/>
          <w:tab w:pos="1712" w:val="left" w:leader="none"/>
        </w:tabs>
        <w:spacing w:line="240" w:lineRule="auto" w:before="196" w:after="0"/>
        <w:ind w:left="1711" w:right="0" w:hanging="721"/>
        <w:jc w:val="left"/>
        <w:rPr>
          <w:sz w:val="24"/>
        </w:rPr>
      </w:pPr>
      <w:r>
        <w:rPr>
          <w:sz w:val="24"/>
        </w:rPr>
        <w:t>relate</w:t>
      </w:r>
      <w:r>
        <w:rPr>
          <w:spacing w:val="-2"/>
          <w:sz w:val="24"/>
        </w:rPr>
        <w:t> </w:t>
      </w:r>
      <w:r>
        <w:rPr>
          <w:sz w:val="24"/>
        </w:rPr>
        <w:t>demographic factors to</w:t>
      </w:r>
      <w:r>
        <w:rPr>
          <w:spacing w:val="-1"/>
          <w:sz w:val="24"/>
        </w:rPr>
        <w:t> </w:t>
      </w:r>
      <w:r>
        <w:rPr>
          <w:sz w:val="24"/>
        </w:rPr>
        <w:t>the transmission of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Heading1"/>
        <w:spacing w:before="0"/>
        <w:ind w:left="1118" w:right="1381"/>
        <w:jc w:val="center"/>
      </w:pPr>
      <w:bookmarkStart w:name="_TOC_250037" w:id="10"/>
      <w:r>
        <w:rPr/>
        <w:t>CHAPTER</w:t>
      </w:r>
      <w:r>
        <w:rPr>
          <w:spacing w:val="-2"/>
        </w:rPr>
        <w:t> </w:t>
      </w:r>
      <w:bookmarkEnd w:id="10"/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9"/>
        </w:numPr>
        <w:tabs>
          <w:tab w:pos="4352" w:val="left" w:leader="none"/>
          <w:tab w:pos="4353" w:val="left" w:leader="none"/>
        </w:tabs>
        <w:spacing w:line="240" w:lineRule="auto" w:before="179" w:after="0"/>
        <w:ind w:left="4352" w:right="0" w:hanging="3362"/>
        <w:jc w:val="left"/>
      </w:pPr>
      <w:bookmarkStart w:name="_TOC_250036" w:id="11"/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11"/>
      <w:r>
        <w:rPr/>
        <w:t>LITERATURE</w:t>
      </w:r>
    </w:p>
    <w:p>
      <w:pPr>
        <w:spacing w:after="0" w:line="240" w:lineRule="auto"/>
        <w:jc w:val="left"/>
        <w:sectPr>
          <w:pgSz w:w="12240" w:h="15840"/>
          <w:pgMar w:header="0" w:footer="935" w:top="1360" w:bottom="1200" w:left="0" w:right="180"/>
        </w:sectPr>
      </w:pPr>
    </w:p>
    <w:p>
      <w:pPr>
        <w:pStyle w:val="Heading1"/>
        <w:numPr>
          <w:ilvl w:val="1"/>
          <w:numId w:val="9"/>
        </w:numPr>
        <w:tabs>
          <w:tab w:pos="1472" w:val="left" w:leader="none"/>
        </w:tabs>
        <w:spacing w:line="240" w:lineRule="auto" w:before="79" w:after="0"/>
        <w:ind w:left="1471" w:right="0" w:hanging="481"/>
        <w:jc w:val="left"/>
      </w:pPr>
      <w:r>
        <w:rPr/>
        <w:t>Overview</w:t>
      </w:r>
      <w:r>
        <w:rPr>
          <w:spacing w:val="-1"/>
        </w:rPr>
        <w:t> </w:t>
      </w:r>
      <w:r>
        <w:rPr/>
        <w:t>of Malaria</w:t>
      </w:r>
      <w:r>
        <w:rPr>
          <w:spacing w:val="-1"/>
        </w:rPr>
        <w:t> </w:t>
      </w:r>
      <w:r>
        <w:rPr/>
        <w:t>Parasite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91" w:right="1255"/>
        <w:jc w:val="both"/>
      </w:pPr>
      <w:r>
        <w:rPr/>
        <w:t>Malaria is a parasitic life threatening disease, resulting in the destruction of the red blood cells</w:t>
      </w:r>
      <w:r>
        <w:rPr>
          <w:spacing w:val="1"/>
        </w:rPr>
        <w:t> </w:t>
      </w:r>
      <w:r>
        <w:rPr/>
        <w:t>(Okechukwu </w:t>
      </w:r>
      <w:r>
        <w:rPr>
          <w:i/>
        </w:rPr>
        <w:t>et al</w:t>
      </w:r>
      <w:r>
        <w:rPr/>
        <w:t>., 2017). The term malaria originated from malaria which means bad air in Italian.</w:t>
      </w:r>
      <w:r>
        <w:rPr>
          <w:spacing w:val="1"/>
        </w:rPr>
        <w:t> </w:t>
      </w:r>
      <w:r>
        <w:rPr/>
        <w:t>The disease condition was named so because malaria was associated with wetlands (Tuteja, 2007).</w:t>
      </w:r>
      <w:r>
        <w:rPr>
          <w:spacing w:val="1"/>
        </w:rPr>
        <w:t> </w:t>
      </w:r>
      <w:r>
        <w:rPr/>
        <w:t>The scientific understanding of malaria started at the end of the 19th century when Charles Laveran, a</w:t>
      </w:r>
      <w:r>
        <w:rPr>
          <w:spacing w:val="-57"/>
        </w:rPr>
        <w:t> </w:t>
      </w:r>
      <w:r>
        <w:rPr/>
        <w:t>French army surgeon noticed that there were parasites in the blood of his patients. Malaria was</w:t>
      </w:r>
      <w:r>
        <w:rPr>
          <w:spacing w:val="1"/>
        </w:rPr>
        <w:t> </w:t>
      </w:r>
      <w:r>
        <w:rPr/>
        <w:t>discovered to be transmitted by mosquitoes by Dr. Ronald Ross, a British medical officer in India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Giovanni</w:t>
      </w:r>
      <w:r>
        <w:rPr>
          <w:spacing w:val="1"/>
        </w:rPr>
        <w:t> </w:t>
      </w:r>
      <w:r>
        <w:rPr/>
        <w:t>Battista</w:t>
      </w:r>
      <w:r>
        <w:rPr>
          <w:spacing w:val="1"/>
        </w:rPr>
        <w:t> </w:t>
      </w:r>
      <w:r>
        <w:rPr/>
        <w:t>Grassi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Anopheles</w:t>
      </w:r>
      <w:r>
        <w:rPr>
          <w:spacing w:val="1"/>
        </w:rPr>
        <w:t> </w:t>
      </w:r>
      <w:r>
        <w:rPr/>
        <w:t>Mosquitoes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(Tuteja,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480" w:lineRule="auto" w:before="200"/>
        <w:ind w:left="991" w:right="1253"/>
        <w:jc w:val="both"/>
      </w:pPr>
      <w:r>
        <w:rPr/>
        <w:t>Five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/>
        <w:t>plasmodium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malaria.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/>
        <w:t>,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vivax</w:t>
      </w:r>
      <w:r>
        <w:rPr/>
        <w:t>,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ovale</w:t>
      </w:r>
      <w:r>
        <w:rPr/>
        <w:t>,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malariae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Plasmodium knowlesi </w:t>
      </w:r>
      <w:r>
        <w:rPr/>
        <w:t>(Eledo and Sylvester 2018). </w:t>
      </w:r>
      <w:r>
        <w:rPr>
          <w:i/>
        </w:rPr>
        <w:t>Plasmodium falciparum </w:t>
      </w:r>
      <w:r>
        <w:rPr/>
        <w:t>is the predominant type in</w:t>
      </w:r>
      <w:r>
        <w:rPr>
          <w:spacing w:val="-57"/>
        </w:rPr>
        <w:t> </w:t>
      </w:r>
      <w:r>
        <w:rPr/>
        <w:t>many African countries and it causes the most deadly form of malaria (Kuta </w:t>
      </w:r>
      <w:r>
        <w:rPr>
          <w:i/>
        </w:rPr>
        <w:t>et al</w:t>
      </w:r>
      <w:r>
        <w:rPr/>
        <w:t>., 2014; Bawa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2014). During the process of sucking blood to nurture their eggs, malaria parasites are transmitted to</w:t>
      </w:r>
      <w:r>
        <w:rPr>
          <w:spacing w:val="1"/>
        </w:rPr>
        <w:t> </w:t>
      </w:r>
      <w:r>
        <w:rPr/>
        <w:t>humans from the bite of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anopheles mosquitoes. Malaria has</w:t>
      </w:r>
      <w:r>
        <w:rPr>
          <w:spacing w:val="1"/>
        </w:rPr>
        <w:t> </w:t>
      </w:r>
      <w:r>
        <w:rPr/>
        <w:t>a very complex</w:t>
      </w:r>
      <w:r>
        <w:rPr>
          <w:spacing w:val="60"/>
        </w:rPr>
        <w:t> </w:t>
      </w:r>
      <w:r>
        <w:rPr/>
        <w:t>life</w:t>
      </w:r>
      <w:r>
        <w:rPr>
          <w:spacing w:val="1"/>
        </w:rPr>
        <w:t> </w:t>
      </w:r>
      <w:r>
        <w:rPr/>
        <w:t>cycle, it starts when an infected anopheles mosquito injects sporozoites into the blood of its host. The</w:t>
      </w:r>
      <w:r>
        <w:rPr>
          <w:spacing w:val="1"/>
        </w:rPr>
        <w:t> </w:t>
      </w:r>
      <w:r>
        <w:rPr/>
        <w:t>sporozoites finds their way into the hepatocyte and multiplies in them, this matures and develops into</w:t>
      </w:r>
      <w:r>
        <w:rPr>
          <w:spacing w:val="1"/>
        </w:rPr>
        <w:t> </w:t>
      </w:r>
      <w:r>
        <w:rPr/>
        <w:t>merozoites. Merozoites launches attacks on the red blood cells and multiplication continues, due to</w:t>
      </w:r>
      <w:r>
        <w:rPr>
          <w:spacing w:val="1"/>
        </w:rPr>
        <w:t> </w:t>
      </w:r>
      <w:r>
        <w:rPr/>
        <w:t>invading of red blood cells and infection, they rupture causing the manifestation of symptoms arising</w:t>
      </w:r>
      <w:r>
        <w:rPr>
          <w:spacing w:val="1"/>
        </w:rPr>
        <w:t> </w:t>
      </w:r>
      <w:r>
        <w:rPr/>
        <w:t>from the disease. The parasite is taken up again by a mosquito that feeds on an infected host. It</w:t>
      </w:r>
      <w:r>
        <w:rPr>
          <w:spacing w:val="1"/>
        </w:rPr>
        <w:t> </w:t>
      </w:r>
      <w:r>
        <w:rPr/>
        <w:t>matures in the stomach of the mosquito and infects another host and the cycle continues (Tuteja,</w:t>
      </w:r>
      <w:r>
        <w:rPr>
          <w:spacing w:val="1"/>
        </w:rPr>
        <w:t> </w:t>
      </w:r>
      <w:r>
        <w:rPr/>
        <w:t>2007).</w:t>
      </w:r>
      <w:r>
        <w:rPr>
          <w:spacing w:val="37"/>
        </w:rPr>
        <w:t> </w:t>
      </w:r>
      <w:r>
        <w:rPr/>
        <w:t>Humans</w:t>
      </w:r>
      <w:r>
        <w:rPr>
          <w:spacing w:val="37"/>
        </w:rPr>
        <w:t> </w:t>
      </w:r>
      <w:r>
        <w:rPr/>
        <w:t>show</w:t>
      </w:r>
      <w:r>
        <w:rPr>
          <w:spacing w:val="36"/>
        </w:rPr>
        <w:t> </w:t>
      </w:r>
      <w:r>
        <w:rPr/>
        <w:t>symptoms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infection</w:t>
      </w:r>
      <w:r>
        <w:rPr>
          <w:spacing w:val="37"/>
        </w:rPr>
        <w:t> </w:t>
      </w:r>
      <w:r>
        <w:rPr/>
        <w:t>in</w:t>
      </w:r>
      <w:r>
        <w:rPr>
          <w:spacing w:val="32"/>
        </w:rPr>
        <w:t> </w:t>
      </w:r>
      <w:r>
        <w:rPr/>
        <w:t>humans</w:t>
      </w:r>
      <w:r>
        <w:rPr>
          <w:spacing w:val="36"/>
        </w:rPr>
        <w:t> </w:t>
      </w:r>
      <w:r>
        <w:rPr/>
        <w:t>appears</w:t>
      </w:r>
      <w:r>
        <w:rPr>
          <w:spacing w:val="36"/>
        </w:rPr>
        <w:t> </w:t>
      </w:r>
      <w:r>
        <w:rPr/>
        <w:t>approximately</w:t>
      </w:r>
      <w:r>
        <w:rPr>
          <w:spacing w:val="32"/>
        </w:rPr>
        <w:t> </w:t>
      </w:r>
      <w:r>
        <w:rPr/>
        <w:t>9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14</w:t>
      </w:r>
      <w:r>
        <w:rPr>
          <w:spacing w:val="37"/>
        </w:rPr>
        <w:t> </w:t>
      </w:r>
      <w:r>
        <w:rPr/>
        <w:t>days</w:t>
      </w:r>
      <w:r>
        <w:rPr>
          <w:spacing w:val="38"/>
        </w:rPr>
        <w:t> </w:t>
      </w:r>
      <w:r>
        <w:rPr/>
        <w:t>after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2" w:lineRule="auto" w:before="72"/>
        <w:ind w:left="991" w:right="1263"/>
        <w:jc w:val="both"/>
      </w:pPr>
      <w:r>
        <w:rPr/>
        <w:t>infected bite. The symptoms include fever, headache, joint pains, vomiting, loss of appetite, chills and</w:t>
      </w:r>
      <w:r>
        <w:rPr>
          <w:spacing w:val="-57"/>
        </w:rPr>
        <w:t> </w:t>
      </w:r>
      <w:r>
        <w:rPr/>
        <w:t>shivering</w:t>
      </w:r>
      <w:r>
        <w:rPr>
          <w:spacing w:val="-1"/>
        </w:rPr>
        <w:t> </w:t>
      </w:r>
      <w:r>
        <w:rPr/>
        <w:t>(Cox, 2002; Tuteja, 2007)</w:t>
      </w:r>
    </w:p>
    <w:p>
      <w:pPr>
        <w:pStyle w:val="Heading1"/>
        <w:numPr>
          <w:ilvl w:val="1"/>
          <w:numId w:val="9"/>
        </w:numPr>
        <w:tabs>
          <w:tab w:pos="1531" w:val="left" w:leader="none"/>
          <w:tab w:pos="1532" w:val="left" w:leader="none"/>
        </w:tabs>
        <w:spacing w:line="240" w:lineRule="auto" w:before="201" w:after="0"/>
        <w:ind w:left="1531" w:right="0" w:hanging="541"/>
        <w:jc w:val="left"/>
      </w:pPr>
      <w:bookmarkStart w:name="_TOC_250035" w:id="12"/>
      <w:r>
        <w:rPr/>
        <w:t>Life</w:t>
      </w:r>
      <w:r>
        <w:rPr>
          <w:spacing w:val="-3"/>
        </w:rPr>
        <w:t> </w:t>
      </w:r>
      <w:r>
        <w:rPr/>
        <w:t>Cycle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</w:t>
      </w:r>
      <w:r>
        <w:rPr>
          <w:spacing w:val="-1"/>
        </w:rPr>
        <w:t> </w:t>
      </w:r>
      <w:bookmarkEnd w:id="12"/>
      <w:r>
        <w:rPr/>
        <w:t>Parasites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991" w:right="1253"/>
        <w:jc w:val="both"/>
      </w:pPr>
      <w:r>
        <w:rPr/>
        <w:t>Malaria is caused by protozoan parasites belonging to </w:t>
      </w:r>
      <w:r>
        <w:rPr>
          <w:i/>
        </w:rPr>
        <w:t>Plasmodium </w:t>
      </w:r>
      <w:r>
        <w:rPr/>
        <w:t>species. (phylum </w:t>
      </w:r>
      <w:r>
        <w:rPr>
          <w:i/>
        </w:rPr>
        <w:t>Apicomplexa</w:t>
      </w:r>
      <w:r>
        <w:rPr/>
        <w:t>).</w:t>
      </w:r>
      <w:r>
        <w:rPr>
          <w:spacing w:val="1"/>
        </w:rPr>
        <w:t> </w:t>
      </w:r>
      <w:r>
        <w:rPr/>
        <w:t>The life cycle is quite complex consisting of the sexual reproduction stage (sporogonic phase) in</w:t>
      </w:r>
      <w:r>
        <w:rPr>
          <w:spacing w:val="1"/>
        </w:rPr>
        <w:t> </w:t>
      </w:r>
      <w:r>
        <w:rPr/>
        <w:t>invertebrate host (mosquitoes) and an asexual reproduction stage (schizogonic phase) in vertebrate</w:t>
      </w:r>
      <w:r>
        <w:rPr>
          <w:spacing w:val="1"/>
        </w:rPr>
        <w:t> </w:t>
      </w:r>
      <w:r>
        <w:rPr/>
        <w:t>host (man) (Verra </w:t>
      </w:r>
      <w:r>
        <w:rPr>
          <w:i/>
        </w:rPr>
        <w:t>et al</w:t>
      </w:r>
      <w:r>
        <w:rPr/>
        <w:t>., 2018). Transmission</w:t>
      </w:r>
      <w:r>
        <w:rPr>
          <w:spacing w:val="1"/>
        </w:rPr>
        <w:t> </w:t>
      </w:r>
      <w:r>
        <w:rPr/>
        <w:t>of the parasite to humans is through intravenous</w:t>
      </w:r>
      <w:r>
        <w:rPr>
          <w:spacing w:val="1"/>
        </w:rPr>
        <w:t> </w:t>
      </w:r>
      <w:r>
        <w:rPr/>
        <w:t>injection of sporozoites by the bite of an infected female Anopheline mosquito during blood meal.</w:t>
      </w:r>
      <w:r>
        <w:rPr>
          <w:spacing w:val="1"/>
        </w:rPr>
        <w:t> </w:t>
      </w:r>
      <w:r>
        <w:rPr/>
        <w:t>Subsequently, malaria transmission can also occur through transfusion of infected blood and also</w:t>
      </w:r>
      <w:r>
        <w:rPr>
          <w:spacing w:val="1"/>
        </w:rPr>
        <w:t> </w:t>
      </w:r>
      <w:r>
        <w:rPr/>
        <w:t>congenital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(Okocha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Okonofua,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inoculation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sporozoites,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quickly</w:t>
      </w:r>
      <w:r>
        <w:rPr>
          <w:spacing w:val="1"/>
        </w:rPr>
        <w:t> </w:t>
      </w:r>
      <w:r>
        <w:rPr/>
        <w:t>invade</w:t>
      </w:r>
      <w:r>
        <w:rPr>
          <w:spacing w:val="1"/>
        </w:rPr>
        <w:t> </w:t>
      </w:r>
      <w:r>
        <w:rPr/>
        <w:t>hepatocytes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transform,</w:t>
      </w:r>
      <w:r>
        <w:rPr>
          <w:spacing w:val="1"/>
        </w:rPr>
        <w:t> </w:t>
      </w:r>
      <w:r>
        <w:rPr/>
        <w:t>multiply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schizonts. This asymptomatic, exoerythrocytic stage lasts for about 7 to 9 days but could be more</w:t>
      </w:r>
      <w:r>
        <w:rPr>
          <w:spacing w:val="1"/>
        </w:rPr>
        <w:t> </w:t>
      </w:r>
      <w:r>
        <w:rPr/>
        <w:t>depending on specie (White </w:t>
      </w:r>
      <w:r>
        <w:rPr>
          <w:i/>
        </w:rPr>
        <w:t>et al</w:t>
      </w:r>
      <w:r>
        <w:rPr/>
        <w:t>., 2014). Tissue schizonts rupture thereby releasing thousands of</w:t>
      </w:r>
      <w:r>
        <w:rPr>
          <w:spacing w:val="1"/>
        </w:rPr>
        <w:t> </w:t>
      </w:r>
      <w:r>
        <w:rPr/>
        <w:t>merozoites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bloodstream.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invade</w:t>
      </w:r>
      <w:r>
        <w:rPr>
          <w:spacing w:val="1"/>
        </w:rPr>
        <w:t> </w:t>
      </w:r>
      <w:r>
        <w:rPr/>
        <w:t>erythrocytes,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initiate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intra-erythrocytic</w:t>
      </w:r>
      <w:r>
        <w:rPr>
          <w:spacing w:val="1"/>
        </w:rPr>
        <w:t> </w:t>
      </w:r>
      <w:r>
        <w:rPr/>
        <w:t>developmental cycle (IDC). Most parasites undergo asexual development forming the ring stage</w:t>
      </w:r>
      <w:r>
        <w:rPr>
          <w:spacing w:val="1"/>
        </w:rPr>
        <w:t> </w:t>
      </w:r>
      <w:r>
        <w:rPr/>
        <w:t>trophozoites which in turn matures into erythrocytic schizonts, which rupture releasing merozoites</w:t>
      </w:r>
      <w:r>
        <w:rPr>
          <w:spacing w:val="1"/>
        </w:rPr>
        <w:t> </w:t>
      </w:r>
      <w:r>
        <w:rPr/>
        <w:t>during the intra-erythrocytic developmental cycle. In </w:t>
      </w:r>
      <w:r>
        <w:rPr>
          <w:i/>
        </w:rPr>
        <w:t>P. falciparum and P. malariae </w:t>
      </w:r>
      <w:r>
        <w:rPr/>
        <w:t>infections, no</w:t>
      </w:r>
      <w:r>
        <w:rPr>
          <w:spacing w:val="1"/>
        </w:rPr>
        <w:t> </w:t>
      </w:r>
      <w:r>
        <w:rPr/>
        <w:t>parasites remain in the liver but infection due to </w:t>
      </w:r>
      <w:r>
        <w:rPr>
          <w:i/>
        </w:rPr>
        <w:t>P. vivax </w:t>
      </w:r>
      <w:r>
        <w:rPr/>
        <w:t>and </w:t>
      </w:r>
      <w:r>
        <w:rPr>
          <w:i/>
        </w:rPr>
        <w:t>P. ovale</w:t>
      </w:r>
      <w:r>
        <w:rPr/>
        <w:t>, tissue parasites (hypnozoites)</w:t>
      </w:r>
      <w:r>
        <w:rPr>
          <w:spacing w:val="1"/>
        </w:rPr>
        <w:t> </w:t>
      </w:r>
      <w:r>
        <w:rPr/>
        <w:t>persist in the hepatocytes and can produce relapses months to years after the primary infection. Once</w:t>
      </w:r>
      <w:r>
        <w:rPr>
          <w:spacing w:val="1"/>
        </w:rPr>
        <w:t> </w:t>
      </w:r>
      <w:r>
        <w:rPr/>
        <w:t>the parasites enter the intra-erythrocytic developmental cycle, they lose potency to invade tissues,</w:t>
      </w:r>
      <w:r>
        <w:rPr>
          <w:spacing w:val="1"/>
        </w:rPr>
        <w:t> </w:t>
      </w:r>
      <w:r>
        <w:rPr/>
        <w:t>hence,</w:t>
      </w:r>
      <w:r>
        <w:rPr>
          <w:spacing w:val="-1"/>
        </w:rPr>
        <w:t> </w:t>
      </w:r>
      <w:r>
        <w:rPr/>
        <w:t>malaria</w:t>
      </w:r>
      <w:r>
        <w:rPr>
          <w:spacing w:val="-2"/>
        </w:rPr>
        <w:t> </w:t>
      </w:r>
      <w:r>
        <w:rPr/>
        <w:t>contracted by</w:t>
      </w:r>
      <w:r>
        <w:rPr>
          <w:spacing w:val="-5"/>
        </w:rPr>
        <w:t> </w:t>
      </w:r>
      <w:r>
        <w:rPr/>
        <w:t>blood transfusion</w:t>
      </w:r>
      <w:r>
        <w:rPr>
          <w:spacing w:val="-1"/>
        </w:rPr>
        <w:t> </w:t>
      </w:r>
      <w:r>
        <w:rPr/>
        <w:t>does not have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tissue stage</w:t>
      </w:r>
      <w:r>
        <w:rPr>
          <w:spacing w:val="1"/>
        </w:rPr>
        <w:t> </w:t>
      </w:r>
      <w:r>
        <w:rPr/>
        <w:t>(Verra</w:t>
      </w:r>
      <w:r>
        <w:rPr>
          <w:spacing w:val="3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2018).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2" w:lineRule="auto" w:before="72"/>
        <w:ind w:left="991" w:right="1259"/>
        <w:jc w:val="both"/>
      </w:pPr>
      <w:r>
        <w:rPr/>
        <w:t>The asexual parasites digest the host haemoglobin in their acidic food vacuoles to provide in their</w:t>
      </w:r>
      <w:r>
        <w:rPr>
          <w:spacing w:val="1"/>
        </w:rPr>
        <w:t> </w:t>
      </w:r>
      <w:r>
        <w:rPr/>
        <w:t>amino acid requirements. This also is necessary to provide scope for parasite growth within the</w:t>
      </w:r>
      <w:r>
        <w:rPr>
          <w:spacing w:val="1"/>
        </w:rPr>
        <w:t> </w:t>
      </w:r>
      <w:r>
        <w:rPr/>
        <w:t>erythrocyte (Verra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2018).</w:t>
      </w:r>
    </w:p>
    <w:p>
      <w:pPr>
        <w:pStyle w:val="BodyText"/>
        <w:spacing w:line="480" w:lineRule="auto" w:before="191"/>
        <w:ind w:left="991" w:right="1257"/>
        <w:jc w:val="both"/>
      </w:pPr>
      <w:r>
        <w:rPr/>
        <w:t>The duration of intra-erythrocytic developmental cycle of </w:t>
      </w:r>
      <w:r>
        <w:rPr>
          <w:i/>
        </w:rPr>
        <w:t>P. falciparum </w:t>
      </w:r>
      <w:r>
        <w:rPr/>
        <w:t>which is the predominant</w:t>
      </w:r>
      <w:r>
        <w:rPr>
          <w:spacing w:val="1"/>
        </w:rPr>
        <w:t> </w:t>
      </w:r>
      <w:r>
        <w:rPr/>
        <w:t>specie in Africa is about 48hours. The synchronous merozoite release by blood schizonts causes the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feverish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falciparum</w:t>
      </w:r>
      <w:r>
        <w:rPr>
          <w:i/>
          <w:spacing w:val="1"/>
        </w:rPr>
        <w:t> </w:t>
      </w:r>
      <w:r>
        <w:rPr/>
        <w:t>malaria.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release,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erythrocytes are invaded by the released merozoites and the next intra-erythrocytic developmental</w:t>
      </w:r>
      <w:r>
        <w:rPr>
          <w:spacing w:val="1"/>
        </w:rPr>
        <w:t> </w:t>
      </w:r>
      <w:r>
        <w:rPr/>
        <w:t>cycle</w:t>
      </w:r>
      <w:r>
        <w:rPr>
          <w:spacing w:val="-1"/>
        </w:rPr>
        <w:t> </w:t>
      </w:r>
      <w:r>
        <w:rPr/>
        <w:t>begins.</w:t>
      </w:r>
    </w:p>
    <w:p>
      <w:pPr>
        <w:pStyle w:val="BodyText"/>
        <w:spacing w:line="480" w:lineRule="auto" w:before="203"/>
        <w:ind w:left="991" w:right="1253"/>
        <w:jc w:val="both"/>
      </w:pPr>
      <w:r>
        <w:rPr/>
        <w:t>The cycle continues until the death of the host or death of the parasites due to drug treatment or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immunity.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erythrocytic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differentiate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forms,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gametocytes</w:t>
      </w:r>
      <w:r>
        <w:rPr>
          <w:spacing w:val="1"/>
        </w:rPr>
        <w:t> </w:t>
      </w:r>
      <w:r>
        <w:rPr/>
        <w:t>(male;</w:t>
      </w:r>
      <w:r>
        <w:rPr>
          <w:spacing w:val="1"/>
        </w:rPr>
        <w:t> </w:t>
      </w:r>
      <w:r>
        <w:rPr/>
        <w:t>microgametocytes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female;</w:t>
      </w:r>
      <w:r>
        <w:rPr>
          <w:spacing w:val="1"/>
        </w:rPr>
        <w:t> </w:t>
      </w:r>
      <w:r>
        <w:rPr/>
        <w:t>macrogametocytes).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gametocytes</w:t>
      </w:r>
      <w:r>
        <w:rPr>
          <w:spacing w:val="1"/>
        </w:rPr>
        <w:t> </w:t>
      </w:r>
      <w:r>
        <w:rPr/>
        <w:t>is ingested by a female Anophelese mosquito</w:t>
      </w:r>
      <w:r>
        <w:rPr>
          <w:spacing w:val="1"/>
        </w:rPr>
        <w:t> </w:t>
      </w:r>
      <w:r>
        <w:rPr/>
        <w:t>during a blood</w:t>
      </w:r>
      <w:r>
        <w:rPr>
          <w:spacing w:val="1"/>
        </w:rPr>
        <w:t> </w:t>
      </w:r>
      <w:r>
        <w:rPr/>
        <w:t>meal,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multiply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mosquito;</w:t>
      </w:r>
      <w:r>
        <w:rPr>
          <w:spacing w:val="1"/>
        </w:rPr>
        <w:t> </w:t>
      </w:r>
      <w:r>
        <w:rPr/>
        <w:t>sporogonic</w:t>
      </w:r>
      <w:r>
        <w:rPr>
          <w:spacing w:val="1"/>
        </w:rPr>
        <w:t> </w:t>
      </w:r>
      <w:r>
        <w:rPr/>
        <w:t>cycle.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mosquito's</w:t>
      </w:r>
      <w:r>
        <w:rPr>
          <w:spacing w:val="1"/>
        </w:rPr>
        <w:t> </w:t>
      </w:r>
      <w:r>
        <w:rPr/>
        <w:t>stomach,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microgametes</w:t>
      </w:r>
      <w:r>
        <w:rPr>
          <w:spacing w:val="1"/>
        </w:rPr>
        <w:t> </w:t>
      </w:r>
      <w:r>
        <w:rPr/>
        <w:t>penetrate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macrogametes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zygotes</w:t>
      </w:r>
      <w:r>
        <w:rPr>
          <w:spacing w:val="1"/>
        </w:rPr>
        <w:t> </w:t>
      </w:r>
      <w:r>
        <w:rPr/>
        <w:t>formation.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zygotes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turn</w:t>
      </w:r>
      <w:r>
        <w:rPr>
          <w:spacing w:val="-57"/>
        </w:rPr>
        <w:t> </w:t>
      </w:r>
      <w:r>
        <w:rPr/>
        <w:t>become motile and elongated (ookinetes) which then invades the mid-gut wall of the mosquito where</w:t>
      </w:r>
      <w:r>
        <w:rPr>
          <w:spacing w:val="1"/>
        </w:rPr>
        <w:t> </w:t>
      </w:r>
      <w:r>
        <w:rPr/>
        <w:t>they develop into oocysts. The oocysts grows, rupture, and release sporozoites, which finds their way</w:t>
      </w:r>
      <w:r>
        <w:rPr>
          <w:spacing w:val="1"/>
        </w:rPr>
        <w:t> </w:t>
      </w:r>
      <w:r>
        <w:rPr/>
        <w:t>to the mosquito's salivary glands. Inoculation of the sporozoites into a new human host continues the</w:t>
      </w:r>
      <w:r>
        <w:rPr>
          <w:spacing w:val="1"/>
        </w:rPr>
        <w:t> </w:t>
      </w:r>
      <w:r>
        <w:rPr/>
        <w:t>malaria</w:t>
      </w:r>
      <w:r>
        <w:rPr>
          <w:spacing w:val="-3"/>
        </w:rPr>
        <w:t> </w:t>
      </w:r>
      <w:r>
        <w:rPr/>
        <w:t>life</w:t>
      </w:r>
      <w:r>
        <w:rPr>
          <w:spacing w:val="-2"/>
        </w:rPr>
        <w:t> </w:t>
      </w:r>
      <w:r>
        <w:rPr/>
        <w:t>cycle.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ind w:left="1020"/>
        <w:rPr>
          <w:sz w:val="20"/>
        </w:rPr>
      </w:pPr>
      <w:r>
        <w:rPr>
          <w:sz w:val="20"/>
        </w:rPr>
        <w:drawing>
          <wp:inline distT="0" distB="0" distL="0" distR="0">
            <wp:extent cx="5945264" cy="4762309"/>
            <wp:effectExtent l="0" t="0" r="0" b="0"/>
            <wp:docPr id="1" name="image1.jpeg" descr="Image result for vector borne diseases char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264" cy="476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line="274" w:lineRule="exact" w:before="1"/>
        <w:jc w:val="left"/>
      </w:pPr>
      <w:r>
        <w:rPr/>
        <w:t>Figure</w:t>
      </w:r>
      <w:r>
        <w:rPr>
          <w:spacing w:val="-2"/>
        </w:rPr>
        <w:t> </w:t>
      </w:r>
      <w:r>
        <w:rPr/>
        <w:t>2.1:</w:t>
      </w:r>
      <w:r>
        <w:rPr>
          <w:spacing w:val="-1"/>
        </w:rPr>
        <w:t> </w:t>
      </w:r>
      <w:r>
        <w:rPr/>
        <w:t>Life</w:t>
      </w:r>
      <w:r>
        <w:rPr>
          <w:spacing w:val="-2"/>
        </w:rPr>
        <w:t> </w:t>
      </w:r>
      <w:r>
        <w:rPr/>
        <w:t>cycle of</w:t>
      </w:r>
      <w:r>
        <w:rPr>
          <w:spacing w:val="-1"/>
        </w:rPr>
        <w:t> </w:t>
      </w:r>
      <w:r>
        <w:rPr/>
        <w:t>malaria</w:t>
      </w:r>
      <w:r>
        <w:rPr>
          <w:spacing w:val="-1"/>
        </w:rPr>
        <w:t> </w:t>
      </w:r>
      <w:r>
        <w:rPr/>
        <w:t>parasite</w:t>
      </w:r>
    </w:p>
    <w:p>
      <w:pPr>
        <w:pStyle w:val="BodyText"/>
        <w:spacing w:line="274" w:lineRule="exact"/>
        <w:ind w:left="991"/>
      </w:pPr>
      <w:r>
        <w:rPr/>
        <w:t>Source:</w:t>
      </w:r>
      <w:r>
        <w:rPr>
          <w:spacing w:val="-6"/>
        </w:rPr>
        <w:t> </w:t>
      </w:r>
      <w:hyperlink r:id="rId7">
        <w:r>
          <w:rPr>
            <w:color w:val="0000FF"/>
            <w:u w:val="single" w:color="0000FF"/>
          </w:rPr>
          <w:t>https://www.cdc.gov/malaria/about/biology/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1"/>
          <w:numId w:val="9"/>
        </w:numPr>
        <w:tabs>
          <w:tab w:pos="1591" w:val="left" w:leader="none"/>
          <w:tab w:pos="1592" w:val="left" w:leader="none"/>
        </w:tabs>
        <w:spacing w:line="240" w:lineRule="auto" w:before="90" w:after="0"/>
        <w:ind w:left="1591" w:right="0" w:hanging="601"/>
        <w:jc w:val="left"/>
      </w:pPr>
      <w:bookmarkStart w:name="_TOC_250034" w:id="13"/>
      <w:r>
        <w:rPr/>
        <w:t>Immuno-Pathogenesis</w:t>
      </w:r>
      <w:r>
        <w:rPr>
          <w:spacing w:val="-2"/>
        </w:rPr>
        <w:t> </w:t>
      </w:r>
      <w:bookmarkEnd w:id="13"/>
      <w:r>
        <w:rPr/>
        <w:t>of Malaria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9"/>
        </w:numPr>
        <w:tabs>
          <w:tab w:pos="1532" w:val="left" w:leader="none"/>
        </w:tabs>
        <w:spacing w:line="240" w:lineRule="auto" w:before="179" w:after="0"/>
        <w:ind w:left="1531" w:right="0" w:hanging="541"/>
        <w:jc w:val="left"/>
      </w:pPr>
      <w:bookmarkStart w:name="_TOC_250033" w:id="14"/>
      <w:r>
        <w:rPr/>
        <w:t>The</w:t>
      </w:r>
      <w:r>
        <w:rPr>
          <w:spacing w:val="-2"/>
        </w:rPr>
        <w:t> </w:t>
      </w:r>
      <w:r>
        <w:rPr/>
        <w:t>pre-erythrocytic</w:t>
      </w:r>
      <w:r>
        <w:rPr>
          <w:spacing w:val="-3"/>
        </w:rPr>
        <w:t> </w:t>
      </w:r>
      <w:bookmarkEnd w:id="14"/>
      <w:r>
        <w:rPr/>
        <w:t>stage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91" w:right="1257"/>
        <w:jc w:val="both"/>
      </w:pPr>
      <w:r>
        <w:rPr/>
        <w:t>Some sporozoites, once injected into the skin presents antigen to CD11c+ dendritic cells in the</w:t>
      </w:r>
      <w:r>
        <w:rPr>
          <w:spacing w:val="1"/>
        </w:rPr>
        <w:t> </w:t>
      </w:r>
      <w:r>
        <w:rPr/>
        <w:t>proximal lymph node after draining into the lymphatic circulation, while others remain in the skin</w:t>
      </w:r>
      <w:r>
        <w:rPr>
          <w:spacing w:val="1"/>
        </w:rPr>
        <w:t> </w:t>
      </w:r>
      <w:r>
        <w:rPr/>
        <w:t>(Amino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2008</w:t>
      </w:r>
      <w:r>
        <w:rPr>
          <w:spacing w:val="6"/>
        </w:rPr>
        <w:t> </w:t>
      </w:r>
      <w:r>
        <w:rPr/>
        <w:t>).</w:t>
      </w:r>
      <w:r>
        <w:rPr>
          <w:spacing w:val="3"/>
        </w:rPr>
        <w:t> </w:t>
      </w:r>
      <w:r>
        <w:rPr/>
        <w:t>Although,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precise</w:t>
      </w:r>
      <w:r>
        <w:rPr>
          <w:spacing w:val="4"/>
        </w:rPr>
        <w:t> </w:t>
      </w:r>
      <w:r>
        <w:rPr/>
        <w:t>interaction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sporozoites</w:t>
      </w:r>
      <w:r>
        <w:rPr>
          <w:spacing w:val="4"/>
        </w:rPr>
        <w:t> </w:t>
      </w:r>
      <w:r>
        <w:rPr/>
        <w:t>with</w:t>
      </w:r>
      <w:r>
        <w:rPr>
          <w:spacing w:val="6"/>
        </w:rPr>
        <w:t> </w:t>
      </w:r>
      <w:r>
        <w:rPr/>
        <w:t>specialized</w:t>
      </w:r>
      <w:r>
        <w:rPr>
          <w:spacing w:val="4"/>
        </w:rPr>
        <w:t> </w:t>
      </w:r>
      <w:r>
        <w:rPr/>
        <w:t>dendritic</w:t>
      </w:r>
      <w:r>
        <w:rPr>
          <w:spacing w:val="4"/>
        </w:rPr>
        <w:t> </w:t>
      </w:r>
      <w:r>
        <w:rPr/>
        <w:t>cells</w:t>
      </w:r>
    </w:p>
    <w:p>
      <w:pPr>
        <w:spacing w:after="0" w:line="480" w:lineRule="auto"/>
        <w:jc w:val="both"/>
        <w:sectPr>
          <w:pgSz w:w="12240" w:h="15840"/>
          <w:pgMar w:header="0" w:footer="935" w:top="1440" w:bottom="1200" w:left="0" w:right="180"/>
        </w:sectPr>
      </w:pPr>
    </w:p>
    <w:p>
      <w:pPr>
        <w:pStyle w:val="BodyText"/>
        <w:spacing w:line="482" w:lineRule="auto" w:before="72"/>
        <w:ind w:left="991" w:right="1264"/>
        <w:jc w:val="both"/>
      </w:pPr>
      <w:r>
        <w:rPr/>
        <w:t>in the skin, such as Langerhans cells, and the role of innate immune signalling mechanisms (such as</w:t>
      </w:r>
      <w:r>
        <w:rPr>
          <w:spacing w:val="1"/>
        </w:rPr>
        <w:t> </w:t>
      </w:r>
      <w:r>
        <w:rPr/>
        <w:t>MyD88/Toll-like</w:t>
      </w:r>
      <w:r>
        <w:rPr>
          <w:spacing w:val="-2"/>
        </w:rPr>
        <w:t> </w:t>
      </w:r>
      <w:r>
        <w:rPr/>
        <w:t>receptor signaling)</w:t>
      </w:r>
      <w:r>
        <w:rPr>
          <w:spacing w:val="1"/>
        </w:rPr>
        <w:t> </w:t>
      </w:r>
      <w:r>
        <w:rPr/>
        <w:t>remains unclear</w:t>
      </w:r>
      <w:r>
        <w:rPr>
          <w:spacing w:val="-1"/>
        </w:rPr>
        <w:t> </w:t>
      </w:r>
      <w:r>
        <w:rPr/>
        <w:t>(Hafalla </w:t>
      </w:r>
      <w:r>
        <w:rPr>
          <w:i/>
        </w:rPr>
        <w:t>et al</w:t>
      </w:r>
      <w:r>
        <w:rPr/>
        <w:t>., 2011).</w:t>
      </w:r>
    </w:p>
    <w:p>
      <w:pPr>
        <w:pStyle w:val="BodyText"/>
        <w:spacing w:line="480" w:lineRule="auto" w:before="194"/>
        <w:ind w:left="991" w:right="1255"/>
        <w:jc w:val="both"/>
      </w:pPr>
      <w:r>
        <w:rPr/>
        <w:t>The liver is capable of autonomously priming CD8+ T cell responses in the absence of infiltrating</w:t>
      </w:r>
      <w:r>
        <w:rPr>
          <w:spacing w:val="1"/>
        </w:rPr>
        <w:t> </w:t>
      </w:r>
      <w:r>
        <w:rPr/>
        <w:t>APCs (Klein and Crispe 2006). KCs, LSECs, Hepatic DCs, stellate cells and hepatocytes themselves</w:t>
      </w:r>
      <w:r>
        <w:rPr>
          <w:spacing w:val="1"/>
        </w:rPr>
        <w:t> </w:t>
      </w:r>
      <w:r>
        <w:rPr/>
        <w:t>are able to present antigen, although with limited effector outcome as the liver feature a unique</w:t>
      </w:r>
      <w:r>
        <w:rPr>
          <w:spacing w:val="1"/>
        </w:rPr>
        <w:t> </w:t>
      </w:r>
      <w:r>
        <w:rPr/>
        <w:t>tolerogenic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(Knolle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Gerken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Winau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DCs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 circumsporozoite protein (CSP) in vitro and inducing CSP-specific CD8+ T cell</w:t>
      </w:r>
      <w:r>
        <w:rPr>
          <w:spacing w:val="1"/>
        </w:rPr>
        <w:t> </w:t>
      </w:r>
      <w:r>
        <w:rPr/>
        <w:t>clones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produce</w:t>
      </w:r>
      <w:r>
        <w:rPr>
          <w:spacing w:val="1"/>
        </w:rPr>
        <w:t> </w:t>
      </w:r>
      <w:r>
        <w:rPr/>
        <w:t>IFN-γ (Plebansk </w:t>
      </w:r>
      <w:r>
        <w:rPr>
          <w:i/>
        </w:rPr>
        <w:t>et al</w:t>
      </w:r>
      <w:r>
        <w:rPr/>
        <w:t>., 2005).</w:t>
      </w:r>
    </w:p>
    <w:p>
      <w:pPr>
        <w:pStyle w:val="BodyText"/>
        <w:spacing w:line="480" w:lineRule="auto" w:before="202"/>
        <w:ind w:left="991" w:right="1252"/>
        <w:jc w:val="both"/>
      </w:pPr>
      <w:r>
        <w:rPr/>
        <w:t>CSP is the major sporozoite surface protein shed by the sporozoite during its motile behaviour and it</w:t>
      </w:r>
      <w:r>
        <w:rPr>
          <w:spacing w:val="1"/>
        </w:rPr>
        <w:t> </w:t>
      </w:r>
      <w:r>
        <w:rPr/>
        <w:t>has been expansively utilized to study antigen-specific cellular immune responses (Hafalla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2011). Upon merosome budding, the infected hepatocyte disintegrates and releases remnant parasite</w:t>
      </w:r>
      <w:r>
        <w:rPr>
          <w:spacing w:val="1"/>
        </w:rPr>
        <w:t> </w:t>
      </w:r>
      <w:r>
        <w:rPr/>
        <w:t>material which leads to the formation of small granulomas as macrophages and neutrophils perform</w:t>
      </w:r>
      <w:r>
        <w:rPr>
          <w:spacing w:val="1"/>
        </w:rPr>
        <w:t> </w:t>
      </w:r>
      <w:r>
        <w:rPr/>
        <w:t>phagocytosis (Hafalla </w:t>
      </w:r>
      <w:r>
        <w:rPr>
          <w:i/>
        </w:rPr>
        <w:t>et al</w:t>
      </w:r>
      <w:r>
        <w:rPr/>
        <w:t>., 2011; Baer </w:t>
      </w:r>
      <w:r>
        <w:rPr>
          <w:i/>
        </w:rPr>
        <w:t>et al</w:t>
      </w:r>
      <w:r>
        <w:rPr/>
        <w:t>., 2007). Granulomas, bundles of accumulated cells</w:t>
      </w:r>
      <w:r>
        <w:rPr>
          <w:spacing w:val="1"/>
        </w:rPr>
        <w:t> </w:t>
      </w:r>
      <w:r>
        <w:rPr/>
        <w:t>consisting primarily of macrophages, associated with severe inflammation, also form upon premature</w:t>
      </w:r>
      <w:r>
        <w:rPr>
          <w:spacing w:val="1"/>
        </w:rPr>
        <w:t> </w:t>
      </w:r>
      <w:r>
        <w:rPr/>
        <w:t>rupture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exo-erythrocytic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(EEFs)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(Hafalla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inflammatory response varies according to the host and the parasite specie. Merosomes avoid killer</w:t>
      </w:r>
      <w:r>
        <w:rPr>
          <w:spacing w:val="1"/>
        </w:rPr>
        <w:t> </w:t>
      </w:r>
      <w:r>
        <w:rPr/>
        <w:t>cells (KC) phagocytosis in the liver sinusoid by not expressing phosphatidyl serine on their cell</w:t>
      </w:r>
      <w:r>
        <w:rPr>
          <w:spacing w:val="1"/>
        </w:rPr>
        <w:t> </w:t>
      </w:r>
      <w:r>
        <w:rPr/>
        <w:t>membrane</w:t>
      </w:r>
      <w:r>
        <w:rPr>
          <w:spacing w:val="-2"/>
        </w:rPr>
        <w:t> </w:t>
      </w:r>
      <w:r>
        <w:rPr/>
        <w:t>(Sturm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2006).</w:t>
      </w:r>
    </w:p>
    <w:p>
      <w:pPr>
        <w:pStyle w:val="Heading1"/>
        <w:numPr>
          <w:ilvl w:val="2"/>
          <w:numId w:val="9"/>
        </w:numPr>
        <w:tabs>
          <w:tab w:pos="1652" w:val="left" w:leader="none"/>
        </w:tabs>
        <w:spacing w:line="240" w:lineRule="auto" w:before="208" w:after="0"/>
        <w:ind w:left="1651" w:right="0" w:hanging="661"/>
        <w:jc w:val="both"/>
      </w:pPr>
      <w:bookmarkStart w:name="_TOC_250032" w:id="15"/>
      <w:r>
        <w:rPr/>
        <w:t>The</w:t>
      </w:r>
      <w:r>
        <w:rPr>
          <w:spacing w:val="-2"/>
        </w:rPr>
        <w:t> </w:t>
      </w:r>
      <w:bookmarkEnd w:id="15"/>
      <w:r>
        <w:rPr/>
        <w:t>erythrocytic stage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91" w:right="1256"/>
        <w:jc w:val="both"/>
      </w:pPr>
      <w:r>
        <w:rPr/>
        <w:t>Onset of pathology in the affected individual occurs at the erythrocytic stage.</w:t>
      </w:r>
      <w:r>
        <w:rPr>
          <w:spacing w:val="1"/>
        </w:rPr>
        <w:t> </w:t>
      </w:r>
      <w:r>
        <w:rPr/>
        <w:t>Adults and older</w:t>
      </w:r>
      <w:r>
        <w:rPr>
          <w:spacing w:val="1"/>
        </w:rPr>
        <w:t> </w:t>
      </w:r>
      <w:r>
        <w:rPr/>
        <w:t>children develop non-sterilizing immunity against the malaria erythrocytic stage in malaria endemic</w:t>
      </w:r>
      <w:r>
        <w:rPr>
          <w:spacing w:val="1"/>
        </w:rPr>
        <w:t> </w:t>
      </w:r>
      <w:r>
        <w:rPr/>
        <w:t>countries</w:t>
      </w:r>
      <w:r>
        <w:rPr>
          <w:spacing w:val="29"/>
        </w:rPr>
        <w:t> </w:t>
      </w:r>
      <w:r>
        <w:rPr/>
        <w:t>(Crompton</w:t>
      </w:r>
      <w:r>
        <w:rPr>
          <w:spacing w:val="31"/>
        </w:rPr>
        <w:t> </w:t>
      </w:r>
      <w:r>
        <w:rPr>
          <w:i/>
        </w:rPr>
        <w:t>et</w:t>
      </w:r>
      <w:r>
        <w:rPr>
          <w:i/>
          <w:spacing w:val="32"/>
        </w:rPr>
        <w:t> </w:t>
      </w:r>
      <w:r>
        <w:rPr>
          <w:i/>
        </w:rPr>
        <w:t>al</w:t>
      </w:r>
      <w:r>
        <w:rPr/>
        <w:t>.,</w:t>
      </w:r>
      <w:r>
        <w:rPr>
          <w:spacing w:val="29"/>
        </w:rPr>
        <w:t> </w:t>
      </w:r>
      <w:r>
        <w:rPr/>
        <w:t>2010).</w:t>
      </w:r>
      <w:r>
        <w:rPr>
          <w:spacing w:val="29"/>
        </w:rPr>
        <w:t> </w:t>
      </w:r>
      <w:r>
        <w:rPr/>
        <w:t>Erythrocytic</w:t>
      </w:r>
      <w:r>
        <w:rPr>
          <w:spacing w:val="31"/>
        </w:rPr>
        <w:t> </w:t>
      </w:r>
      <w:r>
        <w:rPr/>
        <w:t>rupture</w:t>
      </w:r>
      <w:r>
        <w:rPr>
          <w:spacing w:val="29"/>
        </w:rPr>
        <w:t> </w:t>
      </w:r>
      <w:r>
        <w:rPr/>
        <w:t>and</w:t>
      </w:r>
      <w:r>
        <w:rPr>
          <w:spacing w:val="35"/>
        </w:rPr>
        <w:t> </w:t>
      </w:r>
      <w:r>
        <w:rPr/>
        <w:t>subsequent</w:t>
      </w:r>
      <w:r>
        <w:rPr>
          <w:spacing w:val="32"/>
        </w:rPr>
        <w:t> </w:t>
      </w:r>
      <w:r>
        <w:rPr/>
        <w:t>release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soluble</w:t>
      </w:r>
      <w:r>
        <w:rPr>
          <w:spacing w:val="29"/>
        </w:rPr>
        <w:t> </w:t>
      </w:r>
      <w:r>
        <w:rPr/>
        <w:t>parasitic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4"/>
        <w:jc w:val="both"/>
      </w:pPr>
      <w:r>
        <w:rPr/>
        <w:t>products induces macrophages to produce IL-1 and TNF-α in non-immune individuals (Crompton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2010). With the rapid production of pro-inflammatory cytokines such as TNF-α and IFN-γ, there</w:t>
      </w:r>
      <w:r>
        <w:rPr>
          <w:spacing w:val="1"/>
        </w:rPr>
        <w:t> </w:t>
      </w:r>
      <w:r>
        <w:rPr/>
        <w:t>are paroxysms of malarial fever (Hafalla </w:t>
      </w:r>
      <w:r>
        <w:rPr>
          <w:i/>
        </w:rPr>
        <w:t>et al</w:t>
      </w:r>
      <w:r>
        <w:rPr/>
        <w:t>., 2011). Macrophages, activated by TNF-α, secrete NO</w:t>
      </w:r>
      <w:r>
        <w:rPr>
          <w:spacing w:val="1"/>
        </w:rPr>
        <w:t> </w:t>
      </w:r>
      <w:r>
        <w:rPr/>
        <w:t>which up-regulates intracellular cell adhesion molecule-1 (ICAM-1) in leukocytes and endothelial</w:t>
      </w:r>
      <w:r>
        <w:rPr>
          <w:spacing w:val="1"/>
        </w:rPr>
        <w:t> </w:t>
      </w:r>
      <w:r>
        <w:rPr/>
        <w:t>cells (Sarah </w:t>
      </w:r>
      <w:r>
        <w:rPr>
          <w:i/>
        </w:rPr>
        <w:t>et al</w:t>
      </w:r>
      <w:r>
        <w:rPr/>
        <w:t>., 2011). DCs are activated through TLR 9 and MyD88 and malarial GPI toxin</w:t>
      </w:r>
      <w:r>
        <w:rPr>
          <w:spacing w:val="1"/>
        </w:rPr>
        <w:t> </w:t>
      </w:r>
      <w:r>
        <w:rPr/>
        <w:t>activates</w:t>
      </w:r>
      <w:r>
        <w:rPr>
          <w:spacing w:val="-1"/>
        </w:rPr>
        <w:t> </w:t>
      </w:r>
      <w:r>
        <w:rPr/>
        <w:t>TLR2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haemozoin</w:t>
      </w:r>
      <w:r>
        <w:rPr>
          <w:spacing w:val="-1"/>
        </w:rPr>
        <w:t> </w:t>
      </w:r>
      <w:r>
        <w:rPr/>
        <w:t>acts 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ligand</w:t>
      </w:r>
      <w:r>
        <w:rPr>
          <w:spacing w:val="-1"/>
        </w:rPr>
        <w:t> </w:t>
      </w:r>
      <w:r>
        <w:rPr/>
        <w:t>for TLR9</w:t>
      </w:r>
      <w:r>
        <w:rPr>
          <w:spacing w:val="1"/>
        </w:rPr>
        <w:t> </w:t>
      </w:r>
      <w:r>
        <w:rPr/>
        <w:t>(Hafalla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2011; Sarah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480" w:lineRule="auto" w:before="200"/>
        <w:ind w:left="991" w:right="1252"/>
        <w:jc w:val="both"/>
      </w:pPr>
      <w:r>
        <w:rPr/>
        <w:t>Infected</w:t>
      </w:r>
      <w:r>
        <w:rPr>
          <w:spacing w:val="1"/>
        </w:rPr>
        <w:t> </w:t>
      </w:r>
      <w:r>
        <w:rPr/>
        <w:t>erythrocytes</w:t>
      </w:r>
      <w:r>
        <w:rPr>
          <w:spacing w:val="1"/>
        </w:rPr>
        <w:t> </w:t>
      </w:r>
      <w:r>
        <w:rPr/>
        <w:t>cyto-adhere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endothelium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clearance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spleen</w:t>
      </w:r>
      <w:r>
        <w:rPr>
          <w:spacing w:val="-57"/>
        </w:rPr>
        <w:t> </w:t>
      </w:r>
      <w:r>
        <w:rPr/>
        <w:t>(Crompton </w:t>
      </w:r>
      <w:r>
        <w:rPr>
          <w:i/>
        </w:rPr>
        <w:t>et al</w:t>
      </w:r>
      <w:r>
        <w:rPr/>
        <w:t>., 2010). In doing so, they cause damage to organs and, via binding to ICAM-1 and</w:t>
      </w:r>
      <w:r>
        <w:rPr>
          <w:spacing w:val="1"/>
        </w:rPr>
        <w:t> </w:t>
      </w:r>
      <w:r>
        <w:rPr/>
        <w:t>other receptors, cause cerebral malaria (Aye </w:t>
      </w:r>
      <w:r>
        <w:rPr>
          <w:i/>
        </w:rPr>
        <w:t>et al</w:t>
      </w:r>
      <w:r>
        <w:rPr/>
        <w:t>., 2016).This binding generates a large inflammatory</w:t>
      </w:r>
      <w:r>
        <w:rPr>
          <w:spacing w:val="-57"/>
        </w:rPr>
        <w:t> </w:t>
      </w:r>
      <w:r>
        <w:rPr/>
        <w:t>cascade marked by an</w:t>
      </w:r>
      <w:r>
        <w:rPr>
          <w:spacing w:val="1"/>
        </w:rPr>
        <w:t> </w:t>
      </w:r>
      <w:r>
        <w:rPr/>
        <w:t>overriding Th1 response involving TNF-α and</w:t>
      </w:r>
      <w:r>
        <w:rPr>
          <w:spacing w:val="1"/>
        </w:rPr>
        <w:t> </w:t>
      </w:r>
      <w:r>
        <w:rPr/>
        <w:t>IFN-γ, which in turn</w:t>
      </w:r>
      <w:r>
        <w:rPr>
          <w:spacing w:val="1"/>
        </w:rPr>
        <w:t> </w:t>
      </w:r>
      <w:r>
        <w:rPr/>
        <w:t>up-</w:t>
      </w:r>
      <w:r>
        <w:rPr>
          <w:spacing w:val="1"/>
        </w:rPr>
        <w:t> </w:t>
      </w:r>
      <w:r>
        <w:rPr/>
        <w:t>regulates ICAM-1 on the endothelium and CD36 on platelets, which are primarily bound by the</w:t>
      </w:r>
      <w:r>
        <w:rPr>
          <w:spacing w:val="1"/>
        </w:rPr>
        <w:t> </w:t>
      </w:r>
      <w:r>
        <w:rPr/>
        <w:t>parasitic ligand PfEMP-1 (Sarah </w:t>
      </w:r>
      <w:r>
        <w:rPr>
          <w:i/>
        </w:rPr>
        <w:t>et al</w:t>
      </w:r>
      <w:r>
        <w:rPr/>
        <w:t>., 2011; Aye </w:t>
      </w:r>
      <w:r>
        <w:rPr>
          <w:i/>
        </w:rPr>
        <w:t>et al</w:t>
      </w:r>
      <w:r>
        <w:rPr/>
        <w:t>., 2016). IFN-γ plays a key role in malaria</w:t>
      </w:r>
      <w:r>
        <w:rPr>
          <w:spacing w:val="1"/>
        </w:rPr>
        <w:t> </w:t>
      </w:r>
      <w:r>
        <w:rPr/>
        <w:t>immunopathogenesis.</w:t>
      </w:r>
      <w:r>
        <w:rPr>
          <w:spacing w:val="25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3"/>
        </w:rPr>
        <w:t> </w:t>
      </w:r>
      <w:r>
        <w:rPr/>
        <w:t>first</w:t>
      </w:r>
      <w:r>
        <w:rPr>
          <w:spacing w:val="23"/>
        </w:rPr>
        <w:t> </w:t>
      </w:r>
      <w:r>
        <w:rPr/>
        <w:t>produced</w:t>
      </w:r>
      <w:r>
        <w:rPr>
          <w:spacing w:val="22"/>
        </w:rPr>
        <w:t> </w:t>
      </w:r>
      <w:r>
        <w:rPr/>
        <w:t>by</w:t>
      </w:r>
      <w:r>
        <w:rPr>
          <w:spacing w:val="20"/>
        </w:rPr>
        <w:t> </w:t>
      </w:r>
      <w:r>
        <w:rPr/>
        <w:t>NK</w:t>
      </w:r>
      <w:r>
        <w:rPr>
          <w:spacing w:val="24"/>
        </w:rPr>
        <w:t> </w:t>
      </w:r>
      <w:r>
        <w:rPr/>
        <w:t>cells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it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assumed</w:t>
      </w:r>
      <w:r>
        <w:rPr>
          <w:spacing w:val="22"/>
        </w:rPr>
        <w:t> </w:t>
      </w:r>
      <w:r>
        <w:rPr/>
        <w:t>this</w:t>
      </w:r>
      <w:r>
        <w:rPr>
          <w:spacing w:val="23"/>
        </w:rPr>
        <w:t> </w:t>
      </w:r>
      <w:r>
        <w:rPr/>
        <w:t>cell</w:t>
      </w:r>
      <w:r>
        <w:rPr>
          <w:spacing w:val="23"/>
        </w:rPr>
        <w:t> </w:t>
      </w:r>
      <w:r>
        <w:rPr/>
        <w:t>subset</w:t>
      </w:r>
      <w:r>
        <w:rPr>
          <w:spacing w:val="22"/>
        </w:rPr>
        <w:t> </w:t>
      </w:r>
      <w:r>
        <w:rPr/>
        <w:t>bridges</w:t>
      </w:r>
      <w:r>
        <w:rPr>
          <w:spacing w:val="23"/>
        </w:rPr>
        <w:t> </w:t>
      </w:r>
      <w:r>
        <w:rPr/>
        <w:t>the</w:t>
      </w:r>
      <w:r>
        <w:rPr>
          <w:spacing w:val="-57"/>
        </w:rPr>
        <w:t> </w:t>
      </w:r>
      <w:r>
        <w:rPr/>
        <w:t>gap between the innate and adaptive response (Artavanis-Tsakonas and Riley, 2002; Hafalla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2011).</w:t>
      </w:r>
    </w:p>
    <w:p>
      <w:pPr>
        <w:pStyle w:val="Heading1"/>
        <w:numPr>
          <w:ilvl w:val="1"/>
          <w:numId w:val="9"/>
        </w:numPr>
        <w:tabs>
          <w:tab w:pos="1472" w:val="left" w:leader="none"/>
        </w:tabs>
        <w:spacing w:line="240" w:lineRule="auto" w:before="207" w:after="0"/>
        <w:ind w:left="1471" w:right="0" w:hanging="481"/>
        <w:jc w:val="both"/>
      </w:pPr>
      <w:bookmarkStart w:name="_TOC_250031" w:id="16"/>
      <w:r>
        <w:rPr/>
        <w:t>Malaria</w:t>
      </w:r>
      <w:r>
        <w:rPr>
          <w:spacing w:val="-2"/>
        </w:rPr>
        <w:t> </w:t>
      </w:r>
      <w:r>
        <w:rPr/>
        <w:t>Mode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6"/>
      <w:r>
        <w:rPr/>
        <w:t>Transmission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2"/>
        <w:ind w:left="991" w:right="1260"/>
        <w:jc w:val="both"/>
      </w:pPr>
      <w:r>
        <w:rPr/>
        <w:t>Malaria transmission involves the transfer of the parasite from mosquitoes to man as much as from</w:t>
      </w:r>
      <w:r>
        <w:rPr>
          <w:spacing w:val="1"/>
        </w:rPr>
        <w:t> </w:t>
      </w:r>
      <w:r>
        <w:rPr/>
        <w:t>man to mosquitoes. Transmission of malaria to man are through three known ways which are vector</w:t>
      </w:r>
      <w:r>
        <w:rPr>
          <w:spacing w:val="1"/>
        </w:rPr>
        <w:t> </w:t>
      </w:r>
      <w:r>
        <w:rPr/>
        <w:t>transmission,</w:t>
      </w:r>
      <w:r>
        <w:rPr>
          <w:spacing w:val="-1"/>
        </w:rPr>
        <w:t> </w:t>
      </w:r>
      <w:r>
        <w:rPr/>
        <w:t>blood transmission and congenital transmission.</w:t>
      </w:r>
    </w:p>
    <w:p>
      <w:pPr>
        <w:pStyle w:val="Heading1"/>
        <w:numPr>
          <w:ilvl w:val="2"/>
          <w:numId w:val="9"/>
        </w:numPr>
        <w:tabs>
          <w:tab w:pos="1652" w:val="left" w:leader="none"/>
        </w:tabs>
        <w:spacing w:line="240" w:lineRule="auto" w:before="199" w:after="0"/>
        <w:ind w:left="1651" w:right="0" w:hanging="661"/>
        <w:jc w:val="both"/>
      </w:pPr>
      <w:bookmarkStart w:name="_TOC_250030" w:id="17"/>
      <w:r>
        <w:rPr/>
        <w:t>Vector</w:t>
      </w:r>
      <w:r>
        <w:rPr>
          <w:spacing w:val="-3"/>
        </w:rPr>
        <w:t> </w:t>
      </w:r>
      <w:bookmarkEnd w:id="17"/>
      <w:r>
        <w:rPr/>
        <w:t>transmission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69"/>
        <w:ind w:left="991" w:right="1255" w:firstLine="0"/>
        <w:jc w:val="both"/>
        <w:rPr>
          <w:sz w:val="24"/>
        </w:rPr>
      </w:pPr>
      <w:r>
        <w:rPr>
          <w:i/>
          <w:sz w:val="24"/>
        </w:rPr>
        <w:t>Anopheles gambiae, Anopheles arabienses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Anopheles funestus</w:t>
      </w:r>
      <w:r>
        <w:rPr>
          <w:i/>
          <w:spacing w:val="1"/>
          <w:sz w:val="24"/>
        </w:rPr>
        <w:t> </w:t>
      </w:r>
      <w:r>
        <w:rPr>
          <w:sz w:val="24"/>
        </w:rPr>
        <w:t>are the three most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Anopheles</w:t>
      </w:r>
      <w:r>
        <w:rPr>
          <w:spacing w:val="23"/>
          <w:sz w:val="24"/>
        </w:rPr>
        <w:t> </w:t>
      </w:r>
      <w:r>
        <w:rPr>
          <w:sz w:val="24"/>
        </w:rPr>
        <w:t>mosquitoes</w:t>
      </w:r>
      <w:r>
        <w:rPr>
          <w:spacing w:val="21"/>
          <w:sz w:val="24"/>
        </w:rPr>
        <w:t> </w:t>
      </w:r>
      <w:r>
        <w:rPr>
          <w:sz w:val="24"/>
        </w:rPr>
        <w:t>that</w:t>
      </w:r>
      <w:r>
        <w:rPr>
          <w:spacing w:val="21"/>
          <w:sz w:val="24"/>
        </w:rPr>
        <w:t> </w:t>
      </w:r>
      <w:r>
        <w:rPr>
          <w:sz w:val="24"/>
        </w:rPr>
        <w:t>are</w:t>
      </w:r>
      <w:r>
        <w:rPr>
          <w:spacing w:val="21"/>
          <w:sz w:val="24"/>
        </w:rPr>
        <w:t> </w:t>
      </w:r>
      <w:r>
        <w:rPr>
          <w:sz w:val="24"/>
        </w:rPr>
        <w:t>involved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malaria</w:t>
      </w:r>
      <w:r>
        <w:rPr>
          <w:spacing w:val="22"/>
          <w:sz w:val="24"/>
        </w:rPr>
        <w:t> </w:t>
      </w:r>
      <w:r>
        <w:rPr>
          <w:sz w:val="24"/>
        </w:rPr>
        <w:t>transmission</w:t>
      </w:r>
      <w:r>
        <w:rPr>
          <w:spacing w:val="21"/>
          <w:sz w:val="24"/>
        </w:rPr>
        <w:t> </w:t>
      </w:r>
      <w:r>
        <w:rPr>
          <w:sz w:val="24"/>
        </w:rPr>
        <w:t>(Hay</w:t>
      </w:r>
      <w:r>
        <w:rPr>
          <w:spacing w:val="19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21"/>
          <w:sz w:val="24"/>
        </w:rPr>
        <w:t> </w:t>
      </w:r>
      <w:r>
        <w:rPr>
          <w:sz w:val="24"/>
        </w:rPr>
        <w:t>2005).</w:t>
      </w:r>
      <w:r>
        <w:rPr>
          <w:spacing w:val="46"/>
          <w:sz w:val="24"/>
        </w:rPr>
        <w:t> </w:t>
      </w:r>
      <w:r>
        <w:rPr>
          <w:sz w:val="24"/>
        </w:rPr>
        <w:t>The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9"/>
        <w:jc w:val="both"/>
      </w:pPr>
      <w:r>
        <w:rPr/>
        <w:t>disease is transmitted when an infected female Anopheles mosquito takes a blood meal with its</w:t>
      </w:r>
      <w:r>
        <w:rPr>
          <w:spacing w:val="1"/>
        </w:rPr>
        <w:t> </w:t>
      </w:r>
      <w:r>
        <w:rPr/>
        <w:t>proboscis in order to stimulate its reproduction. While probing for blood, she injects the microscopic</w:t>
      </w:r>
      <w:r>
        <w:rPr>
          <w:spacing w:val="1"/>
        </w:rPr>
        <w:t> </w:t>
      </w:r>
      <w:r>
        <w:rPr/>
        <w:t>parasite</w:t>
      </w:r>
      <w:r>
        <w:rPr>
          <w:spacing w:val="17"/>
        </w:rPr>
        <w:t> </w:t>
      </w:r>
      <w:r>
        <w:rPr/>
        <w:t>which</w:t>
      </w:r>
      <w:r>
        <w:rPr>
          <w:spacing w:val="18"/>
        </w:rPr>
        <w:t> </w:t>
      </w:r>
      <w:r>
        <w:rPr/>
        <w:t>then</w:t>
      </w:r>
      <w:r>
        <w:rPr>
          <w:spacing w:val="17"/>
        </w:rPr>
        <w:t> </w:t>
      </w:r>
      <w:r>
        <w:rPr/>
        <w:t>finds</w:t>
      </w:r>
      <w:r>
        <w:rPr>
          <w:spacing w:val="19"/>
        </w:rPr>
        <w:t> </w:t>
      </w:r>
      <w:r>
        <w:rPr/>
        <w:t>its</w:t>
      </w:r>
      <w:r>
        <w:rPr>
          <w:spacing w:val="19"/>
        </w:rPr>
        <w:t> </w:t>
      </w:r>
      <w:r>
        <w:rPr/>
        <w:t>way</w:t>
      </w:r>
      <w:r>
        <w:rPr>
          <w:spacing w:val="13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victim’s</w:t>
      </w:r>
      <w:r>
        <w:rPr>
          <w:spacing w:val="19"/>
        </w:rPr>
        <w:t> </w:t>
      </w:r>
      <w:r>
        <w:rPr/>
        <w:t>liver.</w:t>
      </w:r>
      <w:r>
        <w:rPr>
          <w:spacing w:val="18"/>
        </w:rPr>
        <w:t> </w:t>
      </w:r>
      <w:r>
        <w:rPr/>
        <w:t>After</w:t>
      </w:r>
      <w:r>
        <w:rPr>
          <w:spacing w:val="17"/>
        </w:rPr>
        <w:t> </w:t>
      </w:r>
      <w:r>
        <w:rPr/>
        <w:t>which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cycle</w:t>
      </w:r>
      <w:r>
        <w:rPr>
          <w:spacing w:val="17"/>
        </w:rPr>
        <w:t> </w:t>
      </w:r>
      <w:r>
        <w:rPr/>
        <w:t>commences</w:t>
      </w:r>
      <w:r>
        <w:rPr>
          <w:spacing w:val="19"/>
        </w:rPr>
        <w:t> </w:t>
      </w:r>
      <w:r>
        <w:rPr/>
        <w:t>leading</w:t>
      </w:r>
      <w:r>
        <w:rPr>
          <w:spacing w:val="18"/>
        </w:rPr>
        <w:t> </w:t>
      </w:r>
      <w:r>
        <w:rPr/>
        <w:t>to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clinical manifestation</w:t>
      </w:r>
      <w:r>
        <w:rPr>
          <w:spacing w:val="2"/>
        </w:rPr>
        <w:t> </w:t>
      </w:r>
      <w:r>
        <w:rPr/>
        <w:t>of malaria.</w:t>
      </w:r>
    </w:p>
    <w:p>
      <w:pPr>
        <w:pStyle w:val="Heading1"/>
        <w:numPr>
          <w:ilvl w:val="2"/>
          <w:numId w:val="9"/>
        </w:numPr>
        <w:tabs>
          <w:tab w:pos="1652" w:val="left" w:leader="none"/>
        </w:tabs>
        <w:spacing w:line="240" w:lineRule="auto" w:before="207" w:after="0"/>
        <w:ind w:left="1651" w:right="0" w:hanging="661"/>
        <w:jc w:val="both"/>
      </w:pPr>
      <w:bookmarkStart w:name="_TOC_250029" w:id="18"/>
      <w:r>
        <w:rPr/>
        <w:t>Blood</w:t>
      </w:r>
      <w:r>
        <w:rPr>
          <w:spacing w:val="-2"/>
        </w:rPr>
        <w:t> </w:t>
      </w:r>
      <w:bookmarkEnd w:id="18"/>
      <w:r>
        <w:rPr/>
        <w:t>transfusion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991" w:right="1254"/>
        <w:jc w:val="both"/>
      </w:pPr>
      <w:r>
        <w:rPr/>
        <w:t>Although blood transfusion is used in the management of emergencies involving patients with life-</w:t>
      </w:r>
      <w:r>
        <w:rPr>
          <w:spacing w:val="1"/>
        </w:rPr>
        <w:t> </w:t>
      </w:r>
      <w:r>
        <w:rPr/>
        <w:t>threatening</w:t>
      </w:r>
      <w:r>
        <w:rPr>
          <w:spacing w:val="20"/>
        </w:rPr>
        <w:t> </w:t>
      </w:r>
      <w:r>
        <w:rPr/>
        <w:t>illnesses</w:t>
      </w:r>
      <w:r>
        <w:rPr>
          <w:spacing w:val="23"/>
        </w:rPr>
        <w:t> </w:t>
      </w:r>
      <w:r>
        <w:rPr/>
        <w:t>as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life-saving</w:t>
      </w:r>
      <w:r>
        <w:rPr>
          <w:spacing w:val="20"/>
        </w:rPr>
        <w:t> </w:t>
      </w:r>
      <w:r>
        <w:rPr/>
        <w:t>venture,</w:t>
      </w:r>
      <w:r>
        <w:rPr>
          <w:spacing w:val="22"/>
        </w:rPr>
        <w:t> </w:t>
      </w:r>
      <w:r>
        <w:rPr/>
        <w:t>if</w:t>
      </w:r>
      <w:r>
        <w:rPr>
          <w:spacing w:val="22"/>
        </w:rPr>
        <w:t> </w:t>
      </w:r>
      <w:r>
        <w:rPr/>
        <w:t>not</w:t>
      </w:r>
      <w:r>
        <w:rPr>
          <w:spacing w:val="24"/>
        </w:rPr>
        <w:t> </w:t>
      </w:r>
      <w:r>
        <w:rPr/>
        <w:t>well</w:t>
      </w:r>
      <w:r>
        <w:rPr>
          <w:spacing w:val="23"/>
        </w:rPr>
        <w:t> </w:t>
      </w:r>
      <w:r>
        <w:rPr/>
        <w:t>managed,</w:t>
      </w:r>
      <w:r>
        <w:rPr>
          <w:spacing w:val="22"/>
        </w:rPr>
        <w:t> </w:t>
      </w:r>
      <w:r>
        <w:rPr/>
        <w:t>it</w:t>
      </w:r>
      <w:r>
        <w:rPr>
          <w:spacing w:val="25"/>
        </w:rPr>
        <w:t> </w:t>
      </w:r>
      <w:r>
        <w:rPr/>
        <w:t>also</w:t>
      </w:r>
      <w:r>
        <w:rPr>
          <w:spacing w:val="23"/>
        </w:rPr>
        <w:t> </w:t>
      </w:r>
      <w:r>
        <w:rPr/>
        <w:t>poses</w:t>
      </w:r>
      <w:r>
        <w:rPr>
          <w:spacing w:val="23"/>
        </w:rPr>
        <w:t> </w:t>
      </w:r>
      <w:r>
        <w:rPr/>
        <w:t>problems</w:t>
      </w:r>
      <w:r>
        <w:rPr>
          <w:spacing w:val="23"/>
        </w:rPr>
        <w:t> </w:t>
      </w:r>
      <w:r>
        <w:rPr/>
        <w:t>(Verra</w:t>
      </w:r>
      <w:r>
        <w:rPr>
          <w:spacing w:val="29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2018). Malaria is also transmitted through transfusion of blood from an infected person to a</w:t>
      </w:r>
      <w:r>
        <w:rPr>
          <w:spacing w:val="1"/>
        </w:rPr>
        <w:t> </w:t>
      </w:r>
      <w:r>
        <w:rPr/>
        <w:t>healthy person. Transfusion-transmitted malaria (TTM) is a fortuitous </w:t>
      </w:r>
      <w:r>
        <w:rPr>
          <w:i/>
        </w:rPr>
        <w:t>Plasmodium </w:t>
      </w:r>
      <w:r>
        <w:rPr/>
        <w:t>infection caused</w:t>
      </w:r>
      <w:r>
        <w:rPr>
          <w:spacing w:val="1"/>
        </w:rPr>
        <w:t> </w:t>
      </w:r>
      <w:r>
        <w:rPr/>
        <w:t>by either the transfusion of whole blood or a component of blood from a malaria infected donor to a</w:t>
      </w:r>
      <w:r>
        <w:rPr>
          <w:spacing w:val="1"/>
        </w:rPr>
        <w:t> </w:t>
      </w:r>
      <w:r>
        <w:rPr/>
        <w:t>recipient, this was first described by Woolsey in 1911, that it may cause severe clinical symptoms in</w:t>
      </w:r>
      <w:r>
        <w:rPr>
          <w:spacing w:val="1"/>
        </w:rPr>
        <w:t> </w:t>
      </w:r>
      <w:r>
        <w:rPr/>
        <w:t>the recipients, particularly in those with no previous exposure to malaria or in immuno-compromised</w:t>
      </w:r>
      <w:r>
        <w:rPr>
          <w:spacing w:val="1"/>
        </w:rPr>
        <w:t> </w:t>
      </w:r>
      <w:r>
        <w:rPr/>
        <w:t>patients</w:t>
      </w:r>
      <w:r>
        <w:rPr>
          <w:spacing w:val="13"/>
        </w:rPr>
        <w:t> </w:t>
      </w:r>
      <w:r>
        <w:rPr/>
        <w:t>due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other</w:t>
      </w:r>
      <w:r>
        <w:rPr>
          <w:spacing w:val="11"/>
        </w:rPr>
        <w:t> </w:t>
      </w:r>
      <w:r>
        <w:rPr/>
        <w:t>coexisting</w:t>
      </w:r>
      <w:r>
        <w:rPr>
          <w:spacing w:val="11"/>
        </w:rPr>
        <w:t> </w:t>
      </w:r>
      <w:r>
        <w:rPr/>
        <w:t>diseases</w:t>
      </w:r>
      <w:r>
        <w:rPr>
          <w:spacing w:val="14"/>
        </w:rPr>
        <w:t> </w:t>
      </w:r>
      <w:r>
        <w:rPr/>
        <w:t>(Verra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14"/>
        </w:rPr>
        <w:t> </w:t>
      </w:r>
      <w:r>
        <w:rPr>
          <w:i/>
        </w:rPr>
        <w:t>al</w:t>
      </w:r>
      <w:r>
        <w:rPr/>
        <w:t>.,</w:t>
      </w:r>
      <w:r>
        <w:rPr>
          <w:spacing w:val="14"/>
        </w:rPr>
        <w:t> </w:t>
      </w:r>
      <w:r>
        <w:rPr/>
        <w:t>2018).</w:t>
      </w:r>
      <w:r>
        <w:rPr>
          <w:spacing w:val="13"/>
        </w:rPr>
        <w:t> </w:t>
      </w:r>
      <w:r>
        <w:rPr/>
        <w:t>TTM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serious</w:t>
      </w:r>
      <w:r>
        <w:rPr>
          <w:spacing w:val="14"/>
        </w:rPr>
        <w:t> </w:t>
      </w:r>
      <w:r>
        <w:rPr/>
        <w:t>risk,</w:t>
      </w:r>
      <w:r>
        <w:rPr>
          <w:spacing w:val="14"/>
        </w:rPr>
        <w:t> </w:t>
      </w:r>
      <w:r>
        <w:rPr/>
        <w:t>as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diagnosis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 in the recipient</w:t>
      </w:r>
      <w:r>
        <w:rPr>
          <w:spacing w:val="-1"/>
        </w:rPr>
        <w:t> </w:t>
      </w:r>
      <w:r>
        <w:rPr/>
        <w:t>is unexpected and often missed (Kinde-Gazard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480" w:lineRule="auto" w:before="201"/>
        <w:ind w:left="991" w:right="1255"/>
        <w:jc w:val="both"/>
      </w:pPr>
      <w:r>
        <w:rPr>
          <w:i/>
        </w:rPr>
        <w:t>Plasmodium</w:t>
      </w:r>
      <w:r>
        <w:rPr>
          <w:i/>
          <w:spacing w:val="56"/>
        </w:rPr>
        <w:t> </w:t>
      </w:r>
      <w:r>
        <w:rPr>
          <w:i/>
        </w:rPr>
        <w:t>falciparum</w:t>
      </w:r>
      <w:r>
        <w:rPr/>
        <w:t>,</w:t>
      </w:r>
      <w:r>
        <w:rPr>
          <w:spacing w:val="57"/>
        </w:rPr>
        <w:t> </w:t>
      </w:r>
      <w:r>
        <w:rPr>
          <w:i/>
        </w:rPr>
        <w:t>P.</w:t>
      </w:r>
      <w:r>
        <w:rPr>
          <w:i/>
          <w:spacing w:val="57"/>
        </w:rPr>
        <w:t> </w:t>
      </w:r>
      <w:r>
        <w:rPr>
          <w:i/>
        </w:rPr>
        <w:t>vivax</w:t>
      </w:r>
      <w:r>
        <w:rPr>
          <w:i/>
          <w:spacing w:val="57"/>
        </w:rPr>
        <w:t> </w:t>
      </w:r>
      <w:r>
        <w:rPr/>
        <w:t>and</w:t>
      </w:r>
      <w:r>
        <w:rPr>
          <w:spacing w:val="60"/>
        </w:rPr>
        <w:t> </w:t>
      </w:r>
      <w:r>
        <w:rPr>
          <w:i/>
        </w:rPr>
        <w:t>P.</w:t>
      </w:r>
      <w:r>
        <w:rPr>
          <w:i/>
          <w:spacing w:val="57"/>
        </w:rPr>
        <w:t> </w:t>
      </w:r>
      <w:r>
        <w:rPr>
          <w:i/>
        </w:rPr>
        <w:t>malariae</w:t>
      </w:r>
      <w:r>
        <w:rPr>
          <w:i/>
          <w:spacing w:val="57"/>
        </w:rPr>
        <w:t> </w:t>
      </w:r>
      <w:r>
        <w:rPr/>
        <w:t>are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predominant</w:t>
      </w:r>
      <w:r>
        <w:rPr>
          <w:spacing w:val="60"/>
        </w:rPr>
        <w:t> </w:t>
      </w:r>
      <w:r>
        <w:rPr/>
        <w:t>species</w:t>
      </w:r>
      <w:r>
        <w:rPr>
          <w:spacing w:val="57"/>
        </w:rPr>
        <w:t> </w:t>
      </w:r>
      <w:r>
        <w:rPr/>
        <w:t>most</w:t>
      </w:r>
      <w:r>
        <w:rPr>
          <w:spacing w:val="58"/>
        </w:rPr>
        <w:t> </w:t>
      </w:r>
      <w:r>
        <w:rPr/>
        <w:t>frequently</w:t>
      </w:r>
      <w:r>
        <w:rPr>
          <w:spacing w:val="-57"/>
        </w:rPr>
        <w:t> </w:t>
      </w:r>
      <w:r>
        <w:rPr/>
        <w:t>detected in TTM (Kitchen </w:t>
      </w:r>
      <w:r>
        <w:rPr>
          <w:i/>
        </w:rPr>
        <w:t>et al</w:t>
      </w:r>
      <w:r>
        <w:rPr/>
        <w:t>., 2005). Various aspects of the parasite biology make this accidental</w:t>
      </w:r>
      <w:r>
        <w:rPr>
          <w:spacing w:val="1"/>
        </w:rPr>
        <w:t> </w:t>
      </w:r>
      <w:r>
        <w:rPr/>
        <w:t>infection possible such as the persistence of infection seen; </w:t>
      </w:r>
      <w:r>
        <w:rPr>
          <w:i/>
        </w:rPr>
        <w:t>P. falciparum </w:t>
      </w:r>
      <w:r>
        <w:rPr/>
        <w:t>infection can persist for at</w:t>
      </w:r>
      <w:r>
        <w:rPr>
          <w:spacing w:val="1"/>
        </w:rPr>
        <w:t> </w:t>
      </w:r>
      <w:r>
        <w:rPr/>
        <w:t>least 1 year before being cleared, </w:t>
      </w:r>
      <w:r>
        <w:rPr>
          <w:i/>
        </w:rPr>
        <w:t>P. vivax </w:t>
      </w:r>
      <w:r>
        <w:rPr/>
        <w:t>for 3 years whereas </w:t>
      </w:r>
      <w:r>
        <w:rPr>
          <w:i/>
        </w:rPr>
        <w:t>P. malariae </w:t>
      </w:r>
      <w:r>
        <w:rPr/>
        <w:t>is known to remain as a</w:t>
      </w:r>
      <w:r>
        <w:rPr>
          <w:spacing w:val="1"/>
        </w:rPr>
        <w:t> </w:t>
      </w:r>
      <w:r>
        <w:rPr/>
        <w:t>chronic infection at low density for decades (Verra </w:t>
      </w:r>
      <w:r>
        <w:rPr>
          <w:i/>
        </w:rPr>
        <w:t>et al</w:t>
      </w:r>
      <w:r>
        <w:rPr/>
        <w:t>., 2018). All Plasmodium species are able to</w:t>
      </w:r>
      <w:r>
        <w:rPr>
          <w:spacing w:val="1"/>
        </w:rPr>
        <w:t> </w:t>
      </w:r>
      <w:r>
        <w:rPr/>
        <w:t>survive in stored blood, even if frozen, and retain their viability for at least 1 week, possibly well over</w:t>
      </w:r>
      <w:r>
        <w:rPr>
          <w:spacing w:val="-57"/>
        </w:rPr>
        <w:t> </w:t>
      </w:r>
      <w:r>
        <w:rPr/>
        <w:t>10 days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storage,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proven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microscopically</w:t>
      </w:r>
      <w:r>
        <w:rPr>
          <w:spacing w:val="1"/>
        </w:rPr>
        <w:t> </w:t>
      </w:r>
      <w:r>
        <w:rPr/>
        <w:t>detectable</w:t>
      </w:r>
      <w:r>
        <w:rPr>
          <w:spacing w:val="9"/>
        </w:rPr>
        <w:t> </w:t>
      </w:r>
      <w:r>
        <w:rPr/>
        <w:t>malaria</w:t>
      </w:r>
      <w:r>
        <w:rPr>
          <w:spacing w:val="9"/>
        </w:rPr>
        <w:t> </w:t>
      </w:r>
      <w:r>
        <w:rPr/>
        <w:t>parasites</w:t>
      </w:r>
      <w:r>
        <w:rPr>
          <w:spacing w:val="11"/>
        </w:rPr>
        <w:t> </w:t>
      </w:r>
      <w:r>
        <w:rPr/>
        <w:t>were</w:t>
      </w:r>
      <w:r>
        <w:rPr>
          <w:spacing w:val="9"/>
        </w:rPr>
        <w:t> </w:t>
      </w:r>
      <w:r>
        <w:rPr/>
        <w:t>present</w:t>
      </w:r>
      <w:r>
        <w:rPr>
          <w:spacing w:val="11"/>
        </w:rPr>
        <w:t> </w:t>
      </w:r>
      <w:r>
        <w:rPr/>
        <w:t>even</w:t>
      </w:r>
      <w:r>
        <w:rPr>
          <w:spacing w:val="10"/>
        </w:rPr>
        <w:t> </w:t>
      </w:r>
      <w:r>
        <w:rPr/>
        <w:t>after</w:t>
      </w:r>
      <w:r>
        <w:rPr>
          <w:spacing w:val="13"/>
        </w:rPr>
        <w:t> </w:t>
      </w:r>
      <w:r>
        <w:rPr/>
        <w:t>28 days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storage</w:t>
      </w:r>
      <w:r>
        <w:rPr>
          <w:spacing w:val="12"/>
        </w:rPr>
        <w:t> </w:t>
      </w:r>
      <w:r>
        <w:rPr/>
        <w:t>at</w:t>
      </w:r>
      <w:r>
        <w:rPr>
          <w:spacing w:val="11"/>
        </w:rPr>
        <w:t> </w:t>
      </w:r>
      <w:r>
        <w:rPr/>
        <w:t>4°C</w:t>
      </w:r>
      <w:r>
        <w:rPr>
          <w:spacing w:val="11"/>
        </w:rPr>
        <w:t> </w:t>
      </w:r>
      <w:r>
        <w:rPr/>
        <w:t>although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decrease</w:t>
      </w:r>
      <w:r>
        <w:rPr>
          <w:spacing w:val="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5"/>
        <w:jc w:val="both"/>
      </w:pPr>
      <w:r>
        <w:rPr/>
        <w:t>infectivity after 2 weeks was observed (Verra </w:t>
      </w:r>
      <w:r>
        <w:rPr>
          <w:i/>
        </w:rPr>
        <w:t>et al</w:t>
      </w:r>
      <w:r>
        <w:rPr/>
        <w:t>., 2018; Chattopadhyay </w:t>
      </w:r>
      <w:r>
        <w:rPr>
          <w:i/>
        </w:rPr>
        <w:t>et al</w:t>
      </w:r>
      <w:r>
        <w:rPr/>
        <w:t>., 2001). An important</w:t>
      </w:r>
      <w:r>
        <w:rPr>
          <w:spacing w:val="1"/>
        </w:rPr>
        <w:t> </w:t>
      </w:r>
      <w:r>
        <w:rPr/>
        <w:t>difference</w:t>
      </w:r>
      <w:r>
        <w:rPr>
          <w:spacing w:val="14"/>
        </w:rPr>
        <w:t> </w:t>
      </w:r>
      <w:r>
        <w:rPr/>
        <w:t>between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natural</w:t>
      </w:r>
      <w:r>
        <w:rPr>
          <w:spacing w:val="17"/>
        </w:rPr>
        <w:t> </w:t>
      </w:r>
      <w:r>
        <w:rPr/>
        <w:t>infection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TTM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absence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an</w:t>
      </w:r>
      <w:r>
        <w:rPr>
          <w:spacing w:val="16"/>
        </w:rPr>
        <w:t> </w:t>
      </w:r>
      <w:r>
        <w:rPr/>
        <w:t>initial</w:t>
      </w:r>
      <w:r>
        <w:rPr>
          <w:spacing w:val="16"/>
        </w:rPr>
        <w:t> </w:t>
      </w:r>
      <w:r>
        <w:rPr/>
        <w:t>pre-erythrocytic</w:t>
      </w:r>
      <w:r>
        <w:rPr>
          <w:spacing w:val="14"/>
        </w:rPr>
        <w:t> </w:t>
      </w:r>
      <w:r>
        <w:rPr/>
        <w:t>phase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later.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transfusions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recipient’s</w:t>
      </w:r>
      <w:r>
        <w:rPr>
          <w:spacing w:val="1"/>
        </w:rPr>
        <w:t> </w:t>
      </w:r>
      <w:r>
        <w:rPr/>
        <w:t>bloodstream triggering the development of high risk complications and potentially leading to a fatal</w:t>
      </w:r>
      <w:r>
        <w:rPr>
          <w:spacing w:val="1"/>
        </w:rPr>
        <w:t> </w:t>
      </w:r>
      <w:r>
        <w:rPr/>
        <w:t>outcome (Verra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2018; Garraud, 2006).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notable to point out however that the mean</w:t>
      </w:r>
      <w:r>
        <w:rPr>
          <w:spacing w:val="1"/>
        </w:rPr>
        <w:t> </w:t>
      </w:r>
      <w:r>
        <w:rPr/>
        <w:t>incubation period for TTM is generally longer than the mean incubation period for the mosquito-</w:t>
      </w:r>
      <w:r>
        <w:rPr>
          <w:spacing w:val="1"/>
        </w:rPr>
        <w:t> </w:t>
      </w:r>
      <w:r>
        <w:rPr/>
        <w:t>transmitted</w:t>
      </w:r>
      <w:r>
        <w:rPr>
          <w:spacing w:val="-1"/>
        </w:rPr>
        <w:t> </w:t>
      </w:r>
      <w:r>
        <w:rPr/>
        <w:t>malaria</w:t>
      </w:r>
      <w:r>
        <w:rPr>
          <w:spacing w:val="-2"/>
        </w:rPr>
        <w:t> </w:t>
      </w:r>
      <w:r>
        <w:rPr/>
        <w:t>(MTM)</w:t>
      </w:r>
      <w:r>
        <w:rPr>
          <w:spacing w:val="-1"/>
        </w:rPr>
        <w:t> </w:t>
      </w:r>
      <w:r>
        <w:rPr/>
        <w:t>for all</w:t>
      </w:r>
      <w:r>
        <w:rPr>
          <w:spacing w:val="-1"/>
        </w:rPr>
        <w:t> </w:t>
      </w:r>
      <w:r>
        <w:rPr/>
        <w:t>Plasmodium species</w:t>
      </w:r>
      <w:r>
        <w:rPr>
          <w:spacing w:val="-1"/>
        </w:rPr>
        <w:t> </w:t>
      </w:r>
      <w:r>
        <w:rPr/>
        <w:t>as reported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(Verra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2018).</w:t>
      </w:r>
    </w:p>
    <w:p>
      <w:pPr>
        <w:pStyle w:val="Heading1"/>
        <w:numPr>
          <w:ilvl w:val="2"/>
          <w:numId w:val="9"/>
        </w:numPr>
        <w:tabs>
          <w:tab w:pos="1712" w:val="left" w:leader="none"/>
        </w:tabs>
        <w:spacing w:line="240" w:lineRule="auto" w:before="207" w:after="0"/>
        <w:ind w:left="1711" w:right="0" w:hanging="721"/>
        <w:jc w:val="both"/>
      </w:pPr>
      <w:bookmarkStart w:name="_TOC_250028" w:id="19"/>
      <w:r>
        <w:rPr/>
        <w:t>Congenital</w:t>
      </w:r>
      <w:r>
        <w:rPr>
          <w:spacing w:val="-3"/>
        </w:rPr>
        <w:t> </w:t>
      </w:r>
      <w:bookmarkEnd w:id="19"/>
      <w:r>
        <w:rPr/>
        <w:t>transmission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991" w:right="1253"/>
        <w:jc w:val="both"/>
      </w:pPr>
      <w:r>
        <w:rPr/>
        <w:t>Congenital malaria is the direct infection of an infant with malaria parasites from their mother prior to</w:t>
      </w:r>
      <w:r>
        <w:rPr>
          <w:spacing w:val="-57"/>
        </w:rPr>
        <w:t> </w:t>
      </w:r>
      <w:r>
        <w:rPr/>
        <w:t>or during birth. It is now recognized that malaria parasites can cross the placental barriers and enter</w:t>
      </w:r>
      <w:r>
        <w:rPr>
          <w:spacing w:val="1"/>
        </w:rPr>
        <w:t> </w:t>
      </w:r>
      <w:r>
        <w:rPr/>
        <w:t>fetal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congenital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(Olupot-Olupot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2018).</w:t>
      </w:r>
      <w:r>
        <w:rPr>
          <w:spacing w:val="60"/>
        </w:rPr>
        <w:t> </w:t>
      </w:r>
      <w:r>
        <w:rPr/>
        <w:t>Vertical</w:t>
      </w:r>
      <w:r>
        <w:rPr>
          <w:spacing w:val="1"/>
        </w:rPr>
        <w:t> </w:t>
      </w:r>
      <w:r>
        <w:rPr/>
        <w:t>transmission of malaria across the placenta from mother to feotus is diagnosed when parasitaemia is</w:t>
      </w:r>
      <w:r>
        <w:rPr>
          <w:spacing w:val="1"/>
        </w:rPr>
        <w:t> </w:t>
      </w:r>
      <w:r>
        <w:rPr/>
        <w:t>found in the neonate within 7 days of birth if there is no possibility of postpartum infection by</w:t>
      </w:r>
      <w:r>
        <w:rPr>
          <w:spacing w:val="1"/>
        </w:rPr>
        <w:t> </w:t>
      </w:r>
      <w:r>
        <w:rPr/>
        <w:t>mosquito</w:t>
      </w:r>
      <w:r>
        <w:rPr>
          <w:spacing w:val="-1"/>
        </w:rPr>
        <w:t> </w:t>
      </w:r>
      <w:r>
        <w:rPr/>
        <w:t>bite</w:t>
      </w:r>
      <w:r>
        <w:rPr>
          <w:spacing w:val="-1"/>
        </w:rPr>
        <w:t> </w:t>
      </w:r>
      <w:r>
        <w:rPr/>
        <w:t>or blood transfusion (Uneke,</w:t>
      </w:r>
      <w:r>
        <w:rPr>
          <w:spacing w:val="-1"/>
        </w:rPr>
        <w:t> </w:t>
      </w:r>
      <w:r>
        <w:rPr/>
        <w:t>2011; Menendez</w:t>
      </w:r>
      <w:r>
        <w:rPr>
          <w:spacing w:val="1"/>
        </w:rPr>
        <w:t> </w:t>
      </w:r>
      <w:r>
        <w:rPr/>
        <w:t>and Mayor 2007).</w:t>
      </w:r>
    </w:p>
    <w:p>
      <w:pPr>
        <w:pStyle w:val="BodyText"/>
        <w:spacing w:line="480" w:lineRule="auto" w:before="200"/>
        <w:ind w:left="991" w:right="1254"/>
        <w:jc w:val="both"/>
      </w:pPr>
      <w:r>
        <w:rPr/>
        <w:t>Congenital transmission of malaria results in low birth weight, still birth or death and abortion in new</w:t>
      </w:r>
      <w:r>
        <w:rPr>
          <w:spacing w:val="1"/>
        </w:rPr>
        <w:t> </w:t>
      </w:r>
      <w:r>
        <w:rPr/>
        <w:t>born babies. In endemic regions, the incidence of congenital malaria is usually extremely low or it</w:t>
      </w:r>
      <w:r>
        <w:rPr>
          <w:spacing w:val="1"/>
        </w:rPr>
        <w:t> </w:t>
      </w:r>
      <w:r>
        <w:rPr/>
        <w:t>may not result in any significant problem despite the high prevalence of placental infection. This 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antibodies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crossed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maternal</w:t>
      </w:r>
      <w:r>
        <w:rPr>
          <w:spacing w:val="1"/>
        </w:rPr>
        <w:t> </w:t>
      </w:r>
      <w:r>
        <w:rPr/>
        <w:t>compartment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fetal</w:t>
      </w:r>
      <w:r>
        <w:rPr>
          <w:spacing w:val="1"/>
        </w:rPr>
        <w:t> </w:t>
      </w:r>
      <w:r>
        <w:rPr/>
        <w:t>compartment to protect the new born babies in the early phase of life (Olupot-Olupot </w:t>
      </w:r>
      <w:r>
        <w:rPr>
          <w:i/>
        </w:rPr>
        <w:t>et al</w:t>
      </w:r>
      <w:r>
        <w:rPr/>
        <w:t>., 2018;</w:t>
      </w:r>
      <w:r>
        <w:rPr>
          <w:spacing w:val="1"/>
        </w:rPr>
        <w:t> </w:t>
      </w:r>
      <w:r>
        <w:rPr/>
        <w:t>Okonofua,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line="480" w:lineRule="auto" w:before="200"/>
        <w:ind w:left="991" w:right="1253"/>
        <w:jc w:val="both"/>
      </w:pPr>
      <w:r>
        <w:rPr/>
        <w:t>It has been stated by different authors (Uneke, 2011; Menendez &amp; Mayor, 2007; Reynolds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2007)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/>
        <w:t>possible</w:t>
      </w:r>
      <w:r>
        <w:rPr>
          <w:spacing w:val="43"/>
        </w:rPr>
        <w:t> </w:t>
      </w:r>
      <w:r>
        <w:rPr/>
        <w:t>mechanisms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congenital</w:t>
      </w:r>
      <w:r>
        <w:rPr>
          <w:spacing w:val="43"/>
        </w:rPr>
        <w:t> </w:t>
      </w:r>
      <w:r>
        <w:rPr/>
        <w:t>transmission</w:t>
      </w:r>
      <w:r>
        <w:rPr>
          <w:spacing w:val="41"/>
        </w:rPr>
        <w:t> </w:t>
      </w:r>
      <w:r>
        <w:rPr/>
        <w:t>include</w:t>
      </w:r>
      <w:r>
        <w:rPr>
          <w:spacing w:val="44"/>
        </w:rPr>
        <w:t> </w:t>
      </w:r>
      <w:r>
        <w:rPr/>
        <w:t>direct</w:t>
      </w:r>
      <w:r>
        <w:rPr>
          <w:spacing w:val="42"/>
        </w:rPr>
        <w:t> </w:t>
      </w:r>
      <w:r>
        <w:rPr/>
        <w:t>penetration</w:t>
      </w:r>
      <w:r>
        <w:rPr>
          <w:spacing w:val="41"/>
        </w:rPr>
        <w:t> </w:t>
      </w:r>
      <w:r>
        <w:rPr/>
        <w:t>through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3"/>
        <w:jc w:val="both"/>
      </w:pPr>
      <w:r>
        <w:rPr/>
        <w:t>chorionic villi, premature separation of the placenta and</w:t>
      </w:r>
      <w:r>
        <w:rPr>
          <w:spacing w:val="1"/>
        </w:rPr>
        <w:t> </w:t>
      </w:r>
      <w:r>
        <w:rPr/>
        <w:t>the possible physiologic transfusion of</w:t>
      </w:r>
      <w:r>
        <w:rPr>
          <w:spacing w:val="1"/>
        </w:rPr>
        <w:t> </w:t>
      </w:r>
      <w:r>
        <w:rPr/>
        <w:t>maternal red blood cells to the foetal circulation in uterus or at the time of delivery.</w:t>
      </w:r>
      <w:r>
        <w:rPr>
          <w:spacing w:val="1"/>
        </w:rPr>
        <w:t> </w:t>
      </w:r>
      <w:r>
        <w:rPr/>
        <w:t>Uneke, (2011);</w:t>
      </w:r>
      <w:r>
        <w:rPr>
          <w:spacing w:val="1"/>
        </w:rPr>
        <w:t> </w:t>
      </w:r>
      <w:r>
        <w:rPr/>
        <w:t>Perrault </w:t>
      </w:r>
      <w:r>
        <w:rPr>
          <w:i/>
        </w:rPr>
        <w:t>et al</w:t>
      </w:r>
      <w:r>
        <w:rPr/>
        <w:t>., (2009); Coll </w:t>
      </w:r>
      <w:r>
        <w:rPr>
          <w:i/>
        </w:rPr>
        <w:t>et al</w:t>
      </w:r>
      <w:r>
        <w:rPr/>
        <w:t>., (2008) and Rogerson </w:t>
      </w:r>
      <w:r>
        <w:rPr>
          <w:i/>
        </w:rPr>
        <w:t>et al</w:t>
      </w:r>
      <w:r>
        <w:rPr/>
        <w:t>., (2007) have attributed congenital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factors;</w:t>
      </w:r>
      <w:r>
        <w:rPr>
          <w:spacing w:val="1"/>
        </w:rPr>
        <w:t> </w:t>
      </w:r>
      <w:r>
        <w:rPr/>
        <w:t>pre-existing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immunity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pregnant woman, occurrence of severe malaria during pregnancy, absence of immunity especially</w:t>
      </w:r>
      <w:r>
        <w:rPr>
          <w:spacing w:val="1"/>
        </w:rPr>
        <w:t> </w:t>
      </w:r>
      <w:r>
        <w:rPr/>
        <w:t>pregnant women travelling to endemic areas, placental malaria especially among primigravid and</w:t>
      </w:r>
      <w:r>
        <w:rPr>
          <w:spacing w:val="1"/>
        </w:rPr>
        <w:t> </w:t>
      </w:r>
      <w:r>
        <w:rPr/>
        <w:t>secundigravid</w:t>
      </w:r>
      <w:r>
        <w:rPr>
          <w:spacing w:val="-1"/>
        </w:rPr>
        <w:t> </w:t>
      </w:r>
      <w:r>
        <w:rPr/>
        <w:t>women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maternal human immunodeficiency</w:t>
      </w:r>
      <w:r>
        <w:rPr>
          <w:spacing w:val="-5"/>
        </w:rPr>
        <w:t> </w:t>
      </w:r>
      <w:r>
        <w:rPr/>
        <w:t>virus</w:t>
      </w:r>
      <w:r>
        <w:rPr>
          <w:spacing w:val="-1"/>
        </w:rPr>
        <w:t> </w:t>
      </w:r>
      <w:r>
        <w:rPr/>
        <w:t>(HIV)</w:t>
      </w:r>
      <w:r>
        <w:rPr>
          <w:spacing w:val="1"/>
        </w:rPr>
        <w:t> </w:t>
      </w:r>
      <w:r>
        <w:rPr/>
        <w:t>infection.</w:t>
      </w:r>
    </w:p>
    <w:p>
      <w:pPr>
        <w:pStyle w:val="Heading1"/>
        <w:numPr>
          <w:ilvl w:val="1"/>
          <w:numId w:val="9"/>
        </w:numPr>
        <w:tabs>
          <w:tab w:pos="1472" w:val="left" w:leader="none"/>
        </w:tabs>
        <w:spacing w:line="240" w:lineRule="auto" w:before="207" w:after="0"/>
        <w:ind w:left="1471" w:right="0" w:hanging="481"/>
        <w:jc w:val="both"/>
      </w:pPr>
      <w:bookmarkStart w:name="_TOC_250027" w:id="20"/>
      <w:r>
        <w:rPr/>
        <w:t>Clinical</w:t>
      </w:r>
      <w:r>
        <w:rPr>
          <w:spacing w:val="-1"/>
        </w:rPr>
        <w:t> </w:t>
      </w:r>
      <w:r>
        <w:rPr/>
        <w:t>Manifestations</w:t>
      </w:r>
      <w:r>
        <w:rPr>
          <w:spacing w:val="-1"/>
        </w:rPr>
        <w:t> </w:t>
      </w:r>
      <w:bookmarkEnd w:id="20"/>
      <w:r>
        <w:rPr/>
        <w:t>of Malaria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991" w:right="1259"/>
        <w:jc w:val="both"/>
      </w:pPr>
      <w:r>
        <w:rPr/>
        <w:t>The initial symptoms of malaria appear to be typical to flu like syndrome. Clinical manifestations in</w:t>
      </w:r>
      <w:r>
        <w:rPr>
          <w:spacing w:val="1"/>
        </w:rPr>
        <w:t> </w:t>
      </w:r>
      <w:r>
        <w:rPr/>
        <w:t>malaria are diverse and may range in severity from headache to more serious complications as in the</w:t>
      </w:r>
      <w:r>
        <w:rPr>
          <w:spacing w:val="1"/>
        </w:rPr>
        <w:t> </w:t>
      </w:r>
      <w:r>
        <w:rPr/>
        <w:t>case of cerebral malaria. Hence, on the basis of severity, clinical features of malaria may be classified</w:t>
      </w:r>
      <w:r>
        <w:rPr>
          <w:spacing w:val="-57"/>
        </w:rPr>
        <w:t> </w:t>
      </w:r>
      <w:r>
        <w:rPr/>
        <w:t>into</w:t>
      </w:r>
      <w:r>
        <w:rPr>
          <w:spacing w:val="-1"/>
        </w:rPr>
        <w:t> </w:t>
      </w:r>
      <w:r>
        <w:rPr/>
        <w:t>uncomplicated malaria and severe</w:t>
      </w:r>
      <w:r>
        <w:rPr>
          <w:spacing w:val="-2"/>
        </w:rPr>
        <w:t> </w:t>
      </w:r>
      <w:r>
        <w:rPr/>
        <w:t>malaria.</w:t>
      </w:r>
    </w:p>
    <w:p>
      <w:pPr>
        <w:pStyle w:val="Heading1"/>
        <w:numPr>
          <w:ilvl w:val="2"/>
          <w:numId w:val="9"/>
        </w:numPr>
        <w:tabs>
          <w:tab w:pos="1532" w:val="left" w:leader="none"/>
        </w:tabs>
        <w:spacing w:line="240" w:lineRule="auto" w:before="207" w:after="0"/>
        <w:ind w:left="1531" w:right="0" w:hanging="541"/>
        <w:jc w:val="both"/>
      </w:pPr>
      <w:bookmarkStart w:name="_TOC_250026" w:id="21"/>
      <w:r>
        <w:rPr/>
        <w:t>Uncomplicated</w:t>
      </w:r>
      <w:r>
        <w:rPr>
          <w:spacing w:val="-2"/>
        </w:rPr>
        <w:t> </w:t>
      </w:r>
      <w:bookmarkEnd w:id="21"/>
      <w:r>
        <w:rPr/>
        <w:t>malaria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91" w:right="1253"/>
        <w:jc w:val="both"/>
      </w:pPr>
      <w:r>
        <w:rPr/>
        <w:t>All signs and symptoms of uncomplicated malaria are non-specific and are caused by malaria parasite</w:t>
      </w:r>
      <w:r>
        <w:rPr>
          <w:spacing w:val="-57"/>
        </w:rPr>
        <w:t> </w:t>
      </w:r>
      <w:r>
        <w:rPr/>
        <w:t>at the erythrocytic stage. Following the incubation period of 7 to 30 days depending on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/>
        <w:t>specie,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encountered;</w:t>
      </w:r>
      <w:r>
        <w:rPr>
          <w:spacing w:val="1"/>
        </w:rPr>
        <w:t> </w:t>
      </w:r>
      <w:r>
        <w:rPr/>
        <w:t>fever,</w:t>
      </w:r>
      <w:r>
        <w:rPr>
          <w:spacing w:val="1"/>
        </w:rPr>
        <w:t> </w:t>
      </w:r>
      <w:r>
        <w:rPr/>
        <w:t>malaise,</w:t>
      </w:r>
      <w:r>
        <w:rPr>
          <w:spacing w:val="1"/>
        </w:rPr>
        <w:t> </w:t>
      </w:r>
      <w:r>
        <w:rPr/>
        <w:t>headache,</w:t>
      </w:r>
      <w:r>
        <w:rPr>
          <w:spacing w:val="1"/>
        </w:rPr>
        <w:t> </w:t>
      </w:r>
      <w:r>
        <w:rPr/>
        <w:t>myalgias,</w:t>
      </w:r>
      <w:r>
        <w:rPr>
          <w:spacing w:val="1"/>
        </w:rPr>
        <w:t> </w:t>
      </w:r>
      <w:r>
        <w:rPr/>
        <w:t>nausea,</w:t>
      </w:r>
      <w:r>
        <w:rPr>
          <w:spacing w:val="1"/>
        </w:rPr>
        <w:t> </w:t>
      </w:r>
      <w:r>
        <w:rPr/>
        <w:t>dizziness, sense of dizziness and vomiting may be experienced (Crawley </w:t>
      </w:r>
      <w:r>
        <w:rPr>
          <w:i/>
        </w:rPr>
        <w:t>et al</w:t>
      </w:r>
      <w:r>
        <w:rPr/>
        <w:t>., 2010). Fever is often</w:t>
      </w:r>
      <w:r>
        <w:rPr>
          <w:spacing w:val="1"/>
        </w:rPr>
        <w:t> </w:t>
      </w:r>
      <w:r>
        <w:rPr/>
        <w:t>high, spiking up to 40°C in children and naïve individuals, and can be associated with rigours in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vivax </w:t>
      </w:r>
      <w:r>
        <w:rPr/>
        <w:t>infection (Bartoloni and Zammarchi 2012). The classic malaria paroxysm which consists of</w:t>
      </w:r>
      <w:r>
        <w:rPr>
          <w:spacing w:val="1"/>
        </w:rPr>
        <w:t> </w:t>
      </w:r>
      <w:r>
        <w:rPr/>
        <w:t>intermittent fever with chills and rigours occurring at the periodic interval of 24, 48 or 72 hours</w:t>
      </w:r>
      <w:r>
        <w:rPr>
          <w:spacing w:val="1"/>
        </w:rPr>
        <w:t> </w:t>
      </w:r>
      <w:r>
        <w:rPr/>
        <w:t>depending</w:t>
      </w:r>
      <w:r>
        <w:rPr>
          <w:spacing w:val="34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malaria</w:t>
      </w:r>
      <w:r>
        <w:rPr>
          <w:spacing w:val="35"/>
        </w:rPr>
        <w:t> </w:t>
      </w:r>
      <w:r>
        <w:rPr/>
        <w:t>species</w:t>
      </w:r>
      <w:r>
        <w:rPr>
          <w:spacing w:val="36"/>
        </w:rPr>
        <w:t> </w:t>
      </w:r>
      <w:r>
        <w:rPr/>
        <w:t>are</w:t>
      </w:r>
      <w:r>
        <w:rPr>
          <w:spacing w:val="36"/>
        </w:rPr>
        <w:t> </w:t>
      </w:r>
      <w:r>
        <w:rPr/>
        <w:t>also</w:t>
      </w:r>
      <w:r>
        <w:rPr>
          <w:spacing w:val="41"/>
        </w:rPr>
        <w:t> </w:t>
      </w:r>
      <w:r>
        <w:rPr/>
        <w:t>evident,</w:t>
      </w:r>
      <w:r>
        <w:rPr>
          <w:spacing w:val="38"/>
        </w:rPr>
        <w:t> </w:t>
      </w:r>
      <w:r>
        <w:rPr/>
        <w:t>this</w:t>
      </w:r>
      <w:r>
        <w:rPr>
          <w:spacing w:val="37"/>
        </w:rPr>
        <w:t> </w:t>
      </w:r>
      <w:r>
        <w:rPr/>
        <w:t>corresponds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release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Plasmodium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2" w:lineRule="auto" w:before="72"/>
        <w:ind w:left="991" w:right="1254"/>
        <w:jc w:val="both"/>
      </w:pPr>
      <w:r>
        <w:rPr/>
        <w:t>merozoites from schizont rupture during the erythrocytic stage (Bartoloni and Zammarchi 2012;</w:t>
      </w:r>
      <w:r>
        <w:rPr>
          <w:spacing w:val="1"/>
        </w:rPr>
        <w:t> </w:t>
      </w:r>
      <w:r>
        <w:rPr/>
        <w:t>Crawley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2010).</w:t>
      </w:r>
    </w:p>
    <w:p>
      <w:pPr>
        <w:pStyle w:val="Heading1"/>
        <w:numPr>
          <w:ilvl w:val="2"/>
          <w:numId w:val="9"/>
        </w:numPr>
        <w:tabs>
          <w:tab w:pos="1532" w:val="left" w:leader="none"/>
        </w:tabs>
        <w:spacing w:line="240" w:lineRule="auto" w:before="201" w:after="0"/>
        <w:ind w:left="1531" w:right="0" w:hanging="541"/>
        <w:jc w:val="both"/>
      </w:pPr>
      <w:r>
        <w:rPr/>
        <w:t>Severe</w:t>
      </w:r>
      <w:r>
        <w:rPr>
          <w:spacing w:val="-1"/>
        </w:rPr>
        <w:t> </w:t>
      </w:r>
      <w:r>
        <w:rPr/>
        <w:t>malaria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991" w:right="1253"/>
        <w:jc w:val="both"/>
      </w:pPr>
      <w:r>
        <w:rPr/>
        <w:t>When uncomplicated malaria is not controlled either as a result of lack of treatment or partially</w:t>
      </w:r>
      <w:r>
        <w:rPr>
          <w:spacing w:val="1"/>
        </w:rPr>
        <w:t> </w:t>
      </w:r>
      <w:r>
        <w:rPr/>
        <w:t>treatment, the rapid progression to complicated or severe malaria can be fatal especially when it</w:t>
      </w:r>
      <w:r>
        <w:rPr>
          <w:spacing w:val="1"/>
        </w:rPr>
        <w:t> </w:t>
      </w:r>
      <w:r>
        <w:rPr/>
        <w:t>involves </w:t>
      </w:r>
      <w:r>
        <w:rPr>
          <w:i/>
        </w:rPr>
        <w:t>P. falciparum</w:t>
      </w:r>
      <w:r>
        <w:rPr/>
        <w:t>. The manifestations of severe malaria vary with both age and transmission</w:t>
      </w:r>
      <w:r>
        <w:rPr>
          <w:spacing w:val="1"/>
        </w:rPr>
        <w:t> </w:t>
      </w:r>
      <w:r>
        <w:rPr/>
        <w:t>level (Cowman </w:t>
      </w:r>
      <w:r>
        <w:rPr>
          <w:i/>
        </w:rPr>
        <w:t>et al</w:t>
      </w:r>
      <w:r>
        <w:rPr/>
        <w:t>., 2016). In Africa, three dominant syndromes are associated with severe malaria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fatal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especially in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syndromes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/>
        <w:t>cerebral</w:t>
      </w:r>
      <w:r>
        <w:rPr>
          <w:spacing w:val="60"/>
        </w:rPr>
        <w:t> </w:t>
      </w:r>
      <w:r>
        <w:rPr/>
        <w:t>malaria,</w:t>
      </w:r>
      <w:r>
        <w:rPr>
          <w:spacing w:val="-57"/>
        </w:rPr>
        <w:t> </w:t>
      </w:r>
      <w:r>
        <w:rPr/>
        <w:t>severe anaemia, and respiratory distress (Tusting </w:t>
      </w:r>
      <w:r>
        <w:rPr>
          <w:i/>
        </w:rPr>
        <w:t>et al</w:t>
      </w:r>
      <w:r>
        <w:rPr/>
        <w:t>., 2014). Clinical features of severe malaria may</w:t>
      </w:r>
      <w:r>
        <w:rPr>
          <w:spacing w:val="-57"/>
        </w:rPr>
        <w:t> </w:t>
      </w:r>
      <w:r>
        <w:rPr/>
        <w:t>include; impaired consciousness, prostration, multiple convulsions (more than two episodes within 24</w:t>
      </w:r>
      <w:r>
        <w:rPr>
          <w:spacing w:val="-57"/>
        </w:rPr>
        <w:t> </w:t>
      </w:r>
      <w:r>
        <w:rPr/>
        <w:t>hours), Shock, Pulmonary oedema, significant bleeding, severe anaemia, Jaundice, renal impairment,</w:t>
      </w:r>
      <w:r>
        <w:rPr>
          <w:spacing w:val="1"/>
        </w:rPr>
        <w:t> </w:t>
      </w:r>
      <w:r>
        <w:rPr/>
        <w:t>acidosis,</w:t>
      </w:r>
      <w:r>
        <w:rPr>
          <w:spacing w:val="-1"/>
        </w:rPr>
        <w:t> </w:t>
      </w:r>
      <w:r>
        <w:rPr/>
        <w:t>hypoglycemia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hyperglycemia</w:t>
      </w:r>
      <w:r>
        <w:rPr>
          <w:spacing w:val="1"/>
        </w:rPr>
        <w:t> </w:t>
      </w:r>
      <w:r>
        <w:rPr/>
        <w:t>(Cowman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2016; Tusting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2014).</w:t>
      </w:r>
    </w:p>
    <w:p>
      <w:pPr>
        <w:pStyle w:val="Heading1"/>
        <w:numPr>
          <w:ilvl w:val="1"/>
          <w:numId w:val="9"/>
        </w:numPr>
        <w:tabs>
          <w:tab w:pos="1472" w:val="left" w:leader="none"/>
        </w:tabs>
        <w:spacing w:line="240" w:lineRule="auto" w:before="208" w:after="0"/>
        <w:ind w:left="1471" w:right="0" w:hanging="481"/>
        <w:jc w:val="both"/>
      </w:pPr>
      <w:bookmarkStart w:name="_TOC_250025" w:id="22"/>
      <w:bookmarkEnd w:id="22"/>
      <w:r>
        <w:rPr/>
        <w:t>Diagnosis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91" w:right="1257"/>
        <w:jc w:val="both"/>
      </w:pPr>
      <w:r>
        <w:rPr/>
        <w:t>Timely and accurate diagnosis of malaria is vital in the effective management and surveillance of the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screening of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antigens/products</w:t>
      </w:r>
      <w:r>
        <w:rPr>
          <w:spacing w:val="60"/>
        </w:rPr>
        <w:t> </w:t>
      </w:r>
      <w:r>
        <w:rPr/>
        <w:t>in</w:t>
      </w:r>
      <w:r>
        <w:rPr>
          <w:spacing w:val="-58"/>
        </w:rPr>
        <w:t> </w:t>
      </w:r>
      <w:r>
        <w:rPr/>
        <w:t>patient blood. WHO recommends microscopy and RDT kits as diagnostic tools to be used before</w:t>
      </w:r>
      <w:r>
        <w:rPr>
          <w:spacing w:val="1"/>
        </w:rPr>
        <w:t> </w:t>
      </w:r>
      <w:r>
        <w:rPr/>
        <w:t>commencement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anti-malarial treatment.</w:t>
      </w:r>
    </w:p>
    <w:p>
      <w:pPr>
        <w:pStyle w:val="Heading1"/>
        <w:numPr>
          <w:ilvl w:val="2"/>
          <w:numId w:val="9"/>
        </w:numPr>
        <w:tabs>
          <w:tab w:pos="1532" w:val="left" w:leader="none"/>
        </w:tabs>
        <w:spacing w:line="240" w:lineRule="auto" w:before="208" w:after="0"/>
        <w:ind w:left="1531" w:right="0" w:hanging="541"/>
        <w:jc w:val="both"/>
      </w:pPr>
      <w:bookmarkStart w:name="_TOC_250024" w:id="23"/>
      <w:bookmarkEnd w:id="23"/>
      <w:r>
        <w:rPr/>
        <w:t>Microscopy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991" w:right="1259"/>
        <w:jc w:val="both"/>
      </w:pPr>
      <w:r>
        <w:rPr/>
        <w:t>Microscopy technique is widely used in the management of malaria due to its simplicity, low cost, its</w:t>
      </w:r>
      <w:r>
        <w:rPr>
          <w:spacing w:val="1"/>
        </w:rPr>
        <w:t> </w:t>
      </w:r>
      <w:r>
        <w:rPr/>
        <w:t>ability to identify the presence of the parasites, the infecting species and assess parasite density.</w:t>
      </w:r>
      <w:r>
        <w:rPr>
          <w:spacing w:val="1"/>
        </w:rPr>
        <w:t> </w:t>
      </w:r>
      <w:r>
        <w:rPr/>
        <w:t>Microscopic</w:t>
      </w:r>
      <w:r>
        <w:rPr>
          <w:spacing w:val="11"/>
        </w:rPr>
        <w:t> </w:t>
      </w:r>
      <w:r>
        <w:rPr/>
        <w:t>detection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identification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Plasmodium</w:t>
      </w:r>
      <w:r>
        <w:rPr>
          <w:spacing w:val="13"/>
        </w:rPr>
        <w:t> </w:t>
      </w:r>
      <w:r>
        <w:rPr/>
        <w:t>species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Giemsa</w:t>
      </w:r>
      <w:r>
        <w:rPr>
          <w:spacing w:val="15"/>
        </w:rPr>
        <w:t> </w:t>
      </w:r>
      <w:r>
        <w:rPr/>
        <w:t>remain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gold</w:t>
      </w:r>
      <w:r>
        <w:rPr>
          <w:spacing w:val="12"/>
        </w:rPr>
        <w:t> </w:t>
      </w:r>
      <w:r>
        <w:rPr/>
        <w:t>standard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4"/>
        <w:jc w:val="both"/>
      </w:pPr>
      <w:r>
        <w:rPr/>
        <w:t>for laboratory diagnosis and remains relatively widespread as a point-of-care diagnosis in clinical and</w:t>
      </w:r>
      <w:r>
        <w:rPr>
          <w:spacing w:val="-57"/>
        </w:rPr>
        <w:t> </w:t>
      </w:r>
      <w:r>
        <w:rPr/>
        <w:t>epidemiological settings (Wu </w:t>
      </w:r>
      <w:r>
        <w:rPr>
          <w:i/>
        </w:rPr>
        <w:t>et al</w:t>
      </w:r>
      <w:r>
        <w:rPr/>
        <w:t>., 2015; Tangpukdee </w:t>
      </w:r>
      <w:r>
        <w:rPr>
          <w:i/>
        </w:rPr>
        <w:t>et al</w:t>
      </w:r>
      <w:r>
        <w:rPr/>
        <w:t>., 2009; Bharti </w:t>
      </w:r>
      <w:r>
        <w:rPr>
          <w:i/>
        </w:rPr>
        <w:t>et al</w:t>
      </w:r>
      <w:r>
        <w:rPr/>
        <w:t>., 2007). Thick and</w:t>
      </w:r>
      <w:r>
        <w:rPr>
          <w:spacing w:val="1"/>
        </w:rPr>
        <w:t> </w:t>
      </w:r>
      <w:r>
        <w:rPr/>
        <w:t>thin blood smears are prepared on a glass slide for the microscopic detection of parasites in the</w:t>
      </w:r>
      <w:r>
        <w:rPr>
          <w:spacing w:val="1"/>
        </w:rPr>
        <w:t> </w:t>
      </w:r>
      <w:r>
        <w:rPr/>
        <w:t>peripheral blood. Thick smears are useful for screening the presenting malaria parasite, parasite</w:t>
      </w:r>
      <w:r>
        <w:rPr>
          <w:spacing w:val="1"/>
        </w:rPr>
        <w:t> </w:t>
      </w:r>
      <w:r>
        <w:rPr/>
        <w:t>density and detecting of low-density malaria, whereas thin smears provide confirmation for malaria</w:t>
      </w:r>
      <w:r>
        <w:rPr>
          <w:spacing w:val="1"/>
        </w:rPr>
        <w:t> </w:t>
      </w:r>
      <w:r>
        <w:rPr/>
        <w:t>species. To prepare a thick blood smear, a blood spot is smeared in a circular motion with a spreader,</w:t>
      </w:r>
      <w:r>
        <w:rPr>
          <w:spacing w:val="1"/>
        </w:rPr>
        <w:t> </w:t>
      </w:r>
      <w:r>
        <w:rPr/>
        <w:t>and allowed to dry. After it is properly dried, without fixing the slide is then flooded with the chosen</w:t>
      </w:r>
      <w:r>
        <w:rPr>
          <w:spacing w:val="1"/>
        </w:rPr>
        <w:t> </w:t>
      </w:r>
      <w:r>
        <w:rPr/>
        <w:t>stain ( giemsa or Leshman stian) at the required proportion for the appropriate time (Tangpukdee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2009). Whereas, a thin blood smear is prepared by immediately placing the smooth edge of a</w:t>
      </w:r>
      <w:r>
        <w:rPr>
          <w:spacing w:val="1"/>
        </w:rPr>
        <w:t> </w:t>
      </w:r>
      <w:r>
        <w:rPr/>
        <w:t>spreader on a drop of blood, adjusting the angle between slide and spreader to 45o and then spreading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blood with a swift and steady</w:t>
      </w:r>
      <w:r>
        <w:rPr>
          <w:spacing w:val="-5"/>
        </w:rPr>
        <w:t> </w:t>
      </w:r>
      <w:r>
        <w:rPr/>
        <w:t>sweep</w:t>
      </w:r>
      <w:r>
        <w:rPr>
          <w:spacing w:val="2"/>
        </w:rPr>
        <w:t> </w:t>
      </w:r>
      <w:r>
        <w:rPr/>
        <w:t>along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(Tangpukdee</w:t>
      </w:r>
      <w:r>
        <w:rPr>
          <w:spacing w:val="5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Heading1"/>
        <w:numPr>
          <w:ilvl w:val="2"/>
          <w:numId w:val="9"/>
        </w:numPr>
        <w:tabs>
          <w:tab w:pos="1532" w:val="left" w:leader="none"/>
        </w:tabs>
        <w:spacing w:line="240" w:lineRule="auto" w:before="208" w:after="0"/>
        <w:ind w:left="1531" w:right="0" w:hanging="541"/>
        <w:jc w:val="both"/>
      </w:pPr>
      <w:bookmarkStart w:name="_TOC_250023" w:id="24"/>
      <w:r>
        <w:rPr/>
        <w:t>Rapid</w:t>
      </w:r>
      <w:r>
        <w:rPr>
          <w:spacing w:val="-2"/>
        </w:rPr>
        <w:t> </w:t>
      </w:r>
      <w:r>
        <w:rPr/>
        <w:t>diagnostic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bookmarkEnd w:id="24"/>
      <w:r>
        <w:rPr/>
        <w:t>(RDT)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91" w:right="1252"/>
        <w:jc w:val="both"/>
      </w:pPr>
      <w:r>
        <w:rPr/>
        <w:t>Although the peripheral blood smear examination that provides the most comprehensive 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gold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immuno-</w:t>
      </w:r>
      <w:r>
        <w:rPr>
          <w:spacing w:val="1"/>
        </w:rPr>
        <w:t> </w:t>
      </w:r>
      <w:r>
        <w:rPr/>
        <w:t>chromatographic tests for the detection of malaria antigens, developed in the past decades, have</w:t>
      </w:r>
      <w:r>
        <w:rPr>
          <w:spacing w:val="1"/>
        </w:rPr>
        <w:t> </w:t>
      </w:r>
      <w:r>
        <w:rPr/>
        <w:t>opened a new and exciting avenue in malaria diagnosis. Immuno-chromatographic tests are based on</w:t>
      </w:r>
      <w:r>
        <w:rPr>
          <w:spacing w:val="1"/>
        </w:rPr>
        <w:t> </w:t>
      </w:r>
      <w:r>
        <w:rPr/>
        <w:t>the capture of the parasite antigens from the peripheral blood using either monoclonal or polyclonal</w:t>
      </w:r>
      <w:r>
        <w:rPr>
          <w:spacing w:val="1"/>
        </w:rPr>
        <w:t> </w:t>
      </w:r>
      <w:r>
        <w:rPr/>
        <w:t>antibodies</w:t>
      </w:r>
      <w:r>
        <w:rPr>
          <w:spacing w:val="-1"/>
        </w:rPr>
        <w:t> </w:t>
      </w:r>
      <w:r>
        <w:rPr/>
        <w:t>against the parasite</w:t>
      </w:r>
      <w:r>
        <w:rPr>
          <w:spacing w:val="-1"/>
        </w:rPr>
        <w:t> </w:t>
      </w:r>
      <w:r>
        <w:rPr/>
        <w:t>antigen</w:t>
      </w:r>
      <w:r>
        <w:rPr>
          <w:spacing w:val="-1"/>
        </w:rPr>
        <w:t> </w:t>
      </w:r>
      <w:r>
        <w:rPr/>
        <w:t>targets</w:t>
      </w:r>
      <w:r>
        <w:rPr>
          <w:spacing w:val="2"/>
        </w:rPr>
        <w:t> </w:t>
      </w:r>
      <w:r>
        <w:rPr/>
        <w:t>(Ayogu </w:t>
      </w:r>
      <w:r>
        <w:rPr>
          <w:i/>
        </w:rPr>
        <w:t>et al</w:t>
      </w:r>
      <w:r>
        <w:rPr/>
        <w:t>., 2016).</w:t>
      </w:r>
    </w:p>
    <w:p>
      <w:pPr>
        <w:pStyle w:val="BodyText"/>
        <w:spacing w:line="480" w:lineRule="auto" w:before="202"/>
        <w:ind w:left="991" w:right="1253"/>
        <w:jc w:val="both"/>
      </w:pPr>
      <w:r>
        <w:rPr/>
        <w:t>Currently,</w:t>
      </w:r>
      <w:r>
        <w:rPr>
          <w:spacing w:val="1"/>
        </w:rPr>
        <w:t> </w:t>
      </w:r>
      <w:r>
        <w:rPr/>
        <w:t>immuno-chromatographic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>
          <w:i/>
          <w:spacing w:val="60"/>
        </w:rPr>
        <w:t> </w:t>
      </w:r>
      <w:r>
        <w:rPr/>
        <w:t>histidine-rich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(PfHRP2),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pan-malarial</w:t>
      </w:r>
      <w:r>
        <w:rPr>
          <w:spacing w:val="1"/>
        </w:rPr>
        <w:t> </w:t>
      </w:r>
      <w:r>
        <w:rPr/>
        <w:t>Plasmodium</w:t>
      </w:r>
      <w:r>
        <w:rPr>
          <w:spacing w:val="1"/>
        </w:rPr>
        <w:t> </w:t>
      </w:r>
      <w:r>
        <w:rPr/>
        <w:t>aldolase,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lactate</w:t>
      </w:r>
      <w:r>
        <w:rPr>
          <w:spacing w:val="1"/>
        </w:rPr>
        <w:t> </w:t>
      </w:r>
      <w:r>
        <w:rPr/>
        <w:t>dehydrogenase</w:t>
      </w:r>
      <w:r>
        <w:rPr>
          <w:spacing w:val="-2"/>
        </w:rPr>
        <w:t> </w:t>
      </w:r>
      <w:r>
        <w:rPr/>
        <w:t>(Ayogu</w:t>
      </w:r>
      <w:r>
        <w:rPr>
          <w:spacing w:val="4"/>
        </w:rPr>
        <w:t> </w:t>
      </w:r>
      <w:r>
        <w:rPr>
          <w:i/>
        </w:rPr>
        <w:t>et al</w:t>
      </w:r>
      <w:r>
        <w:rPr/>
        <w:t>., 2016).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2"/>
        <w:jc w:val="both"/>
      </w:pPr>
      <w:r>
        <w:rPr/>
        <w:t>Blood sample is dropped on the sample well located on the RDT cassette, and then appropriate drops</w:t>
      </w:r>
      <w:r>
        <w:rPr>
          <w:spacing w:val="1"/>
        </w:rPr>
        <w:t> </w:t>
      </w:r>
      <w:r>
        <w:rPr/>
        <w:t>of buffer are added on the spot designated for the buffer on the cassette.</w:t>
      </w:r>
      <w:r>
        <w:rPr>
          <w:spacing w:val="61"/>
        </w:rPr>
        <w:t> </w:t>
      </w:r>
      <w:r>
        <w:rPr/>
        <w:t>The labeled antigen-</w:t>
      </w:r>
      <w:r>
        <w:rPr>
          <w:spacing w:val="1"/>
        </w:rPr>
        <w:t> </w:t>
      </w:r>
      <w:r>
        <w:rPr/>
        <w:t>antibody complex</w:t>
      </w:r>
      <w:r>
        <w:rPr>
          <w:spacing w:val="1"/>
        </w:rPr>
        <w:t> </w:t>
      </w:r>
      <w:r>
        <w:rPr/>
        <w:t>migrates up the test strip by capillary action towards</w:t>
      </w:r>
      <w:r>
        <w:rPr>
          <w:spacing w:val="60"/>
        </w:rPr>
        <w:t> </w:t>
      </w:r>
      <w:r>
        <w:rPr/>
        <w:t>test-specific reagents that</w:t>
      </w:r>
      <w:r>
        <w:rPr>
          <w:spacing w:val="1"/>
        </w:rPr>
        <w:t> </w:t>
      </w:r>
      <w:r>
        <w:rPr/>
        <w:t>have been pre-deposited during manufacture. These include (a) a line to capture antibody specific for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antigen</w:t>
      </w:r>
      <w:r>
        <w:rPr>
          <w:spacing w:val="13"/>
        </w:rPr>
        <w:t> </w:t>
      </w:r>
      <w:r>
        <w:rPr/>
        <w:t>under</w:t>
      </w:r>
      <w:r>
        <w:rPr>
          <w:spacing w:val="12"/>
        </w:rPr>
        <w:t> </w:t>
      </w:r>
      <w:r>
        <w:rPr/>
        <w:t>investigation</w:t>
      </w:r>
      <w:r>
        <w:rPr>
          <w:spacing w:val="13"/>
        </w:rPr>
        <w:t> </w:t>
      </w:r>
      <w:r>
        <w:rPr/>
        <w:t>(several</w:t>
      </w:r>
      <w:r>
        <w:rPr>
          <w:spacing w:val="13"/>
        </w:rPr>
        <w:t> </w:t>
      </w:r>
      <w:r>
        <w:rPr/>
        <w:t>lines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used</w:t>
      </w:r>
      <w:r>
        <w:rPr>
          <w:spacing w:val="13"/>
        </w:rPr>
        <w:t> </w:t>
      </w:r>
      <w:r>
        <w:rPr/>
        <w:t>if</w:t>
      </w:r>
      <w:r>
        <w:rPr>
          <w:spacing w:val="12"/>
        </w:rPr>
        <w:t> </w:t>
      </w:r>
      <w:r>
        <w:rPr/>
        <w:t>several</w:t>
      </w:r>
      <w:r>
        <w:rPr>
          <w:spacing w:val="13"/>
        </w:rPr>
        <w:t> </w:t>
      </w:r>
      <w:r>
        <w:rPr/>
        <w:t>antigens</w:t>
      </w:r>
      <w:r>
        <w:rPr>
          <w:spacing w:val="15"/>
        </w:rPr>
        <w:t> </w:t>
      </w:r>
      <w:r>
        <w:rPr/>
        <w:t>are</w:t>
      </w:r>
      <w:r>
        <w:rPr>
          <w:spacing w:val="11"/>
        </w:rPr>
        <w:t> </w:t>
      </w:r>
      <w:r>
        <w:rPr/>
        <w:t>being</w:t>
      </w:r>
      <w:r>
        <w:rPr>
          <w:spacing w:val="10"/>
        </w:rPr>
        <w:t> </w:t>
      </w:r>
      <w:r>
        <w:rPr/>
        <w:t>investigated)</w:t>
      </w:r>
      <w:r>
        <w:rPr>
          <w:spacing w:val="12"/>
        </w:rPr>
        <w:t> </w:t>
      </w:r>
      <w:r>
        <w:rPr/>
        <w:t>and</w:t>
      </w:r>
    </w:p>
    <w:p>
      <w:pPr>
        <w:pStyle w:val="BodyText"/>
        <w:spacing w:line="482" w:lineRule="auto"/>
        <w:ind w:left="991" w:right="1254"/>
        <w:jc w:val="both"/>
      </w:pPr>
      <w:r>
        <w:rPr/>
        <w:t>(b) a procedural control line, with an antibody that will capture the labelled antibody. Visual coloured</w:t>
      </w:r>
      <w:r>
        <w:rPr>
          <w:spacing w:val="-57"/>
        </w:rPr>
        <w:t> </w:t>
      </w:r>
      <w:r>
        <w:rPr/>
        <w:t>band(s) on the test strip indicate either positive or negative result. The complete test run time varies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15-20 minutes.</w:t>
      </w:r>
    </w:p>
    <w:p>
      <w:pPr>
        <w:pStyle w:val="BodyText"/>
        <w:spacing w:line="480" w:lineRule="auto" w:before="192"/>
        <w:ind w:left="991" w:right="1252"/>
        <w:jc w:val="both"/>
      </w:pPr>
      <w:r>
        <w:rPr/>
        <w:t>Recent developments in molecular biotechnologies have permitted extensive characterization of the</w:t>
      </w:r>
      <w:r>
        <w:rPr>
          <w:spacing w:val="1"/>
        </w:rPr>
        <w:t> </w:t>
      </w:r>
      <w:r>
        <w:rPr/>
        <w:t>malaria parasite and generating new strategies for malaria diagnosis. Molecular diagnostic platforms</w:t>
      </w:r>
      <w:r>
        <w:rPr>
          <w:spacing w:val="1"/>
        </w:rPr>
        <w:t> </w:t>
      </w:r>
      <w:r>
        <w:rPr/>
        <w:t>display high sensitivity, high specificity and their ability to detect extremely low-level infections.</w:t>
      </w:r>
      <w:r>
        <w:rPr>
          <w:spacing w:val="1"/>
        </w:rPr>
        <w:t> </w:t>
      </w:r>
      <w:r>
        <w:rPr/>
        <w:t>Nevertheless, the significant barrier of these methods is in their requirement of specially trained</w:t>
      </w:r>
      <w:r>
        <w:rPr>
          <w:spacing w:val="1"/>
        </w:rPr>
        <w:t> </w:t>
      </w:r>
      <w:r>
        <w:rPr/>
        <w:t>technician, relatively high operational cost, prone to contamination, complex methodologies, and the</w:t>
      </w:r>
      <w:r>
        <w:rPr>
          <w:spacing w:val="1"/>
        </w:rPr>
        <w:t> </w:t>
      </w:r>
      <w:r>
        <w:rPr/>
        <w:t>amount of infrastructure needed in the form of equipment, stable power and reagent storage (Cordray</w:t>
      </w:r>
      <w:r>
        <w:rPr>
          <w:spacing w:val="1"/>
        </w:rPr>
        <w:t> </w:t>
      </w:r>
      <w:r>
        <w:rPr/>
        <w:t>and Richards-Kortum 2012). They are; polymerase chain reaction (PCR), loop-mediated isothermal</w:t>
      </w:r>
      <w:r>
        <w:rPr>
          <w:spacing w:val="1"/>
        </w:rPr>
        <w:t> </w:t>
      </w:r>
      <w:r>
        <w:rPr/>
        <w:t>amplification</w:t>
      </w:r>
      <w:r>
        <w:rPr>
          <w:spacing w:val="1"/>
        </w:rPr>
        <w:t> </w:t>
      </w:r>
      <w:r>
        <w:rPr/>
        <w:t>(LAMP),</w:t>
      </w:r>
      <w:r>
        <w:rPr>
          <w:spacing w:val="1"/>
        </w:rPr>
        <w:t> </w:t>
      </w:r>
      <w:r>
        <w:rPr/>
        <w:t>immuno-fluorescence</w:t>
      </w:r>
      <w:r>
        <w:rPr>
          <w:spacing w:val="1"/>
        </w:rPr>
        <w:t> </w:t>
      </w:r>
      <w:r>
        <w:rPr/>
        <w:t>(IFA),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enzyme-linked</w:t>
      </w:r>
      <w:r>
        <w:rPr>
          <w:spacing w:val="1"/>
        </w:rPr>
        <w:t> </w:t>
      </w:r>
      <w:r>
        <w:rPr/>
        <w:t>immuno-sorbent</w:t>
      </w:r>
      <w:r>
        <w:rPr>
          <w:spacing w:val="1"/>
        </w:rPr>
        <w:t> </w:t>
      </w:r>
      <w:r>
        <w:rPr/>
        <w:t>assay</w:t>
      </w:r>
      <w:r>
        <w:rPr>
          <w:spacing w:val="1"/>
        </w:rPr>
        <w:t> </w:t>
      </w:r>
      <w:r>
        <w:rPr/>
        <w:t>(ELISA)</w:t>
      </w:r>
      <w:r>
        <w:rPr>
          <w:spacing w:val="-3"/>
        </w:rPr>
        <w:t> </w:t>
      </w:r>
      <w:r>
        <w:rPr/>
        <w:t>(Kitchen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2005).</w:t>
      </w:r>
    </w:p>
    <w:p>
      <w:pPr>
        <w:pStyle w:val="Heading1"/>
        <w:numPr>
          <w:ilvl w:val="1"/>
          <w:numId w:val="9"/>
        </w:numPr>
        <w:tabs>
          <w:tab w:pos="1472" w:val="left" w:leader="none"/>
        </w:tabs>
        <w:spacing w:line="240" w:lineRule="auto" w:before="207" w:after="0"/>
        <w:ind w:left="1471" w:right="0" w:hanging="481"/>
        <w:jc w:val="both"/>
      </w:pPr>
      <w:bookmarkStart w:name="_TOC_250022" w:id="25"/>
      <w:r>
        <w:rPr/>
        <w:t>Global</w:t>
      </w:r>
      <w:r>
        <w:rPr>
          <w:spacing w:val="-2"/>
        </w:rPr>
        <w:t> </w:t>
      </w:r>
      <w:r>
        <w:rPr/>
        <w:t>Malaria</w:t>
      </w:r>
      <w:r>
        <w:rPr>
          <w:spacing w:val="-1"/>
        </w:rPr>
        <w:t> </w:t>
      </w:r>
      <w:bookmarkEnd w:id="25"/>
      <w:r>
        <w:rPr/>
        <w:t>Burden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991" w:right="1254"/>
        <w:jc w:val="both"/>
      </w:pPr>
      <w:r>
        <w:rPr/>
        <w:t>Malaria burden is biased towards sub-Saharan African region. It remains one of the major public</w:t>
      </w:r>
      <w:r>
        <w:rPr>
          <w:spacing w:val="1"/>
        </w:rPr>
        <w:t> </w:t>
      </w:r>
      <w:r>
        <w:rPr/>
        <w:t>health problems and a leading cause of morbidity and mortality especially in sub-Sahara Africa.</w:t>
      </w:r>
      <w:r>
        <w:rPr>
          <w:spacing w:val="1"/>
        </w:rPr>
        <w:t> </w:t>
      </w:r>
      <w:r>
        <w:rPr/>
        <w:t>Reports from WHO region shows that 228 million cases of malaria occurred worldwide in 2018</w:t>
      </w:r>
      <w:r>
        <w:rPr>
          <w:spacing w:val="1"/>
        </w:rPr>
        <w:t> </w:t>
      </w:r>
      <w:r>
        <w:rPr/>
        <w:t>compared</w:t>
      </w:r>
      <w:r>
        <w:rPr>
          <w:spacing w:val="24"/>
        </w:rPr>
        <w:t> </w:t>
      </w:r>
      <w:r>
        <w:rPr/>
        <w:t>with</w:t>
      </w:r>
      <w:r>
        <w:rPr>
          <w:spacing w:val="23"/>
        </w:rPr>
        <w:t> </w:t>
      </w:r>
      <w:r>
        <w:rPr/>
        <w:t>231</w:t>
      </w:r>
      <w:r>
        <w:rPr>
          <w:spacing w:val="23"/>
        </w:rPr>
        <w:t> </w:t>
      </w:r>
      <w:r>
        <w:rPr/>
        <w:t>million</w:t>
      </w:r>
      <w:r>
        <w:rPr>
          <w:spacing w:val="23"/>
        </w:rPr>
        <w:t> </w:t>
      </w:r>
      <w:r>
        <w:rPr/>
        <w:t>cases</w:t>
      </w:r>
      <w:r>
        <w:rPr>
          <w:spacing w:val="26"/>
        </w:rPr>
        <w:t> </w:t>
      </w:r>
      <w:r>
        <w:rPr/>
        <w:t>in</w:t>
      </w:r>
      <w:r>
        <w:rPr>
          <w:spacing w:val="23"/>
        </w:rPr>
        <w:t> </w:t>
      </w:r>
      <w:r>
        <w:rPr/>
        <w:t>2017</w:t>
      </w:r>
      <w:r>
        <w:rPr>
          <w:spacing w:val="26"/>
        </w:rPr>
        <w:t> </w:t>
      </w:r>
      <w:r>
        <w:rPr/>
        <w:t>and</w:t>
      </w:r>
      <w:r>
        <w:rPr>
          <w:spacing w:val="22"/>
        </w:rPr>
        <w:t> </w:t>
      </w:r>
      <w:r>
        <w:rPr/>
        <w:t>251</w:t>
      </w:r>
      <w:r>
        <w:rPr>
          <w:spacing w:val="23"/>
        </w:rPr>
        <w:t> </w:t>
      </w:r>
      <w:r>
        <w:rPr/>
        <w:t>million</w:t>
      </w:r>
      <w:r>
        <w:rPr>
          <w:spacing w:val="23"/>
        </w:rPr>
        <w:t> </w:t>
      </w:r>
      <w:r>
        <w:rPr/>
        <w:t>cases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2010</w:t>
      </w:r>
      <w:r>
        <w:rPr>
          <w:spacing w:val="28"/>
        </w:rPr>
        <w:t> </w:t>
      </w:r>
      <w:r>
        <w:rPr/>
        <w:t>(WHO,</w:t>
      </w:r>
      <w:r>
        <w:rPr>
          <w:spacing w:val="22"/>
        </w:rPr>
        <w:t> </w:t>
      </w:r>
      <w:r>
        <w:rPr/>
        <w:t>2019).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WHO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4"/>
        <w:jc w:val="both"/>
      </w:pPr>
      <w:r>
        <w:rPr/>
        <w:t>African Region still bears the largest burden of malaria morbidity, with 213 million cases (93%) in</w:t>
      </w:r>
      <w:r>
        <w:rPr>
          <w:spacing w:val="1"/>
        </w:rPr>
        <w:t> </w:t>
      </w:r>
      <w:r>
        <w:rPr/>
        <w:t>2018, followed by the WHO South-East Asia Region (3.4%) and the WHO Eastern Mediterranean</w:t>
      </w:r>
      <w:r>
        <w:rPr>
          <w:spacing w:val="1"/>
        </w:rPr>
        <w:t> </w:t>
      </w:r>
      <w:r>
        <w:rPr/>
        <w:t>Region (2.1%) (WHO, 2019). Almost 85% of all malaria cases globally were in 19 countries: India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18 African countries,</w:t>
      </w:r>
      <w:r>
        <w:rPr>
          <w:spacing w:val="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inclusive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list (WHO,</w:t>
      </w:r>
      <w:r>
        <w:rPr>
          <w:spacing w:val="3"/>
        </w:rPr>
        <w:t> </w:t>
      </w:r>
      <w:r>
        <w:rPr/>
        <w:t>2019).</w:t>
      </w:r>
    </w:p>
    <w:p>
      <w:pPr>
        <w:pStyle w:val="BodyText"/>
        <w:spacing w:line="482" w:lineRule="auto" w:before="199"/>
        <w:ind w:left="991" w:right="1261"/>
        <w:jc w:val="both"/>
      </w:pPr>
      <w:r>
        <w:rPr/>
        <w:t>Between 2010 and 2018,the global incidence rate (the number of cases per 1000 population) of</w:t>
      </w:r>
      <w:r>
        <w:rPr>
          <w:spacing w:val="1"/>
        </w:rPr>
        <w:t> </w:t>
      </w:r>
      <w:r>
        <w:rPr/>
        <w:t>malaria</w:t>
      </w:r>
      <w:r>
        <w:rPr>
          <w:spacing w:val="-3"/>
        </w:rPr>
        <w:t> </w:t>
      </w:r>
      <w:r>
        <w:rPr/>
        <w:t>dropped from 71</w:t>
      </w:r>
      <w:r>
        <w:rPr>
          <w:spacing w:val="2"/>
        </w:rPr>
        <w:t> </w:t>
      </w:r>
      <w:r>
        <w:rPr/>
        <w:t>in 2010 to</w:t>
      </w:r>
      <w:r>
        <w:rPr>
          <w:spacing w:val="-1"/>
        </w:rPr>
        <w:t> </w:t>
      </w:r>
      <w:r>
        <w:rPr/>
        <w:t>57 in 2018 according</w:t>
      </w:r>
      <w:r>
        <w:rPr>
          <w:spacing w:val="-3"/>
        </w:rPr>
        <w:t> </w:t>
      </w:r>
      <w:r>
        <w:rPr/>
        <w:t>to reports</w:t>
      </w:r>
      <w:r>
        <w:rPr>
          <w:spacing w:val="-1"/>
        </w:rPr>
        <w:t> </w:t>
      </w:r>
      <w:r>
        <w:rPr/>
        <w:t>from WHO</w:t>
      </w:r>
      <w:r>
        <w:rPr>
          <w:spacing w:val="-1"/>
        </w:rPr>
        <w:t> </w:t>
      </w:r>
      <w:r>
        <w:rPr/>
        <w:t>(2019).</w:t>
      </w:r>
    </w:p>
    <w:p>
      <w:pPr>
        <w:pStyle w:val="BodyText"/>
        <w:spacing w:line="480" w:lineRule="auto" w:before="197"/>
        <w:ind w:left="991" w:right="1255"/>
        <w:jc w:val="both"/>
      </w:pPr>
      <w:r>
        <w:rPr/>
        <w:t>The estimated deaths due to malaria globally declined from 585 000 to 405 000 cases between 2010-</w:t>
      </w:r>
      <w:r>
        <w:rPr>
          <w:spacing w:val="1"/>
        </w:rPr>
        <w:t> </w:t>
      </w:r>
      <w:r>
        <w:rPr/>
        <w:t>2018 with WHO Africa region having the highest absolute reduction in malaria deaths from 533 000</w:t>
      </w:r>
      <w:r>
        <w:rPr>
          <w:spacing w:val="1"/>
        </w:rPr>
        <w:t> </w:t>
      </w:r>
      <w:r>
        <w:rPr/>
        <w:t>deaths</w:t>
      </w:r>
      <w:r>
        <w:rPr>
          <w:spacing w:val="-1"/>
        </w:rPr>
        <w:t> </w:t>
      </w:r>
      <w:r>
        <w:rPr/>
        <w:t>in 2010 to 380 000 deaths in 2018.</w:t>
      </w:r>
    </w:p>
    <w:p>
      <w:pPr>
        <w:pStyle w:val="BodyText"/>
        <w:spacing w:line="482" w:lineRule="auto" w:before="200"/>
        <w:ind w:left="991" w:right="1255"/>
        <w:jc w:val="both"/>
      </w:pPr>
      <w:r>
        <w:rPr/>
        <w:t>Of all death cases due to malaria, globally, 272 000 (67%) were estimated to be in children aged less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5</w:t>
      </w:r>
      <w:r>
        <w:rPr>
          <w:spacing w:val="1"/>
        </w:rPr>
        <w:t> </w:t>
      </w:r>
      <w:r>
        <w:rPr/>
        <w:t>years (WHO,</w:t>
      </w:r>
      <w:r>
        <w:rPr>
          <w:spacing w:val="-1"/>
        </w:rPr>
        <w:t> </w:t>
      </w:r>
      <w:r>
        <w:rPr/>
        <w:t>2019; Aina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2013 and</w:t>
      </w:r>
      <w:r>
        <w:rPr>
          <w:spacing w:val="2"/>
        </w:rPr>
        <w:t> </w:t>
      </w:r>
      <w:r>
        <w:rPr/>
        <w:t>Onyesome</w:t>
      </w:r>
      <w:r>
        <w:rPr>
          <w:spacing w:val="-1"/>
        </w:rPr>
        <w:t> </w:t>
      </w:r>
      <w:r>
        <w:rPr/>
        <w:t>and Onyemakonor,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482" w:lineRule="auto" w:before="194"/>
        <w:ind w:left="991" w:right="1264"/>
        <w:jc w:val="both"/>
      </w:pPr>
      <w:r>
        <w:rPr/>
        <w:t>Despite the impressive gains on the decline of death cases due to malaria, global malaria challenge</w:t>
      </w:r>
      <w:r>
        <w:rPr>
          <w:spacing w:val="1"/>
        </w:rPr>
        <w:t> </w:t>
      </w:r>
      <w:r>
        <w:rPr/>
        <w:t>remains</w:t>
      </w:r>
      <w:r>
        <w:rPr>
          <w:spacing w:val="-1"/>
        </w:rPr>
        <w:t> </w:t>
      </w:r>
      <w:r>
        <w:rPr/>
        <w:t>enormous and the</w:t>
      </w:r>
      <w:r>
        <w:rPr>
          <w:spacing w:val="-1"/>
        </w:rPr>
        <w:t> </w:t>
      </w:r>
      <w:r>
        <w:rPr/>
        <w:t>level of progress is slowing</w:t>
      </w:r>
      <w:r>
        <w:rPr>
          <w:spacing w:val="-3"/>
        </w:rPr>
        <w:t> </w:t>
      </w:r>
      <w:r>
        <w:rPr/>
        <w:t>down.</w:t>
      </w:r>
    </w:p>
    <w:p>
      <w:pPr>
        <w:pStyle w:val="Heading1"/>
        <w:numPr>
          <w:ilvl w:val="1"/>
          <w:numId w:val="9"/>
        </w:numPr>
        <w:tabs>
          <w:tab w:pos="1472" w:val="left" w:leader="none"/>
        </w:tabs>
        <w:spacing w:line="240" w:lineRule="auto" w:before="201" w:after="0"/>
        <w:ind w:left="1471" w:right="0" w:hanging="481"/>
        <w:jc w:val="left"/>
      </w:pPr>
      <w:bookmarkStart w:name="_TOC_250021" w:id="26"/>
      <w:bookmarkEnd w:id="26"/>
      <w:r>
        <w:rPr/>
        <w:t>Epidemiology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991" w:right="1260"/>
        <w:jc w:val="both"/>
      </w:pPr>
      <w:r>
        <w:rPr/>
        <w:t>Over the years, several authors have carried out research findings on the prevalence of malaria, the</w:t>
      </w:r>
      <w:r>
        <w:rPr>
          <w:spacing w:val="1"/>
        </w:rPr>
        <w:t> </w:t>
      </w:r>
      <w:r>
        <w:rPr/>
        <w:t>transmission, diagnosis, symptoms, prevention and control strategies. These studies have gone great</w:t>
      </w:r>
      <w:r>
        <w:rPr>
          <w:spacing w:val="1"/>
        </w:rPr>
        <w:t> </w:t>
      </w:r>
      <w:r>
        <w:rPr/>
        <w:t>extent in trying to reduce and moderate the menace of malaria although attaining elimination status is</w:t>
      </w:r>
      <w:r>
        <w:rPr>
          <w:spacing w:val="1"/>
        </w:rPr>
        <w:t> </w:t>
      </w:r>
      <w:r>
        <w:rPr/>
        <w:t>still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issue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concern in</w:t>
      </w:r>
      <w:r>
        <w:rPr>
          <w:spacing w:val="-1"/>
        </w:rPr>
        <w:t> </w:t>
      </w:r>
      <w:r>
        <w:rPr/>
        <w:t>many</w:t>
      </w:r>
      <w:r>
        <w:rPr>
          <w:spacing w:val="-4"/>
        </w:rPr>
        <w:t> </w:t>
      </w:r>
      <w:r>
        <w:rPr/>
        <w:t>countries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particularly</w:t>
      </w:r>
      <w:r>
        <w:rPr>
          <w:spacing w:val="-5"/>
        </w:rPr>
        <w:t> </w:t>
      </w:r>
      <w:r>
        <w:rPr/>
        <w:t>sub-Saharan</w:t>
      </w:r>
      <w:r>
        <w:rPr>
          <w:spacing w:val="-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countries.</w:t>
      </w:r>
    </w:p>
    <w:p>
      <w:pPr>
        <w:pStyle w:val="BodyText"/>
        <w:spacing w:line="480" w:lineRule="auto" w:before="200"/>
        <w:ind w:left="991" w:right="1254"/>
        <w:jc w:val="both"/>
      </w:pPr>
      <w:r>
        <w:rPr/>
        <w:t>Mbuh </w:t>
      </w:r>
      <w:r>
        <w:rPr>
          <w:i/>
        </w:rPr>
        <w:t>et al</w:t>
      </w:r>
      <w:r>
        <w:rPr/>
        <w:t>. (2003) conducted a study to determine the rate of co-infection with malaria parasites and</w:t>
      </w:r>
      <w:r>
        <w:rPr>
          <w:spacing w:val="1"/>
        </w:rPr>
        <w:t> </w:t>
      </w:r>
      <w:r>
        <w:rPr/>
        <w:t>salmonella typhi in</w:t>
      </w:r>
      <w:r>
        <w:rPr>
          <w:spacing w:val="1"/>
        </w:rPr>
        <w:t> </w:t>
      </w:r>
      <w:r>
        <w:rPr/>
        <w:t>Zaria, Kaduna state,</w:t>
      </w:r>
      <w:r>
        <w:rPr>
          <w:spacing w:val="1"/>
        </w:rPr>
        <w:t> </w:t>
      </w:r>
      <w:r>
        <w:rPr/>
        <w:t>Nigeria. From a</w:t>
      </w:r>
      <w:r>
        <w:rPr>
          <w:spacing w:val="1"/>
        </w:rPr>
        <w:t> </w:t>
      </w:r>
      <w:r>
        <w:rPr/>
        <w:t>total of 218</w:t>
      </w:r>
      <w:r>
        <w:rPr>
          <w:spacing w:val="1"/>
        </w:rPr>
        <w:t> </w:t>
      </w:r>
      <w:r>
        <w:rPr/>
        <w:t>blood samples</w:t>
      </w:r>
      <w:r>
        <w:rPr>
          <w:spacing w:val="1"/>
        </w:rPr>
        <w:t> </w:t>
      </w:r>
      <w:r>
        <w:rPr/>
        <w:t>that were</w:t>
      </w:r>
      <w:r>
        <w:rPr>
          <w:spacing w:val="1"/>
        </w:rPr>
        <w:t> </w:t>
      </w:r>
      <w:r>
        <w:rPr/>
        <w:t>collected</w:t>
      </w:r>
      <w:r>
        <w:rPr>
          <w:spacing w:val="35"/>
        </w:rPr>
        <w:t> </w:t>
      </w:r>
      <w:r>
        <w:rPr/>
        <w:t>from</w:t>
      </w:r>
      <w:r>
        <w:rPr>
          <w:spacing w:val="33"/>
        </w:rPr>
        <w:t> </w:t>
      </w:r>
      <w:r>
        <w:rPr/>
        <w:t>patients</w:t>
      </w:r>
      <w:r>
        <w:rPr>
          <w:spacing w:val="36"/>
        </w:rPr>
        <w:t> </w:t>
      </w:r>
      <w:r>
        <w:rPr/>
        <w:t>with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clinical</w:t>
      </w:r>
      <w:r>
        <w:rPr>
          <w:spacing w:val="33"/>
        </w:rPr>
        <w:t> </w:t>
      </w:r>
      <w:r>
        <w:rPr/>
        <w:t>suspicion</w:t>
      </w:r>
      <w:r>
        <w:rPr>
          <w:spacing w:val="35"/>
        </w:rPr>
        <w:t> </w:t>
      </w:r>
      <w:r>
        <w:rPr/>
        <w:t>of</w:t>
      </w:r>
      <w:r>
        <w:rPr>
          <w:spacing w:val="33"/>
        </w:rPr>
        <w:t> </w:t>
      </w:r>
      <w:r>
        <w:rPr/>
        <w:t>malaria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typhoid</w:t>
      </w:r>
      <w:r>
        <w:rPr>
          <w:spacing w:val="35"/>
        </w:rPr>
        <w:t> </w:t>
      </w:r>
      <w:r>
        <w:rPr/>
        <w:t>fever,</w:t>
      </w:r>
      <w:r>
        <w:rPr>
          <w:spacing w:val="33"/>
        </w:rPr>
        <w:t> </w:t>
      </w:r>
      <w:r>
        <w:rPr/>
        <w:t>sixty</w:t>
      </w:r>
      <w:r>
        <w:rPr>
          <w:spacing w:val="28"/>
        </w:rPr>
        <w:t> </w:t>
      </w:r>
      <w:r>
        <w:rPr/>
        <w:t>samples</w:t>
      </w:r>
      <w:r>
        <w:rPr>
          <w:spacing w:val="33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7"/>
        <w:jc w:val="both"/>
      </w:pPr>
      <w:r>
        <w:rPr/>
        <w:t>positive for malaria parasites, 22 of which were</w:t>
      </w:r>
      <w:r>
        <w:rPr>
          <w:spacing w:val="60"/>
        </w:rPr>
        <w:t> </w:t>
      </w:r>
      <w:r>
        <w:rPr/>
        <w:t>positive for typhoid by the Widal test and only one</w:t>
      </w:r>
      <w:r>
        <w:rPr>
          <w:spacing w:val="1"/>
        </w:rPr>
        <w:t> </w:t>
      </w:r>
      <w:r>
        <w:rPr/>
        <w:t>by</w:t>
      </w:r>
      <w:r>
        <w:rPr>
          <w:spacing w:val="15"/>
        </w:rPr>
        <w:t> </w:t>
      </w:r>
      <w:r>
        <w:rPr/>
        <w:t>the</w:t>
      </w:r>
      <w:r>
        <w:rPr>
          <w:spacing w:val="20"/>
        </w:rPr>
        <w:t> </w:t>
      </w:r>
      <w:r>
        <w:rPr/>
        <w:t>culture</w:t>
      </w:r>
      <w:r>
        <w:rPr>
          <w:spacing w:val="20"/>
        </w:rPr>
        <w:t> </w:t>
      </w:r>
      <w:r>
        <w:rPr/>
        <w:t>method.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rate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co-infection</w:t>
      </w:r>
      <w:r>
        <w:rPr>
          <w:spacing w:val="21"/>
        </w:rPr>
        <w:t> </w:t>
      </w:r>
      <w:r>
        <w:rPr/>
        <w:t>was</w:t>
      </w:r>
      <w:r>
        <w:rPr>
          <w:spacing w:val="20"/>
        </w:rPr>
        <w:t> </w:t>
      </w:r>
      <w:r>
        <w:rPr/>
        <w:t>significantly</w:t>
      </w:r>
      <w:r>
        <w:rPr>
          <w:spacing w:val="16"/>
        </w:rPr>
        <w:t> </w:t>
      </w:r>
      <w:r>
        <w:rPr/>
        <w:t>high</w:t>
      </w:r>
      <w:r>
        <w:rPr>
          <w:spacing w:val="21"/>
        </w:rPr>
        <w:t> </w:t>
      </w:r>
      <w:r>
        <w:rPr/>
        <w:t>when</w:t>
      </w:r>
      <w:r>
        <w:rPr>
          <w:spacing w:val="21"/>
        </w:rPr>
        <w:t> </w:t>
      </w:r>
      <w:r>
        <w:rPr/>
        <w:t>typhoid</w:t>
      </w:r>
      <w:r>
        <w:rPr>
          <w:spacing w:val="21"/>
        </w:rPr>
        <w:t> </w:t>
      </w:r>
      <w:r>
        <w:rPr/>
        <w:t>was</w:t>
      </w:r>
      <w:r>
        <w:rPr>
          <w:spacing w:val="20"/>
        </w:rPr>
        <w:t> </w:t>
      </w:r>
      <w:r>
        <w:rPr/>
        <w:t>diagnosed</w:t>
      </w:r>
      <w:r>
        <w:rPr>
          <w:spacing w:val="-57"/>
        </w:rPr>
        <w:t> </w:t>
      </w:r>
      <w:r>
        <w:rPr/>
        <w:t>by Widal (10.1%) than by blood culture method (0.5%). A correlation analysis showed no specific</w:t>
      </w:r>
      <w:r>
        <w:rPr>
          <w:spacing w:val="1"/>
        </w:rPr>
        <w:t> </w:t>
      </w:r>
      <w:r>
        <w:rPr/>
        <w:t>relationship between malaria parasite load and the level of </w:t>
      </w:r>
      <w:r>
        <w:rPr>
          <w:i/>
        </w:rPr>
        <w:t>Salmonella </w:t>
      </w:r>
      <w:r>
        <w:rPr/>
        <w:t>antibody titres in malaria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(r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0.05</w:t>
      </w:r>
      <w:r>
        <w:rPr>
          <w:spacing w:val="-1"/>
        </w:rPr>
        <w:t> </w:t>
      </w:r>
      <w:r>
        <w:rPr/>
        <w:t>and 0.08 for</w:t>
      </w:r>
      <w:r>
        <w:rPr>
          <w:spacing w:val="-2"/>
        </w:rPr>
        <w:t> </w:t>
      </w:r>
      <w:r>
        <w:rPr/>
        <w:t>somatic</w:t>
      </w:r>
      <w:r>
        <w:rPr>
          <w:spacing w:val="-2"/>
        </w:rPr>
        <w:t> </w:t>
      </w:r>
      <w:r>
        <w:rPr/>
        <w:t>and flagella</w:t>
      </w:r>
      <w:r>
        <w:rPr>
          <w:spacing w:val="1"/>
        </w:rPr>
        <w:t> </w:t>
      </w:r>
      <w:r>
        <w:rPr/>
        <w:t>antigens of</w:t>
      </w:r>
      <w:r>
        <w:rPr>
          <w:spacing w:val="2"/>
        </w:rPr>
        <w:t> </w:t>
      </w:r>
      <w:r>
        <w:rPr>
          <w:i/>
        </w:rPr>
        <w:t>S. typhi </w:t>
      </w:r>
      <w:r>
        <w:rPr/>
        <w:t>respectively).</w:t>
      </w:r>
    </w:p>
    <w:p>
      <w:pPr>
        <w:pStyle w:val="BodyText"/>
        <w:spacing w:line="480" w:lineRule="auto" w:before="199"/>
        <w:ind w:left="991" w:right="1252"/>
        <w:jc w:val="both"/>
      </w:pPr>
      <w:r>
        <w:rPr/>
        <w:t>In a study by Mouatcho and Dean (2013), it was reported that due to the fact that parasitological</w:t>
      </w:r>
      <w:r>
        <w:rPr>
          <w:spacing w:val="1"/>
        </w:rPr>
        <w:t> </w:t>
      </w:r>
      <w:r>
        <w:rPr/>
        <w:t>confirmation of suspected malaria using microscopy, the gold standard, is cumbersome and requires</w:t>
      </w:r>
      <w:r>
        <w:rPr>
          <w:spacing w:val="1"/>
        </w:rPr>
        <w:t> </w:t>
      </w:r>
      <w:r>
        <w:rPr/>
        <w:t>trained personnel, microscopes and a source of electricity, malaria treatment based on RDTs, which</w:t>
      </w:r>
      <w:r>
        <w:rPr>
          <w:spacing w:val="1"/>
        </w:rPr>
        <w:t> </w:t>
      </w:r>
      <w:r>
        <w:rPr/>
        <w:t>are quick and easy to perform, is becoming more attractive. PfHRP2- and pLDH-based RDTs are the</w:t>
      </w:r>
      <w:r>
        <w:rPr>
          <w:spacing w:val="1"/>
        </w:rPr>
        <w:t> </w:t>
      </w:r>
      <w:r>
        <w:rPr/>
        <w:t>most commonly used. PfHRP2 RDTs appear to be more sensitive than pLDH RDTs, particularly at</w:t>
      </w:r>
      <w:r>
        <w:rPr>
          <w:spacing w:val="1"/>
        </w:rPr>
        <w:t> </w:t>
      </w:r>
      <w:r>
        <w:rPr/>
        <w:t>low parasite densities, although there are exceptions (Mouatcho and Dean, 2013). To date, both</w:t>
      </w:r>
      <w:r>
        <w:rPr>
          <w:spacing w:val="1"/>
        </w:rPr>
        <w:t> </w:t>
      </w:r>
      <w:r>
        <w:rPr/>
        <w:t>PfHRP2 and pLDH RDTs are more sensitive than aldolase-based tests. PfHRP2-based tests are less</w:t>
      </w:r>
      <w:r>
        <w:rPr>
          <w:spacing w:val="1"/>
        </w:rPr>
        <w:t> </w:t>
      </w:r>
      <w:r>
        <w:rPr/>
        <w:t>specific than pLDH-based tests, regardless of the level of parasitaemia (Abba </w:t>
      </w:r>
      <w:r>
        <w:rPr>
          <w:i/>
        </w:rPr>
        <w:t>et al</w:t>
      </w:r>
      <w:r>
        <w:rPr/>
        <w:t>., 2011). A pLDH</w:t>
      </w:r>
      <w:r>
        <w:rPr>
          <w:spacing w:val="1"/>
        </w:rPr>
        <w:t> </w:t>
      </w:r>
      <w:r>
        <w:rPr/>
        <w:t>RDT should be employed when determining the efficacy of drug treatment, as PfHRP2 persists for</w:t>
      </w:r>
      <w:r>
        <w:rPr>
          <w:spacing w:val="1"/>
        </w:rPr>
        <w:t> </w:t>
      </w:r>
      <w:r>
        <w:rPr/>
        <w:t>long periods in the blood after parasites have cleared. As a result of the persistence of the PfHRP2</w:t>
      </w:r>
      <w:r>
        <w:rPr>
          <w:spacing w:val="1"/>
        </w:rPr>
        <w:t> </w:t>
      </w:r>
      <w:r>
        <w:rPr/>
        <w:t>antigen, PfHRP2 RDTs can detect antigen when </w:t>
      </w:r>
      <w:r>
        <w:rPr>
          <w:i/>
        </w:rPr>
        <w:t>P. falciparum </w:t>
      </w:r>
      <w:r>
        <w:rPr/>
        <w:t>parasites are sequestered in placental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elsewhere,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microscopy. It was also reported from the study that the persistence of the PfHRP2 antigen after</w:t>
      </w:r>
      <w:r>
        <w:rPr>
          <w:spacing w:val="1"/>
        </w:rPr>
        <w:t> </w:t>
      </w:r>
      <w:r>
        <w:rPr/>
        <w:t>parasites decline in the blood leads to false positive results (Mouatcho and Dean, 2013). The Pfhrp2</w:t>
      </w:r>
      <w:r>
        <w:rPr>
          <w:spacing w:val="1"/>
        </w:rPr>
        <w:t> </w:t>
      </w:r>
      <w:r>
        <w:rPr/>
        <w:t>gene undergoes antigenic variation, whilst the genes for Plasmodium pLDH and aldolase do not. The</w:t>
      </w:r>
      <w:r>
        <w:rPr>
          <w:spacing w:val="1"/>
        </w:rPr>
        <w:t> </w:t>
      </w:r>
      <w:r>
        <w:rPr/>
        <w:t>concentration of PfHRP2 has the potential to predict progression to severe malaria (Fox </w:t>
      </w:r>
      <w:r>
        <w:rPr>
          <w:i/>
        </w:rPr>
        <w:t>et al</w:t>
      </w:r>
      <w:r>
        <w:rPr/>
        <w:t>., 2013),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to detect true</w:t>
      </w:r>
      <w:r>
        <w:rPr>
          <w:spacing w:val="-3"/>
        </w:rPr>
        <w:t> </w:t>
      </w:r>
      <w:r>
        <w:rPr/>
        <w:t>severe</w:t>
      </w:r>
      <w:r>
        <w:rPr>
          <w:spacing w:val="1"/>
        </w:rPr>
        <w:t> </w:t>
      </w:r>
      <w:r>
        <w:rPr/>
        <w:t>malaria</w:t>
      </w:r>
      <w:r>
        <w:rPr>
          <w:spacing w:val="-2"/>
        </w:rPr>
        <w:t> </w:t>
      </w:r>
      <w:r>
        <w:rPr/>
        <w:t>rather</w:t>
      </w:r>
      <w:r>
        <w:rPr>
          <w:spacing w:val="-3"/>
        </w:rPr>
        <w:t> </w:t>
      </w:r>
      <w:r>
        <w:rPr/>
        <w:t>than severe</w:t>
      </w:r>
      <w:r>
        <w:rPr>
          <w:spacing w:val="-1"/>
        </w:rPr>
        <w:t> </w:t>
      </w:r>
      <w:r>
        <w:rPr/>
        <w:t>non-malarial</w:t>
      </w:r>
      <w:r>
        <w:rPr>
          <w:spacing w:val="-1"/>
        </w:rPr>
        <w:t> </w:t>
      </w:r>
      <w:r>
        <w:rPr/>
        <w:t>illness (Hendriksen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2011).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60"/>
        <w:jc w:val="both"/>
      </w:pPr>
      <w:r>
        <w:rPr/>
        <w:t>Bassey and Izah (2017) conducted a study on some determinant factors of malaria prevalence in</w:t>
      </w:r>
      <w:r>
        <w:rPr>
          <w:spacing w:val="1"/>
        </w:rPr>
        <w:t> </w:t>
      </w:r>
      <w:r>
        <w:rPr/>
        <w:t>Nigeria. From the study, it still showed that malaria is endemic in Nigeria in that over 95% of her</w:t>
      </w:r>
      <w:r>
        <w:rPr>
          <w:spacing w:val="1"/>
        </w:rPr>
        <w:t> </w:t>
      </w:r>
      <w:r>
        <w:rPr/>
        <w:t>population is at risk of falling victim of the disease. Certain factors including medical conditions,</w:t>
      </w:r>
      <w:r>
        <w:rPr>
          <w:spacing w:val="1"/>
        </w:rPr>
        <w:t> </w:t>
      </w:r>
      <w:r>
        <w:rPr/>
        <w:t>environment/season and human status;</w:t>
      </w:r>
      <w:r>
        <w:rPr>
          <w:spacing w:val="1"/>
        </w:rPr>
        <w:t> </w:t>
      </w:r>
      <w:r>
        <w:rPr/>
        <w:t>pregnancy, blood group, Rhesus factor, age, gender and</w:t>
      </w:r>
      <w:r>
        <w:rPr>
          <w:spacing w:val="1"/>
        </w:rPr>
        <w:t> </w:t>
      </w:r>
      <w:r>
        <w:rPr/>
        <w:t>educational</w:t>
      </w:r>
      <w:r>
        <w:rPr>
          <w:spacing w:val="19"/>
        </w:rPr>
        <w:t> </w:t>
      </w:r>
      <w:r>
        <w:rPr/>
        <w:t>status</w:t>
      </w:r>
      <w:r>
        <w:rPr>
          <w:spacing w:val="20"/>
        </w:rPr>
        <w:t> </w:t>
      </w:r>
      <w:r>
        <w:rPr/>
        <w:t>were</w:t>
      </w:r>
      <w:r>
        <w:rPr>
          <w:spacing w:val="20"/>
        </w:rPr>
        <w:t> </w:t>
      </w:r>
      <w:r>
        <w:rPr/>
        <w:t>outlined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factors</w:t>
      </w:r>
      <w:r>
        <w:rPr>
          <w:spacing w:val="20"/>
        </w:rPr>
        <w:t> </w:t>
      </w:r>
      <w:r>
        <w:rPr/>
        <w:t>that</w:t>
      </w:r>
      <w:r>
        <w:rPr>
          <w:spacing w:val="19"/>
        </w:rPr>
        <w:t> </w:t>
      </w:r>
      <w:r>
        <w:rPr/>
        <w:t>upon</w:t>
      </w:r>
      <w:r>
        <w:rPr>
          <w:spacing w:val="20"/>
        </w:rPr>
        <w:t> </w:t>
      </w:r>
      <w:r>
        <w:rPr/>
        <w:t>which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prevalence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malaria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hinged.</w:t>
      </w:r>
      <w:r>
        <w:rPr>
          <w:spacing w:val="-58"/>
        </w:rPr>
        <w:t> </w:t>
      </w:r>
      <w:r>
        <w:rPr/>
        <w:t>As such the predisposing factor of high prevalence of malaria within a location/locality needed to be</w:t>
      </w:r>
      <w:r>
        <w:rPr>
          <w:spacing w:val="1"/>
        </w:rPr>
        <w:t> </w:t>
      </w:r>
      <w:r>
        <w:rPr/>
        <w:t>ascertained</w:t>
      </w:r>
      <w:r>
        <w:rPr>
          <w:spacing w:val="-1"/>
        </w:rPr>
        <w:t> </w:t>
      </w:r>
      <w:r>
        <w:rPr/>
        <w:t>in order to effectively</w:t>
      </w:r>
      <w:r>
        <w:rPr>
          <w:spacing w:val="-5"/>
        </w:rPr>
        <w:t> </w:t>
      </w:r>
      <w:r>
        <w:rPr/>
        <w:t>manage</w:t>
      </w:r>
      <w:r>
        <w:rPr>
          <w:spacing w:val="-1"/>
        </w:rPr>
        <w:t> </w:t>
      </w:r>
      <w:r>
        <w:rPr/>
        <w:t>the infection.</w:t>
      </w:r>
    </w:p>
    <w:p>
      <w:pPr>
        <w:pStyle w:val="BodyText"/>
        <w:spacing w:line="480" w:lineRule="auto" w:before="200"/>
        <w:ind w:left="991" w:right="1259"/>
        <w:jc w:val="both"/>
      </w:pPr>
      <w:r>
        <w:rPr/>
        <w:t>In another study by Millicent</w:t>
      </w:r>
      <w:r>
        <w:rPr>
          <w:spacing w:val="1"/>
        </w:rPr>
        <w:t> </w:t>
      </w:r>
      <w:r>
        <w:rPr/>
        <w:t>and Gabriel (2015) in determining the prevalence of malaria in patients</w:t>
      </w:r>
      <w:r>
        <w:rPr>
          <w:spacing w:val="-57"/>
        </w:rPr>
        <w:t> </w:t>
      </w:r>
      <w:r>
        <w:rPr/>
        <w:t>attending the general hospital Makarfi, Kaduna State, North- Western Nigeria, the study classified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into 3 groups ; under 5 years, 5 – 15 years and above 15. Of the total 1173 participants 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screened</w:t>
      </w:r>
      <w:r>
        <w:rPr>
          <w:spacing w:val="1"/>
        </w:rPr>
        <w:t> </w:t>
      </w:r>
      <w:r>
        <w:rPr/>
        <w:t>419</w:t>
      </w:r>
      <w:r>
        <w:rPr>
          <w:spacing w:val="1"/>
        </w:rPr>
        <w:t> </w:t>
      </w:r>
      <w:r>
        <w:rPr/>
        <w:t>(35.7%)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positive.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15,108</w:t>
      </w:r>
      <w:r>
        <w:rPr>
          <w:spacing w:val="1"/>
        </w:rPr>
        <w:t> </w:t>
      </w:r>
      <w:r>
        <w:rPr/>
        <w:t>parasite/µL of blood. Children aged 5 – 15 years had a statistically significant higher infection rate</w:t>
      </w:r>
      <w:r>
        <w:rPr>
          <w:spacing w:val="1"/>
        </w:rPr>
        <w:t> </w:t>
      </w:r>
      <w:r>
        <w:rPr/>
        <w:t>compared to the other groups. Furthermore, the study reported that more males were prone to malaria</w:t>
      </w:r>
      <w:r>
        <w:rPr>
          <w:spacing w:val="1"/>
        </w:rPr>
        <w:t> </w:t>
      </w:r>
      <w:r>
        <w:rPr/>
        <w:t>than</w:t>
      </w:r>
      <w:r>
        <w:rPr>
          <w:spacing w:val="12"/>
        </w:rPr>
        <w:t> </w:t>
      </w:r>
      <w:r>
        <w:rPr/>
        <w:t>females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that</w:t>
      </w:r>
      <w:r>
        <w:rPr>
          <w:spacing w:val="13"/>
        </w:rPr>
        <w:t> </w:t>
      </w:r>
      <w:r>
        <w:rPr/>
        <w:t>presence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parasitaemia,</w:t>
      </w:r>
      <w:r>
        <w:rPr>
          <w:spacing w:val="13"/>
        </w:rPr>
        <w:t> </w:t>
      </w:r>
      <w:r>
        <w:rPr/>
        <w:t>fever</w:t>
      </w:r>
      <w:r>
        <w:rPr>
          <w:spacing w:val="13"/>
        </w:rPr>
        <w:t> </w:t>
      </w:r>
      <w:r>
        <w:rPr/>
        <w:t>or</w:t>
      </w:r>
      <w:r>
        <w:rPr>
          <w:spacing w:val="12"/>
        </w:rPr>
        <w:t> </w:t>
      </w:r>
      <w:r>
        <w:rPr/>
        <w:t>anaemia</w:t>
      </w:r>
      <w:r>
        <w:rPr>
          <w:spacing w:val="15"/>
        </w:rPr>
        <w:t> </w:t>
      </w:r>
      <w:r>
        <w:rPr/>
        <w:t>did</w:t>
      </w:r>
      <w:r>
        <w:rPr>
          <w:spacing w:val="13"/>
        </w:rPr>
        <w:t> </w:t>
      </w:r>
      <w:r>
        <w:rPr/>
        <w:t>not</w:t>
      </w:r>
      <w:r>
        <w:rPr>
          <w:spacing w:val="16"/>
        </w:rPr>
        <w:t> </w:t>
      </w:r>
      <w:r>
        <w:rPr/>
        <w:t>correlate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presence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 as Some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positive</w:t>
      </w:r>
      <w:r>
        <w:rPr>
          <w:spacing w:val="-2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had high</w:t>
      </w:r>
      <w:r>
        <w:rPr>
          <w:spacing w:val="-1"/>
        </w:rPr>
        <w:t> </w:t>
      </w:r>
      <w:r>
        <w:rPr/>
        <w:t>parasite</w:t>
      </w:r>
      <w:r>
        <w:rPr>
          <w:spacing w:val="-2"/>
        </w:rPr>
        <w:t> </w:t>
      </w:r>
      <w:r>
        <w:rPr/>
        <w:t>densities and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asymptomatic.</w:t>
      </w:r>
    </w:p>
    <w:p>
      <w:pPr>
        <w:pStyle w:val="BodyText"/>
        <w:spacing w:line="480" w:lineRule="auto" w:before="203"/>
        <w:ind w:left="991" w:right="1256"/>
        <w:jc w:val="both"/>
      </w:pPr>
      <w:r>
        <w:rPr/>
        <w:t>In another case report study by Olupot</w:t>
      </w:r>
      <w:r>
        <w:rPr>
          <w:rFonts w:ascii="Cambria Math" w:hAnsi="Cambria Math"/>
        </w:rPr>
        <w:t>‑</w:t>
      </w:r>
      <w:r>
        <w:rPr/>
        <w:t>Olupot </w:t>
      </w:r>
      <w:r>
        <w:rPr>
          <w:i/>
        </w:rPr>
        <w:t>et al</w:t>
      </w:r>
      <w:r>
        <w:rPr/>
        <w:t>. (2018), neonatal and congenital malaria: a case</w:t>
      </w:r>
      <w:r>
        <w:rPr>
          <w:spacing w:val="1"/>
        </w:rPr>
        <w:t> </w:t>
      </w:r>
      <w:r>
        <w:rPr/>
        <w:t>series in malaria endemic eastern Uganda was carried out. Four cases (two congenital malaria cases</w:t>
      </w:r>
      <w:r>
        <w:rPr>
          <w:spacing w:val="1"/>
        </w:rPr>
        <w:t> </w:t>
      </w:r>
      <w:r>
        <w:rPr/>
        <w:t>and two neonatal malaria cases) were described after presenting for care at the Mbale Regional</w:t>
      </w:r>
      <w:r>
        <w:rPr>
          <w:spacing w:val="1"/>
        </w:rPr>
        <w:t> </w:t>
      </w:r>
      <w:r>
        <w:rPr/>
        <w:t>Referral Hospital Neonatal Unit (Mbale RRH</w:t>
      </w:r>
      <w:r>
        <w:rPr>
          <w:rFonts w:ascii="Cambria Math" w:hAnsi="Cambria Math"/>
        </w:rPr>
        <w:t>‑</w:t>
      </w:r>
      <w:r>
        <w:rPr/>
        <w:t>NNU). The maternal age was similar across the cases,</w:t>
      </w:r>
      <w:r>
        <w:rPr>
          <w:spacing w:val="1"/>
        </w:rPr>
        <w:t> </w:t>
      </w:r>
      <w:r>
        <w:rPr/>
        <w:t>but both neonatal malaria cases were born to primigravidae. Three cases had fever and history of</w:t>
      </w:r>
      <w:r>
        <w:rPr>
          <w:spacing w:val="1"/>
        </w:rPr>
        <w:t> </w:t>
      </w:r>
      <w:r>
        <w:rPr/>
        <w:t>fever, but one was hypothermic (34.8 °C) and no history of fever. One case of congenital malaria had</w:t>
      </w:r>
      <w:r>
        <w:rPr>
          <w:spacing w:val="1"/>
        </w:rPr>
        <w:t> </w:t>
      </w:r>
      <w:r>
        <w:rPr/>
        <w:t>low birth weight, while the other was born to an HIV positive mother. Both cases of congenital</w:t>
      </w:r>
      <w:r>
        <w:rPr>
          <w:spacing w:val="1"/>
        </w:rPr>
        <w:t> </w:t>
      </w:r>
      <w:r>
        <w:rPr/>
        <w:t>malaria</w:t>
      </w:r>
      <w:r>
        <w:rPr>
          <w:spacing w:val="2"/>
        </w:rPr>
        <w:t> </w:t>
      </w:r>
      <w:r>
        <w:rPr/>
        <w:t>presented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poor</w:t>
      </w:r>
      <w:r>
        <w:rPr>
          <w:spacing w:val="2"/>
        </w:rPr>
        <w:t> </w:t>
      </w:r>
      <w:r>
        <w:rPr/>
        <w:t>feeding,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addition</w:t>
      </w:r>
      <w:r>
        <w:rPr>
          <w:spacing w:val="4"/>
        </w:rPr>
        <w:t> </w:t>
      </w:r>
      <w:r>
        <w:rPr/>
        <w:t>one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them</w:t>
      </w:r>
      <w:r>
        <w:rPr>
          <w:spacing w:val="3"/>
        </w:rPr>
        <w:t> </w:t>
      </w:r>
      <w:r>
        <w:rPr/>
        <w:t>had</w:t>
      </w:r>
      <w:r>
        <w:rPr>
          <w:spacing w:val="3"/>
        </w:rPr>
        <w:t> </w:t>
      </w:r>
      <w:r>
        <w:rPr/>
        <w:t>clinical</w:t>
      </w:r>
      <w:r>
        <w:rPr>
          <w:spacing w:val="4"/>
        </w:rPr>
        <w:t> </w:t>
      </w:r>
      <w:r>
        <w:rPr/>
        <w:t>jaundice.</w:t>
      </w:r>
      <w:r>
        <w:rPr>
          <w:spacing w:val="4"/>
        </w:rPr>
        <w:t> </w:t>
      </w:r>
      <w:r>
        <w:rPr/>
        <w:t>All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cases</w:t>
      </w:r>
      <w:r>
        <w:rPr>
          <w:spacing w:val="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2" w:lineRule="auto" w:before="72"/>
        <w:ind w:left="991" w:right="1257"/>
        <w:jc w:val="both"/>
      </w:pPr>
      <w:r>
        <w:rPr/>
        <w:t>neonatal congenital malaria were treated with intravenous artesunate and all cases recovered and were</w:t>
      </w:r>
      <w:r>
        <w:rPr>
          <w:spacing w:val="-57"/>
        </w:rPr>
        <w:t> </w:t>
      </w:r>
      <w:r>
        <w:rPr/>
        <w:t>discharged.</w:t>
      </w:r>
    </w:p>
    <w:p>
      <w:pPr>
        <w:pStyle w:val="BodyText"/>
        <w:spacing w:line="480" w:lineRule="auto" w:before="194"/>
        <w:ind w:left="991" w:right="1252"/>
        <w:jc w:val="both"/>
      </w:pP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 Okechukwu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methemoglobin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parasite-infected blood donors in Nnewi, South - Eastern, Nigeria, a total of 100 apparently healthy</w:t>
      </w:r>
      <w:r>
        <w:rPr>
          <w:spacing w:val="1"/>
        </w:rPr>
        <w:t> </w:t>
      </w:r>
      <w:r>
        <w:rPr/>
        <w:t>blood donors aged 18–60 years were recruited and tested for malaria parasite, methemoglobin level,</w:t>
      </w:r>
      <w:r>
        <w:rPr>
          <w:spacing w:val="1"/>
        </w:rPr>
        <w:t> </w:t>
      </w:r>
      <w:r>
        <w:rPr/>
        <w:t>and packed cell volume (PCV). Methemoglobin was assayed by cyanmethemoglobin method, and</w:t>
      </w:r>
      <w:r>
        <w:rPr>
          <w:spacing w:val="1"/>
        </w:rPr>
        <w:t> </w:t>
      </w:r>
      <w:r>
        <w:rPr/>
        <w:t>malaria parasite was tested using thick and thin blood film and PCV by micro-haematocrit method.</w:t>
      </w:r>
      <w:r>
        <w:rPr>
          <w:spacing w:val="1"/>
        </w:rPr>
        <w:t> </w:t>
      </w:r>
      <w:r>
        <w:rPr/>
        <w:t>Among the 100 blood donors screened, 75 of the participants representing 75 % were positive for</w:t>
      </w:r>
      <w:r>
        <w:rPr>
          <w:spacing w:val="1"/>
        </w:rPr>
        <w:t> </w:t>
      </w:r>
      <w:r>
        <w:rPr/>
        <w:t>malaria parasite and 25 representing 25 % tested negative. </w:t>
      </w:r>
      <w:r>
        <w:rPr>
          <w:i/>
        </w:rPr>
        <w:t>Plasmodium falciparum </w:t>
      </w:r>
      <w:r>
        <w:rPr/>
        <w:t>was 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parasitemia.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methemoglobin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asymptomatic malaria parasite infected blood donors than in non-infected donors, while PCV was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reduced in</w:t>
      </w:r>
      <w:r>
        <w:rPr>
          <w:spacing w:val="2"/>
        </w:rPr>
        <w:t> </w:t>
      </w:r>
      <w:r>
        <w:rPr/>
        <w:t>malaria</w:t>
      </w:r>
      <w:r>
        <w:rPr>
          <w:spacing w:val="-3"/>
        </w:rPr>
        <w:t> </w:t>
      </w:r>
      <w:r>
        <w:rPr/>
        <w:t>infected donors</w:t>
      </w:r>
      <w:r>
        <w:rPr>
          <w:spacing w:val="2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non-infected</w:t>
      </w:r>
      <w:r>
        <w:rPr>
          <w:spacing w:val="1"/>
        </w:rPr>
        <w:t> </w:t>
      </w:r>
      <w:r>
        <w:rPr/>
        <w:t>donors (P</w:t>
      </w:r>
      <w:r>
        <w:rPr>
          <w:spacing w:val="-1"/>
        </w:rPr>
        <w:t> </w:t>
      </w:r>
      <w:r>
        <w:rPr/>
        <w:t>&lt; 0.05).</w:t>
      </w:r>
    </w:p>
    <w:p>
      <w:pPr>
        <w:pStyle w:val="BodyText"/>
        <w:spacing w:line="480" w:lineRule="auto" w:before="200"/>
        <w:ind w:left="991" w:right="1253"/>
        <w:jc w:val="both"/>
      </w:pPr>
      <w:r>
        <w:rPr/>
        <w:t>Umma </w:t>
      </w:r>
      <w:r>
        <w:rPr>
          <w:i/>
        </w:rPr>
        <w:t>et al</w:t>
      </w:r>
      <w:r>
        <w:rPr/>
        <w:t>. (2017) in a cross sectional study to determine the prevalence of malaria parasitaemia</w:t>
      </w:r>
      <w:r>
        <w:rPr>
          <w:spacing w:val="1"/>
        </w:rPr>
        <w:t> </w:t>
      </w:r>
      <w:r>
        <w:rPr/>
        <w:t>among febrile children in North-western Nigeria. 90 feverish children with severe PEM aged 6–59</w:t>
      </w:r>
      <w:r>
        <w:rPr>
          <w:spacing w:val="1"/>
        </w:rPr>
        <w:t> </w:t>
      </w:r>
      <w:r>
        <w:rPr/>
        <w:t>months (44 males and 46 females)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enrolled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subjects</w:t>
      </w:r>
      <w:r>
        <w:rPr>
          <w:spacing w:val="60"/>
        </w:rPr>
        <w:t> </w:t>
      </w:r>
      <w:r>
        <w:rPr/>
        <w:t>and;</w:t>
      </w:r>
      <w:r>
        <w:rPr>
          <w:spacing w:val="60"/>
        </w:rPr>
        <w:t> </w:t>
      </w:r>
      <w:r>
        <w:rPr/>
        <w:t>90</w:t>
      </w:r>
      <w:r>
        <w:rPr>
          <w:spacing w:val="60"/>
        </w:rPr>
        <w:t> </w:t>
      </w:r>
      <w:r>
        <w:rPr/>
        <w:t>febrile</w:t>
      </w:r>
      <w:r>
        <w:rPr>
          <w:spacing w:val="60"/>
        </w:rPr>
        <w:t> </w:t>
      </w:r>
      <w:r>
        <w:rPr/>
        <w:t>well</w:t>
      </w:r>
      <w:r>
        <w:rPr>
          <w:rFonts w:ascii="Cambria Math" w:hAnsi="Cambria Math"/>
        </w:rPr>
        <w:t>‑</w:t>
      </w:r>
      <w:r>
        <w:rPr/>
        <w:t>nourished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matched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controls.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enrolled</w:t>
      </w:r>
      <w:r>
        <w:rPr>
          <w:spacing w:val="1"/>
        </w:rPr>
        <w:t> </w:t>
      </w:r>
      <w:r>
        <w:rPr/>
        <w:t>consecutively in the emergency pediatrics unit of Aminu Kano Teaching Hospital. The prevalence of</w:t>
      </w:r>
      <w:r>
        <w:rPr>
          <w:spacing w:val="1"/>
        </w:rPr>
        <w:t> </w:t>
      </w:r>
      <w:r>
        <w:rPr/>
        <w:t>malaria parasitemia was 72.2 % in the subjects, which was significantly higher than 37.8 % in the</w:t>
      </w:r>
      <w:r>
        <w:rPr>
          <w:spacing w:val="1"/>
        </w:rPr>
        <w:t> </w:t>
      </w:r>
      <w:r>
        <w:rPr/>
        <w:t>controls.</w:t>
      </w:r>
      <w:r>
        <w:rPr>
          <w:spacing w:val="1"/>
        </w:rPr>
        <w:t> </w:t>
      </w:r>
      <w:r>
        <w:rPr/>
        <w:t>Age, sex, and type of</w:t>
      </w:r>
      <w:r>
        <w:rPr>
          <w:spacing w:val="61"/>
        </w:rPr>
        <w:t> </w:t>
      </w:r>
      <w:r>
        <w:rPr/>
        <w:t>PEM had no significant effect on the prevalence of malaria</w:t>
      </w:r>
      <w:r>
        <w:rPr>
          <w:spacing w:val="1"/>
        </w:rPr>
        <w:t> </w:t>
      </w:r>
      <w:r>
        <w:rPr/>
        <w:t>parasitemia and parasite density (P &gt; 0.05). </w:t>
      </w:r>
      <w:r>
        <w:rPr>
          <w:i/>
        </w:rPr>
        <w:t>Plasmodium falciparum </w:t>
      </w:r>
      <w:r>
        <w:rPr/>
        <w:t>(</w:t>
      </w:r>
      <w:r>
        <w:rPr>
          <w:i/>
        </w:rPr>
        <w:t>P</w:t>
      </w:r>
      <w:r>
        <w:rPr/>
        <w:t>. </w:t>
      </w:r>
      <w:r>
        <w:rPr>
          <w:i/>
        </w:rPr>
        <w:t>falciparum</w:t>
      </w:r>
      <w:r>
        <w:rPr/>
        <w:t>) was seen in all</w:t>
      </w:r>
      <w:r>
        <w:rPr>
          <w:spacing w:val="1"/>
        </w:rPr>
        <w:t> </w:t>
      </w:r>
      <w:r>
        <w:rPr/>
        <w:t>the positive</w:t>
      </w:r>
      <w:r>
        <w:rPr>
          <w:spacing w:val="-2"/>
        </w:rPr>
        <w:t> </w:t>
      </w:r>
      <w:r>
        <w:rPr/>
        <w:t>slides.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3"/>
        <w:jc w:val="both"/>
      </w:pPr>
      <w:r>
        <w:rPr/>
        <w:t>Afoakwah </w:t>
      </w:r>
      <w:r>
        <w:rPr>
          <w:i/>
        </w:rPr>
        <w:t>et al</w:t>
      </w:r>
      <w:r>
        <w:rPr/>
        <w:t>. (2016) carried out a study on relative susceptibilities of ABO blood groups to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15"/>
        </w:rPr>
        <w:t> </w:t>
      </w:r>
      <w:r>
        <w:rPr>
          <w:i/>
        </w:rPr>
        <w:t>falciparum</w:t>
      </w:r>
      <w:r>
        <w:rPr>
          <w:i/>
          <w:spacing w:val="13"/>
        </w:rPr>
        <w:t> </w:t>
      </w:r>
      <w:r>
        <w:rPr/>
        <w:t>malaria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Ghana.</w:t>
      </w:r>
      <w:r>
        <w:rPr>
          <w:spacing w:val="16"/>
        </w:rPr>
        <w:t> </w:t>
      </w:r>
      <w:r>
        <w:rPr/>
        <w:t>It</w:t>
      </w:r>
      <w:r>
        <w:rPr>
          <w:spacing w:val="16"/>
        </w:rPr>
        <w:t> </w:t>
      </w:r>
      <w:r>
        <w:rPr/>
        <w:t>was</w:t>
      </w:r>
      <w:r>
        <w:rPr>
          <w:spacing w:val="17"/>
        </w:rPr>
        <w:t> </w:t>
      </w:r>
      <w:r>
        <w:rPr/>
        <w:t>presented</w:t>
      </w:r>
      <w:r>
        <w:rPr>
          <w:spacing w:val="14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study</w:t>
      </w:r>
      <w:r>
        <w:rPr>
          <w:spacing w:val="11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clinical</w:t>
      </w:r>
      <w:r>
        <w:rPr>
          <w:spacing w:val="16"/>
        </w:rPr>
        <w:t> </w:t>
      </w:r>
      <w:r>
        <w:rPr/>
        <w:t>outcome</w:t>
      </w:r>
      <w:r>
        <w:rPr>
          <w:spacing w:val="-58"/>
        </w:rPr>
        <w:t> </w:t>
      </w:r>
      <w:r>
        <w:rPr/>
        <w:t>of </w:t>
      </w:r>
      <w:r>
        <w:rPr>
          <w:i/>
        </w:rPr>
        <w:t>falciparum </w:t>
      </w:r>
      <w:r>
        <w:rPr/>
        <w:t>malaria in endemic areas is influenced by erythrocyte poly-morphisms including the</w:t>
      </w:r>
      <w:r>
        <w:rPr>
          <w:spacing w:val="1"/>
        </w:rPr>
        <w:t> </w:t>
      </w:r>
      <w:r>
        <w:rPr/>
        <w:t>ABO blood groups. Association of ABO blood group to resistance, susceptibility, and severity of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>
          <w:i/>
          <w:spacing w:val="35"/>
        </w:rPr>
        <w:t> </w:t>
      </w:r>
      <w:r>
        <w:rPr/>
        <w:t>malaria</w:t>
      </w:r>
      <w:r>
        <w:rPr>
          <w:spacing w:val="33"/>
        </w:rPr>
        <w:t> </w:t>
      </w:r>
      <w:r>
        <w:rPr/>
        <w:t>infection</w:t>
      </w:r>
      <w:r>
        <w:rPr>
          <w:spacing w:val="35"/>
        </w:rPr>
        <w:t> </w:t>
      </w:r>
      <w:r>
        <w:rPr/>
        <w:t>was</w:t>
      </w:r>
      <w:r>
        <w:rPr>
          <w:spacing w:val="35"/>
        </w:rPr>
        <w:t> </w:t>
      </w:r>
      <w:r>
        <w:rPr/>
        <w:t>also</w:t>
      </w:r>
      <w:r>
        <w:rPr>
          <w:spacing w:val="36"/>
        </w:rPr>
        <w:t> </w:t>
      </w:r>
      <w:r>
        <w:rPr/>
        <w:t>reported.</w:t>
      </w:r>
      <w:r>
        <w:rPr>
          <w:spacing w:val="37"/>
        </w:rPr>
        <w:t> </w:t>
      </w:r>
      <w:r>
        <w:rPr/>
        <w:t>From</w:t>
      </w:r>
      <w:r>
        <w:rPr>
          <w:spacing w:val="34"/>
        </w:rPr>
        <w:t> </w:t>
      </w:r>
      <w:r>
        <w:rPr/>
        <w:t>their</w:t>
      </w:r>
      <w:r>
        <w:rPr>
          <w:spacing w:val="37"/>
        </w:rPr>
        <w:t> </w:t>
      </w:r>
      <w:r>
        <w:rPr/>
        <w:t>findings,</w:t>
      </w:r>
      <w:r>
        <w:rPr>
          <w:spacing w:val="35"/>
        </w:rPr>
        <w:t> </w:t>
      </w:r>
      <w:r>
        <w:rPr/>
        <w:t>individuals</w:t>
      </w:r>
      <w:r>
        <w:rPr>
          <w:spacing w:val="36"/>
        </w:rPr>
        <w:t> </w:t>
      </w:r>
      <w:r>
        <w:rPr/>
        <w:t>with</w:t>
      </w:r>
      <w:r>
        <w:rPr>
          <w:spacing w:val="35"/>
        </w:rPr>
        <w:t> </w:t>
      </w:r>
      <w:r>
        <w:rPr/>
        <w:t>blood</w:t>
      </w:r>
      <w:r>
        <w:rPr>
          <w:spacing w:val="35"/>
        </w:rPr>
        <w:t> </w:t>
      </w:r>
      <w:r>
        <w:rPr/>
        <w:t>group</w:t>
      </w:r>
      <w:r>
        <w:rPr>
          <w:spacing w:val="-57"/>
        </w:rPr>
        <w:t> </w:t>
      </w:r>
      <w:r>
        <w:rPr/>
        <w:t>“A” were found to be highly susceptible to </w:t>
      </w:r>
      <w:r>
        <w:rPr>
          <w:i/>
        </w:rPr>
        <w:t>falciparum </w:t>
      </w:r>
      <w:r>
        <w:rPr/>
        <w:t>malaria whereas blood group “O” is said to</w:t>
      </w:r>
      <w:r>
        <w:rPr>
          <w:spacing w:val="1"/>
        </w:rPr>
        <w:t> </w:t>
      </w:r>
      <w:r>
        <w:rPr/>
        <w:t>confer protection against complicated cases. Out of the 293 samples analysed from young children</w:t>
      </w:r>
      <w:r>
        <w:rPr>
          <w:spacing w:val="1"/>
        </w:rPr>
        <w:t> </w:t>
      </w:r>
      <w:r>
        <w:rPr/>
        <w:t>less than six years old with malaria in the Korle Bu Teaching Hospital in Accra, Ghana, group O was</w:t>
      </w:r>
      <w:r>
        <w:rPr>
          <w:spacing w:val="1"/>
        </w:rPr>
        <w:t> </w:t>
      </w:r>
      <w:r>
        <w:rPr/>
        <w:t>present in about 16.1% of complicated cases weighed against 40.9% of uncomplicated controls.</w:t>
      </w:r>
      <w:r>
        <w:rPr>
          <w:spacing w:val="1"/>
        </w:rPr>
        <w:t> </w:t>
      </w:r>
      <w:r>
        <w:rPr/>
        <w:t>Individuals with complicated malaria were of blood groups A and B compared to group O. This study</w:t>
      </w:r>
      <w:r>
        <w:rPr>
          <w:spacing w:val="-57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complicated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other blood groups.</w:t>
      </w:r>
    </w:p>
    <w:p>
      <w:pPr>
        <w:pStyle w:val="BodyText"/>
        <w:spacing w:line="480" w:lineRule="auto" w:before="201"/>
        <w:ind w:left="991" w:right="1256"/>
        <w:jc w:val="both"/>
      </w:pPr>
      <w:r>
        <w:rPr/>
        <w:t>Olasehinde </w:t>
      </w:r>
      <w:r>
        <w:rPr>
          <w:i/>
        </w:rPr>
        <w:t>et al</w:t>
      </w:r>
      <w:r>
        <w:rPr/>
        <w:t>. (2019) reported malaria prevalence of 45.86 % from blood and corresponding saliva</w:t>
      </w:r>
      <w:r>
        <w:rPr>
          <w:spacing w:val="-57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1,243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fever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parasitemia level ≥2,000 in Ogun state. It was reported that male subjects had the highest incidence of</w:t>
      </w:r>
      <w:r>
        <w:rPr>
          <w:spacing w:val="-57"/>
        </w:rPr>
        <w:t> </w:t>
      </w:r>
      <w:r>
        <w:rPr/>
        <w:t>57.42%. Furthermore, point mutations of K76T and N86Y in the Pfcrt and pfmdr-1 genes, as well as</w:t>
      </w:r>
      <w:r>
        <w:rPr>
          <w:spacing w:val="1"/>
        </w:rPr>
        <w:t> </w:t>
      </w:r>
      <w:r>
        <w:rPr/>
        <w:t>non-synonymous</w:t>
      </w:r>
      <w:r>
        <w:rPr>
          <w:spacing w:val="-1"/>
        </w:rPr>
        <w:t> </w:t>
      </w:r>
      <w:r>
        <w:rPr/>
        <w:t>mutations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Pfk13 genes, were</w:t>
      </w:r>
      <w:r>
        <w:rPr>
          <w:spacing w:val="-1"/>
        </w:rPr>
        <w:t> </w:t>
      </w:r>
      <w:r>
        <w:rPr/>
        <w:t>screened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sequenced.</w:t>
      </w:r>
      <w:r>
        <w:rPr>
          <w:spacing w:val="59"/>
        </w:rPr>
        <w:t> </w:t>
      </w:r>
      <w:r>
        <w:rPr/>
        <w:t>Pfcrt was</w:t>
      </w:r>
      <w:r>
        <w:rPr>
          <w:spacing w:val="-1"/>
        </w:rPr>
        <w:t> </w:t>
      </w:r>
      <w:r>
        <w:rPr/>
        <w:t>detectable</w:t>
      </w:r>
      <w:r>
        <w:rPr>
          <w:spacing w:val="-1"/>
        </w:rPr>
        <w:t> </w:t>
      </w:r>
      <w:r>
        <w:rPr/>
        <w:t>in</w:t>
      </w:r>
    </w:p>
    <w:p>
      <w:pPr>
        <w:pStyle w:val="BodyText"/>
        <w:spacing w:line="480" w:lineRule="auto"/>
        <w:ind w:left="991" w:right="1257"/>
        <w:jc w:val="both"/>
      </w:pPr>
      <w:r>
        <w:rPr/>
        <w:t>57.42</w:t>
      </w:r>
      <w:r>
        <w:rPr>
          <w:spacing w:val="1"/>
        </w:rPr>
        <w:t> </w:t>
      </w:r>
      <w:r>
        <w:rPr/>
        <w:t>% of blood</w:t>
      </w:r>
      <w:r>
        <w:rPr>
          <w:spacing w:val="1"/>
        </w:rPr>
        <w:t> </w:t>
      </w:r>
      <w:r>
        <w:rPr/>
        <w:t>and 51.02</w:t>
      </w:r>
      <w:r>
        <w:rPr>
          <w:spacing w:val="1"/>
        </w:rPr>
        <w:t> </w:t>
      </w:r>
      <w:r>
        <w:rPr/>
        <w:t>% of saliva samples,</w:t>
      </w:r>
      <w:r>
        <w:rPr>
          <w:spacing w:val="1"/>
        </w:rPr>
        <w:t> </w:t>
      </w:r>
      <w:r>
        <w:rPr/>
        <w:t>respectively. About 34.78% of the subjects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were microscopically confirmed to harbor the Pfmdr-1 mutated gene while 26.67% of the saliva</w:t>
      </w:r>
      <w:r>
        <w:rPr>
          <w:spacing w:val="1"/>
        </w:rPr>
        <w:t> </w:t>
      </w:r>
      <w:r>
        <w:rPr/>
        <w:t>samples revealed Pfmdr-1. Epidemiological studies identiﬁed the presence of wild-type Pfk13 genes</w:t>
      </w:r>
      <w:r>
        <w:rPr>
          <w:spacing w:val="1"/>
        </w:rPr>
        <w:t> </w:t>
      </w:r>
      <w:r>
        <w:rPr/>
        <w:t>in 21.84 % of blood and 44.44 % of saliva samples correspondingly. For each of the genes evaluated,</w:t>
      </w:r>
      <w:r>
        <w:rPr>
          <w:spacing w:val="1"/>
        </w:rPr>
        <w:t> </w:t>
      </w:r>
      <w:r>
        <w:rPr/>
        <w:t>saliva</w:t>
      </w:r>
      <w:r>
        <w:rPr>
          <w:spacing w:val="-2"/>
        </w:rPr>
        <w:t> </w:t>
      </w:r>
      <w:r>
        <w:rPr/>
        <w:t>portrayed</w:t>
      </w:r>
      <w:r>
        <w:rPr>
          <w:spacing w:val="2"/>
        </w:rPr>
        <w:t> </w:t>
      </w:r>
      <w:r>
        <w:rPr/>
        <w:t>great diagnostic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compared with blood.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2"/>
        <w:jc w:val="both"/>
      </w:pPr>
      <w:r>
        <w:rPr/>
        <w:t>Etusim </w:t>
      </w:r>
      <w:r>
        <w:rPr>
          <w:i/>
        </w:rPr>
        <w:t>et al</w:t>
      </w:r>
      <w:r>
        <w:rPr/>
        <w:t>. (2013) conducted studies on the prevalence of malaria parasite among children with</w:t>
      </w:r>
      <w:r>
        <w:rPr>
          <w:spacing w:val="1"/>
        </w:rPr>
        <w:t> </w:t>
      </w:r>
      <w:r>
        <w:rPr/>
        <w:t>splenomegaly in Aba metropolis, Abia State, Nigeria, Of the 403 patients in clinical state with</w:t>
      </w:r>
      <w:r>
        <w:rPr>
          <w:spacing w:val="1"/>
        </w:rPr>
        <w:t> </w:t>
      </w:r>
      <w:r>
        <w:rPr/>
        <w:t>confirmed cases of splenomegaly tested with Care-start malaria test kit for the presence of malaria</w:t>
      </w:r>
      <w:r>
        <w:rPr>
          <w:spacing w:val="1"/>
        </w:rPr>
        <w:t> </w:t>
      </w:r>
      <w:r>
        <w:rPr/>
        <w:t>parasite, 338 (83.9 %) were infected with malaria while 65(16.1 %) were not. A significantly positive</w:t>
      </w:r>
      <w:r>
        <w:rPr>
          <w:spacing w:val="1"/>
        </w:rPr>
        <w:t> </w:t>
      </w:r>
      <w:r>
        <w:rPr/>
        <w:t>relationship between malaria incidence and splenomegaly was recorded. Moreso, age group 1 – 3</w:t>
      </w:r>
      <w:r>
        <w:rPr>
          <w:spacing w:val="1"/>
        </w:rPr>
        <w:t> </w:t>
      </w:r>
      <w:r>
        <w:rPr/>
        <w:t>years recorded the highest infection rate 172</w:t>
      </w:r>
      <w:r>
        <w:rPr>
          <w:spacing w:val="1"/>
        </w:rPr>
        <w:t> </w:t>
      </w:r>
      <w:r>
        <w:rPr/>
        <w:t>(89.5 %) while age group 13</w:t>
      </w:r>
      <w:r>
        <w:rPr>
          <w:spacing w:val="1"/>
        </w:rPr>
        <w:t> </w:t>
      </w:r>
      <w:r>
        <w:rPr/>
        <w:t>– 15</w:t>
      </w:r>
      <w:r>
        <w:rPr>
          <w:spacing w:val="60"/>
        </w:rPr>
        <w:t> </w:t>
      </w:r>
      <w:r>
        <w:rPr/>
        <w:t>years recorded the</w:t>
      </w:r>
      <w:r>
        <w:rPr>
          <w:spacing w:val="1"/>
        </w:rPr>
        <w:t> </w:t>
      </w:r>
      <w:r>
        <w:rPr/>
        <w:t>least</w:t>
      </w:r>
      <w:r>
        <w:rPr>
          <w:spacing w:val="23"/>
        </w:rPr>
        <w:t> </w:t>
      </w:r>
      <w:r>
        <w:rPr/>
        <w:t>infection</w:t>
      </w:r>
      <w:r>
        <w:rPr>
          <w:spacing w:val="22"/>
        </w:rPr>
        <w:t> </w:t>
      </w:r>
      <w:r>
        <w:rPr/>
        <w:t>rate</w:t>
      </w:r>
      <w:r>
        <w:rPr>
          <w:spacing w:val="23"/>
        </w:rPr>
        <w:t> </w:t>
      </w:r>
      <w:r>
        <w:rPr/>
        <w:t>21(100</w:t>
      </w:r>
      <w:r>
        <w:rPr>
          <w:spacing w:val="24"/>
        </w:rPr>
        <w:t> </w:t>
      </w:r>
      <w:r>
        <w:rPr/>
        <w:t>%).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403</w:t>
      </w:r>
      <w:r>
        <w:rPr>
          <w:spacing w:val="23"/>
        </w:rPr>
        <w:t> </w:t>
      </w:r>
      <w:r>
        <w:rPr/>
        <w:t>people</w:t>
      </w:r>
      <w:r>
        <w:rPr>
          <w:spacing w:val="22"/>
        </w:rPr>
        <w:t> </w:t>
      </w:r>
      <w:r>
        <w:rPr/>
        <w:t>found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SPR,</w:t>
      </w:r>
      <w:r>
        <w:rPr>
          <w:spacing w:val="22"/>
        </w:rPr>
        <w:t> </w:t>
      </w:r>
      <w:r>
        <w:rPr/>
        <w:t>237</w:t>
      </w:r>
      <w:r>
        <w:rPr>
          <w:spacing w:val="25"/>
        </w:rPr>
        <w:t> </w:t>
      </w:r>
      <w:r>
        <w:rPr/>
        <w:t>(58.8</w:t>
      </w:r>
      <w:r>
        <w:rPr>
          <w:spacing w:val="22"/>
        </w:rPr>
        <w:t> </w:t>
      </w:r>
      <w:r>
        <w:rPr/>
        <w:t>%)</w:t>
      </w:r>
      <w:r>
        <w:rPr>
          <w:spacing w:val="23"/>
        </w:rPr>
        <w:t> </w:t>
      </w:r>
      <w:r>
        <w:rPr/>
        <w:t>were</w:t>
      </w:r>
      <w:r>
        <w:rPr>
          <w:spacing w:val="21"/>
        </w:rPr>
        <w:t> </w:t>
      </w:r>
      <w:r>
        <w:rPr/>
        <w:t>males</w:t>
      </w:r>
      <w:r>
        <w:rPr>
          <w:spacing w:val="23"/>
        </w:rPr>
        <w:t> </w:t>
      </w:r>
      <w:r>
        <w:rPr/>
        <w:t>while</w:t>
      </w:r>
      <w:r>
        <w:rPr>
          <w:spacing w:val="-57"/>
        </w:rPr>
        <w:t> </w:t>
      </w:r>
      <w:r>
        <w:rPr/>
        <w:t>166 (41.2 %) were females. The prevalence of malaria was higher 199 (84 %) in males than in female</w:t>
      </w:r>
      <w:r>
        <w:rPr>
          <w:spacing w:val="-57"/>
        </w:rPr>
        <w:t> </w:t>
      </w:r>
      <w:r>
        <w:rPr/>
        <w:t>139</w:t>
      </w:r>
      <w:r>
        <w:rPr>
          <w:spacing w:val="-1"/>
        </w:rPr>
        <w:t> </w:t>
      </w:r>
      <w:r>
        <w:rPr/>
        <w:t>(83.7</w:t>
      </w:r>
      <w:r>
        <w:rPr>
          <w:spacing w:val="-1"/>
        </w:rPr>
        <w:t> </w:t>
      </w:r>
      <w:r>
        <w:rPr/>
        <w:t>%).</w:t>
      </w:r>
    </w:p>
    <w:p>
      <w:pPr>
        <w:pStyle w:val="BodyText"/>
        <w:spacing w:line="480" w:lineRule="auto" w:before="200"/>
        <w:ind w:left="991" w:right="1251"/>
        <w:jc w:val="both"/>
      </w:pPr>
      <w:r>
        <w:rPr/>
        <w:t>In another study by Sam </w:t>
      </w:r>
      <w:r>
        <w:rPr>
          <w:i/>
        </w:rPr>
        <w:t>et al</w:t>
      </w:r>
      <w:r>
        <w:rPr/>
        <w:t>. (2014), from 384 blood samples screened for malaria parasites, 273</w:t>
      </w:r>
      <w:r>
        <w:rPr>
          <w:spacing w:val="1"/>
        </w:rPr>
        <w:t> </w:t>
      </w:r>
      <w:r>
        <w:rPr/>
        <w:t>(71.1 %) were positive with malaria parasites. Species detected included </w:t>
      </w:r>
      <w:r>
        <w:rPr>
          <w:i/>
        </w:rPr>
        <w:t>Plasmodium falciparum</w:t>
      </w:r>
      <w:r>
        <w:rPr>
          <w:i/>
          <w:spacing w:val="1"/>
        </w:rPr>
        <w:t> </w:t>
      </w:r>
      <w:r>
        <w:rPr/>
        <w:t>(95.6 %), </w:t>
      </w:r>
      <w:r>
        <w:rPr>
          <w:i/>
        </w:rPr>
        <w:t>Plasmodium malariae </w:t>
      </w:r>
      <w:r>
        <w:rPr/>
        <w:t>(3.3%), </w:t>
      </w:r>
      <w:r>
        <w:rPr>
          <w:i/>
        </w:rPr>
        <w:t>P. ovale </w:t>
      </w:r>
      <w:r>
        <w:rPr/>
        <w:t>(0.7 %) and </w:t>
      </w:r>
      <w:r>
        <w:rPr>
          <w:i/>
        </w:rPr>
        <w:t>P. vivax </w:t>
      </w:r>
      <w:r>
        <w:rPr/>
        <w:t>(0.4 %). The age-group 1-11</w:t>
      </w:r>
      <w:r>
        <w:rPr>
          <w:spacing w:val="1"/>
        </w:rPr>
        <w:t> </w:t>
      </w:r>
      <w:r>
        <w:rPr/>
        <w:t>years had the highest malaria prevalence 94 (81 %) while 51-60 had the least 6(54.5 %). The malaria</w:t>
      </w:r>
      <w:r>
        <w:rPr>
          <w:spacing w:val="1"/>
        </w:rPr>
        <w:t> </w:t>
      </w:r>
      <w:r>
        <w:rPr/>
        <w:t>prevalence in relation to age was significant (p = 0.011, p &lt; 0.05). The males 110 (73.8 %) were</w:t>
      </w:r>
      <w:r>
        <w:rPr>
          <w:spacing w:val="1"/>
        </w:rPr>
        <w:t> </w:t>
      </w:r>
      <w:r>
        <w:rPr/>
        <w:t>slightly more affected than the females 163 (69.4 %), but not statistically significant (p = 0.347, p &gt;</w:t>
      </w:r>
      <w:r>
        <w:rPr>
          <w:spacing w:val="1"/>
        </w:rPr>
        <w:t> </w:t>
      </w:r>
      <w:r>
        <w:rPr/>
        <w:t>0.05). Malaria prevalence was significantly higher among those with no formal education 80 (81.6 %)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post-secondary</w:t>
      </w:r>
      <w:r>
        <w:rPr>
          <w:spacing w:val="1"/>
        </w:rPr>
        <w:t> </w:t>
      </w:r>
      <w:r>
        <w:rPr/>
        <w:t>educational.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 difference, where the unemployed group were more infected and the retiree group had the</w:t>
      </w:r>
      <w:r>
        <w:rPr>
          <w:spacing w:val="1"/>
        </w:rPr>
        <w:t> </w:t>
      </w:r>
      <w:r>
        <w:rPr/>
        <w:t>least infection (p = 0.014, p &lt; 0.05). It was also reported from the study that the singles (56.4 %) were</w:t>
      </w:r>
      <w:r>
        <w:rPr>
          <w:spacing w:val="-57"/>
        </w:rPr>
        <w:t> </w:t>
      </w:r>
      <w:r>
        <w:rPr/>
        <w:t>more</w:t>
      </w:r>
      <w:r>
        <w:rPr>
          <w:spacing w:val="-3"/>
        </w:rPr>
        <w:t> </w:t>
      </w:r>
      <w:r>
        <w:rPr/>
        <w:t>infected than the</w:t>
      </w:r>
      <w:r>
        <w:rPr>
          <w:spacing w:val="-1"/>
        </w:rPr>
        <w:t> </w:t>
      </w:r>
      <w:r>
        <w:rPr/>
        <w:t>married (43.6</w:t>
      </w:r>
      <w:r>
        <w:rPr>
          <w:spacing w:val="3"/>
        </w:rPr>
        <w:t> </w:t>
      </w:r>
      <w:r>
        <w:rPr/>
        <w:t>%).</w:t>
      </w:r>
    </w:p>
    <w:p>
      <w:pPr>
        <w:pStyle w:val="BodyText"/>
        <w:spacing w:line="480" w:lineRule="auto" w:before="201"/>
        <w:ind w:left="991" w:right="1253"/>
        <w:jc w:val="both"/>
      </w:pPr>
      <w:r>
        <w:rPr/>
        <w:t>In a study conducted by Kuta </w:t>
      </w:r>
      <w:r>
        <w:rPr>
          <w:i/>
        </w:rPr>
        <w:t>et al</w:t>
      </w:r>
      <w:r>
        <w:rPr/>
        <w:t>. (2014) to determine the prevalence of malaria among school aged</w:t>
      </w:r>
      <w:r>
        <w:rPr>
          <w:spacing w:val="1"/>
        </w:rPr>
        <w:t> </w:t>
      </w:r>
      <w:r>
        <w:rPr/>
        <w:t>children (0- 12years) in 3 primary schools in paikoro local government area of Niger State, from the</w:t>
      </w:r>
      <w:r>
        <w:rPr>
          <w:spacing w:val="1"/>
        </w:rPr>
        <w:t> </w:t>
      </w:r>
      <w:r>
        <w:rPr/>
        <w:t>two</w:t>
      </w:r>
      <w:r>
        <w:rPr>
          <w:spacing w:val="4"/>
        </w:rPr>
        <w:t> </w:t>
      </w:r>
      <w:r>
        <w:rPr/>
        <w:t>hundred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fifty</w:t>
      </w:r>
      <w:r>
        <w:rPr>
          <w:spacing w:val="-1"/>
        </w:rPr>
        <w:t> </w:t>
      </w:r>
      <w:r>
        <w:rPr/>
        <w:t>(250)</w:t>
      </w:r>
      <w:r>
        <w:rPr>
          <w:spacing w:val="3"/>
        </w:rPr>
        <w:t> </w:t>
      </w:r>
      <w:r>
        <w:rPr/>
        <w:t>blood</w:t>
      </w:r>
      <w:r>
        <w:rPr>
          <w:spacing w:val="6"/>
        </w:rPr>
        <w:t> </w:t>
      </w:r>
      <w:r>
        <w:rPr/>
        <w:t>samples</w:t>
      </w:r>
      <w:r>
        <w:rPr>
          <w:spacing w:val="4"/>
        </w:rPr>
        <w:t> </w:t>
      </w:r>
      <w:r>
        <w:rPr/>
        <w:t>collected</w:t>
      </w:r>
      <w:r>
        <w:rPr>
          <w:spacing w:val="4"/>
        </w:rPr>
        <w:t> </w:t>
      </w:r>
      <w:r>
        <w:rPr/>
        <w:t>from</w:t>
      </w:r>
      <w:r>
        <w:rPr>
          <w:spacing w:val="5"/>
        </w:rPr>
        <w:t> </w:t>
      </w:r>
      <w:r>
        <w:rPr/>
        <w:t>children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3</w:t>
      </w:r>
      <w:r>
        <w:rPr>
          <w:spacing w:val="4"/>
        </w:rPr>
        <w:t> </w:t>
      </w:r>
      <w:r>
        <w:rPr/>
        <w:t>primary</w:t>
      </w:r>
      <w:r>
        <w:rPr>
          <w:spacing w:val="-1"/>
        </w:rPr>
        <w:t> </w:t>
      </w:r>
      <w:r>
        <w:rPr/>
        <w:t>schools,</w:t>
      </w:r>
      <w:r>
        <w:rPr>
          <w:spacing w:val="4"/>
        </w:rPr>
        <w:t> </w:t>
      </w:r>
      <w:r>
        <w:rPr/>
        <w:t>one</w:t>
      </w:r>
      <w:r>
        <w:rPr>
          <w:spacing w:val="3"/>
        </w:rPr>
        <w:t> </w:t>
      </w:r>
      <w:r>
        <w:rPr/>
        <w:t>hundred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3"/>
        <w:jc w:val="both"/>
      </w:pPr>
      <w:r>
        <w:rPr/>
        <w:t>and forty four blood samples were positive representing 57.6 %. The study also highlighted that male</w:t>
      </w:r>
      <w:r>
        <w:rPr>
          <w:spacing w:val="1"/>
        </w:rPr>
        <w:t> </w:t>
      </w:r>
      <w:r>
        <w:rPr/>
        <w:t>children recorded prevalence of 37.6 %, while females had 20.0 % prevalence. Similarly, children</w:t>
      </w:r>
      <w:r>
        <w:rPr>
          <w:spacing w:val="1"/>
        </w:rPr>
        <w:t> </w:t>
      </w:r>
      <w:r>
        <w:rPr/>
        <w:t>within the age group of &lt; 1-6 years recorded high prevalence of 48.8% compared to other age groups.</w:t>
      </w:r>
      <w:r>
        <w:rPr>
          <w:spacing w:val="-57"/>
        </w:rPr>
        <w:t> </w:t>
      </w:r>
      <w:r>
        <w:rPr/>
        <w:t>Children living in rural areas recorded prevalence of 38.8% compared to those living in urban areas</w:t>
      </w:r>
      <w:r>
        <w:rPr>
          <w:spacing w:val="1"/>
        </w:rPr>
        <w:t> </w:t>
      </w:r>
      <w:r>
        <w:rPr/>
        <w:t>(18.8</w:t>
      </w:r>
      <w:r>
        <w:rPr>
          <w:spacing w:val="-1"/>
        </w:rPr>
        <w:t> </w:t>
      </w:r>
      <w:r>
        <w:rPr/>
        <w:t>%).</w:t>
      </w:r>
    </w:p>
    <w:p>
      <w:pPr>
        <w:pStyle w:val="Heading1"/>
        <w:numPr>
          <w:ilvl w:val="1"/>
          <w:numId w:val="10"/>
        </w:numPr>
        <w:tabs>
          <w:tab w:pos="1352" w:val="left" w:leader="none"/>
        </w:tabs>
        <w:spacing w:line="240" w:lineRule="auto" w:before="207" w:after="0"/>
        <w:ind w:left="1351" w:right="0" w:hanging="361"/>
        <w:jc w:val="both"/>
      </w:pPr>
      <w:bookmarkStart w:name="_TOC_250020" w:id="27"/>
      <w:r>
        <w:rPr/>
        <w:t>Prevalence</w:t>
      </w:r>
      <w:r>
        <w:rPr>
          <w:spacing w:val="-4"/>
        </w:rPr>
        <w:t> </w:t>
      </w:r>
      <w:r>
        <w:rPr/>
        <w:t>of Exposure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Malarial</w:t>
      </w:r>
      <w:r>
        <w:rPr>
          <w:spacing w:val="-2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bookmarkEnd w:id="27"/>
      <w:r>
        <w:rPr/>
        <w:t>Pregnancy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991" w:right="1253"/>
        <w:jc w:val="both"/>
      </w:pPr>
      <w:r>
        <w:rPr/>
        <w:t>Anaemia is characterized by a decrease in the number of red blood cells in the blood or a decrease in</w:t>
      </w:r>
      <w:r>
        <w:rPr>
          <w:spacing w:val="1"/>
        </w:rPr>
        <w:t> </w:t>
      </w:r>
      <w:r>
        <w:rPr/>
        <w:t>haemoglobin (Hb) concentration to a level that impairs the normal physiological capacity of the blood</w:t>
      </w:r>
      <w:r>
        <w:rPr>
          <w:spacing w:val="-57"/>
        </w:rPr>
        <w:t> </w:t>
      </w:r>
      <w:r>
        <w:rPr/>
        <w:t>to transport oxygen to cells around the body (WHO, 2019). Severity of anaemia is defined by the</w:t>
      </w:r>
      <w:r>
        <w:rPr>
          <w:spacing w:val="1"/>
        </w:rPr>
        <w:t> </w:t>
      </w:r>
      <w:r>
        <w:rPr/>
        <w:t>following Hb levels; Mild anaemia ≤ 11 g/dL Moderate anaemia ≤ 8 g/dL Severe anaemia ≤ 5 g/dL</w:t>
      </w:r>
      <w:r>
        <w:rPr>
          <w:spacing w:val="1"/>
        </w:rPr>
        <w:t> </w:t>
      </w:r>
      <w:r>
        <w:rPr/>
        <w:t>(White 2018). Deficiency in iron is thought to be the most common cause of anaemia.</w:t>
      </w:r>
      <w:r>
        <w:rPr>
          <w:spacing w:val="1"/>
        </w:rPr>
        <w:t> </w:t>
      </w:r>
      <w:r>
        <w:rPr/>
        <w:t>Maternal</w:t>
      </w:r>
      <w:r>
        <w:rPr>
          <w:spacing w:val="1"/>
        </w:rPr>
        <w:t> </w:t>
      </w:r>
      <w:r>
        <w:rPr/>
        <w:t>anaemia has several causes, mainly related to nutrition, infection and genetics (Ross </w:t>
      </w:r>
      <w:r>
        <w:rPr>
          <w:i/>
        </w:rPr>
        <w:t>et al</w:t>
      </w:r>
      <w:r>
        <w:rPr/>
        <w:t>., 2006).</w:t>
      </w:r>
      <w:r>
        <w:rPr>
          <w:spacing w:val="1"/>
        </w:rPr>
        <w:t> </w:t>
      </w:r>
      <w:r>
        <w:rPr/>
        <w:t>Malaria infections cause anaemia through multiple mechanisms; direct destruction of red blood cells,</w:t>
      </w:r>
      <w:r>
        <w:rPr>
          <w:spacing w:val="1"/>
        </w:rPr>
        <w:t> </w:t>
      </w:r>
      <w:r>
        <w:rPr/>
        <w:t>clearance of infected and uninfected red cells by the spleen, and impaired red cell production by bone</w:t>
      </w:r>
      <w:r>
        <w:rPr>
          <w:spacing w:val="1"/>
        </w:rPr>
        <w:t> </w:t>
      </w:r>
      <w:r>
        <w:rPr/>
        <w:t>marrow. Individuals who are anaemic are at a greater risk of mortality, including from malaria. Single</w:t>
      </w:r>
      <w:r>
        <w:rPr>
          <w:spacing w:val="-57"/>
        </w:rPr>
        <w:t> </w:t>
      </w:r>
      <w:r>
        <w:rPr/>
        <w:t>or repeated episodes of malaria may result in life-threatening anaemia, metabolic acidosis (Griffin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2014) and death. Exposure to malaria infection during pregnancy leads to maternal anaemia,</w:t>
      </w:r>
      <w:r>
        <w:rPr>
          <w:spacing w:val="1"/>
        </w:rPr>
        <w:t> </w:t>
      </w:r>
      <w:r>
        <w:rPr/>
        <w:t>which is associated with higher risk of obstetric haemorrhage and death. World Health Organization</w:t>
      </w:r>
      <w:r>
        <w:rPr>
          <w:spacing w:val="1"/>
        </w:rPr>
        <w:t> </w:t>
      </w:r>
      <w:r>
        <w:rPr/>
        <w:t>estimates of maternal anaemia (Hb concentration of &lt;10.9 g/dl at sea level) by country were obtained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38 moderate</w:t>
      </w:r>
      <w:r>
        <w:rPr>
          <w:spacing w:val="-2"/>
        </w:rPr>
        <w:t> </w:t>
      </w:r>
      <w:r>
        <w:rPr/>
        <w:t>to high</w:t>
      </w:r>
      <w:r>
        <w:rPr>
          <w:spacing w:val="1"/>
        </w:rPr>
        <w:t> </w:t>
      </w:r>
      <w:r>
        <w:rPr/>
        <w:t>malaria</w:t>
      </w:r>
      <w:r>
        <w:rPr>
          <w:spacing w:val="-2"/>
        </w:rPr>
        <w:t> </w:t>
      </w:r>
      <w:r>
        <w:rPr/>
        <w:t>transmission countries</w:t>
      </w:r>
      <w:r>
        <w:rPr>
          <w:spacing w:val="-1"/>
        </w:rPr>
        <w:t> </w:t>
      </w:r>
      <w:r>
        <w:rPr/>
        <w:t>in sub</w:t>
      </w:r>
      <w:r>
        <w:rPr>
          <w:spacing w:val="2"/>
        </w:rPr>
        <w:t> </w:t>
      </w:r>
      <w:r>
        <w:rPr/>
        <w:t>Saharan Africa</w:t>
      </w:r>
      <w:r>
        <w:rPr>
          <w:spacing w:val="-3"/>
        </w:rPr>
        <w:t> </w:t>
      </w:r>
      <w:r>
        <w:rPr/>
        <w:t>(WHO, 2019).</w:t>
      </w:r>
    </w:p>
    <w:p>
      <w:pPr>
        <w:pStyle w:val="Heading1"/>
        <w:numPr>
          <w:ilvl w:val="1"/>
          <w:numId w:val="10"/>
        </w:numPr>
        <w:tabs>
          <w:tab w:pos="1472" w:val="left" w:leader="none"/>
        </w:tabs>
        <w:spacing w:line="240" w:lineRule="auto" w:before="208" w:after="0"/>
        <w:ind w:left="1471" w:right="0" w:hanging="481"/>
        <w:jc w:val="both"/>
      </w:pPr>
      <w:bookmarkStart w:name="_TOC_250019" w:id="28"/>
      <w:r>
        <w:rPr/>
        <w:t>Malaria</w:t>
      </w:r>
      <w:r>
        <w:rPr>
          <w:spacing w:val="-2"/>
        </w:rPr>
        <w:t> </w:t>
      </w:r>
      <w:r>
        <w:rPr/>
        <w:t>Prevention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bookmarkEnd w:id="28"/>
      <w:r>
        <w:rPr/>
        <w:t>Measures</w:t>
      </w:r>
    </w:p>
    <w:p>
      <w:pPr>
        <w:spacing w:after="0" w:line="24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6"/>
        <w:jc w:val="both"/>
      </w:pPr>
      <w:r>
        <w:rPr/>
        <w:t>Prevention and control of malaria is achieved through the use of the following measures; universal</w:t>
      </w:r>
      <w:r>
        <w:rPr>
          <w:spacing w:val="1"/>
        </w:rPr>
        <w:t> </w:t>
      </w:r>
      <w:r>
        <w:rPr/>
        <w:t>access to Long-Lasting Insecticide-treated nets (LLINs), indoor residual spraying (IRS), larval source</w:t>
      </w:r>
      <w:r>
        <w:rPr>
          <w:spacing w:val="-57"/>
        </w:rPr>
        <w:t> </w:t>
      </w:r>
      <w:r>
        <w:rPr/>
        <w:t>Management (LSM), provision of Intermittent Preventive Treatment of malaria in pregnancy (IPTp),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sentinel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commodities</w:t>
      </w:r>
      <w:r>
        <w:rPr>
          <w:spacing w:val="1"/>
        </w:rPr>
        <w:t> </w:t>
      </w:r>
      <w:r>
        <w:rPr/>
        <w:t>(Maduka,</w:t>
      </w:r>
      <w:r>
        <w:rPr>
          <w:spacing w:val="-1"/>
        </w:rPr>
        <w:t> </w:t>
      </w:r>
      <w:r>
        <w:rPr/>
        <w:t>2018).</w:t>
      </w:r>
    </w:p>
    <w:p>
      <w:pPr>
        <w:pStyle w:val="Heading1"/>
        <w:numPr>
          <w:ilvl w:val="2"/>
          <w:numId w:val="10"/>
        </w:numPr>
        <w:tabs>
          <w:tab w:pos="1712" w:val="left" w:leader="none"/>
        </w:tabs>
        <w:spacing w:line="240" w:lineRule="auto" w:before="207" w:after="0"/>
        <w:ind w:left="1711" w:right="0" w:hanging="721"/>
        <w:jc w:val="both"/>
      </w:pPr>
      <w:bookmarkStart w:name="_TOC_250018" w:id="29"/>
      <w:r>
        <w:rPr/>
        <w:t>Long</w:t>
      </w:r>
      <w:r>
        <w:rPr>
          <w:spacing w:val="-1"/>
        </w:rPr>
        <w:t> </w:t>
      </w:r>
      <w:r>
        <w:rPr/>
        <w:t>lasting</w:t>
      </w:r>
      <w:r>
        <w:rPr>
          <w:spacing w:val="-2"/>
        </w:rPr>
        <w:t> </w:t>
      </w:r>
      <w:r>
        <w:rPr/>
        <w:t>insecticide</w:t>
      </w:r>
      <w:r>
        <w:rPr>
          <w:spacing w:val="-1"/>
        </w:rPr>
        <w:t> </w:t>
      </w:r>
      <w:r>
        <w:rPr/>
        <w:t>treated</w:t>
      </w:r>
      <w:r>
        <w:rPr>
          <w:spacing w:val="-1"/>
        </w:rPr>
        <w:t> </w:t>
      </w:r>
      <w:bookmarkEnd w:id="29"/>
      <w:r>
        <w:rPr/>
        <w:t>nets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991" w:right="1254"/>
        <w:jc w:val="both"/>
      </w:pPr>
      <w:r>
        <w:rPr/>
        <w:t>LLINs have been lauded as the mainstay of malaria prevention, especially in sub-Saharan Africa</w:t>
      </w:r>
      <w:r>
        <w:rPr>
          <w:spacing w:val="1"/>
        </w:rPr>
        <w:t> </w:t>
      </w:r>
      <w:r>
        <w:rPr/>
        <w:t>(Albert </w:t>
      </w:r>
      <w:r>
        <w:rPr>
          <w:i/>
        </w:rPr>
        <w:t>et al</w:t>
      </w:r>
      <w:r>
        <w:rPr/>
        <w:t>., 2015). As at 2015 net ownership across the Nigeria was 69 % (Albert </w:t>
      </w:r>
      <w:r>
        <w:rPr>
          <w:i/>
        </w:rPr>
        <w:t>et al</w:t>
      </w:r>
      <w:r>
        <w:rPr/>
        <w:t>., 2015). This</w:t>
      </w:r>
      <w:r>
        <w:rPr>
          <w:spacing w:val="-57"/>
        </w:rPr>
        <w:t> </w:t>
      </w:r>
      <w:r>
        <w:rPr/>
        <w:t>is a step increase from ownership of 2 % in 2003. Over 103.8 million LLINs were distributed in</w:t>
      </w:r>
      <w:r>
        <w:rPr>
          <w:spacing w:val="1"/>
        </w:rPr>
        <w:t> </w:t>
      </w:r>
      <w:r>
        <w:rPr/>
        <w:t>Nigeria between 2009 and 2015 with higher net ownership in rural compared to urban populations</w:t>
      </w:r>
      <w:r>
        <w:rPr>
          <w:spacing w:val="1"/>
        </w:rPr>
        <w:t> </w:t>
      </w:r>
      <w:r>
        <w:rPr/>
        <w:t>(Ajayi </w:t>
      </w:r>
      <w:r>
        <w:rPr>
          <w:i/>
        </w:rPr>
        <w:t>et al</w:t>
      </w:r>
      <w:r>
        <w:rPr/>
        <w:t>., 2017). Across the regions in the country the northwest has the highest LLIN ownership</w:t>
      </w:r>
      <w:r>
        <w:rPr>
          <w:spacing w:val="1"/>
        </w:rPr>
        <w:t> </w:t>
      </w:r>
      <w:r>
        <w:rPr/>
        <w:t>while southwest has the lowest. Net utilisation is yet to come to par with net ownership. There are</w:t>
      </w:r>
      <w:r>
        <w:rPr>
          <w:spacing w:val="1"/>
        </w:rPr>
        <w:t> </w:t>
      </w:r>
      <w:r>
        <w:rPr/>
        <w:t>persistently lower rates for net utilisation compared to ownership (Maduka, 2018). However, net</w:t>
      </w:r>
      <w:r>
        <w:rPr>
          <w:spacing w:val="1"/>
        </w:rPr>
        <w:t> </w:t>
      </w:r>
      <w:r>
        <w:rPr/>
        <w:t>utilisation rates (measured as the proportion of persons who slept inside a treated net the previous</w:t>
      </w:r>
      <w:r>
        <w:rPr>
          <w:spacing w:val="1"/>
        </w:rPr>
        <w:t> </w:t>
      </w:r>
      <w:r>
        <w:rPr/>
        <w:t>night) have risen over the past decade. Among children, less than five years old, net utilisation has</w:t>
      </w:r>
      <w:r>
        <w:rPr>
          <w:spacing w:val="1"/>
        </w:rPr>
        <w:t> </w:t>
      </w:r>
      <w:r>
        <w:rPr/>
        <w:t>gone</w:t>
      </w:r>
      <w:r>
        <w:rPr>
          <w:spacing w:val="7"/>
        </w:rPr>
        <w:t> </w:t>
      </w:r>
      <w:r>
        <w:rPr/>
        <w:t>up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1</w:t>
      </w:r>
      <w:r>
        <w:rPr>
          <w:spacing w:val="9"/>
        </w:rPr>
        <w:t> </w:t>
      </w:r>
      <w:r>
        <w:rPr/>
        <w:t>%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2003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39</w:t>
      </w:r>
      <w:r>
        <w:rPr>
          <w:spacing w:val="7"/>
        </w:rPr>
        <w:t> </w:t>
      </w:r>
      <w:r>
        <w:rPr/>
        <w:t>%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2015</w:t>
      </w:r>
      <w:r>
        <w:rPr>
          <w:spacing w:val="8"/>
        </w:rPr>
        <w:t> </w:t>
      </w:r>
      <w:r>
        <w:rPr/>
        <w:t>while</w:t>
      </w:r>
      <w:r>
        <w:rPr>
          <w:spacing w:val="5"/>
        </w:rPr>
        <w:t> </w:t>
      </w:r>
      <w:r>
        <w:rPr/>
        <w:t>among</w:t>
      </w:r>
      <w:r>
        <w:rPr>
          <w:spacing w:val="6"/>
        </w:rPr>
        <w:t> </w:t>
      </w:r>
      <w:r>
        <w:rPr/>
        <w:t>pregnant</w:t>
      </w:r>
      <w:r>
        <w:rPr>
          <w:spacing w:val="8"/>
        </w:rPr>
        <w:t> </w:t>
      </w:r>
      <w:r>
        <w:rPr/>
        <w:t>women,</w:t>
      </w:r>
      <w:r>
        <w:rPr>
          <w:spacing w:val="10"/>
        </w:rPr>
        <w:t> </w:t>
      </w:r>
      <w:r>
        <w:rPr/>
        <w:t>utilisation</w:t>
      </w:r>
      <w:r>
        <w:rPr>
          <w:spacing w:val="5"/>
        </w:rPr>
        <w:t> </w:t>
      </w:r>
      <w:r>
        <w:rPr/>
        <w:t>increased</w:t>
      </w:r>
      <w:r>
        <w:rPr>
          <w:spacing w:val="8"/>
        </w:rPr>
        <w:t> </w:t>
      </w:r>
      <w:r>
        <w:rPr/>
        <w:t>from</w:t>
      </w:r>
    </w:p>
    <w:p>
      <w:pPr>
        <w:pStyle w:val="BodyText"/>
        <w:spacing w:line="480" w:lineRule="auto"/>
        <w:ind w:left="991" w:right="1254"/>
        <w:jc w:val="both"/>
      </w:pPr>
      <w:r>
        <w:rPr/>
        <w:t>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43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2015).The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mitigating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increased</w:t>
      </w:r>
      <w:r>
        <w:rPr>
          <w:spacing w:val="60"/>
        </w:rPr>
        <w:t> </w:t>
      </w:r>
      <w:r>
        <w:rPr/>
        <w:t>net</w:t>
      </w:r>
      <w:r>
        <w:rPr>
          <w:spacing w:val="1"/>
        </w:rPr>
        <w:t> </w:t>
      </w:r>
      <w:r>
        <w:rPr/>
        <w:t>ownership and utilisation are manifold. In spite of all the social mobilisation campaigns around net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net</w:t>
      </w:r>
      <w:r>
        <w:rPr>
          <w:spacing w:val="1"/>
        </w:rPr>
        <w:t> </w:t>
      </w:r>
      <w:r>
        <w:rPr/>
        <w:t>unacceptable.</w:t>
      </w:r>
      <w:r>
        <w:rPr>
          <w:spacing w:val="-57"/>
        </w:rPr>
        <w:t> </w:t>
      </w:r>
      <w:r>
        <w:rPr/>
        <w:t>Socioeconomic and socio cultural barriers such as irregular power supply, the perception that net use</w:t>
      </w:r>
      <w:r>
        <w:rPr>
          <w:spacing w:val="1"/>
        </w:rPr>
        <w:t> </w:t>
      </w:r>
      <w:r>
        <w:rPr/>
        <w:t>is for women and children, perceptions surrounding itching, colour, odour, and heat production,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others, impede</w:t>
      </w:r>
      <w:r>
        <w:rPr>
          <w:spacing w:val="-2"/>
        </w:rPr>
        <w:t> </w:t>
      </w:r>
      <w:r>
        <w:rPr/>
        <w:t>net use (Maduka, 2018).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2" w:lineRule="auto" w:before="72"/>
        <w:ind w:left="991" w:right="1254"/>
        <w:jc w:val="both"/>
      </w:pPr>
      <w:r>
        <w:rPr/>
        <w:t>Nigeria started piloting the school distribution channel in 2012 and the community-based distribution</w:t>
      </w:r>
      <w:r>
        <w:rPr>
          <w:spacing w:val="1"/>
        </w:rPr>
        <w:t> </w:t>
      </w:r>
      <w:r>
        <w:rPr/>
        <w:t>channels in 2013. The community channel is also being used to provide ITNs for internally displaced</w:t>
      </w:r>
      <w:r>
        <w:rPr>
          <w:spacing w:val="1"/>
        </w:rPr>
        <w:t> </w:t>
      </w:r>
      <w:r>
        <w:rPr/>
        <w:t>persons</w:t>
      </w:r>
      <w:r>
        <w:rPr>
          <w:spacing w:val="-1"/>
        </w:rPr>
        <w:t> </w:t>
      </w:r>
      <w:r>
        <w:rPr/>
        <w:t>(IDPs)</w:t>
      </w:r>
      <w:r>
        <w:rPr>
          <w:spacing w:val="2"/>
        </w:rPr>
        <w:t> </w:t>
      </w:r>
      <w:r>
        <w:rPr/>
        <w:t>from the</w:t>
      </w:r>
      <w:r>
        <w:rPr>
          <w:spacing w:val="1"/>
        </w:rPr>
        <w:t> </w:t>
      </w:r>
      <w:r>
        <w:rPr/>
        <w:t>conflicts</w:t>
      </w:r>
      <w:r>
        <w:rPr>
          <w:spacing w:val="-1"/>
        </w:rPr>
        <w:t> </w:t>
      </w:r>
      <w:r>
        <w:rPr/>
        <w:t>in the northeastern states (Maduka,</w:t>
      </w:r>
      <w:r>
        <w:rPr>
          <w:spacing w:val="-1"/>
        </w:rPr>
        <w:t> </w:t>
      </w:r>
      <w:r>
        <w:rPr/>
        <w:t>2018).</w:t>
      </w:r>
    </w:p>
    <w:p>
      <w:pPr>
        <w:pStyle w:val="Heading1"/>
        <w:numPr>
          <w:ilvl w:val="2"/>
          <w:numId w:val="10"/>
        </w:numPr>
        <w:tabs>
          <w:tab w:pos="1712" w:val="left" w:leader="none"/>
        </w:tabs>
        <w:spacing w:line="240" w:lineRule="auto" w:before="198" w:after="0"/>
        <w:ind w:left="1711" w:right="0" w:hanging="721"/>
        <w:jc w:val="both"/>
      </w:pPr>
      <w:bookmarkStart w:name="_TOC_250017" w:id="30"/>
      <w:r>
        <w:rPr/>
        <w:t>Indoor</w:t>
      </w:r>
      <w:r>
        <w:rPr>
          <w:spacing w:val="-3"/>
        </w:rPr>
        <w:t> </w:t>
      </w:r>
      <w:r>
        <w:rPr/>
        <w:t>residual</w:t>
      </w:r>
      <w:r>
        <w:rPr>
          <w:spacing w:val="-1"/>
        </w:rPr>
        <w:t> </w:t>
      </w:r>
      <w:r>
        <w:rPr/>
        <w:t>spraying</w:t>
      </w:r>
      <w:r>
        <w:rPr>
          <w:spacing w:val="-2"/>
        </w:rPr>
        <w:t> </w:t>
      </w:r>
      <w:bookmarkEnd w:id="30"/>
      <w:r>
        <w:rPr/>
        <w:t>(IRS)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991" w:right="1254"/>
        <w:jc w:val="both"/>
      </w:pPr>
      <w:r>
        <w:rPr/>
        <w:t>Indoor</w:t>
      </w:r>
      <w:r>
        <w:rPr>
          <w:spacing w:val="12"/>
        </w:rPr>
        <w:t> </w:t>
      </w:r>
      <w:r>
        <w:rPr/>
        <w:t>residual</w:t>
      </w:r>
      <w:r>
        <w:rPr>
          <w:spacing w:val="13"/>
        </w:rPr>
        <w:t> </w:t>
      </w:r>
      <w:r>
        <w:rPr/>
        <w:t>spraying</w:t>
      </w:r>
      <w:r>
        <w:rPr>
          <w:spacing w:val="14"/>
        </w:rPr>
        <w:t> </w:t>
      </w:r>
      <w:r>
        <w:rPr/>
        <w:t>(IRS)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practice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spraying</w:t>
      </w:r>
      <w:r>
        <w:rPr>
          <w:spacing w:val="14"/>
        </w:rPr>
        <w:t> </w:t>
      </w:r>
      <w:r>
        <w:rPr/>
        <w:t>insecticides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interior</w:t>
      </w:r>
      <w:r>
        <w:rPr>
          <w:spacing w:val="12"/>
        </w:rPr>
        <w:t> </w:t>
      </w:r>
      <w:r>
        <w:rPr/>
        <w:t>walls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homes</w:t>
      </w:r>
      <w:r>
        <w:rPr>
          <w:spacing w:val="-58"/>
        </w:rPr>
        <w:t> </w:t>
      </w:r>
      <w:r>
        <w:rPr/>
        <w:t>in malaria affected areas. After feeding, many mosquito species rest on a nearby surface while</w:t>
      </w:r>
      <w:r>
        <w:rPr>
          <w:spacing w:val="1"/>
        </w:rPr>
        <w:t> </w:t>
      </w:r>
      <w:r>
        <w:rPr/>
        <w:t>digesting the blood meal, so if the walls of dwellings have been coated with insecticides, the resting</w:t>
      </w:r>
      <w:r>
        <w:rPr>
          <w:spacing w:val="1"/>
        </w:rPr>
        <w:t> </w:t>
      </w:r>
      <w:r>
        <w:rPr/>
        <w:t>mosquitoes will be killed before they can bite another victim, and thereby transferring the malaria</w:t>
      </w:r>
      <w:r>
        <w:rPr>
          <w:spacing w:val="1"/>
        </w:rPr>
        <w:t> </w:t>
      </w:r>
      <w:r>
        <w:rPr/>
        <w:t>parasite</w:t>
      </w:r>
      <w:r>
        <w:rPr>
          <w:spacing w:val="-2"/>
        </w:rPr>
        <w:t> </w:t>
      </w:r>
      <w:r>
        <w:rPr/>
        <w:t>(Vanhauwer</w:t>
      </w:r>
      <w:r>
        <w:rPr>
          <w:spacing w:val="3"/>
        </w:rPr>
        <w:t> </w:t>
      </w:r>
      <w:r>
        <w:rPr>
          <w:i/>
        </w:rPr>
        <w:t>et al</w:t>
      </w:r>
      <w:r>
        <w:rPr/>
        <w:t>., 2007).</w:t>
      </w:r>
    </w:p>
    <w:p>
      <w:pPr>
        <w:pStyle w:val="Heading1"/>
        <w:numPr>
          <w:ilvl w:val="2"/>
          <w:numId w:val="10"/>
        </w:numPr>
        <w:tabs>
          <w:tab w:pos="1712" w:val="left" w:leader="none"/>
        </w:tabs>
        <w:spacing w:line="240" w:lineRule="auto" w:before="207" w:after="0"/>
        <w:ind w:left="1711" w:right="0" w:hanging="721"/>
        <w:jc w:val="both"/>
      </w:pPr>
      <w:bookmarkStart w:name="_TOC_250016" w:id="31"/>
      <w:r>
        <w:rPr/>
        <w:t>Intermittent</w:t>
      </w:r>
      <w:r>
        <w:rPr>
          <w:spacing w:val="-3"/>
        </w:rPr>
        <w:t> </w:t>
      </w:r>
      <w:r>
        <w:rPr/>
        <w:t>preventive</w:t>
      </w:r>
      <w:r>
        <w:rPr>
          <w:spacing w:val="-1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bookmarkEnd w:id="31"/>
      <w:r>
        <w:rPr/>
        <w:t>pregnancy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91" w:right="1252"/>
        <w:jc w:val="both"/>
      </w:pPr>
      <w:r>
        <w:rPr/>
        <w:t>In 2014, Nigeria adopted the updated WHO IPTp policy of providing IPTp with SP, starting as early</w:t>
      </w:r>
      <w:r>
        <w:rPr>
          <w:spacing w:val="1"/>
        </w:rPr>
        <w:t> </w:t>
      </w:r>
      <w:r>
        <w:rPr/>
        <w:t>as possible in the second trimester, for all pregnant women at each scheduled antenatal care visit until</w:t>
      </w:r>
      <w:r>
        <w:rPr>
          <w:spacing w:val="-57"/>
        </w:rPr>
        <w:t> </w:t>
      </w:r>
      <w:r>
        <w:rPr/>
        <w:t>the time of delivery, provided that the doses are given at least one month apart. IPTp entails giving</w:t>
      </w:r>
      <w:r>
        <w:rPr>
          <w:spacing w:val="1"/>
        </w:rPr>
        <w:t> </w:t>
      </w:r>
      <w:r>
        <w:rPr/>
        <w:t>three or more doses of sulphadoxine-pyrimethamine (SP) as directly observed treatment (DOT), one</w:t>
      </w:r>
      <w:r>
        <w:rPr>
          <w:spacing w:val="1"/>
        </w:rPr>
        <w:t> </w:t>
      </w:r>
      <w:r>
        <w:rPr/>
        <w:t>month apart from after the onset of quickening (Bawa </w:t>
      </w:r>
      <w:r>
        <w:rPr>
          <w:i/>
        </w:rPr>
        <w:t>et al</w:t>
      </w:r>
      <w:r>
        <w:rPr/>
        <w:t>., 2014). The uptake of the three-dose IPTp</w:t>
      </w:r>
      <w:r>
        <w:rPr>
          <w:spacing w:val="-57"/>
        </w:rPr>
        <w:t> </w:t>
      </w:r>
      <w:r>
        <w:rPr/>
        <w:t>in Nigeria is low at 19 % in 2015 (WHO, 2015). However, uptake of two-dose IPTp was 37 %</w:t>
      </w:r>
      <w:r>
        <w:rPr>
          <w:spacing w:val="1"/>
        </w:rPr>
        <w:t> </w:t>
      </w:r>
      <w:r>
        <w:rPr/>
        <w:t>(Maduka,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IPTp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 three</w:t>
      </w:r>
      <w:r>
        <w:rPr>
          <w:spacing w:val="-1"/>
        </w:rPr>
        <w:t> </w:t>
      </w:r>
      <w:r>
        <w:rPr/>
        <w:t>or more</w:t>
      </w:r>
      <w:r>
        <w:rPr>
          <w:spacing w:val="-2"/>
        </w:rPr>
        <w:t> </w:t>
      </w:r>
      <w:r>
        <w:rPr/>
        <w:t>doses of</w:t>
      </w:r>
      <w:r>
        <w:rPr>
          <w:spacing w:val="4"/>
        </w:rPr>
        <w:t> </w:t>
      </w:r>
      <w:r>
        <w:rPr/>
        <w:t>IPTp.</w:t>
      </w:r>
    </w:p>
    <w:p>
      <w:pPr>
        <w:pStyle w:val="Heading1"/>
        <w:numPr>
          <w:ilvl w:val="2"/>
          <w:numId w:val="10"/>
        </w:numPr>
        <w:tabs>
          <w:tab w:pos="1712" w:val="left" w:leader="none"/>
        </w:tabs>
        <w:spacing w:line="240" w:lineRule="auto" w:before="208" w:after="0"/>
        <w:ind w:left="1711" w:right="0" w:hanging="721"/>
        <w:jc w:val="both"/>
      </w:pPr>
      <w:r>
        <w:rPr/>
        <w:t>Supplementary</w:t>
      </w:r>
      <w:r>
        <w:rPr>
          <w:spacing w:val="-2"/>
        </w:rPr>
        <w:t> </w:t>
      </w:r>
      <w:r>
        <w:rPr/>
        <w:t>vector</w:t>
      </w:r>
      <w:r>
        <w:rPr>
          <w:spacing w:val="-2"/>
        </w:rPr>
        <w:t> </w:t>
      </w:r>
      <w:r>
        <w:rPr/>
        <w:t>control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991" w:right="1259"/>
        <w:jc w:val="both"/>
      </w:pPr>
      <w:r>
        <w:rPr/>
        <w:t>Supplementary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larval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(LSM)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protection.</w:t>
      </w:r>
      <w:r>
        <w:rPr>
          <w:spacing w:val="39"/>
        </w:rPr>
        <w:t> </w:t>
      </w:r>
      <w:r>
        <w:rPr/>
        <w:t>LSM</w:t>
      </w:r>
      <w:r>
        <w:rPr>
          <w:spacing w:val="37"/>
        </w:rPr>
        <w:t> </w:t>
      </w:r>
      <w:r>
        <w:rPr/>
        <w:t>has</w:t>
      </w:r>
      <w:r>
        <w:rPr>
          <w:spacing w:val="37"/>
        </w:rPr>
        <w:t> </w:t>
      </w:r>
      <w:r>
        <w:rPr/>
        <w:t>been</w:t>
      </w:r>
      <w:r>
        <w:rPr>
          <w:spacing w:val="37"/>
        </w:rPr>
        <w:t> </w:t>
      </w:r>
      <w:r>
        <w:rPr/>
        <w:t>advocated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useful</w:t>
      </w:r>
      <w:r>
        <w:rPr>
          <w:spacing w:val="39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control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breeding</w:t>
      </w:r>
      <w:r>
        <w:rPr>
          <w:spacing w:val="34"/>
        </w:rPr>
        <w:t> </w:t>
      </w:r>
      <w:r>
        <w:rPr/>
        <w:t>sites</w:t>
      </w:r>
      <w:r>
        <w:rPr>
          <w:spacing w:val="37"/>
        </w:rPr>
        <w:t> </w:t>
      </w:r>
      <w:r>
        <w:rPr/>
        <w:t>only</w:t>
      </w:r>
      <w:r>
        <w:rPr>
          <w:spacing w:val="34"/>
        </w:rPr>
        <w:t> </w:t>
      </w:r>
      <w:r>
        <w:rPr/>
        <w:t>where</w:t>
      </w:r>
      <w:r>
        <w:rPr>
          <w:spacing w:val="36"/>
        </w:rPr>
        <w:t> </w:t>
      </w:r>
      <w:r>
        <w:rPr/>
        <w:t>larval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2" w:lineRule="auto" w:before="72"/>
        <w:ind w:left="991" w:right="1261"/>
        <w:jc w:val="both"/>
      </w:pPr>
      <w:r>
        <w:rPr/>
        <w:t>breeding sites are few, fixed and findable (Maduka, 2018).</w:t>
      </w:r>
      <w:r>
        <w:rPr>
          <w:spacing w:val="1"/>
        </w:rPr>
        <w:t> </w:t>
      </w:r>
      <w:r>
        <w:rPr/>
        <w:t>Although LSM has been implemented in</w:t>
      </w:r>
      <w:r>
        <w:rPr>
          <w:spacing w:val="1"/>
        </w:rPr>
        <w:t> </w:t>
      </w:r>
      <w:r>
        <w:rPr/>
        <w:t>Rivers and Lagos states, it hasn’t had much impact probably because of operational, technical, and</w:t>
      </w:r>
      <w:r>
        <w:rPr>
          <w:spacing w:val="1"/>
        </w:rPr>
        <w:t> </w:t>
      </w:r>
      <w:r>
        <w:rPr/>
        <w:t>logistical</w:t>
      </w:r>
      <w:r>
        <w:rPr>
          <w:spacing w:val="-1"/>
        </w:rPr>
        <w:t> </w:t>
      </w:r>
      <w:r>
        <w:rPr/>
        <w:t>challenges associated</w:t>
      </w:r>
      <w:r>
        <w:rPr>
          <w:spacing w:val="-1"/>
        </w:rPr>
        <w:t> </w:t>
      </w:r>
      <w:r>
        <w:rPr/>
        <w:t>with this</w:t>
      </w:r>
      <w:r>
        <w:rPr>
          <w:spacing w:val="-1"/>
        </w:rPr>
        <w:t> </w:t>
      </w:r>
      <w:r>
        <w:rPr/>
        <w:t>vector control approach</w:t>
      </w:r>
      <w:r>
        <w:rPr>
          <w:spacing w:val="1"/>
        </w:rPr>
        <w:t> </w:t>
      </w:r>
      <w:r>
        <w:rPr/>
        <w:t>(Maduka,</w:t>
      </w:r>
      <w:r>
        <w:rPr>
          <w:spacing w:val="2"/>
        </w:rPr>
        <w:t> </w:t>
      </w:r>
      <w:r>
        <w:rPr/>
        <w:t>2018).</w:t>
      </w:r>
    </w:p>
    <w:p>
      <w:pPr>
        <w:pStyle w:val="Heading1"/>
        <w:spacing w:before="198"/>
        <w:ind w:left="1117" w:right="1381"/>
        <w:jc w:val="center"/>
      </w:pPr>
      <w:bookmarkStart w:name="_TOC_250015" w:id="32"/>
      <w:r>
        <w:rPr/>
        <w:t>CHAPTER</w:t>
      </w:r>
      <w:r>
        <w:rPr>
          <w:spacing w:val="-2"/>
        </w:rPr>
        <w:t> </w:t>
      </w:r>
      <w:bookmarkEnd w:id="32"/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1"/>
        </w:numPr>
        <w:tabs>
          <w:tab w:pos="4232" w:val="left" w:leader="none"/>
          <w:tab w:pos="4233" w:val="left" w:leader="none"/>
        </w:tabs>
        <w:spacing w:line="240" w:lineRule="auto" w:before="179" w:after="0"/>
        <w:ind w:left="4232" w:right="0" w:hanging="3242"/>
        <w:jc w:val="left"/>
      </w:pPr>
      <w:bookmarkStart w:name="_TOC_250014" w:id="33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33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1"/>
        </w:numPr>
        <w:tabs>
          <w:tab w:pos="1711" w:val="left" w:leader="none"/>
          <w:tab w:pos="1712" w:val="left" w:leader="none"/>
        </w:tabs>
        <w:spacing w:line="240" w:lineRule="auto" w:before="177" w:after="0"/>
        <w:ind w:left="1711" w:right="0" w:hanging="721"/>
        <w:jc w:val="left"/>
      </w:pPr>
      <w:bookmarkStart w:name="_TOC_250013" w:id="34"/>
      <w:r>
        <w:rPr/>
        <w:t>Study</w:t>
      </w:r>
      <w:r>
        <w:rPr>
          <w:spacing w:val="-2"/>
        </w:rPr>
        <w:t> </w:t>
      </w:r>
      <w:bookmarkEnd w:id="34"/>
      <w:r>
        <w:rPr/>
        <w:t>Area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91" w:right="1252"/>
        <w:jc w:val="both"/>
      </w:pPr>
      <w:r>
        <w:rPr/>
        <w:t>This study was</w:t>
      </w:r>
      <w:r>
        <w:rPr>
          <w:spacing w:val="1"/>
        </w:rPr>
        <w:t> </w:t>
      </w:r>
      <w:r>
        <w:rPr/>
        <w:t>carried out in Bosso and Paikoro local government</w:t>
      </w:r>
      <w:r>
        <w:rPr>
          <w:spacing w:val="1"/>
        </w:rPr>
        <w:t> </w:t>
      </w:r>
      <w:r>
        <w:rPr/>
        <w:t>areas. Villages</w:t>
      </w:r>
      <w:r>
        <w:rPr>
          <w:spacing w:val="60"/>
        </w:rPr>
        <w:t> </w:t>
      </w:r>
      <w:r>
        <w:rPr/>
        <w:t>and towns that</w:t>
      </w:r>
      <w:r>
        <w:rPr>
          <w:spacing w:val="1"/>
        </w:rPr>
        <w:t> </w:t>
      </w:r>
      <w:r>
        <w:rPr/>
        <w:t>were covered in Bosso LGA included, Garatu, Begi, Bosso, Shatta and Maitumbi. Villages and towns</w:t>
      </w:r>
      <w:r>
        <w:rPr>
          <w:spacing w:val="-57"/>
        </w:rPr>
        <w:t> </w:t>
      </w:r>
      <w:r>
        <w:rPr/>
        <w:t>that were covered in Paikoro local government area included, Chimbi, Paiko, Kaffin- koro, Kwakuti</w:t>
      </w:r>
      <w:r>
        <w:rPr>
          <w:spacing w:val="1"/>
        </w:rPr>
        <w:t> </w:t>
      </w:r>
      <w:r>
        <w:rPr/>
        <w:t>and Tunga Mallam. Sample analyses were carried out at the Microbiology unit, Centre for Genetic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Biotechnology,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Minna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Heamatology</w:t>
      </w:r>
      <w:r>
        <w:rPr>
          <w:spacing w:val="1"/>
        </w:rPr>
        <w:t> </w:t>
      </w:r>
      <w:r>
        <w:rPr/>
        <w:t>laboratory,</w:t>
      </w:r>
      <w:r>
        <w:rPr>
          <w:spacing w:val="-1"/>
        </w:rPr>
        <w:t> </w:t>
      </w:r>
      <w:r>
        <w:rPr/>
        <w:t>General Hospital, Minna,</w:t>
      </w:r>
      <w:r>
        <w:rPr>
          <w:spacing w:val="2"/>
        </w:rPr>
        <w:t> </w:t>
      </w:r>
      <w:r>
        <w:rPr/>
        <w:t>Niger State,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line="480" w:lineRule="auto" w:before="200"/>
        <w:ind w:left="991" w:right="1254"/>
        <w:jc w:val="both"/>
      </w:pPr>
      <w:r>
        <w:rPr/>
        <w:t>Bosso LGA covers a land mass of 1606.1 square kilometers, with Maikunkele as its headquarters. It</w:t>
      </w:r>
      <w:r>
        <w:rPr>
          <w:spacing w:val="1"/>
        </w:rPr>
        <w:t> </w:t>
      </w:r>
      <w:r>
        <w:rPr/>
        <w:t>has a population of 147,359 according to the 2006 population census. Paikoro LGA covers a land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2,259.2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kilometers,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Paiko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headquarters.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population of 158,086 according to reports from the 2006 population census (Niger State Department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Budget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Planning, 2012).</w:t>
      </w:r>
    </w:p>
    <w:p>
      <w:pPr>
        <w:pStyle w:val="BodyText"/>
        <w:spacing w:line="480" w:lineRule="auto" w:before="202"/>
        <w:ind w:left="991" w:right="1253"/>
        <w:jc w:val="both"/>
      </w:pPr>
      <w:r>
        <w:rPr/>
        <w:t>The population of the study area is characterized with majority of children, followed by middle age</w:t>
      </w:r>
      <w:r>
        <w:rPr>
          <w:spacing w:val="1"/>
        </w:rPr>
        <w:t> </w:t>
      </w:r>
      <w:r>
        <w:rPr/>
        <w:t>adults and then the aged (Niger State Department of Budget and Planning, 2012). According to</w:t>
      </w:r>
      <w:r>
        <w:rPr>
          <w:spacing w:val="1"/>
        </w:rPr>
        <w:t> </w:t>
      </w:r>
      <w:r>
        <w:rPr/>
        <w:t>statistics provided by the Niger state department of budget and planning (2012), the study areas are</w:t>
      </w:r>
      <w:r>
        <w:rPr>
          <w:spacing w:val="1"/>
        </w:rPr>
        <w:t> </w:t>
      </w:r>
      <w:r>
        <w:rPr/>
        <w:t>characterized with</w:t>
      </w:r>
      <w:r>
        <w:rPr>
          <w:spacing w:val="-1"/>
        </w:rPr>
        <w:t> </w:t>
      </w:r>
      <w:r>
        <w:rPr/>
        <w:t>more</w:t>
      </w:r>
      <w:r>
        <w:rPr>
          <w:spacing w:val="1"/>
        </w:rPr>
        <w:t> </w:t>
      </w:r>
      <w:r>
        <w:rPr/>
        <w:t>males</w:t>
      </w:r>
      <w:r>
        <w:rPr>
          <w:spacing w:val="2"/>
        </w:rPr>
        <w:t> </w:t>
      </w:r>
      <w:r>
        <w:rPr/>
        <w:t>than 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gender. Majority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 populace</w:t>
      </w:r>
      <w:r>
        <w:rPr>
          <w:spacing w:val="-1"/>
        </w:rPr>
        <w:t> </w:t>
      </w:r>
      <w:r>
        <w:rPr/>
        <w:t>in the study</w:t>
      </w:r>
      <w:r>
        <w:rPr>
          <w:spacing w:val="-3"/>
        </w:rPr>
        <w:t> </w:t>
      </w:r>
      <w:r>
        <w:rPr/>
        <w:t>areas</w:t>
      </w:r>
      <w:r>
        <w:rPr>
          <w:spacing w:val="1"/>
        </w:rPr>
        <w:t> </w:t>
      </w:r>
      <w:r>
        <w:rPr/>
        <w:t>(85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3"/>
        <w:jc w:val="both"/>
      </w:pPr>
      <w:r>
        <w:rPr/>
        <w:t>%) are farmers while the remaining (15 %) are involved in other vocations such as white collar jobs,</w:t>
      </w:r>
      <w:r>
        <w:rPr>
          <w:spacing w:val="1"/>
        </w:rPr>
        <w:t> </w:t>
      </w:r>
      <w:r>
        <w:rPr/>
        <w:t>business, craft and arts. The subjects of the study area are predominantly Muslims and Christians with</w:t>
      </w:r>
      <w:r>
        <w:rPr>
          <w:spacing w:val="-57"/>
        </w:rPr>
        <w:t> </w:t>
      </w:r>
      <w:r>
        <w:rPr/>
        <w:t>very few Traditional worshipers and Atheists. Predominantly, three major languages are spoken in the</w:t>
      </w:r>
      <w:r>
        <w:rPr>
          <w:spacing w:val="-57"/>
        </w:rPr>
        <w:t> </w:t>
      </w:r>
      <w:r>
        <w:rPr/>
        <w:t>study area, Nupe, Gbagyi, and Hausa. The settlement pattern in the study area is the semi-compact</w:t>
      </w:r>
      <w:r>
        <w:rPr>
          <w:spacing w:val="1"/>
        </w:rPr>
        <w:t> </w:t>
      </w:r>
      <w:r>
        <w:rPr/>
        <w:t>settlement which is also referred to as hamlet. Predominantly, lands are cultivated from one house to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other.</w:t>
      </w:r>
      <w:r>
        <w:rPr>
          <w:spacing w:val="58"/>
        </w:rPr>
        <w:t> </w:t>
      </w:r>
      <w:r>
        <w:rPr/>
        <w:t>This</w:t>
      </w:r>
      <w:r>
        <w:rPr>
          <w:spacing w:val="59"/>
        </w:rPr>
        <w:t> </w:t>
      </w:r>
      <w:r>
        <w:rPr/>
        <w:t>farm</w:t>
      </w:r>
      <w:r>
        <w:rPr>
          <w:spacing w:val="58"/>
        </w:rPr>
        <w:t> </w:t>
      </w:r>
      <w:r>
        <w:rPr/>
        <w:t>lands</w:t>
      </w:r>
      <w:r>
        <w:rPr>
          <w:spacing w:val="59"/>
        </w:rPr>
        <w:t> </w:t>
      </w:r>
      <w:r>
        <w:rPr/>
        <w:t>within</w:t>
      </w:r>
      <w:r>
        <w:rPr>
          <w:spacing w:val="59"/>
        </w:rPr>
        <w:t> </w:t>
      </w:r>
      <w:r>
        <w:rPr/>
        <w:t>residential</w:t>
      </w:r>
      <w:r>
        <w:rPr>
          <w:spacing w:val="59"/>
        </w:rPr>
        <w:t> </w:t>
      </w:r>
      <w:r>
        <w:rPr/>
        <w:t>areas</w:t>
      </w:r>
      <w:r>
        <w:rPr>
          <w:spacing w:val="59"/>
        </w:rPr>
        <w:t> </w:t>
      </w:r>
      <w:r>
        <w:rPr/>
        <w:t>could</w:t>
      </w:r>
      <w:r>
        <w:rPr>
          <w:spacing w:val="59"/>
        </w:rPr>
        <w:t> </w:t>
      </w:r>
      <w:r>
        <w:rPr/>
        <w:t>serve</w:t>
      </w:r>
      <w:r>
        <w:rPr>
          <w:spacing w:val="57"/>
        </w:rPr>
        <w:t> </w:t>
      </w:r>
      <w:r>
        <w:rPr/>
        <w:t>as  breeding</w:t>
      </w:r>
      <w:r>
        <w:rPr>
          <w:spacing w:val="56"/>
        </w:rPr>
        <w:t> </w:t>
      </w:r>
      <w:r>
        <w:rPr/>
        <w:t>sites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vector</w:t>
      </w:r>
      <w:r>
        <w:rPr>
          <w:spacing w:val="-57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 transmission of</w:t>
      </w:r>
      <w:r>
        <w:rPr>
          <w:spacing w:val="-1"/>
        </w:rPr>
        <w:t> </w:t>
      </w:r>
      <w:r>
        <w:rPr/>
        <w:t>the disease.</w:t>
      </w:r>
    </w:p>
    <w:p>
      <w:pPr>
        <w:pStyle w:val="BodyText"/>
        <w:spacing w:line="480" w:lineRule="auto" w:before="200"/>
        <w:ind w:left="991" w:right="1254"/>
        <w:jc w:val="both"/>
      </w:pPr>
      <w:r>
        <w:rPr/>
        <w:t>Both local government areas have almost similar climate and it is that of tropical continental region</w:t>
      </w:r>
      <w:r>
        <w:rPr>
          <w:spacing w:val="1"/>
        </w:rPr>
        <w:t> </w:t>
      </w:r>
      <w:r>
        <w:rPr/>
        <w:t>which is characterized by relatively wide annual temperature range and a restricted rainfall. It is</w:t>
      </w:r>
      <w:r>
        <w:rPr>
          <w:spacing w:val="1"/>
        </w:rPr>
        <w:t> </w:t>
      </w:r>
      <w:r>
        <w:rPr/>
        <w:t>marked by two distinct seasons, namely, rainy and dry. The rainy season starts in April and lasts till</w:t>
      </w:r>
      <w:r>
        <w:rPr>
          <w:spacing w:val="1"/>
        </w:rPr>
        <w:t> </w:t>
      </w:r>
      <w:r>
        <w:rPr/>
        <w:t>October, with June to August as the months of peak rainfall. The dry season, extends from November</w:t>
      </w:r>
      <w:r>
        <w:rPr>
          <w:spacing w:val="1"/>
        </w:rPr>
        <w:t> </w:t>
      </w:r>
      <w:r>
        <w:rPr/>
        <w:t>to March and is characterized by harmattan with dust-laden cold winds swept-in by the Northeast</w:t>
      </w:r>
      <w:r>
        <w:rPr>
          <w:spacing w:val="1"/>
        </w:rPr>
        <w:t> </w:t>
      </w:r>
      <w:r>
        <w:rPr/>
        <w:t>trade</w:t>
      </w:r>
      <w:r>
        <w:rPr>
          <w:spacing w:val="-2"/>
        </w:rPr>
        <w:t> </w:t>
      </w:r>
      <w:r>
        <w:rPr/>
        <w:t>wind (Ajayi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2014;</w:t>
      </w:r>
      <w:r>
        <w:rPr>
          <w:spacing w:val="1"/>
        </w:rPr>
        <w:t> </w:t>
      </w:r>
      <w:r>
        <w:rPr/>
        <w:t>Edogun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2017).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177"/>
        <w:rPr>
          <w:sz w:val="20"/>
        </w:rPr>
      </w:pPr>
      <w:r>
        <w:rPr>
          <w:sz w:val="20"/>
        </w:rPr>
        <w:drawing>
          <wp:inline distT="0" distB="0" distL="0" distR="0">
            <wp:extent cx="5708075" cy="4210240"/>
            <wp:effectExtent l="0" t="0" r="0" b="0"/>
            <wp:docPr id="3" name="image2.jpeg" descr="C:\Users\Ajanya\Documents\MTECH THESIS. BEN\Real ma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075" cy="421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90"/>
        <w:ind w:left="991" w:right="5783"/>
      </w:pPr>
      <w:r>
        <w:rPr/>
        <w:t>Figure</w:t>
      </w:r>
      <w:r>
        <w:rPr>
          <w:spacing w:val="-3"/>
        </w:rPr>
        <w:t> </w:t>
      </w:r>
      <w:r>
        <w:rPr/>
        <w:t>3.1:</w:t>
      </w:r>
      <w:r>
        <w:rPr>
          <w:spacing w:val="-1"/>
        </w:rPr>
        <w:t> </w:t>
      </w:r>
      <w:r>
        <w:rPr/>
        <w:t>Map of</w:t>
      </w:r>
      <w:r>
        <w:rPr>
          <w:spacing w:val="-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areas</w:t>
      </w:r>
      <w:r>
        <w:rPr>
          <w:spacing w:val="-57"/>
        </w:rPr>
        <w:t> </w:t>
      </w:r>
      <w:r>
        <w:rPr/>
        <w:t>Source: Ajayi </w:t>
      </w:r>
      <w:r>
        <w:rPr>
          <w:i/>
        </w:rPr>
        <w:t>et al</w:t>
      </w:r>
      <w:r>
        <w:rPr/>
        <w:t>. (2014).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1711" w:val="left" w:leader="none"/>
          <w:tab w:pos="1712" w:val="left" w:leader="none"/>
        </w:tabs>
        <w:spacing w:line="240" w:lineRule="auto" w:before="1" w:after="0"/>
        <w:ind w:left="1711" w:right="0" w:hanging="721"/>
        <w:jc w:val="left"/>
      </w:pPr>
      <w:bookmarkStart w:name="_TOC_250012" w:id="35"/>
      <w:r>
        <w:rPr/>
        <w:t>Sample</w:t>
      </w:r>
      <w:r>
        <w:rPr>
          <w:spacing w:val="-3"/>
        </w:rPr>
        <w:t> </w:t>
      </w:r>
      <w:r>
        <w:rPr/>
        <w:t>Size</w:t>
      </w:r>
      <w:r>
        <w:rPr>
          <w:spacing w:val="-3"/>
        </w:rPr>
        <w:t> </w:t>
      </w:r>
      <w:bookmarkEnd w:id="35"/>
      <w:r>
        <w:rPr/>
        <w:t>Determination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before="1"/>
        <w:ind w:left="991"/>
      </w:pPr>
      <w:r>
        <w:rPr/>
        <w:t>The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was determined using</w:t>
      </w:r>
      <w:r>
        <w:rPr>
          <w:spacing w:val="-2"/>
        </w:rPr>
        <w:t> </w:t>
      </w:r>
      <w:r>
        <w:rPr/>
        <w:t>the formula;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659" w:val="left" w:leader="none"/>
          <w:tab w:pos="2394" w:val="left" w:leader="none"/>
        </w:tabs>
        <w:spacing w:before="173"/>
        <w:ind w:left="991"/>
      </w:pPr>
      <w:r>
        <w:rPr/>
        <w:t>n =</w:t>
        <w:tab/>
      </w:r>
      <w:r>
        <w:rPr>
          <w:u w:val="thick"/>
        </w:rPr>
        <w:t>N</w:t>
        <w:tab/>
      </w:r>
    </w:p>
    <w:p>
      <w:pPr>
        <w:pStyle w:val="BodyText"/>
        <w:tabs>
          <w:tab w:pos="3746" w:val="left" w:leader="none"/>
        </w:tabs>
        <w:spacing w:before="1"/>
        <w:ind w:left="1591"/>
      </w:pPr>
      <w:r>
        <w:rPr/>
        <w:t>1+</w:t>
      </w:r>
      <w:r>
        <w:rPr>
          <w:spacing w:val="-2"/>
        </w:rPr>
        <w:t> </w:t>
      </w:r>
      <w:r>
        <w:rPr/>
        <w:t>N</w:t>
      </w:r>
      <w:r>
        <w:rPr>
          <w:spacing w:val="-1"/>
        </w:rPr>
        <w:t> </w:t>
      </w:r>
      <w:r>
        <w:rPr/>
        <w:t>(e</w:t>
      </w:r>
      <w:r>
        <w:rPr>
          <w:vertAlign w:val="superscript"/>
        </w:rPr>
        <w:t>2</w:t>
      </w:r>
      <w:r>
        <w:rPr>
          <w:vertAlign w:val="baseline"/>
        </w:rPr>
        <w:t>)</w:t>
        <w:tab/>
        <w:t>(Jaykaran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Tamoghna,</w:t>
      </w:r>
      <w:r>
        <w:rPr>
          <w:spacing w:val="-1"/>
          <w:vertAlign w:val="baseline"/>
        </w:rPr>
        <w:t> </w:t>
      </w:r>
      <w:r>
        <w:rPr>
          <w:vertAlign w:val="baseline"/>
        </w:rPr>
        <w:t>2013)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991"/>
      </w:pP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991"/>
      </w:pPr>
      <w:r>
        <w:rPr/>
        <w:t>N =</w:t>
      </w:r>
      <w:r>
        <w:rPr>
          <w:spacing w:val="-1"/>
        </w:rPr>
        <w:t> </w:t>
      </w:r>
      <w:r>
        <w:rPr/>
        <w:t>Population Size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991"/>
      </w:pPr>
      <w:r>
        <w:rPr/>
        <w:t>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Margin</w:t>
      </w:r>
      <w:r>
        <w:rPr>
          <w:spacing w:val="-1"/>
        </w:rPr>
        <w:t> </w:t>
      </w:r>
      <w:r>
        <w:rPr/>
        <w:t>of error</w:t>
      </w:r>
      <w:r>
        <w:rPr>
          <w:spacing w:val="-3"/>
        </w:rPr>
        <w:t> </w:t>
      </w:r>
      <w:r>
        <w:rPr/>
        <w:t>at (5</w:t>
      </w:r>
      <w:r>
        <w:rPr>
          <w:spacing w:val="1"/>
        </w:rPr>
        <w:t> </w:t>
      </w:r>
      <w:r>
        <w:rPr/>
        <w:t>%) =</w:t>
      </w:r>
      <w:r>
        <w:rPr>
          <w:spacing w:val="-3"/>
        </w:rPr>
        <w:t> </w:t>
      </w:r>
      <w:r>
        <w:rPr/>
        <w:t>0.05 at</w:t>
      </w:r>
      <w:r>
        <w:rPr>
          <w:spacing w:val="-1"/>
        </w:rPr>
        <w:t> </w:t>
      </w:r>
      <w:r>
        <w:rPr/>
        <w:t>95</w:t>
      </w:r>
      <w:r>
        <w:rPr>
          <w:spacing w:val="2"/>
        </w:rPr>
        <w:t> </w:t>
      </w:r>
      <w:r>
        <w:rPr/>
        <w:t>%</w:t>
      </w:r>
      <w:r>
        <w:rPr>
          <w:spacing w:val="-1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level</w:t>
      </w:r>
    </w:p>
    <w:p>
      <w:pPr>
        <w:spacing w:after="0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spacing w:line="482" w:lineRule="auto" w:before="72"/>
        <w:ind w:left="991" w:right="1260"/>
        <w:jc w:val="both"/>
      </w:pPr>
      <w:r>
        <w:rPr/>
        <w:t>N= 33,711(DHIS2, 2019) Assessed from the office of Monitoring and Evaluation, Primary Health</w:t>
      </w:r>
      <w:r>
        <w:rPr>
          <w:spacing w:val="1"/>
        </w:rPr>
        <w:t> </w:t>
      </w:r>
      <w:r>
        <w:rPr/>
        <w:t>Care</w:t>
      </w:r>
      <w:r>
        <w:rPr>
          <w:spacing w:val="-3"/>
        </w:rPr>
        <w:t> </w:t>
      </w:r>
      <w:r>
        <w:rPr/>
        <w:t>Department</w:t>
      </w:r>
      <w:r>
        <w:rPr>
          <w:spacing w:val="2"/>
        </w:rPr>
        <w:t> </w:t>
      </w:r>
      <w:r>
        <w:rPr/>
        <w:t>Bosso and Paikoro local</w:t>
      </w:r>
      <w:r>
        <w:rPr>
          <w:spacing w:val="2"/>
        </w:rPr>
        <w:t> </w:t>
      </w:r>
      <w:r>
        <w:rPr/>
        <w:t>government areas.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2025" w:val="left" w:leader="none"/>
        </w:tabs>
        <w:spacing w:before="1"/>
        <w:ind w:left="1471" w:right="9073" w:hanging="361"/>
      </w:pPr>
      <w:r>
        <w:rPr/>
        <w:t>n =</w:t>
      </w:r>
      <w:r>
        <w:rPr>
          <w:u w:val="thick"/>
        </w:rPr>
        <w:tab/>
        <w:tab/>
        <w:t>33711</w:t>
      </w:r>
      <w:r>
        <w:rPr>
          <w:spacing w:val="1"/>
        </w:rPr>
        <w:t> </w:t>
      </w:r>
      <w:r>
        <w:rPr>
          <w:spacing w:val="-1"/>
        </w:rPr>
        <w:t>1+33711(0.05)</w:t>
      </w:r>
      <w:r>
        <w:rPr>
          <w:spacing w:val="-1"/>
          <w:vertAlign w:val="superscript"/>
        </w:rPr>
        <w:t>2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652" w:lineRule="auto"/>
        <w:ind w:left="991" w:right="6972"/>
      </w:pPr>
      <w:r>
        <w:rPr/>
        <w:t>n=</w:t>
      </w:r>
      <w:r>
        <w:rPr>
          <w:spacing w:val="1"/>
        </w:rPr>
        <w:t> </w:t>
      </w:r>
      <w:r>
        <w:rPr/>
        <w:t>399.9 ≈ 400 (Minimum Sample size)</w:t>
      </w:r>
      <w:r>
        <w:rPr>
          <w:spacing w:val="-57"/>
        </w:rPr>
        <w:t> </w:t>
      </w:r>
      <w:r>
        <w:rPr/>
        <w:t>n=</w:t>
      </w:r>
      <w:r>
        <w:rPr>
          <w:spacing w:val="60"/>
        </w:rPr>
        <w:t> </w:t>
      </w:r>
      <w:r>
        <w:rPr/>
        <w:t>500</w:t>
      </w:r>
    </w:p>
    <w:p>
      <w:pPr>
        <w:pStyle w:val="Heading1"/>
        <w:numPr>
          <w:ilvl w:val="1"/>
          <w:numId w:val="11"/>
        </w:numPr>
        <w:tabs>
          <w:tab w:pos="1712" w:val="left" w:leader="none"/>
        </w:tabs>
        <w:spacing w:line="240" w:lineRule="auto" w:before="7" w:after="0"/>
        <w:ind w:left="1711" w:right="0" w:hanging="721"/>
        <w:jc w:val="both"/>
      </w:pPr>
      <w:bookmarkStart w:name="_TOC_250011" w:id="36"/>
      <w:r>
        <w:rPr/>
        <w:t>Ethical</w:t>
      </w:r>
      <w:r>
        <w:rPr>
          <w:spacing w:val="-1"/>
        </w:rPr>
        <w:t> </w:t>
      </w:r>
      <w:bookmarkEnd w:id="36"/>
      <w:r>
        <w:rPr/>
        <w:t>Approval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991" w:right="1258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9"/>
        </w:rPr>
        <w:t>ethical</w:t>
      </w:r>
      <w:r>
        <w:rPr>
          <w:spacing w:val="10"/>
        </w:rPr>
        <w:t> committee,</w:t>
      </w:r>
      <w:r>
        <w:rPr>
          <w:spacing w:val="11"/>
        </w:rPr>
        <w:t> </w:t>
      </w:r>
      <w:r>
        <w:rPr>
          <w:spacing w:val="9"/>
        </w:rPr>
        <w:t>General</w:t>
      </w:r>
      <w:r>
        <w:rPr>
          <w:spacing w:val="10"/>
        </w:rPr>
        <w:t> </w:t>
      </w:r>
      <w:r>
        <w:rPr>
          <w:spacing w:val="9"/>
        </w:rPr>
        <w:t>Hospital  Minna  </w:t>
      </w:r>
      <w:r>
        <w:rPr/>
        <w:t>and</w:t>
      </w:r>
      <w:r>
        <w:rPr>
          <w:spacing w:val="1"/>
        </w:rPr>
        <w:t> </w:t>
      </w:r>
      <w:r>
        <w:rPr>
          <w:spacing w:val="10"/>
        </w:rPr>
        <w:t>Primary </w:t>
      </w:r>
      <w:r>
        <w:rPr>
          <w:spacing w:val="9"/>
        </w:rPr>
        <w:t>Health </w:t>
      </w:r>
      <w:r>
        <w:rPr/>
        <w:t>Care</w:t>
      </w:r>
      <w:r>
        <w:rPr>
          <w:spacing w:val="1"/>
        </w:rPr>
        <w:t> </w:t>
      </w:r>
      <w:r>
        <w:rPr>
          <w:spacing w:val="10"/>
        </w:rPr>
        <w:t>Department, </w:t>
      </w:r>
      <w:r>
        <w:rPr>
          <w:spacing w:val="9"/>
        </w:rPr>
        <w:t>Minna, </w:t>
      </w:r>
      <w:r>
        <w:rPr/>
        <w:t>Niger</w:t>
      </w:r>
      <w:r>
        <w:rPr>
          <w:spacing w:val="1"/>
        </w:rPr>
        <w:t> </w:t>
      </w:r>
      <w:r>
        <w:rPr>
          <w:spacing w:val="11"/>
        </w:rPr>
        <w:t>State.</w:t>
      </w:r>
      <w:r>
        <w:rPr>
          <w:spacing w:val="83"/>
        </w:rPr>
        <w:t> </w:t>
      </w:r>
      <w:r>
        <w:rPr/>
        <w:t>Before commencement of the study,</w:t>
      </w:r>
      <w:r>
        <w:rPr>
          <w:spacing w:val="1"/>
        </w:rPr>
        <w:t> </w:t>
      </w:r>
      <w:r>
        <w:rPr/>
        <w:t>verbal consent was sought from subjects or parent/legal guardian after details of study was explained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languages</w:t>
      </w:r>
      <w:r>
        <w:rPr>
          <w:spacing w:val="1"/>
        </w:rPr>
        <w:t> </w:t>
      </w:r>
      <w:r>
        <w:rPr/>
        <w:t>(Hausa,</w:t>
      </w:r>
      <w:r>
        <w:rPr>
          <w:spacing w:val="1"/>
        </w:rPr>
        <w:t> </w:t>
      </w:r>
      <w:r>
        <w:rPr/>
        <w:t>Gbagyi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Nupe)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could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English language.</w:t>
      </w:r>
      <w:r>
        <w:rPr>
          <w:spacing w:val="1"/>
        </w:rPr>
        <w:t> </w:t>
      </w:r>
      <w:r>
        <w:rPr/>
        <w:t>The ethical</w:t>
      </w:r>
      <w:r>
        <w:rPr>
          <w:spacing w:val="1"/>
        </w:rPr>
        <w:t> </w:t>
      </w:r>
      <w:r>
        <w:rPr/>
        <w:t>approvals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 in appendix</w:t>
      </w:r>
      <w:r>
        <w:rPr>
          <w:spacing w:val="2"/>
        </w:rPr>
        <w:t> </w:t>
      </w:r>
      <w:r>
        <w:rPr/>
        <w:t>V.</w:t>
      </w:r>
    </w:p>
    <w:p>
      <w:pPr>
        <w:pStyle w:val="Heading1"/>
        <w:numPr>
          <w:ilvl w:val="1"/>
          <w:numId w:val="11"/>
        </w:numPr>
        <w:tabs>
          <w:tab w:pos="1712" w:val="left" w:leader="none"/>
        </w:tabs>
        <w:spacing w:line="240" w:lineRule="auto" w:before="207" w:after="0"/>
        <w:ind w:left="1711" w:right="0" w:hanging="721"/>
        <w:jc w:val="both"/>
        <w:rPr>
          <w:color w:val="2A2A2A"/>
        </w:rPr>
      </w:pPr>
      <w:bookmarkStart w:name="_TOC_250010" w:id="37"/>
      <w:r>
        <w:rPr>
          <w:spacing w:val="9"/>
        </w:rPr>
        <w:t>Sample</w:t>
      </w:r>
      <w:r>
        <w:rPr>
          <w:spacing w:val="23"/>
        </w:rPr>
        <w:t> </w:t>
      </w:r>
      <w:bookmarkEnd w:id="37"/>
      <w:r>
        <w:rPr>
          <w:spacing w:val="10"/>
        </w:rPr>
        <w:t>Collection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91" w:right="1265"/>
        <w:jc w:val="both"/>
      </w:pPr>
      <w:r>
        <w:rPr>
          <w:spacing w:val="10"/>
        </w:rPr>
        <w:t>Questionnaires </w:t>
      </w:r>
      <w:r>
        <w:rPr/>
        <w:t>were </w:t>
      </w:r>
      <w:r>
        <w:rPr>
          <w:spacing w:val="9"/>
        </w:rPr>
        <w:t>issued </w:t>
      </w:r>
      <w:r>
        <w:rPr/>
        <w:t>to </w:t>
      </w:r>
      <w:r>
        <w:rPr>
          <w:spacing w:val="10"/>
        </w:rPr>
        <w:t>randomly selected subjects </w:t>
      </w:r>
      <w:r>
        <w:rPr/>
        <w:t>who</w:t>
      </w:r>
      <w:r>
        <w:rPr>
          <w:spacing w:val="1"/>
        </w:rPr>
        <w:t> </w:t>
      </w:r>
      <w:r>
        <w:rPr/>
        <w:t>fall </w:t>
      </w:r>
      <w:r>
        <w:rPr>
          <w:spacing w:val="9"/>
        </w:rPr>
        <w:t>within </w:t>
      </w:r>
      <w:r>
        <w:rPr/>
        <w:t>the target group</w:t>
      </w:r>
      <w:r>
        <w:rPr>
          <w:spacing w:val="1"/>
        </w:rPr>
        <w:t> </w:t>
      </w:r>
      <w:r>
        <w:rPr>
          <w:spacing w:val="9"/>
        </w:rPr>
        <w:t>(women </w:t>
      </w:r>
      <w:r>
        <w:rPr/>
        <w:t>and </w:t>
      </w:r>
      <w:r>
        <w:rPr>
          <w:spacing w:val="9"/>
        </w:rPr>
        <w:t>children, </w:t>
      </w:r>
      <w:r>
        <w:rPr/>
        <w:t>adult males were </w:t>
      </w:r>
      <w:r>
        <w:rPr>
          <w:spacing w:val="9"/>
        </w:rPr>
        <w:t>excluded) </w:t>
      </w:r>
      <w:r>
        <w:rPr/>
        <w:t>after which </w:t>
      </w:r>
      <w:r>
        <w:rPr>
          <w:spacing w:val="9"/>
        </w:rPr>
        <w:t>verbal informed consent </w:t>
      </w:r>
      <w:r>
        <w:rPr/>
        <w:t>was</w:t>
      </w:r>
      <w:r>
        <w:rPr>
          <w:spacing w:val="1"/>
        </w:rPr>
        <w:t> </w:t>
      </w:r>
      <w:r>
        <w:rPr/>
        <w:t>sought for </w:t>
      </w:r>
      <w:r>
        <w:rPr>
          <w:spacing w:val="10"/>
        </w:rPr>
        <w:t>individually. </w:t>
      </w:r>
      <w:r>
        <w:rPr/>
        <w:t>Ethylene diamine tetraacetic acid </w:t>
      </w:r>
      <w:r>
        <w:rPr>
          <w:spacing w:val="9"/>
        </w:rPr>
        <w:t>(EDTA) </w:t>
      </w:r>
      <w:r>
        <w:rPr>
          <w:spacing w:val="10"/>
        </w:rPr>
        <w:t>container </w:t>
      </w:r>
      <w:r>
        <w:rPr/>
        <w:t>was </w:t>
      </w:r>
      <w:r>
        <w:rPr>
          <w:spacing w:val="9"/>
        </w:rPr>
        <w:t>labeled with</w:t>
      </w:r>
      <w:r>
        <w:rPr>
          <w:spacing w:val="10"/>
        </w:rPr>
        <w:t> </w:t>
      </w:r>
      <w:r>
        <w:rPr>
          <w:spacing w:val="9"/>
        </w:rPr>
        <w:t>subject’s </w:t>
      </w:r>
      <w:r>
        <w:rPr>
          <w:spacing w:val="10"/>
        </w:rPr>
        <w:t>information. </w:t>
      </w:r>
      <w:r>
        <w:rPr/>
        <w:t>After which </w:t>
      </w:r>
      <w:r>
        <w:rPr>
          <w:spacing w:val="10"/>
        </w:rPr>
        <w:t>responses </w:t>
      </w:r>
      <w:r>
        <w:rPr/>
        <w:t>to </w:t>
      </w:r>
      <w:r>
        <w:rPr>
          <w:spacing w:val="10"/>
        </w:rPr>
        <w:t>questionnaires </w:t>
      </w:r>
      <w:r>
        <w:rPr>
          <w:spacing w:val="9"/>
        </w:rPr>
        <w:t>were </w:t>
      </w:r>
      <w:r>
        <w:rPr>
          <w:spacing w:val="10"/>
        </w:rPr>
        <w:t>collected </w:t>
      </w:r>
      <w:r>
        <w:rPr/>
        <w:t>and </w:t>
      </w:r>
      <w:r>
        <w:rPr>
          <w:spacing w:val="9"/>
        </w:rPr>
        <w:t>venous</w:t>
      </w:r>
      <w:r>
        <w:rPr>
          <w:spacing w:val="10"/>
        </w:rPr>
        <w:t> </w:t>
      </w:r>
      <w:r>
        <w:rPr/>
        <w:t>blood</w:t>
      </w:r>
      <w:r>
        <w:rPr>
          <w:spacing w:val="1"/>
        </w:rPr>
        <w:t> </w:t>
      </w:r>
      <w:r>
        <w:rPr>
          <w:spacing w:val="9"/>
        </w:rPr>
        <w:t>sample</w:t>
      </w:r>
      <w:r>
        <w:rPr>
          <w:spacing w:val="10"/>
        </w:rPr>
        <w:t> </w:t>
      </w:r>
      <w:r>
        <w:rPr/>
        <w:t>was</w:t>
      </w:r>
      <w:r>
        <w:rPr>
          <w:spacing w:val="1"/>
        </w:rPr>
        <w:t> </w:t>
      </w:r>
      <w:r>
        <w:rPr>
          <w:spacing w:val="10"/>
        </w:rPr>
        <w:t>aseptically</w:t>
      </w:r>
      <w:r>
        <w:rPr>
          <w:spacing w:val="11"/>
        </w:rPr>
        <w:t> </w:t>
      </w:r>
      <w:r>
        <w:rPr>
          <w:spacing w:val="9"/>
        </w:rPr>
        <w:t>collected</w:t>
      </w:r>
      <w:r>
        <w:rPr>
          <w:spacing w:val="10"/>
        </w:rPr>
        <w:t> </w:t>
      </w:r>
      <w:r>
        <w:rPr/>
        <w:t>from</w:t>
      </w:r>
      <w:r>
        <w:rPr>
          <w:spacing w:val="1"/>
        </w:rPr>
        <w:t> </w:t>
      </w:r>
      <w:r>
        <w:rPr>
          <w:spacing w:val="9"/>
        </w:rPr>
        <w:t>subjects</w:t>
      </w:r>
      <w:r>
        <w:rPr>
          <w:spacing w:val="10"/>
        </w:rPr>
        <w:t> attending  </w:t>
      </w:r>
      <w:r>
        <w:rPr/>
        <w:t>the</w:t>
      </w:r>
      <w:r>
        <w:rPr>
          <w:spacing w:val="60"/>
        </w:rPr>
        <w:t> </w:t>
      </w:r>
      <w:r>
        <w:rPr>
          <w:spacing w:val="9"/>
        </w:rPr>
        <w:t>various  government</w:t>
      </w:r>
      <w:r>
        <w:rPr>
          <w:spacing w:val="10"/>
        </w:rPr>
        <w:t> </w:t>
      </w:r>
      <w:r>
        <w:rPr>
          <w:spacing w:val="9"/>
        </w:rPr>
        <w:t>health</w:t>
      </w:r>
      <w:r>
        <w:rPr>
          <w:spacing w:val="10"/>
        </w:rPr>
        <w:t> facilities</w:t>
      </w:r>
      <w:r>
        <w:rPr>
          <w:spacing w:val="11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9"/>
        </w:rPr>
        <w:t>selected</w:t>
      </w:r>
      <w:r>
        <w:rPr>
          <w:spacing w:val="10"/>
        </w:rPr>
        <w:t> communities  </w:t>
      </w:r>
      <w:r>
        <w:rPr>
          <w:spacing w:val="9"/>
        </w:rPr>
        <w:t>within  </w:t>
      </w:r>
      <w:r>
        <w:rPr/>
        <w:t>Bosso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>
          <w:spacing w:val="9"/>
        </w:rPr>
        <w:t>Paikoro  </w:t>
      </w:r>
      <w:r>
        <w:rPr/>
        <w:t>Local</w:t>
      </w:r>
      <w:r>
        <w:rPr>
          <w:spacing w:val="60"/>
        </w:rPr>
        <w:t> </w:t>
      </w:r>
      <w:r>
        <w:rPr>
          <w:spacing w:val="10"/>
        </w:rPr>
        <w:t>Government</w:t>
      </w:r>
      <w:r>
        <w:rPr>
          <w:spacing w:val="11"/>
        </w:rPr>
        <w:t> </w:t>
      </w:r>
      <w:r>
        <w:rPr/>
        <w:t>Areas</w:t>
      </w:r>
      <w:r>
        <w:rPr>
          <w:spacing w:val="108"/>
        </w:rPr>
        <w:t> </w:t>
      </w:r>
      <w:r>
        <w:rPr>
          <w:spacing w:val="9"/>
        </w:rPr>
        <w:t>using </w:t>
      </w:r>
      <w:r>
        <w:rPr>
          <w:spacing w:val="35"/>
        </w:rPr>
        <w:t> </w:t>
      </w:r>
      <w:r>
        <w:rPr/>
        <w:t>the</w:t>
      </w:r>
      <w:r>
        <w:rPr>
          <w:spacing w:val="103"/>
        </w:rPr>
        <w:t> </w:t>
      </w:r>
      <w:r>
        <w:rPr>
          <w:spacing w:val="9"/>
        </w:rPr>
        <w:t>method </w:t>
      </w:r>
      <w:r>
        <w:rPr>
          <w:spacing w:val="35"/>
        </w:rPr>
        <w:t> </w:t>
      </w:r>
      <w:r>
        <w:rPr>
          <w:spacing w:val="10"/>
        </w:rPr>
        <w:t>described </w:t>
      </w:r>
      <w:r>
        <w:rPr>
          <w:spacing w:val="35"/>
        </w:rPr>
        <w:t> </w:t>
      </w:r>
      <w:r>
        <w:rPr/>
        <w:t>by</w:t>
      </w:r>
      <w:r>
        <w:rPr>
          <w:spacing w:val="107"/>
        </w:rPr>
        <w:t> </w:t>
      </w:r>
      <w:r>
        <w:rPr/>
        <w:t>World</w:t>
      </w:r>
      <w:r>
        <w:rPr>
          <w:spacing w:val="79"/>
        </w:rPr>
        <w:t> </w:t>
      </w:r>
      <w:r>
        <w:rPr/>
        <w:t>Health</w:t>
      </w:r>
      <w:r>
        <w:rPr>
          <w:spacing w:val="83"/>
        </w:rPr>
        <w:t> </w:t>
      </w:r>
      <w:r>
        <w:rPr/>
        <w:t>Organization</w:t>
      </w:r>
      <w:r>
        <w:rPr>
          <w:spacing w:val="79"/>
        </w:rPr>
        <w:t> </w:t>
      </w:r>
      <w:r>
        <w:rPr/>
        <w:t>(2015).</w:t>
      </w:r>
      <w:r>
        <w:rPr>
          <w:spacing w:val="105"/>
        </w:rPr>
        <w:t> </w:t>
      </w:r>
      <w:r>
        <w:rPr>
          <w:spacing w:val="9"/>
        </w:rPr>
        <w:t>Venous </w:t>
      </w:r>
      <w:r>
        <w:rPr>
          <w:spacing w:val="37"/>
        </w:rPr>
        <w:t> </w:t>
      </w:r>
      <w:r>
        <w:rPr>
          <w:spacing w:val="9"/>
        </w:rPr>
        <w:t>blood</w:t>
      </w:r>
    </w:p>
    <w:p>
      <w:pPr>
        <w:pStyle w:val="BodyText"/>
        <w:spacing w:before="1"/>
        <w:ind w:left="991"/>
      </w:pPr>
      <w:r>
        <w:rPr/>
        <w:pict>
          <v:rect style="position:absolute;margin-left:48.119999pt;margin-top:.453122pt;width:493.54pt;height:27.6pt;mso-position-horizontal-relative:page;mso-position-vertical-relative:paragraph;z-index:-20994560" filled="true" fillcolor="#ffffff" stroked="false">
            <v:fill type="solid"/>
            <w10:wrap type="none"/>
          </v:rect>
        </w:pict>
      </w:r>
      <w:r>
        <w:rPr>
          <w:spacing w:val="9"/>
        </w:rPr>
        <w:t>sample</w:t>
      </w:r>
      <w:r>
        <w:rPr>
          <w:spacing w:val="70"/>
        </w:rPr>
        <w:t> </w:t>
      </w:r>
      <w:r>
        <w:rPr/>
        <w:t>of</w:t>
      </w:r>
      <w:r>
        <w:rPr>
          <w:spacing w:val="68"/>
        </w:rPr>
        <w:t> </w:t>
      </w:r>
      <w:r>
        <w:rPr/>
        <w:t>2ml</w:t>
      </w:r>
      <w:r>
        <w:rPr>
          <w:spacing w:val="70"/>
        </w:rPr>
        <w:t> </w:t>
      </w:r>
      <w:r>
        <w:rPr/>
        <w:t>was</w:t>
      </w:r>
      <w:r>
        <w:rPr>
          <w:spacing w:val="73"/>
        </w:rPr>
        <w:t> </w:t>
      </w:r>
      <w:r>
        <w:rPr>
          <w:spacing w:val="10"/>
        </w:rPr>
        <w:t>aseptically</w:t>
      </w:r>
      <w:r>
        <w:rPr>
          <w:spacing w:val="70"/>
        </w:rPr>
        <w:t> </w:t>
      </w:r>
      <w:r>
        <w:rPr>
          <w:spacing w:val="9"/>
        </w:rPr>
        <w:t>collected</w:t>
      </w:r>
      <w:r>
        <w:rPr>
          <w:spacing w:val="74"/>
        </w:rPr>
        <w:t> </w:t>
      </w:r>
      <w:r>
        <w:rPr/>
        <w:t>from</w:t>
      </w:r>
      <w:r>
        <w:rPr>
          <w:spacing w:val="72"/>
        </w:rPr>
        <w:t> </w:t>
      </w:r>
      <w:r>
        <w:rPr>
          <w:spacing w:val="9"/>
        </w:rPr>
        <w:t>subjects</w:t>
      </w:r>
      <w:r>
        <w:rPr>
          <w:spacing w:val="72"/>
        </w:rPr>
        <w:t> </w:t>
      </w:r>
      <w:r>
        <w:rPr>
          <w:spacing w:val="9"/>
        </w:rPr>
        <w:t>using</w:t>
      </w:r>
      <w:r>
        <w:rPr>
          <w:spacing w:val="68"/>
        </w:rPr>
        <w:t> </w:t>
      </w:r>
      <w:r>
        <w:rPr/>
        <w:t>a</w:t>
      </w:r>
      <w:r>
        <w:rPr>
          <w:spacing w:val="70"/>
        </w:rPr>
        <w:t> </w:t>
      </w:r>
      <w:r>
        <w:rPr>
          <w:spacing w:val="10"/>
        </w:rPr>
        <w:t>disposable</w:t>
      </w:r>
      <w:r>
        <w:rPr>
          <w:spacing w:val="69"/>
        </w:rPr>
        <w:t> </w:t>
      </w:r>
      <w:r>
        <w:rPr>
          <w:spacing w:val="9"/>
        </w:rPr>
        <w:t>sterile</w:t>
      </w:r>
      <w:r>
        <w:rPr>
          <w:spacing w:val="74"/>
        </w:rPr>
        <w:t> </w:t>
      </w:r>
      <w:r>
        <w:rPr>
          <w:spacing w:val="9"/>
        </w:rPr>
        <w:t>needle</w:t>
      </w:r>
    </w:p>
    <w:p>
      <w:pPr>
        <w:spacing w:after="0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5"/>
        <w:jc w:val="both"/>
      </w:pPr>
      <w:r>
        <w:rPr/>
        <w:t>and</w:t>
      </w:r>
      <w:r>
        <w:rPr>
          <w:spacing w:val="1"/>
        </w:rPr>
        <w:t> </w:t>
      </w:r>
      <w:r>
        <w:rPr>
          <w:spacing w:val="9"/>
        </w:rPr>
        <w:t>syringe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10"/>
        </w:rPr>
        <w:t>tourniquet </w:t>
      </w:r>
      <w:r>
        <w:rPr>
          <w:spacing w:val="9"/>
        </w:rPr>
        <w:t>through </w:t>
      </w:r>
      <w:r>
        <w:rPr>
          <w:spacing w:val="10"/>
        </w:rPr>
        <w:t>venipuncture </w:t>
      </w:r>
      <w:r>
        <w:rPr/>
        <w:t>in</w:t>
      </w:r>
      <w:r>
        <w:rPr>
          <w:spacing w:val="60"/>
        </w:rPr>
        <w:t> </w:t>
      </w:r>
      <w:r>
        <w:rPr/>
        <w:t>line</w:t>
      </w:r>
      <w:r>
        <w:rPr>
          <w:spacing w:val="60"/>
        </w:rPr>
        <w:t> </w:t>
      </w:r>
      <w:r>
        <w:rPr/>
        <w:t>with the</w:t>
      </w:r>
      <w:r>
        <w:rPr>
          <w:spacing w:val="60"/>
        </w:rPr>
        <w:t> </w:t>
      </w:r>
      <w:r>
        <w:rPr>
          <w:spacing w:val="9"/>
        </w:rPr>
        <w:t>method described </w:t>
      </w:r>
      <w:r>
        <w:rPr/>
        <w:t>by</w:t>
      </w:r>
      <w:r>
        <w:rPr>
          <w:spacing w:val="1"/>
        </w:rPr>
        <w:t> </w:t>
      </w:r>
      <w:r>
        <w:rPr/>
        <w:t>World Health Organization guidelines in the diagnosis and treatment of malaria. After which blood</w:t>
      </w:r>
      <w:r>
        <w:rPr>
          <w:spacing w:val="1"/>
        </w:rPr>
        <w:t> </w:t>
      </w:r>
      <w:r>
        <w:rPr/>
        <w:t>sample was transferred from the syringe into the labeled EDTA container to prevent clotting of 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transported</w:t>
      </w:r>
      <w:r>
        <w:rPr>
          <w:spacing w:val="1"/>
        </w:rPr>
        <w:t> </w:t>
      </w:r>
      <w:r>
        <w:rPr/>
        <w:t>aseptically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Biotechnology, Federal University of Technology, Minna, for analysis. </w:t>
      </w:r>
      <w:r>
        <w:rPr>
          <w:spacing w:val="10"/>
        </w:rPr>
        <w:t>Information </w:t>
      </w:r>
      <w:r>
        <w:rPr>
          <w:spacing w:val="9"/>
        </w:rPr>
        <w:t>contained 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10"/>
        </w:rPr>
        <w:t>questionnaire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>
          <w:spacing w:val="9"/>
        </w:rPr>
        <w:t>presented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>
          <w:spacing w:val="9"/>
        </w:rPr>
        <w:t>Appendix</w:t>
      </w:r>
      <w:r>
        <w:rPr>
          <w:spacing w:val="29"/>
        </w:rPr>
        <w:t> </w:t>
      </w:r>
      <w:r>
        <w:rPr/>
        <w:t>I.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1"/>
          <w:numId w:val="11"/>
        </w:numPr>
        <w:tabs>
          <w:tab w:pos="1712" w:val="left" w:leader="none"/>
        </w:tabs>
        <w:spacing w:line="240" w:lineRule="auto" w:before="1" w:after="0"/>
        <w:ind w:left="1711" w:right="0" w:hanging="721"/>
        <w:jc w:val="both"/>
      </w:pPr>
      <w:r>
        <w:rPr/>
        <w:t>Sample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1"/>
        </w:numPr>
        <w:tabs>
          <w:tab w:pos="1712" w:val="left" w:leader="none"/>
        </w:tabs>
        <w:spacing w:line="240" w:lineRule="auto" w:before="176" w:after="0"/>
        <w:ind w:left="1711" w:right="0" w:hanging="721"/>
        <w:jc w:val="both"/>
        <w:rPr>
          <w:b/>
          <w:sz w:val="24"/>
        </w:rPr>
      </w:pPr>
      <w:r>
        <w:rPr>
          <w:b/>
          <w:sz w:val="24"/>
        </w:rPr>
        <w:t>Rapid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diagnostic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(RDTs)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991" w:right="1253"/>
        <w:jc w:val="both"/>
      </w:pPr>
      <w:r>
        <w:rPr/>
        <w:t>The method used in this survey for the detection of malarial parasite was Rapid Diagnostic Test</w:t>
      </w:r>
      <w:r>
        <w:rPr>
          <w:spacing w:val="1"/>
        </w:rPr>
        <w:t> </w:t>
      </w:r>
      <w:r>
        <w:rPr/>
        <w:t>(RDT).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cassette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SD,</w:t>
      </w:r>
      <w:r>
        <w:rPr>
          <w:spacing w:val="1"/>
        </w:rPr>
        <w:t> </w:t>
      </w:r>
      <w:r>
        <w:rPr/>
        <w:t>manufactured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Diagnostics</w:t>
      </w:r>
      <w:r>
        <w:rPr>
          <w:spacing w:val="1"/>
        </w:rPr>
        <w:t> </w:t>
      </w:r>
      <w:r>
        <w:rPr/>
        <w:t>Incoorporated,</w:t>
      </w:r>
      <w:r>
        <w:rPr>
          <w:spacing w:val="1"/>
        </w:rPr>
        <w:t> </w:t>
      </w:r>
      <w:r>
        <w:rPr/>
        <w:t>65,</w:t>
      </w:r>
      <w:r>
        <w:rPr>
          <w:spacing w:val="1"/>
        </w:rPr>
        <w:t> </w:t>
      </w:r>
      <w:r>
        <w:rPr/>
        <w:t>Borahagal-ro, Giheung-do, Republic of Korea. After the overall prevalence was obtained from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SD</w:t>
      </w:r>
      <w:r>
        <w:rPr>
          <w:spacing w:val="1"/>
        </w:rPr>
        <w:t> </w:t>
      </w:r>
      <w:r>
        <w:rPr/>
        <w:t>RDT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samples,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bioline</w:t>
      </w:r>
      <w:r>
        <w:rPr>
          <w:spacing w:val="1"/>
        </w:rPr>
        <w:t> </w:t>
      </w:r>
      <w:r>
        <w:rPr/>
        <w:t>RDT</w:t>
      </w:r>
      <w:r>
        <w:rPr>
          <w:spacing w:val="1"/>
        </w:rPr>
        <w:t> </w:t>
      </w:r>
      <w:r>
        <w:rPr/>
        <w:t>cassette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 using about 5 % of the total sample size.</w:t>
      </w:r>
      <w:r>
        <w:rPr>
          <w:spacing w:val="1"/>
        </w:rPr>
        <w:t> </w:t>
      </w:r>
      <w:r>
        <w:rPr/>
        <w:t>The 5 % were tested first using microscopy to</w:t>
      </w:r>
      <w:r>
        <w:rPr>
          <w:spacing w:val="1"/>
        </w:rPr>
        <w:t> </w:t>
      </w:r>
      <w:r>
        <w:rPr/>
        <w:t>detect the presence of malarial parasite after which the samples were tested using SD RDT cassette to</w:t>
      </w:r>
      <w:r>
        <w:rPr>
          <w:spacing w:val="-57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 sensitivity.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1"/>
        <w:ind w:left="991" w:right="1273"/>
        <w:jc w:val="both"/>
      </w:pPr>
      <w:r>
        <w:rPr/>
        <w:t>Thick and thin blood films as described by Cheesbrough (2009) were made from</w:t>
      </w:r>
      <w:r>
        <w:rPr>
          <w:spacing w:val="1"/>
        </w:rPr>
        <w:t> </w:t>
      </w:r>
      <w:r>
        <w:rPr/>
        <w:t>the fresh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>
          <w:spacing w:val="9"/>
        </w:rPr>
        <w:t>samples</w:t>
      </w:r>
      <w:r>
        <w:rPr>
          <w:spacing w:val="25"/>
        </w:rPr>
        <w:t> </w:t>
      </w:r>
      <w:r>
        <w:rPr/>
        <w:t>on clean</w:t>
      </w:r>
      <w:r>
        <w:rPr>
          <w:spacing w:val="2"/>
        </w:rPr>
        <w:t> </w:t>
      </w:r>
      <w:r>
        <w:rPr/>
        <w:t>grease</w:t>
      </w:r>
      <w:r>
        <w:rPr>
          <w:spacing w:val="1"/>
        </w:rPr>
        <w:t> </w:t>
      </w:r>
      <w:r>
        <w:rPr/>
        <w:t>free slides</w:t>
      </w:r>
      <w:r>
        <w:rPr>
          <w:spacing w:val="1"/>
        </w:rPr>
        <w:t> </w:t>
      </w:r>
      <w:r>
        <w:rPr/>
        <w:t>and labeled</w:t>
      </w:r>
      <w:r>
        <w:rPr>
          <w:spacing w:val="2"/>
        </w:rPr>
        <w:t> </w:t>
      </w:r>
      <w:r>
        <w:rPr/>
        <w:t>accordingly</w:t>
      </w:r>
      <w:r>
        <w:rPr>
          <w:spacing w:val="-5"/>
        </w:rPr>
        <w:t> </w:t>
      </w:r>
      <w:r>
        <w:rPr/>
        <w:t>as recommended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WHO</w:t>
      </w:r>
      <w:r>
        <w:rPr>
          <w:spacing w:val="1"/>
        </w:rPr>
        <w:t> </w:t>
      </w:r>
      <w:r>
        <w:rPr/>
        <w:t>(2015).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91" w:right="1254"/>
        <w:jc w:val="both"/>
      </w:pPr>
      <w:r>
        <w:rPr/>
        <w:t>In preparing the thick film, two drops of blood was dropped on a completely clean grease-free</w:t>
      </w:r>
      <w:r>
        <w:rPr>
          <w:spacing w:val="1"/>
        </w:rPr>
        <w:t> </w:t>
      </w:r>
      <w:r>
        <w:rPr/>
        <w:t>microscope slide using a small</w:t>
      </w:r>
      <w:r>
        <w:rPr>
          <w:spacing w:val="1"/>
        </w:rPr>
        <w:t> </w:t>
      </w:r>
      <w:r>
        <w:rPr/>
        <w:t>sterile Pasteur pipette. Without delay, the</w:t>
      </w:r>
      <w:r>
        <w:rPr>
          <w:spacing w:val="1"/>
        </w:rPr>
        <w:t> </w:t>
      </w:r>
      <w:r>
        <w:rPr/>
        <w:t>blood was then</w:t>
      </w:r>
      <w:r>
        <w:rPr>
          <w:spacing w:val="60"/>
        </w:rPr>
        <w:t> </w:t>
      </w:r>
      <w:r>
        <w:rPr/>
        <w:t>spread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slide</w:t>
      </w:r>
      <w:r>
        <w:rPr>
          <w:spacing w:val="-1"/>
        </w:rPr>
        <w:t> </w:t>
      </w:r>
      <w:r>
        <w:rPr/>
        <w:t>in a circular pattern to cover evenly</w:t>
      </w:r>
      <w:r>
        <w:rPr>
          <w:spacing w:val="-3"/>
        </w:rPr>
        <w:t> </w:t>
      </w:r>
      <w:r>
        <w:rPr/>
        <w:t>an area</w:t>
      </w:r>
      <w:r>
        <w:rPr>
          <w:spacing w:val="-1"/>
        </w:rPr>
        <w:t> </w:t>
      </w:r>
      <w:r>
        <w:rPr/>
        <w:t>of about 1-2 cm in diameter.</w:t>
      </w:r>
      <w:r>
        <w:rPr>
          <w:spacing w:val="59"/>
        </w:rPr>
        <w:t> </w:t>
      </w:r>
      <w:r>
        <w:rPr/>
        <w:t>The</w:t>
      </w:r>
      <w:r>
        <w:rPr>
          <w:spacing w:val="-1"/>
        </w:rPr>
        <w:t> </w:t>
      </w:r>
      <w:r>
        <w:rPr/>
        <w:t>slide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5"/>
        <w:jc w:val="both"/>
      </w:pPr>
      <w:r>
        <w:rPr/>
        <w:t>was labeled accordingly with the patient’s information provided at the point of sample collection. The</w:t>
      </w:r>
      <w:r>
        <w:rPr>
          <w:spacing w:val="-57"/>
        </w:rPr>
        <w:t> </w:t>
      </w:r>
      <w:r>
        <w:rPr/>
        <w:t>smear was allowed to air-dry thoroughly with the slide in a horizontal position and placed in a safe</w:t>
      </w:r>
      <w:r>
        <w:rPr>
          <w:spacing w:val="1"/>
        </w:rPr>
        <w:t> </w:t>
      </w:r>
      <w:r>
        <w:rPr/>
        <w:t>place.</w:t>
      </w:r>
      <w:r>
        <w:rPr>
          <w:spacing w:val="60"/>
        </w:rPr>
        <w:t> </w:t>
      </w:r>
      <w:r>
        <w:rPr/>
        <w:t>After the smear was flooded with 3 % Giemsa staining solution for 30 minute in a staining</w:t>
      </w:r>
      <w:r>
        <w:rPr>
          <w:spacing w:val="1"/>
        </w:rPr>
        <w:t> </w:t>
      </w:r>
      <w:r>
        <w:rPr/>
        <w:t>rack, then washed with clean water. The back of the slide was then wiped clean, stained smear was air</w:t>
      </w:r>
      <w:r>
        <w:rPr>
          <w:spacing w:val="-57"/>
        </w:rPr>
        <w:t> </w:t>
      </w:r>
      <w:r>
        <w:rPr/>
        <w:t>dried and then viewed under the oil immersion objective for the determination of the infective stages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 parasite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erythrocytes.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91" w:right="1252"/>
        <w:jc w:val="both"/>
      </w:pPr>
      <w:r>
        <w:rPr/>
        <w:t>For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thin</w:t>
      </w:r>
      <w:r>
        <w:rPr>
          <w:spacing w:val="33"/>
        </w:rPr>
        <w:t> </w:t>
      </w:r>
      <w:r>
        <w:rPr/>
        <w:t>film,</w:t>
      </w:r>
      <w:r>
        <w:rPr>
          <w:spacing w:val="34"/>
        </w:rPr>
        <w:t> </w:t>
      </w:r>
      <w:r>
        <w:rPr/>
        <w:t>with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use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sterile</w:t>
      </w:r>
      <w:r>
        <w:rPr>
          <w:spacing w:val="33"/>
        </w:rPr>
        <w:t> </w:t>
      </w:r>
      <w:r>
        <w:rPr/>
        <w:t>Pasteur</w:t>
      </w:r>
      <w:r>
        <w:rPr>
          <w:spacing w:val="33"/>
        </w:rPr>
        <w:t> </w:t>
      </w:r>
      <w:r>
        <w:rPr/>
        <w:t>pipette,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single</w:t>
      </w:r>
      <w:r>
        <w:rPr>
          <w:spacing w:val="32"/>
        </w:rPr>
        <w:t> </w:t>
      </w:r>
      <w:r>
        <w:rPr/>
        <w:t>drop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blood</w:t>
      </w:r>
      <w:r>
        <w:rPr>
          <w:spacing w:val="32"/>
        </w:rPr>
        <w:t> </w:t>
      </w:r>
      <w:r>
        <w:rPr/>
        <w:t>was</w:t>
      </w:r>
      <w:r>
        <w:rPr>
          <w:spacing w:val="33"/>
        </w:rPr>
        <w:t> </w:t>
      </w:r>
      <w:r>
        <w:rPr/>
        <w:t>placed</w:t>
      </w:r>
      <w:r>
        <w:rPr>
          <w:spacing w:val="33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-57"/>
        </w:rPr>
        <w:t> </w:t>
      </w:r>
      <w:r>
        <w:rPr/>
        <w:t>center of a completely clean microscope slide. Using a smooth edged slide spreader the blood was</w:t>
      </w:r>
      <w:r>
        <w:rPr>
          <w:spacing w:val="1"/>
        </w:rPr>
        <w:t> </w:t>
      </w:r>
      <w:r>
        <w:rPr/>
        <w:t>immediately spread, then allowed to air-dry with the slide in a horizontal position and in a safe place.</w:t>
      </w:r>
      <w:r>
        <w:rPr>
          <w:spacing w:val="1"/>
        </w:rPr>
        <w:t> </w:t>
      </w:r>
      <w:r>
        <w:rPr/>
        <w:t>Absolute methanol (methyl alcohol) was used to fix the thin blood film, putting into considerations</w:t>
      </w:r>
      <w:r>
        <w:rPr>
          <w:spacing w:val="1"/>
        </w:rPr>
        <w:t> </w:t>
      </w:r>
      <w:r>
        <w:rPr/>
        <w:t>that the alcohol was completely free from water to properly fix the cells. The thin film was allowed to</w:t>
      </w:r>
      <w:r>
        <w:rPr>
          <w:spacing w:val="-57"/>
        </w:rPr>
        <w:t> </w:t>
      </w:r>
      <w:r>
        <w:rPr/>
        <w:t>fix for 2 minutes (Cheesbrough </w:t>
      </w:r>
      <w:r>
        <w:rPr>
          <w:i/>
        </w:rPr>
        <w:t>et al</w:t>
      </w:r>
      <w:r>
        <w:rPr/>
        <w:t>., 2009). The slides were labeled accordingly with the patient’s</w:t>
      </w:r>
      <w:r>
        <w:rPr>
          <w:spacing w:val="1"/>
        </w:rPr>
        <w:t> </w:t>
      </w:r>
      <w:r>
        <w:rPr/>
        <w:t>information provided at the point of sample collection. The smear was allowed to air-dry thoroughly</w:t>
      </w:r>
      <w:r>
        <w:rPr>
          <w:spacing w:val="1"/>
        </w:rPr>
        <w:t> </w:t>
      </w:r>
      <w:r>
        <w:rPr/>
        <w:t>with the slide in a horizontal position and placed in a safe place.</w:t>
      </w:r>
      <w:r>
        <w:rPr>
          <w:spacing w:val="1"/>
        </w:rPr>
        <w:t> </w:t>
      </w:r>
      <w:r>
        <w:rPr/>
        <w:t>After which the smear was flooded</w:t>
      </w:r>
      <w:r>
        <w:rPr>
          <w:spacing w:val="1"/>
        </w:rPr>
        <w:t> </w:t>
      </w:r>
      <w:r>
        <w:rPr/>
        <w:t>with 3% Giemsa staining solution for 30 minute in a staining rack, then washed with clean water. The</w:t>
      </w:r>
      <w:r>
        <w:rPr>
          <w:spacing w:val="-57"/>
        </w:rPr>
        <w:t> </w:t>
      </w:r>
      <w:r>
        <w:rPr/>
        <w:t>back of the slide was then wiped clean, stained smear was air dried and then viewed under the oil</w:t>
      </w:r>
      <w:r>
        <w:rPr>
          <w:spacing w:val="1"/>
        </w:rPr>
        <w:t> </w:t>
      </w:r>
      <w:r>
        <w:rPr/>
        <w:t>immersion objective </w:t>
      </w:r>
      <w:r>
        <w:rPr>
          <w:spacing w:val="11"/>
        </w:rPr>
        <w:t>(Cheesbrough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  <w:spacing w:val="10"/>
        </w:rPr>
        <w:t>al</w:t>
      </w:r>
      <w:r>
        <w:rPr>
          <w:spacing w:val="10"/>
        </w:rPr>
        <w:t>.,</w:t>
      </w:r>
      <w:r>
        <w:rPr>
          <w:spacing w:val="11"/>
        </w:rPr>
        <w:t> 2009).</w:t>
      </w:r>
      <w:r>
        <w:rPr>
          <w:spacing w:val="12"/>
        </w:rPr>
        <w:t> </w:t>
      </w:r>
      <w:r>
        <w:rPr>
          <w:spacing w:val="11"/>
        </w:rPr>
        <w:t>Positive</w:t>
      </w:r>
      <w:r>
        <w:rPr>
          <w:spacing w:val="12"/>
        </w:rPr>
        <w:t> </w:t>
      </w:r>
      <w:r>
        <w:rPr>
          <w:spacing w:val="11"/>
        </w:rPr>
        <w:t>samples</w:t>
      </w:r>
      <w:r>
        <w:rPr>
          <w:spacing w:val="12"/>
        </w:rPr>
        <w:t> </w:t>
      </w:r>
      <w:r>
        <w:rPr>
          <w:spacing w:val="10"/>
        </w:rPr>
        <w:t>show</w:t>
      </w:r>
      <w:r>
        <w:rPr>
          <w:spacing w:val="11"/>
        </w:rPr>
        <w:t> either</w:t>
      </w:r>
      <w:r>
        <w:rPr>
          <w:spacing w:val="1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11"/>
        </w:rPr>
        <w:t>these;</w:t>
      </w:r>
      <w:r>
        <w:rPr>
          <w:spacing w:val="12"/>
        </w:rPr>
        <w:t> trophozoite, schizont </w:t>
      </w:r>
      <w:r>
        <w:rPr/>
        <w:t>or</w:t>
      </w:r>
      <w:r>
        <w:rPr>
          <w:spacing w:val="1"/>
        </w:rPr>
        <w:t> </w:t>
      </w:r>
      <w:r>
        <w:rPr>
          <w:spacing w:val="9"/>
        </w:rPr>
        <w:t>the </w:t>
      </w:r>
      <w:r>
        <w:rPr>
          <w:spacing w:val="11"/>
        </w:rPr>
        <w:t>gametocyte stages </w:t>
      </w:r>
      <w:r>
        <w:rPr/>
        <w:t>of</w:t>
      </w:r>
      <w:r>
        <w:rPr>
          <w:spacing w:val="60"/>
        </w:rPr>
        <w:t> </w:t>
      </w:r>
      <w:r>
        <w:rPr>
          <w:spacing w:val="9"/>
        </w:rPr>
        <w:t>the </w:t>
      </w:r>
      <w:r>
        <w:rPr>
          <w:spacing w:val="11"/>
        </w:rPr>
        <w:t>parasite </w:t>
      </w:r>
      <w:r>
        <w:rPr/>
        <w:t>in</w:t>
      </w:r>
      <w:r>
        <w:rPr>
          <w:spacing w:val="60"/>
        </w:rPr>
        <w:t> </w:t>
      </w:r>
      <w:r>
        <w:rPr>
          <w:spacing w:val="9"/>
        </w:rPr>
        <w:t>the </w:t>
      </w:r>
      <w:r>
        <w:rPr>
          <w:spacing w:val="12"/>
        </w:rPr>
        <w:t>erythrocytes </w:t>
      </w:r>
      <w:r>
        <w:rPr/>
        <w:t>in</w:t>
      </w:r>
      <w:r>
        <w:rPr>
          <w:spacing w:val="60"/>
        </w:rPr>
        <w:t> </w:t>
      </w:r>
      <w:r>
        <w:rPr>
          <w:spacing w:val="9"/>
        </w:rPr>
        <w:t>the</w:t>
      </w:r>
      <w:r>
        <w:rPr>
          <w:spacing w:val="10"/>
        </w:rPr>
        <w:t> field</w:t>
      </w:r>
      <w:r>
        <w:rPr>
          <w:spacing w:val="33"/>
        </w:rPr>
        <w:t> </w:t>
      </w:r>
      <w:r>
        <w:rPr>
          <w:spacing w:val="12"/>
        </w:rPr>
        <w:t>depending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>
          <w:spacing w:val="12"/>
        </w:rPr>
        <w:t>duration</w:t>
      </w:r>
      <w:r>
        <w:rPr>
          <w:spacing w:val="31"/>
        </w:rPr>
        <w:t> </w:t>
      </w:r>
      <w:r>
        <w:rPr/>
        <w:t>of</w:t>
      </w:r>
      <w:r>
        <w:rPr>
          <w:spacing w:val="28"/>
        </w:rPr>
        <w:t> </w:t>
      </w:r>
      <w:r>
        <w:rPr>
          <w:spacing w:val="11"/>
        </w:rPr>
        <w:t>infection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>
          <w:spacing w:val="11"/>
        </w:rPr>
        <w:t>disease</w:t>
      </w:r>
      <w:r>
        <w:rPr>
          <w:spacing w:val="30"/>
        </w:rPr>
        <w:t> </w:t>
      </w:r>
      <w:r>
        <w:rPr>
          <w:spacing w:val="12"/>
        </w:rPr>
        <w:t>establishment</w:t>
      </w:r>
      <w:r>
        <w:rPr>
          <w:spacing w:val="-27"/>
        </w:rPr>
        <w:t> </w:t>
      </w:r>
      <w:r>
        <w:rPr/>
        <w:t>.</w:t>
      </w:r>
    </w:p>
    <w:p>
      <w:pPr>
        <w:pStyle w:val="BodyText"/>
        <w:spacing w:line="480" w:lineRule="auto" w:before="201"/>
        <w:ind w:left="991" w:right="1254"/>
        <w:jc w:val="both"/>
      </w:pPr>
      <w:r>
        <w:rPr/>
        <w:t>About 6 % (32) of the total sample was randomly selected to test sensitivity of the SD RDT used. Out</w:t>
      </w:r>
      <w:r>
        <w:rPr>
          <w:spacing w:val="-57"/>
        </w:rPr>
        <w:t> </w:t>
      </w:r>
      <w:r>
        <w:rPr/>
        <w:t>of the 32 samples tested by both microscopy and RDT, 10 negative by microscopy were also seen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SD RDT</w:t>
      </w:r>
      <w:r>
        <w:rPr>
          <w:spacing w:val="1"/>
        </w:rPr>
        <w:t> </w:t>
      </w:r>
      <w:r>
        <w:rPr/>
        <w:t>cassette and the</w:t>
      </w:r>
      <w:r>
        <w:rPr>
          <w:spacing w:val="-1"/>
        </w:rPr>
        <w:t> </w:t>
      </w:r>
      <w:r>
        <w:rPr/>
        <w:t>10 samples that were</w:t>
      </w:r>
      <w:r>
        <w:rPr>
          <w:spacing w:val="-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for microscopy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2" w:lineRule="auto" w:before="72"/>
        <w:ind w:left="991" w:right="1253"/>
        <w:jc w:val="both"/>
      </w:pPr>
      <w:r>
        <w:rPr/>
        <w:t>also turned out positive for RDT. There by 95 % confidence level was assumed for the sensitivity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SD</w:t>
      </w:r>
      <w:r>
        <w:rPr>
          <w:spacing w:val="1"/>
        </w:rPr>
        <w:t> </w:t>
      </w:r>
      <w:r>
        <w:rPr/>
        <w:t>RDT</w:t>
      </w:r>
      <w:r>
        <w:rPr>
          <w:spacing w:val="1"/>
        </w:rPr>
        <w:t> </w:t>
      </w:r>
      <w:r>
        <w:rPr/>
        <w:t>cassette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malarial</w:t>
      </w:r>
      <w:r>
        <w:rPr>
          <w:spacing w:val="1"/>
        </w:rPr>
        <w:t> </w:t>
      </w:r>
      <w:r>
        <w:rPr/>
        <w:t>parasite.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 12</w:t>
      </w:r>
      <w:r>
        <w:rPr>
          <w:spacing w:val="1"/>
        </w:rPr>
        <w:t> </w:t>
      </w:r>
      <w:r>
        <w:rPr/>
        <w:t>were positive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microscopy</w:t>
      </w:r>
      <w:r>
        <w:rPr>
          <w:spacing w:val="-5"/>
        </w:rPr>
        <w:t> </w:t>
      </w:r>
      <w:r>
        <w:rPr/>
        <w:t>but turned out to be</w:t>
      </w:r>
      <w:r>
        <w:rPr>
          <w:spacing w:val="-1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RDT.</w:t>
      </w:r>
    </w:p>
    <w:p>
      <w:pPr>
        <w:pStyle w:val="BodyText"/>
        <w:spacing w:line="480" w:lineRule="auto" w:before="191"/>
        <w:ind w:left="991" w:right="1253"/>
        <w:jc w:val="both"/>
      </w:pPr>
      <w:r>
        <w:rPr/>
        <w:t>Although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venous</w:t>
      </w:r>
      <w:r>
        <w:rPr>
          <w:spacing w:val="11"/>
        </w:rPr>
        <w:t> </w:t>
      </w:r>
      <w:r>
        <w:rPr/>
        <w:t>blood</w:t>
      </w:r>
      <w:r>
        <w:rPr>
          <w:spacing w:val="10"/>
        </w:rPr>
        <w:t> </w:t>
      </w:r>
      <w:r>
        <w:rPr/>
        <w:t>smear</w:t>
      </w:r>
      <w:r>
        <w:rPr>
          <w:spacing w:val="10"/>
        </w:rPr>
        <w:t> </w:t>
      </w:r>
      <w:r>
        <w:rPr/>
        <w:t>examination</w:t>
      </w:r>
      <w:r>
        <w:rPr>
          <w:spacing w:val="9"/>
        </w:rPr>
        <w:t> </w:t>
      </w:r>
      <w:r>
        <w:rPr/>
        <w:t>that</w:t>
      </w:r>
      <w:r>
        <w:rPr>
          <w:spacing w:val="10"/>
        </w:rPr>
        <w:t> </w:t>
      </w:r>
      <w:r>
        <w:rPr/>
        <w:t>provides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most</w:t>
      </w:r>
      <w:r>
        <w:rPr>
          <w:spacing w:val="11"/>
        </w:rPr>
        <w:t> </w:t>
      </w:r>
      <w:r>
        <w:rPr/>
        <w:t>comprehensive</w:t>
      </w:r>
      <w:r>
        <w:rPr>
          <w:spacing w:val="9"/>
        </w:rPr>
        <w:t> </w:t>
      </w:r>
      <w:r>
        <w:rPr/>
        <w:t>information</w:t>
      </w:r>
      <w:r>
        <w:rPr>
          <w:spacing w:val="13"/>
        </w:rPr>
        <w:t> </w:t>
      </w:r>
      <w:r>
        <w:rPr/>
        <w:t>on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gold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immunochromatographic tests for the detection of malaria antigens, developed in the past decades,</w:t>
      </w:r>
      <w:r>
        <w:rPr>
          <w:spacing w:val="1"/>
        </w:rPr>
        <w:t> </w:t>
      </w:r>
      <w:r>
        <w:rPr/>
        <w:t>have opened a new and exciting avenue but not completely free of challenges of false positive and</w:t>
      </w:r>
      <w:r>
        <w:rPr>
          <w:spacing w:val="1"/>
        </w:rPr>
        <w:t> </w:t>
      </w:r>
      <w:r>
        <w:rPr/>
        <w:t>negative results in malarial diagnosis. Immuno-chromatographic tests are based on the capture of the</w:t>
      </w:r>
      <w:r>
        <w:rPr>
          <w:spacing w:val="1"/>
        </w:rPr>
        <w:t> </w:t>
      </w:r>
      <w:r>
        <w:rPr/>
        <w:t>parasite antigens from the peripheral blood using either monoclonal or polyclonal antibodies against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antigen targets</w:t>
      </w:r>
      <w:r>
        <w:rPr>
          <w:spacing w:val="2"/>
        </w:rPr>
        <w:t> </w:t>
      </w:r>
      <w:r>
        <w:rPr/>
        <w:t>(Ayogu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2016).</w:t>
      </w:r>
    </w:p>
    <w:p>
      <w:pPr>
        <w:pStyle w:val="BodyText"/>
        <w:spacing w:line="482" w:lineRule="auto" w:before="200"/>
        <w:ind w:left="991" w:right="1257"/>
        <w:jc w:val="both"/>
      </w:pPr>
      <w:r>
        <w:rPr/>
        <w:t>Currently, immunochromatographic tests can target the </w:t>
      </w:r>
      <w:r>
        <w:rPr>
          <w:i/>
        </w:rPr>
        <w:t>Plasmodium falciparum </w:t>
      </w:r>
      <w:r>
        <w:rPr/>
        <w:t>histidine-rich protein</w:t>
      </w:r>
      <w:r>
        <w:rPr>
          <w:spacing w:val="-57"/>
        </w:rPr>
        <w:t> </w:t>
      </w:r>
      <w:r>
        <w:rPr/>
        <w:t>2 (PfHRP2), a pan-malarial Plasmodium aldolase, and the parasite specific lactate dehydrogenase</w:t>
      </w:r>
      <w:r>
        <w:rPr>
          <w:spacing w:val="1"/>
        </w:rPr>
        <w:t> </w:t>
      </w:r>
      <w:r>
        <w:rPr/>
        <w:t>(Ayogu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2016).</w:t>
      </w:r>
    </w:p>
    <w:p>
      <w:pPr>
        <w:pStyle w:val="BodyText"/>
        <w:spacing w:line="480" w:lineRule="auto" w:before="194"/>
        <w:ind w:left="991" w:right="1253"/>
        <w:jc w:val="both"/>
      </w:pPr>
      <w:r>
        <w:rPr/>
        <w:t>The test procedure was carried out appropriately following the manufactures manual on the test</w:t>
      </w:r>
      <w:r>
        <w:rPr>
          <w:spacing w:val="1"/>
        </w:rPr>
        <w:t> </w:t>
      </w:r>
      <w:r>
        <w:rPr/>
        <w:t>standard diagnostic (SD)</w:t>
      </w:r>
      <w:r>
        <w:rPr>
          <w:spacing w:val="60"/>
        </w:rPr>
        <w:t> </w:t>
      </w:r>
      <w:r>
        <w:rPr/>
        <w:t>kit. Anti-coagulated blood sample was dropped at the point for sample on</w:t>
      </w:r>
      <w:r>
        <w:rPr>
          <w:spacing w:val="1"/>
        </w:rPr>
        <w:t> </w:t>
      </w:r>
      <w:r>
        <w:rPr/>
        <w:t>the RDT cassette, and then 3 drops of buffer were added to the blood on the test cassette.</w:t>
      </w:r>
      <w:r>
        <w:rPr>
          <w:spacing w:val="1"/>
        </w:rPr>
        <w:t> </w:t>
      </w:r>
      <w:r>
        <w:rPr/>
        <w:t>The labeled</w:t>
      </w:r>
      <w:r>
        <w:rPr>
          <w:spacing w:val="-57"/>
        </w:rPr>
        <w:t> </w:t>
      </w:r>
      <w:r>
        <w:rPr/>
        <w:t>antigen-antibody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migrates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cassette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capillary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test-specific</w:t>
      </w:r>
      <w:r>
        <w:rPr>
          <w:spacing w:val="-57"/>
        </w:rPr>
        <w:t> </w:t>
      </w:r>
      <w:r>
        <w:rPr/>
        <w:t>reagents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pre-deposited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manufacture.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capture</w:t>
      </w:r>
      <w:r>
        <w:rPr>
          <w:spacing w:val="1"/>
        </w:rPr>
        <w:t> </w:t>
      </w:r>
      <w:r>
        <w:rPr/>
        <w:t>antibody specific for the antigen under investigation (several lines are used if several antigens are</w:t>
      </w:r>
      <w:r>
        <w:rPr>
          <w:spacing w:val="1"/>
        </w:rPr>
        <w:t> </w:t>
      </w:r>
      <w:r>
        <w:rPr/>
        <w:t>being investigated) and (b) a procedural control line, with an antibody that will capture the labelled</w:t>
      </w:r>
      <w:r>
        <w:rPr>
          <w:spacing w:val="1"/>
        </w:rPr>
        <w:t> </w:t>
      </w:r>
      <w:r>
        <w:rPr/>
        <w:t>antibody.</w:t>
      </w:r>
      <w:r>
        <w:rPr>
          <w:spacing w:val="22"/>
        </w:rPr>
        <w:t> </w:t>
      </w:r>
      <w:r>
        <w:rPr/>
        <w:t>After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test</w:t>
      </w:r>
      <w:r>
        <w:rPr>
          <w:spacing w:val="11"/>
        </w:rPr>
        <w:t> </w:t>
      </w:r>
      <w:r>
        <w:rPr/>
        <w:t>strip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observed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visual</w:t>
      </w:r>
      <w:r>
        <w:rPr>
          <w:spacing w:val="11"/>
        </w:rPr>
        <w:t> </w:t>
      </w:r>
      <w:r>
        <w:rPr/>
        <w:t>coloured</w:t>
      </w:r>
      <w:r>
        <w:rPr>
          <w:spacing w:val="9"/>
        </w:rPr>
        <w:t> </w:t>
      </w:r>
      <w:r>
        <w:rPr/>
        <w:t>line(s)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test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control</w:t>
      </w:r>
      <w:r>
        <w:rPr>
          <w:spacing w:val="11"/>
        </w:rPr>
        <w:t> </w:t>
      </w:r>
      <w:r>
        <w:rPr/>
        <w:t>regions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2" w:lineRule="auto" w:before="72"/>
        <w:ind w:left="991" w:right="1254"/>
        <w:jc w:val="both"/>
      </w:pPr>
      <w:r>
        <w:rPr/>
        <w:t>of the test cassette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seen in figures 3 and</w:t>
      </w:r>
      <w:r>
        <w:rPr>
          <w:spacing w:val="1"/>
        </w:rPr>
        <w:t> </w:t>
      </w:r>
      <w:r>
        <w:rPr/>
        <w:t>4.</w:t>
      </w:r>
      <w:r>
        <w:rPr>
          <w:spacing w:val="1"/>
        </w:rPr>
        <w:t> </w:t>
      </w:r>
      <w:r>
        <w:rPr/>
        <w:t>The complete test run</w:t>
      </w:r>
      <w:r>
        <w:rPr>
          <w:spacing w:val="1"/>
        </w:rPr>
        <w:t> </w:t>
      </w:r>
      <w:r>
        <w:rPr/>
        <w:t>time varies</w:t>
      </w:r>
      <w:r>
        <w:rPr>
          <w:spacing w:val="1"/>
        </w:rPr>
        <w:t> </w:t>
      </w:r>
      <w:r>
        <w:rPr/>
        <w:t>from 10</w:t>
      </w:r>
      <w:r>
        <w:rPr>
          <w:spacing w:val="60"/>
        </w:rPr>
        <w:t> </w:t>
      </w:r>
      <w:r>
        <w:rPr/>
        <w:t>to 15</w:t>
      </w:r>
      <w:r>
        <w:rPr>
          <w:spacing w:val="1"/>
        </w:rPr>
        <w:t> </w:t>
      </w:r>
      <w:r>
        <w:rPr/>
        <w:t>minutes.</w:t>
      </w:r>
    </w:p>
    <w:p>
      <w:pPr>
        <w:pStyle w:val="Heading1"/>
        <w:numPr>
          <w:ilvl w:val="1"/>
          <w:numId w:val="11"/>
        </w:numPr>
        <w:tabs>
          <w:tab w:pos="1352" w:val="left" w:leader="none"/>
        </w:tabs>
        <w:spacing w:line="240" w:lineRule="auto" w:before="201" w:after="0"/>
        <w:ind w:left="1351" w:right="0" w:hanging="361"/>
        <w:jc w:val="both"/>
      </w:pPr>
      <w:r>
        <w:rPr/>
        <w:t>Haematological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991" w:right="1254"/>
        <w:jc w:val="both"/>
      </w:pPr>
      <w:r>
        <w:rPr/>
        <w:t>Haematological analysis was performed to determine the difference in haematological indices of</w:t>
      </w:r>
      <w:r>
        <w:rPr>
          <w:spacing w:val="1"/>
        </w:rPr>
        <w:t> </w:t>
      </w:r>
      <w:r>
        <w:rPr/>
        <w:t>healthy individual from that of infected subjects. Haematological analysis helps in the diagnosis 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in-turn</w:t>
      </w:r>
      <w:r>
        <w:rPr>
          <w:spacing w:val="1"/>
        </w:rPr>
        <w:t> </w:t>
      </w:r>
      <w:r>
        <w:rPr/>
        <w:t>facilitates</w:t>
      </w:r>
      <w:r>
        <w:rPr>
          <w:spacing w:val="1"/>
        </w:rPr>
        <w:t> </w:t>
      </w:r>
      <w:r>
        <w:rPr/>
        <w:t>prescription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treatment.</w:t>
      </w:r>
      <w:r>
        <w:rPr>
          <w:spacing w:val="-57"/>
        </w:rPr>
        <w:t> </w:t>
      </w:r>
      <w:r>
        <w:rPr/>
        <w:t>Haematological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Abacus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automated haematological analyzer at the General Hospital, Minna, Niger State. Two ml of blood in</w:t>
      </w:r>
      <w:r>
        <w:rPr>
          <w:spacing w:val="1"/>
        </w:rPr>
        <w:t> </w:t>
      </w:r>
      <w:r>
        <w:rPr/>
        <w:t>an EDTA container was placed on a mixer, after which the sample was transferred to the analyzer and</w:t>
      </w:r>
      <w:r>
        <w:rPr>
          <w:spacing w:val="-57"/>
        </w:rPr>
        <w:t> </w:t>
      </w:r>
      <w:r>
        <w:rPr/>
        <w:t>the machine switched on. About 50 microlitres of the sample was aspirated by the machine for the</w:t>
      </w:r>
      <w:r>
        <w:rPr>
          <w:spacing w:val="1"/>
        </w:rPr>
        <w:t> </w:t>
      </w:r>
      <w:r>
        <w:rPr/>
        <w:t>analysis. Results of the haematological parameters sought for were displayed on the screen. The time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15-20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haematological analysis include, pack cell volume, haemoglobin concentration, mean cell volume,</w:t>
      </w:r>
      <w:r>
        <w:rPr>
          <w:spacing w:val="1"/>
        </w:rPr>
        <w:t> </w:t>
      </w:r>
      <w:r>
        <w:rPr/>
        <w:t>total white blood count, mean cell</w:t>
      </w:r>
      <w:r>
        <w:rPr>
          <w:spacing w:val="1"/>
        </w:rPr>
        <w:t> </w:t>
      </w:r>
      <w:r>
        <w:rPr/>
        <w:t>haemoglobin,</w:t>
      </w:r>
      <w:r>
        <w:rPr>
          <w:spacing w:val="1"/>
        </w:rPr>
        <w:t> </w:t>
      </w:r>
      <w:r>
        <w:rPr/>
        <w:t>neutrophils, eosinophils, monocytes, basophils,</w:t>
      </w:r>
      <w:r>
        <w:rPr>
          <w:spacing w:val="1"/>
        </w:rPr>
        <w:t> </w:t>
      </w:r>
      <w:r>
        <w:rPr/>
        <w:t>platelet</w:t>
      </w:r>
      <w:r>
        <w:rPr>
          <w:spacing w:val="-1"/>
        </w:rPr>
        <w:t> </w:t>
      </w:r>
      <w:r>
        <w:rPr/>
        <w:t>count, red</w:t>
      </w:r>
      <w:r>
        <w:rPr>
          <w:spacing w:val="-1"/>
        </w:rPr>
        <w:t> </w:t>
      </w:r>
      <w:r>
        <w:rPr/>
        <w:t>blood</w:t>
      </w:r>
      <w:r>
        <w:rPr>
          <w:spacing w:val="2"/>
        </w:rPr>
        <w:t> </w:t>
      </w:r>
      <w:r>
        <w:rPr/>
        <w:t>cell</w:t>
      </w:r>
      <w:r>
        <w:rPr>
          <w:spacing w:val="-1"/>
        </w:rPr>
        <w:t> </w:t>
      </w:r>
      <w:r>
        <w:rPr/>
        <w:t>count, red</w:t>
      </w:r>
      <w:r>
        <w:rPr>
          <w:spacing w:val="1"/>
        </w:rPr>
        <w:t> </w:t>
      </w:r>
      <w:r>
        <w:rPr/>
        <w:t>cell distribution</w:t>
      </w:r>
      <w:r>
        <w:rPr>
          <w:spacing w:val="-1"/>
        </w:rPr>
        <w:t> </w:t>
      </w:r>
      <w:r>
        <w:rPr/>
        <w:t>rate, blood group</w:t>
      </w:r>
      <w:r>
        <w:rPr>
          <w:spacing w:val="-1"/>
        </w:rPr>
        <w:t> </w:t>
      </w:r>
      <w:r>
        <w:rPr/>
        <w:t>and genotype.</w:t>
      </w:r>
    </w:p>
    <w:p>
      <w:pPr>
        <w:pStyle w:val="Heading1"/>
        <w:numPr>
          <w:ilvl w:val="1"/>
          <w:numId w:val="11"/>
        </w:numPr>
        <w:tabs>
          <w:tab w:pos="1712" w:val="left" w:leader="none"/>
        </w:tabs>
        <w:spacing w:line="240" w:lineRule="auto" w:before="208" w:after="0"/>
        <w:ind w:left="1711" w:right="0" w:hanging="721"/>
        <w:jc w:val="both"/>
      </w:pP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91" w:right="1252"/>
        <w:jc w:val="both"/>
      </w:pPr>
      <w:r>
        <w:rPr/>
        <w:t>Data analysis was done using Statistical Package for Social Science (SPSS) version 21, IBM for</w:t>
      </w:r>
      <w:r>
        <w:rPr>
          <w:spacing w:val="1"/>
        </w:rPr>
        <w:t> </w:t>
      </w:r>
      <w:r>
        <w:rPr/>
        <w:t>windows. Differences and proportions were tested by Chi-square (χ</w:t>
      </w:r>
      <w:r>
        <w:rPr>
          <w:vertAlign w:val="superscript"/>
        </w:rPr>
        <w:t>2</w:t>
      </w:r>
      <w:r>
        <w:rPr>
          <w:vertAlign w:val="baseline"/>
        </w:rPr>
        <w:t>) tests and Kappa analysis 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 to show the level of agreement between the use of RDT and microscopy in the diagnosis of</w:t>
      </w:r>
      <w:r>
        <w:rPr>
          <w:spacing w:val="1"/>
          <w:vertAlign w:val="baseline"/>
        </w:rPr>
        <w:t> </w:t>
      </w:r>
      <w:r>
        <w:rPr>
          <w:vertAlign w:val="baseline"/>
        </w:rPr>
        <w:t>malarial</w:t>
      </w:r>
      <w:r>
        <w:rPr>
          <w:spacing w:val="-1"/>
          <w:vertAlign w:val="baseline"/>
        </w:rPr>
        <w:t> </w:t>
      </w:r>
      <w:r>
        <w:rPr>
          <w:vertAlign w:val="baseline"/>
        </w:rPr>
        <w:t>infection. Differences were considered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 at</w:t>
      </w:r>
      <w:r>
        <w:rPr>
          <w:spacing w:val="3"/>
          <w:vertAlign w:val="baseline"/>
        </w:rPr>
        <w:t> </w:t>
      </w:r>
      <w:r>
        <w:rPr>
          <w:vertAlign w:val="baseline"/>
        </w:rPr>
        <w:t>p &lt;</w:t>
      </w:r>
      <w:r>
        <w:rPr>
          <w:spacing w:val="-1"/>
          <w:vertAlign w:val="baseline"/>
        </w:rPr>
        <w:t> </w:t>
      </w:r>
      <w:r>
        <w:rPr>
          <w:vertAlign w:val="baseline"/>
        </w:rPr>
        <w:t>0.05.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ind w:left="1115" w:right="1381"/>
        <w:jc w:val="center"/>
      </w:pPr>
      <w:bookmarkStart w:name="_TOC_250009" w:id="38"/>
      <w:r>
        <w:rPr/>
        <w:t>CHAPTER</w:t>
      </w:r>
      <w:r>
        <w:rPr>
          <w:spacing w:val="-2"/>
        </w:rPr>
        <w:t> </w:t>
      </w:r>
      <w:bookmarkEnd w:id="38"/>
      <w:r>
        <w:rPr/>
        <w:t>FOUR</w:t>
      </w:r>
    </w:p>
    <w:p>
      <w:pPr>
        <w:pStyle w:val="BodyText"/>
        <w:rPr>
          <w:b/>
          <w:sz w:val="21"/>
        </w:rPr>
      </w:pPr>
    </w:p>
    <w:p>
      <w:pPr>
        <w:pStyle w:val="Heading1"/>
        <w:numPr>
          <w:ilvl w:val="1"/>
          <w:numId w:val="12"/>
        </w:numPr>
        <w:tabs>
          <w:tab w:pos="4172" w:val="left" w:leader="none"/>
          <w:tab w:pos="4173" w:val="left" w:leader="none"/>
        </w:tabs>
        <w:spacing w:line="240" w:lineRule="auto" w:before="1" w:after="0"/>
        <w:ind w:left="4172" w:right="0" w:hanging="3182"/>
        <w:jc w:val="left"/>
      </w:pPr>
      <w:bookmarkStart w:name="_TOC_250008" w:id="39"/>
      <w:r>
        <w:rPr/>
        <w:t>RESULTS AND</w:t>
      </w:r>
      <w:r>
        <w:rPr>
          <w:spacing w:val="-3"/>
        </w:rPr>
        <w:t> </w:t>
      </w:r>
      <w:bookmarkEnd w:id="39"/>
      <w:r>
        <w:rPr/>
        <w:t>DISCUSSION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2"/>
        </w:numPr>
        <w:tabs>
          <w:tab w:pos="1651" w:val="left" w:leader="none"/>
          <w:tab w:pos="1652" w:val="left" w:leader="none"/>
        </w:tabs>
        <w:spacing w:line="240" w:lineRule="auto" w:before="176" w:after="0"/>
        <w:ind w:left="1651" w:right="0" w:hanging="661"/>
        <w:jc w:val="left"/>
      </w:pPr>
      <w:bookmarkStart w:name="_TOC_250007" w:id="40"/>
      <w:bookmarkEnd w:id="40"/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2"/>
        </w:numPr>
        <w:tabs>
          <w:tab w:pos="1652" w:val="left" w:leader="none"/>
        </w:tabs>
        <w:spacing w:line="240" w:lineRule="auto" w:before="176" w:after="0"/>
        <w:ind w:left="1651" w:right="0" w:hanging="661"/>
        <w:jc w:val="left"/>
        <w:rPr>
          <w:b/>
          <w:sz w:val="24"/>
        </w:rPr>
      </w:pPr>
      <w:r>
        <w:rPr>
          <w:b/>
          <w:sz w:val="24"/>
        </w:rPr>
        <w:t>Sensitivity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pattern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rapid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diagnostic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detecting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malarial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parasites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991" w:right="1254"/>
        <w:jc w:val="both"/>
      </w:pPr>
      <w:r>
        <w:rPr/>
        <w:t>The results of sensitivity pattern of rapid diagnostic tests for detecting malarial parasites are shown in</w:t>
      </w:r>
      <w:r>
        <w:rPr>
          <w:spacing w:val="1"/>
        </w:rPr>
        <w:t> </w:t>
      </w:r>
      <w:r>
        <w:rPr/>
        <w:t>plate I - III. Out of the 32 confirmed results by microscopy, 10 that were negative by microscopy</w:t>
      </w:r>
      <w:r>
        <w:rPr>
          <w:spacing w:val="1"/>
        </w:rPr>
        <w:t> </w:t>
      </w:r>
      <w:r>
        <w:rPr/>
        <w:t>came out negative by RDT, another 10 that were positive by microscopy were also found to be</w:t>
      </w:r>
      <w:r>
        <w:rPr>
          <w:spacing w:val="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RDT.</w:t>
      </w:r>
    </w:p>
    <w:p>
      <w:pPr>
        <w:pStyle w:val="BodyText"/>
        <w:spacing w:line="480" w:lineRule="auto" w:before="200"/>
        <w:ind w:left="991" w:right="1253"/>
        <w:jc w:val="both"/>
      </w:pPr>
      <w:r>
        <w:rPr/>
        <w:t>The remaining 12 samples were reported as positive for malarial parasite by microscopy but turned</w:t>
      </w:r>
      <w:r>
        <w:rPr>
          <w:spacing w:val="1"/>
        </w:rPr>
        <w:t> </w:t>
      </w:r>
      <w:r>
        <w:rPr/>
        <w:t>out to be negative using the RDT. The results were not declared as false negative because blood films</w:t>
      </w:r>
      <w:r>
        <w:rPr>
          <w:spacing w:val="-57"/>
        </w:rPr>
        <w:t> </w:t>
      </w:r>
      <w:r>
        <w:rPr/>
        <w:t>were prepared from those 12 samples and they appeared positive when viewed again under the</w:t>
      </w:r>
      <w:r>
        <w:rPr>
          <w:spacing w:val="1"/>
        </w:rPr>
        <w:t> </w:t>
      </w:r>
      <w:r>
        <w:rPr/>
        <w:t>microscope. The result obtained from this standardization was subjected to Kappa analysis to check</w:t>
      </w:r>
      <w:r>
        <w:rPr>
          <w:spacing w:val="1"/>
        </w:rPr>
        <w:t> </w:t>
      </w:r>
      <w:r>
        <w:rPr/>
        <w:t>for level of agreement between the use of Microscopy and RDT in the diagnosis of malaria and the</w:t>
      </w:r>
      <w:r>
        <w:rPr>
          <w:spacing w:val="1"/>
        </w:rPr>
        <w:t> </w:t>
      </w:r>
      <w:r>
        <w:rPr/>
        <w:t>level of agreement was on a fair scale of (0.363) which was not an acceptable scale for a diagnostic</w:t>
      </w:r>
      <w:r>
        <w:rPr>
          <w:spacing w:val="1"/>
        </w:rPr>
        <w:t> </w:t>
      </w:r>
      <w:r>
        <w:rPr/>
        <w:t>purpose. Although, under some circumstances, some RDT can either produce false positive and false</w:t>
      </w:r>
      <w:r>
        <w:rPr>
          <w:spacing w:val="1"/>
        </w:rPr>
        <w:t> </w:t>
      </w:r>
      <w:r>
        <w:rPr/>
        <w:t>negative results and this could be attributed to the antibody coating in the RDT. Some are coated with</w:t>
      </w:r>
      <w:r>
        <w:rPr>
          <w:spacing w:val="-57"/>
        </w:rPr>
        <w:t> </w:t>
      </w:r>
      <w:r>
        <w:rPr/>
        <w:t>histidine rich protein II</w:t>
      </w:r>
      <w:r>
        <w:rPr>
          <w:spacing w:val="1"/>
        </w:rPr>
        <w:t> </w:t>
      </w:r>
      <w:r>
        <w:rPr/>
        <w:t>of </w:t>
      </w:r>
      <w:r>
        <w:rPr>
          <w:i/>
        </w:rPr>
        <w:t>Plasmodium fulciparum </w:t>
      </w:r>
      <w:r>
        <w:rPr/>
        <w:t>(PfHRPII) which is a major protein produced by</w:t>
      </w:r>
      <w:r>
        <w:rPr>
          <w:spacing w:val="1"/>
        </w:rPr>
        <w:t> </w:t>
      </w:r>
      <w:r>
        <w:rPr/>
        <w:t>plasmodium and which is what the kit detects while others are coated with Plasmodium aldolase and</w:t>
      </w:r>
      <w:r>
        <w:rPr>
          <w:spacing w:val="1"/>
        </w:rPr>
        <w:t> </w:t>
      </w:r>
      <w:r>
        <w:rPr/>
        <w:t>others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parasite</w:t>
      </w:r>
      <w:r>
        <w:rPr>
          <w:spacing w:val="19"/>
        </w:rPr>
        <w:t> </w:t>
      </w:r>
      <w:r>
        <w:rPr/>
        <w:t>lactate</w:t>
      </w:r>
      <w:r>
        <w:rPr>
          <w:spacing w:val="18"/>
        </w:rPr>
        <w:t> </w:t>
      </w:r>
      <w:r>
        <w:rPr/>
        <w:t>dehydrogenase</w:t>
      </w:r>
      <w:r>
        <w:rPr>
          <w:spacing w:val="19"/>
        </w:rPr>
        <w:t> </w:t>
      </w:r>
      <w:r>
        <w:rPr/>
        <w:t>(pLDH).</w:t>
      </w:r>
      <w:r>
        <w:rPr>
          <w:spacing w:val="20"/>
        </w:rPr>
        <w:t> </w:t>
      </w:r>
      <w:r>
        <w:rPr/>
        <w:t>Detailed</w:t>
      </w:r>
      <w:r>
        <w:rPr>
          <w:spacing w:val="19"/>
        </w:rPr>
        <w:t> </w:t>
      </w:r>
      <w:r>
        <w:rPr/>
        <w:t>table</w:t>
      </w:r>
      <w:r>
        <w:rPr>
          <w:spacing w:val="18"/>
        </w:rPr>
        <w:t> </w:t>
      </w:r>
      <w:r>
        <w:rPr/>
        <w:t>containing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statistical</w:t>
      </w:r>
      <w:r>
        <w:rPr>
          <w:spacing w:val="19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sensitivity</w:t>
      </w:r>
      <w:r>
        <w:rPr>
          <w:spacing w:val="-5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RDT</w:t>
      </w:r>
      <w:r>
        <w:rPr>
          <w:spacing w:val="-2"/>
        </w:rPr>
        <w:t> </w:t>
      </w:r>
      <w:r>
        <w:rPr/>
        <w:t>is presented in appendix</w:t>
      </w:r>
      <w:r>
        <w:rPr>
          <w:spacing w:val="4"/>
        </w:rPr>
        <w:t> </w:t>
      </w:r>
      <w:r>
        <w:rPr/>
        <w:t>III.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647700</wp:posOffset>
            </wp:positionH>
            <wp:positionV relativeFrom="page">
              <wp:posOffset>7307580</wp:posOffset>
            </wp:positionV>
            <wp:extent cx="2904744" cy="2104644"/>
            <wp:effectExtent l="0" t="0" r="0" b="0"/>
            <wp:wrapNone/>
            <wp:docPr id="5" name="image3.jpeg" descr="https://media3.picsearch.com/is?-Dvs5-b8OBKkAdChF3CePyy1NhQRMQgG9gsxonayOU8&amp;height=1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744" cy="210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tabs>
          <w:tab w:pos="6255" w:val="left" w:leader="none"/>
        </w:tabs>
        <w:spacing w:line="240" w:lineRule="auto"/>
        <w:ind w:left="10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14985" cy="2195703"/>
            <wp:effectExtent l="0" t="0" r="0" b="0"/>
            <wp:docPr id="7" name="image4.jpeg" descr="C:\Users\Ajanya\AppData\Local\Microsoft\Windows\Temporary Internet Files\Content.Word\IMG_20191212_103459 (2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985" cy="219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12"/>
          <w:sz w:val="20"/>
        </w:rPr>
        <w:pict>
          <v:shape style="width:140.25pt;height:93.7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70"/>
                    <w:ind w:left="145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  <w:u w:val="thick"/>
                    </w:rPr>
                    <w:t>Legend</w:t>
                  </w:r>
                </w:p>
                <w:p>
                  <w:pPr>
                    <w:pStyle w:val="BodyText"/>
                    <w:spacing w:before="4"/>
                    <w:rPr>
                      <w:b/>
                      <w:sz w:val="20"/>
                    </w:rPr>
                  </w:pPr>
                </w:p>
                <w:p>
                  <w:pPr>
                    <w:spacing w:line="278" w:lineRule="auto" w:before="0"/>
                    <w:ind w:left="145" w:right="138" w:firstLine="0"/>
                    <w:jc w:val="both"/>
                    <w:rPr>
                      <w:rFonts w:ascii="Calibri"/>
                      <w:sz w:val="22"/>
                    </w:rPr>
                  </w:pPr>
                  <w:r>
                    <w:rPr>
                      <w:sz w:val="22"/>
                    </w:rPr>
                    <w:t>Double red bands appearing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on the control region and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test region indicating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positive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result</w:t>
                  </w:r>
                  <w:r>
                    <w:rPr>
                      <w:rFonts w:ascii="Calibri"/>
                      <w:sz w:val="22"/>
                    </w:rPr>
                    <w:t>.</w:t>
                  </w:r>
                </w:p>
              </w:txbxContent>
            </v:textbox>
            <v:stroke dashstyle="solid"/>
          </v:shape>
        </w:pict>
      </w:r>
      <w:r>
        <w:rPr>
          <w:position w:val="112"/>
          <w:sz w:val="20"/>
        </w:rPr>
      </w:r>
    </w:p>
    <w:p>
      <w:pPr>
        <w:pStyle w:val="BodyText"/>
        <w:spacing w:line="264" w:lineRule="exact"/>
        <w:ind w:left="991"/>
        <w:rPr>
          <w:i/>
        </w:rPr>
      </w:pPr>
      <w:r>
        <w:rPr/>
        <w:t>Plate I: SD</w:t>
      </w:r>
      <w:r>
        <w:rPr>
          <w:spacing w:val="-1"/>
        </w:rPr>
        <w:t> </w:t>
      </w:r>
      <w:r>
        <w:rPr/>
        <w:t>RDT cassettes</w:t>
      </w:r>
      <w:r>
        <w:rPr>
          <w:spacing w:val="-1"/>
        </w:rPr>
        <w:t> </w:t>
      </w:r>
      <w:r>
        <w:rPr/>
        <w:t>showing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results for </w:t>
      </w:r>
      <w:r>
        <w:rPr>
          <w:i/>
        </w:rPr>
        <w:t>P. falciparum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571500</wp:posOffset>
            </wp:positionH>
            <wp:positionV relativeFrom="paragraph">
              <wp:posOffset>160214</wp:posOffset>
            </wp:positionV>
            <wp:extent cx="2973606" cy="2276094"/>
            <wp:effectExtent l="0" t="0" r="0" b="0"/>
            <wp:wrapTopAndBottom/>
            <wp:docPr id="9" name="image5.jpeg" descr="C:\Users\Ajanya\AppData\Local\Microsoft\Windows\Temporary Internet Files\Content.Word\IMG_20191212_10353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606" cy="227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2.75pt;margin-top:61.415276pt;width:130.5pt;height:88.5pt;mso-position-horizontal-relative:page;mso-position-vertical-relative:paragraph;z-index:-1572710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2"/>
                    <w:ind w:left="146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  <w:u w:val="thick"/>
                    </w:rPr>
                    <w:t>Legend</w:t>
                  </w:r>
                </w:p>
                <w:p>
                  <w:pPr>
                    <w:pStyle w:val="BodyText"/>
                    <w:spacing w:before="4"/>
                    <w:rPr>
                      <w:b/>
                      <w:sz w:val="20"/>
                    </w:rPr>
                  </w:pPr>
                </w:p>
                <w:p>
                  <w:pPr>
                    <w:spacing w:line="278" w:lineRule="auto" w:before="0"/>
                    <w:ind w:left="146" w:right="137" w:firstLine="0"/>
                    <w:jc w:val="both"/>
                    <w:rPr>
                      <w:rFonts w:ascii="Calibri"/>
                      <w:sz w:val="22"/>
                    </w:rPr>
                  </w:pPr>
                  <w:r>
                    <w:rPr>
                      <w:sz w:val="22"/>
                    </w:rPr>
                    <w:t>Single red band appearing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on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control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region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indicating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negative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result</w:t>
                  </w:r>
                  <w:r>
                    <w:rPr>
                      <w:rFonts w:ascii="Calibri"/>
                      <w:sz w:val="22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7"/>
        <w:ind w:left="991"/>
        <w:rPr>
          <w:i/>
        </w:rPr>
      </w:pPr>
      <w:r>
        <w:rPr/>
        <w:t>Plate II:</w:t>
      </w:r>
      <w:r>
        <w:rPr>
          <w:spacing w:val="-1"/>
        </w:rPr>
        <w:t> </w:t>
      </w:r>
      <w:r>
        <w:rPr/>
        <w:t>SD RDT cassettes</w:t>
      </w:r>
      <w:r>
        <w:rPr>
          <w:spacing w:val="-1"/>
        </w:rPr>
        <w:t> </w:t>
      </w:r>
      <w:r>
        <w:rPr/>
        <w:t>showing</w:t>
      </w:r>
      <w:r>
        <w:rPr>
          <w:spacing w:val="-2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-1"/>
        </w:rPr>
        <w:t> </w:t>
      </w:r>
      <w:r>
        <w:rPr>
          <w:i/>
        </w:rPr>
        <w:t>falciparum</w:t>
      </w:r>
    </w:p>
    <w:p>
      <w:pPr>
        <w:spacing w:after="0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</w:p>
    <w:p>
      <w:pPr>
        <w:pStyle w:val="BodyText"/>
        <w:ind w:right="7285"/>
        <w:jc w:val="right"/>
      </w:pPr>
      <w:r>
        <w:rPr/>
        <w:t>Plate III: Positive</w:t>
      </w:r>
      <w:r>
        <w:rPr>
          <w:spacing w:val="-1"/>
        </w:rPr>
        <w:t> </w:t>
      </w:r>
      <w:r>
        <w:rPr/>
        <w:t>result by</w:t>
      </w:r>
      <w:r>
        <w:rPr>
          <w:spacing w:val="-3"/>
        </w:rPr>
        <w:t> </w:t>
      </w:r>
      <w:r>
        <w:rPr/>
        <w:t>Microscopy</w:t>
      </w:r>
    </w:p>
    <w:p>
      <w:pPr>
        <w:pStyle w:val="BodyText"/>
        <w:spacing w:before="7"/>
        <w:rPr>
          <w:sz w:val="29"/>
        </w:rPr>
      </w:pPr>
    </w:p>
    <w:p>
      <w:pPr>
        <w:pStyle w:val="Heading1"/>
        <w:numPr>
          <w:ilvl w:val="2"/>
          <w:numId w:val="12"/>
        </w:numPr>
        <w:tabs>
          <w:tab w:pos="1652" w:val="left" w:leader="none"/>
        </w:tabs>
        <w:spacing w:line="240" w:lineRule="auto" w:before="0" w:after="0"/>
        <w:ind w:left="1651" w:right="0" w:hanging="661"/>
        <w:jc w:val="left"/>
      </w:pPr>
      <w:r>
        <w:rPr/>
        <w:t>Prevalence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malarial</w:t>
      </w:r>
      <w:r>
        <w:rPr>
          <w:spacing w:val="-1"/>
        </w:rPr>
        <w:t> </w:t>
      </w:r>
      <w:r>
        <w:rPr/>
        <w:t>parasites</w:t>
      </w:r>
      <w:r>
        <w:rPr>
          <w:spacing w:val="-1"/>
        </w:rPr>
        <w:t> </w:t>
      </w:r>
      <w:r>
        <w:rPr/>
        <w:t>in Bosso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Paikoro</w:t>
      </w:r>
      <w:r>
        <w:rPr>
          <w:spacing w:val="-1"/>
        </w:rPr>
        <w:t> </w:t>
      </w:r>
      <w:r>
        <w:rPr/>
        <w:t>LGAs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</w:t>
      </w:r>
      <w:r>
        <w:rPr>
          <w:spacing w:val="-2"/>
        </w:rPr>
        <w:t> </w:t>
      </w:r>
      <w:r>
        <w:rPr/>
        <w:t>State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991" w:right="1254"/>
        <w:jc w:val="both"/>
      </w:pPr>
      <w:r>
        <w:rPr/>
        <w:pict>
          <v:shape style="position:absolute;margin-left:22.5pt;margin-top:249.613144pt;width:24.75pt;height:103.5pt;mso-position-horizontal-relative:page;mso-position-vertical-relative:paragraph;z-index:15731712" type="#_x0000_t202" filled="false" stroked="true" strokeweight=".75pt" strokecolor="#000000">
            <v:textbox inset="0,0,0,0" style="layout-flow:vertical">
              <w:txbxContent>
                <w:p>
                  <w:pPr>
                    <w:spacing w:before="145"/>
                    <w:ind w:left="74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%</w:t>
                  </w:r>
                  <w:r>
                    <w:rPr>
                      <w:rFonts w:asci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PREVALENCE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Prevalence of malaria using RDT in the study area is shown in Figure 4.1. From the 500 participants</w:t>
      </w:r>
      <w:r>
        <w:rPr>
          <w:spacing w:val="1"/>
        </w:rPr>
        <w:t> </w:t>
      </w:r>
      <w:r>
        <w:rPr/>
        <w:t>in the study, 245 were positive for malaria parasite representing 49.0% prevalence. Out of which 120</w:t>
      </w:r>
      <w:r>
        <w:rPr>
          <w:spacing w:val="1"/>
        </w:rPr>
        <w:t> </w:t>
      </w:r>
      <w:r>
        <w:rPr/>
        <w:t>were positive representing 48.0% prevalence in Bosso LGA, and 125 positive cases were recorded in</w:t>
      </w:r>
      <w:r>
        <w:rPr>
          <w:spacing w:val="1"/>
        </w:rPr>
        <w:t> </w:t>
      </w:r>
      <w:r>
        <w:rPr/>
        <w:t>Paikoro LGA representing 50.0% prevalence. The Table containing this information is presented in</w:t>
      </w:r>
      <w:r>
        <w:rPr>
          <w:spacing w:val="1"/>
        </w:rPr>
        <w:t> </w:t>
      </w:r>
      <w:r>
        <w:rPr/>
        <w:t>appendix</w:t>
      </w:r>
      <w:r>
        <w:rPr>
          <w:spacing w:val="4"/>
        </w:rPr>
        <w:t> </w:t>
      </w:r>
      <w:r>
        <w:rPr/>
        <w:t>II.</w:t>
      </w: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50.639999pt;margin-top:9.99168pt;width:432.75pt;height:252.75pt;mso-position-horizontal-relative:page;mso-position-vertical-relative:paragraph;z-index:-15726080;mso-wrap-distance-left:0;mso-wrap-distance-right:0" coordorigin="1013,200" coordsize="8655,5055">
            <v:shape style="position:absolute;left:2520;top:859;width:4584;height:3886" coordorigin="2520,860" coordsize="4584,3886" path="m3830,1033l2520,1033,2520,4745,3830,4745,3830,1033xm7104,860l5796,860,5796,4745,7104,4745,7104,860xe" filled="true" fillcolor="#c0504d" stroked="false">
              <v:path arrowok="t"/>
              <v:fill type="solid"/>
            </v:shape>
            <v:shape style="position:absolute;left:1476;top:430;width:6612;height:4380" coordorigin="1476,430" coordsize="6612,4380" path="m1538,4745l1538,430m1476,4745l1538,4745m1476,4313l1538,4313m1476,3881l1538,3881m1476,3452l1538,3452m1476,3020l1538,3020m1476,2588l1538,2588m1476,2156l1538,2156m1476,1724l1538,1724m1476,1292l1538,1292m1476,860l1538,860m1476,430l1538,430m1538,4745l8088,4745m1538,4745l1538,4810m4812,4745l4812,4810m8088,4745l8088,4810e" filled="false" stroked="true" strokeweight=".72pt" strokecolor="#858585">
              <v:path arrowok="t"/>
              <v:stroke dashstyle="solid"/>
            </v:shape>
            <v:rect style="position:absolute;left:8407;top:2671;width:111;height:111" filled="true" fillcolor="#c0504d" stroked="false">
              <v:fill type="solid"/>
            </v:rect>
            <v:rect style="position:absolute;left:1020;top:207;width:8640;height:5040" filled="false" stroked="true" strokeweight=".72pt" strokecolor="#858585">
              <v:stroke dashstyle="solid"/>
            </v:rect>
            <v:shape style="position:absolute;left:1150;top:337;width:222;height:235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566;top:2635;width:91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Prevalence</w:t>
                    </w:r>
                  </w:p>
                </w:txbxContent>
              </v:textbox>
              <w10:wrap type="none"/>
            </v:shape>
            <v:shape style="position:absolute;left:1150;top:2928;width:223;height:192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752;top:4914;width:8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Bosso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LGA</w:t>
                    </w:r>
                  </w:p>
                </w:txbxContent>
              </v:textbox>
              <w10:wrap type="none"/>
            </v:shape>
            <v:shape style="position:absolute;left:5957;top:4914;width:100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Paikoro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LGA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01"/>
        <w:ind w:right="7285"/>
        <w:jc w:val="right"/>
      </w:pPr>
      <w:r>
        <w:rPr/>
        <w:t>Location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91"/>
        <w:jc w:val="both"/>
      </w:pPr>
      <w:r>
        <w:rPr/>
        <w:t>Figure</w:t>
      </w:r>
      <w:r>
        <w:rPr>
          <w:spacing w:val="-3"/>
        </w:rPr>
        <w:t> </w:t>
      </w:r>
      <w:r>
        <w:rPr/>
        <w:t>4.1.</w:t>
      </w:r>
      <w:r>
        <w:rPr>
          <w:spacing w:val="-1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 malarial</w:t>
      </w:r>
      <w:r>
        <w:rPr>
          <w:spacing w:val="-1"/>
        </w:rPr>
        <w:t> </w:t>
      </w:r>
      <w:r>
        <w:rPr/>
        <w:t>parasites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Bosso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Paikoro</w:t>
      </w:r>
      <w:r>
        <w:rPr>
          <w:spacing w:val="1"/>
        </w:rPr>
        <w:t> </w:t>
      </w:r>
      <w:r>
        <w:rPr/>
        <w:t>LGAs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Niger</w:t>
      </w:r>
      <w:r>
        <w:rPr>
          <w:spacing w:val="-1"/>
        </w:rPr>
        <w:t> </w:t>
      </w:r>
      <w:r>
        <w:rPr/>
        <w:t>State</w:t>
      </w:r>
    </w:p>
    <w:p>
      <w:pPr>
        <w:spacing w:after="0"/>
        <w:jc w:val="both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1"/>
        <w:numPr>
          <w:ilvl w:val="2"/>
          <w:numId w:val="12"/>
        </w:numPr>
        <w:tabs>
          <w:tab w:pos="1652" w:val="left" w:leader="none"/>
        </w:tabs>
        <w:spacing w:line="240" w:lineRule="auto" w:before="90" w:after="0"/>
        <w:ind w:left="1651" w:right="0" w:hanging="661"/>
        <w:jc w:val="both"/>
      </w:pPr>
      <w:bookmarkStart w:name="_TOC_250006" w:id="41"/>
      <w:r>
        <w:rPr/>
        <w:t>Prevalence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malarial</w:t>
      </w:r>
      <w:r>
        <w:rPr>
          <w:spacing w:val="-2"/>
        </w:rPr>
        <w:t> </w:t>
      </w:r>
      <w:r>
        <w:rPr/>
        <w:t>parasites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relation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socio-demographic</w:t>
      </w:r>
      <w:r>
        <w:rPr>
          <w:spacing w:val="-1"/>
        </w:rPr>
        <w:t> </w:t>
      </w:r>
      <w:bookmarkEnd w:id="41"/>
      <w:r>
        <w:rPr/>
        <w:t>parameters.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91" w:right="1255"/>
        <w:jc w:val="both"/>
      </w:pPr>
      <w:r>
        <w:rPr/>
        <w:t>The prevalence of malarial parasites in relation to socio-demographic parameters are shown Table 4.1</w:t>
      </w:r>
      <w:r>
        <w:rPr>
          <w:spacing w:val="-57"/>
        </w:rPr>
        <w:t> </w:t>
      </w:r>
      <w:r>
        <w:rPr/>
        <w:t>below.</w:t>
      </w:r>
      <w:r>
        <w:rPr>
          <w:spacing w:val="6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results</w:t>
      </w:r>
      <w:r>
        <w:rPr>
          <w:spacing w:val="8"/>
        </w:rPr>
        <w:t> </w:t>
      </w:r>
      <w:r>
        <w:rPr/>
        <w:t>presented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figure</w:t>
      </w:r>
      <w:r>
        <w:rPr>
          <w:spacing w:val="4"/>
        </w:rPr>
        <w:t> </w:t>
      </w:r>
      <w:r>
        <w:rPr/>
        <w:t>below,</w:t>
      </w:r>
      <w:r>
        <w:rPr>
          <w:spacing w:val="7"/>
        </w:rPr>
        <w:t> </w:t>
      </w:r>
      <w:r>
        <w:rPr/>
        <w:t>age</w:t>
      </w:r>
      <w:r>
        <w:rPr>
          <w:spacing w:val="7"/>
        </w:rPr>
        <w:t> </w:t>
      </w:r>
      <w:r>
        <w:rPr/>
        <w:t>group</w:t>
      </w:r>
      <w:r>
        <w:rPr>
          <w:spacing w:val="6"/>
        </w:rPr>
        <w:t> </w:t>
      </w:r>
      <w:r>
        <w:rPr/>
        <w:t>10-12</w:t>
      </w:r>
      <w:r>
        <w:rPr>
          <w:spacing w:val="7"/>
        </w:rPr>
        <w:t> </w:t>
      </w:r>
      <w:r>
        <w:rPr/>
        <w:t>had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highest</w:t>
      </w:r>
      <w:r>
        <w:rPr>
          <w:spacing w:val="6"/>
        </w:rPr>
        <w:t> </w:t>
      </w:r>
      <w:r>
        <w:rPr/>
        <w:t>prevalence</w:t>
      </w:r>
      <w:r>
        <w:rPr>
          <w:spacing w:val="7"/>
        </w:rPr>
        <w:t> </w:t>
      </w:r>
      <w:r>
        <w:rPr/>
        <w:t>of</w:t>
      </w:r>
    </w:p>
    <w:p>
      <w:pPr>
        <w:pStyle w:val="BodyText"/>
        <w:spacing w:line="480" w:lineRule="auto" w:before="1"/>
        <w:ind w:left="991" w:right="1259"/>
        <w:jc w:val="both"/>
      </w:pPr>
      <w:r>
        <w:rPr/>
        <w:t>75.0 % followed by age group 0-4 with a prevalence of 70.8 %. The least prevalence was recorded in</w:t>
      </w:r>
      <w:r>
        <w:rPr>
          <w:spacing w:val="1"/>
        </w:rPr>
        <w:t> </w:t>
      </w:r>
      <w:r>
        <w:rPr/>
        <w:t>age group 41-50.</w:t>
      </w:r>
      <w:r>
        <w:rPr>
          <w:spacing w:val="1"/>
        </w:rPr>
        <w:t> </w:t>
      </w:r>
      <w:r>
        <w:rPr/>
        <w:t>Although, women were considered for the study, it is evident that 75 male children</w:t>
      </w:r>
      <w:r>
        <w:rPr>
          <w:spacing w:val="1"/>
        </w:rPr>
        <w:t> </w:t>
      </w:r>
      <w:r>
        <w:rPr/>
        <w:t>were captured out of which 53 representing a prevalence of 70.7% for malaria parasite while 425</w:t>
      </w:r>
      <w:r>
        <w:rPr>
          <w:spacing w:val="1"/>
        </w:rPr>
        <w:t> </w:t>
      </w:r>
      <w:r>
        <w:rPr/>
        <w:t>women</w:t>
      </w:r>
      <w:r>
        <w:rPr>
          <w:spacing w:val="13"/>
        </w:rPr>
        <w:t> </w:t>
      </w:r>
      <w:r>
        <w:rPr/>
        <w:t>including</w:t>
      </w:r>
      <w:r>
        <w:rPr>
          <w:spacing w:val="11"/>
        </w:rPr>
        <w:t> </w:t>
      </w:r>
      <w:r>
        <w:rPr/>
        <w:t>female</w:t>
      </w:r>
      <w:r>
        <w:rPr>
          <w:spacing w:val="14"/>
        </w:rPr>
        <w:t> </w:t>
      </w:r>
      <w:r>
        <w:rPr/>
        <w:t>children</w:t>
      </w:r>
      <w:r>
        <w:rPr>
          <w:spacing w:val="16"/>
        </w:rPr>
        <w:t> </w:t>
      </w:r>
      <w:r>
        <w:rPr/>
        <w:t>were</w:t>
      </w:r>
      <w:r>
        <w:rPr>
          <w:spacing w:val="13"/>
        </w:rPr>
        <w:t> </w:t>
      </w:r>
      <w:r>
        <w:rPr/>
        <w:t>captured</w:t>
      </w:r>
      <w:r>
        <w:rPr>
          <w:spacing w:val="17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</w:t>
      </w:r>
      <w:r>
        <w:rPr>
          <w:spacing w:val="10"/>
        </w:rPr>
        <w:t> </w:t>
      </w:r>
      <w:r>
        <w:rPr/>
        <w:t>areas</w:t>
      </w:r>
      <w:r>
        <w:rPr>
          <w:spacing w:val="14"/>
        </w:rPr>
        <w:t> </w:t>
      </w:r>
      <w:r>
        <w:rPr/>
        <w:t>out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which</w:t>
      </w:r>
      <w:r>
        <w:rPr>
          <w:spacing w:val="14"/>
        </w:rPr>
        <w:t> </w:t>
      </w:r>
      <w:r>
        <w:rPr/>
        <w:t>192</w:t>
      </w:r>
      <w:r>
        <w:rPr>
          <w:spacing w:val="15"/>
        </w:rPr>
        <w:t> </w:t>
      </w:r>
      <w:r>
        <w:rPr/>
        <w:t>representing</w:t>
      </w:r>
    </w:p>
    <w:p>
      <w:pPr>
        <w:pStyle w:val="BodyText"/>
        <w:ind w:left="991"/>
        <w:jc w:val="both"/>
      </w:pPr>
      <w:r>
        <w:rPr/>
        <w:t>45.2</w:t>
      </w:r>
      <w:r>
        <w:rPr>
          <w:spacing w:val="3"/>
        </w:rPr>
        <w:t> </w:t>
      </w:r>
      <w:r>
        <w:rPr/>
        <w:t>%</w:t>
      </w:r>
      <w:r>
        <w:rPr>
          <w:spacing w:val="2"/>
        </w:rPr>
        <w:t> </w:t>
      </w:r>
      <w:r>
        <w:rPr/>
        <w:t>prevalence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malarial</w:t>
      </w:r>
      <w:r>
        <w:rPr>
          <w:spacing w:val="4"/>
        </w:rPr>
        <w:t> </w:t>
      </w:r>
      <w:r>
        <w:rPr/>
        <w:t>parasite.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total</w:t>
      </w:r>
      <w:r>
        <w:rPr>
          <w:spacing w:val="4"/>
        </w:rPr>
        <w:t> </w:t>
      </w:r>
      <w:r>
        <w:rPr/>
        <w:t>population</w:t>
      </w:r>
      <w:r>
        <w:rPr>
          <w:spacing w:val="4"/>
        </w:rPr>
        <w:t> </w:t>
      </w:r>
      <w:r>
        <w:rPr/>
        <w:t>sampled,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highest</w:t>
      </w:r>
      <w:r>
        <w:rPr>
          <w:spacing w:val="3"/>
        </w:rPr>
        <w:t> </w:t>
      </w:r>
      <w:r>
        <w:rPr/>
        <w:t>prevalence</w:t>
      </w:r>
      <w:r>
        <w:rPr>
          <w:spacing w:val="2"/>
        </w:rPr>
        <w:t> </w:t>
      </w:r>
      <w:r>
        <w:rPr/>
        <w:t>(56.0</w:t>
      </w:r>
    </w:p>
    <w:p>
      <w:pPr>
        <w:pStyle w:val="BodyText"/>
      </w:pPr>
    </w:p>
    <w:p>
      <w:pPr>
        <w:pStyle w:val="BodyText"/>
        <w:spacing w:line="480" w:lineRule="auto"/>
        <w:ind w:left="991" w:right="1254"/>
        <w:jc w:val="both"/>
      </w:pPr>
      <w:r>
        <w:rPr/>
        <w:t>%) was seen among those without any form of education. The least prevalence (38.2 %) was recorded</w:t>
      </w:r>
      <w:r>
        <w:rPr>
          <w:spacing w:val="-57"/>
        </w:rPr>
        <w:t> </w:t>
      </w:r>
      <w:r>
        <w:rPr/>
        <w:t>among those with secondary education. Out the 500 samples, the highest prevalence (61.0 %) was</w:t>
      </w:r>
      <w:r>
        <w:rPr>
          <w:spacing w:val="1"/>
        </w:rPr>
        <w:t> </w:t>
      </w:r>
      <w:r>
        <w:rPr/>
        <w:t>recorded among the unemployed, this was followed in descending order by farmers (45 %), unskilled</w:t>
      </w:r>
      <w:r>
        <w:rPr>
          <w:spacing w:val="1"/>
        </w:rPr>
        <w:t> </w:t>
      </w:r>
      <w:r>
        <w:rPr/>
        <w:t>labourers</w:t>
      </w:r>
      <w:r>
        <w:rPr>
          <w:spacing w:val="-1"/>
        </w:rPr>
        <w:t> </w:t>
      </w:r>
      <w:r>
        <w:rPr/>
        <w:t>(40.8</w:t>
      </w:r>
      <w:r>
        <w:rPr>
          <w:spacing w:val="2"/>
        </w:rPr>
        <w:t> </w:t>
      </w:r>
      <w:r>
        <w:rPr/>
        <w:t>%), traders (33.7)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civil</w:t>
      </w:r>
      <w:r>
        <w:rPr>
          <w:spacing w:val="-1"/>
        </w:rPr>
        <w:t> </w:t>
      </w:r>
      <w:r>
        <w:rPr/>
        <w:t>servants (32.7</w:t>
      </w:r>
      <w:r>
        <w:rPr>
          <w:spacing w:val="1"/>
        </w:rPr>
        <w:t> </w:t>
      </w:r>
      <w:r>
        <w:rPr/>
        <w:t>%).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3"/>
        <w:jc w:val="left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3"/>
        </w:rPr>
        <w:t> </w:t>
      </w:r>
      <w:r>
        <w:rPr/>
        <w:t>Prevalence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malarial</w:t>
      </w:r>
      <w:r>
        <w:rPr>
          <w:spacing w:val="-2"/>
        </w:rPr>
        <w:t> </w:t>
      </w:r>
      <w:r>
        <w:rPr/>
        <w:t>parasites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relation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socio-demographic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3"/>
        <w:gridCol w:w="1758"/>
        <w:gridCol w:w="1380"/>
        <w:gridCol w:w="2153"/>
        <w:gridCol w:w="1791"/>
        <w:gridCol w:w="1133"/>
      </w:tblGrid>
      <w:tr>
        <w:trPr>
          <w:trHeight w:val="828" w:hRule="atLeast"/>
        </w:trPr>
        <w:tc>
          <w:tcPr>
            <w:tcW w:w="175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75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0" w:lineRule="atLeast"/>
              <w:ind w:left="132" w:right="255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Examined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5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"/>
              <w:ind w:left="274"/>
              <w:rPr>
                <w:sz w:val="24"/>
              </w:rPr>
            </w:pPr>
            <w:r>
              <w:rPr>
                <w:sz w:val="24"/>
              </w:rPr>
              <w:t>Positive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9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"/>
              <w:ind w:left="687" w:right="225"/>
              <w:rPr>
                <w:sz w:val="24"/>
              </w:rPr>
            </w:pPr>
            <w:r>
              <w:rPr>
                <w:spacing w:val="-1"/>
                <w:sz w:val="24"/>
              </w:rPr>
              <w:t>Negative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"/>
              <w:ind w:left="166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288" w:hRule="atLeast"/>
        </w:trPr>
        <w:tc>
          <w:tcPr>
            <w:tcW w:w="175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54" w:lineRule="exact" w:before="13"/>
              <w:ind w:left="117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17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54" w:lineRule="exact" w:before="13"/>
              <w:ind w:left="298"/>
              <w:rPr>
                <w:sz w:val="24"/>
              </w:rPr>
            </w:pPr>
            <w:r>
              <w:rPr>
                <w:sz w:val="24"/>
              </w:rPr>
              <w:t>0-04</w:t>
            </w:r>
          </w:p>
        </w:tc>
        <w:tc>
          <w:tcPr>
            <w:tcW w:w="13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54" w:lineRule="exact" w:before="13"/>
              <w:ind w:left="132"/>
              <w:rPr>
                <w:sz w:val="24"/>
              </w:rPr>
            </w:pPr>
            <w:r>
              <w:rPr>
                <w:sz w:val="24"/>
              </w:rPr>
              <w:t>89(17.8)</w:t>
            </w:r>
          </w:p>
        </w:tc>
        <w:tc>
          <w:tcPr>
            <w:tcW w:w="215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54" w:lineRule="exact" w:before="13"/>
              <w:ind w:left="274"/>
              <w:rPr>
                <w:sz w:val="24"/>
              </w:rPr>
            </w:pPr>
            <w:r>
              <w:rPr>
                <w:sz w:val="24"/>
              </w:rPr>
              <w:t>63(70.8)</w:t>
            </w:r>
          </w:p>
        </w:tc>
        <w:tc>
          <w:tcPr>
            <w:tcW w:w="17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54" w:lineRule="exact" w:before="13"/>
              <w:ind w:left="687"/>
              <w:rPr>
                <w:sz w:val="24"/>
              </w:rPr>
            </w:pPr>
            <w:r>
              <w:rPr>
                <w:sz w:val="24"/>
              </w:rPr>
              <w:t>26(29.2)</w:t>
            </w:r>
          </w:p>
        </w:tc>
        <w:tc>
          <w:tcPr>
            <w:tcW w:w="113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54" w:lineRule="exact" w:before="13"/>
              <w:ind w:left="166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307" w:hRule="atLeast"/>
        </w:trPr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54" w:lineRule="exact" w:before="33"/>
              <w:ind w:left="298"/>
              <w:rPr>
                <w:sz w:val="24"/>
              </w:rPr>
            </w:pPr>
            <w:r>
              <w:rPr>
                <w:sz w:val="24"/>
              </w:rPr>
              <w:t>05-09</w:t>
            </w:r>
          </w:p>
        </w:tc>
        <w:tc>
          <w:tcPr>
            <w:tcW w:w="1380" w:type="dxa"/>
          </w:tcPr>
          <w:p>
            <w:pPr>
              <w:pStyle w:val="TableParagraph"/>
              <w:spacing w:line="254" w:lineRule="exact" w:before="33"/>
              <w:ind w:left="132"/>
              <w:rPr>
                <w:sz w:val="24"/>
              </w:rPr>
            </w:pPr>
            <w:r>
              <w:rPr>
                <w:sz w:val="24"/>
              </w:rPr>
              <w:t>59(11.8)</w:t>
            </w:r>
          </w:p>
        </w:tc>
        <w:tc>
          <w:tcPr>
            <w:tcW w:w="2153" w:type="dxa"/>
          </w:tcPr>
          <w:p>
            <w:pPr>
              <w:pStyle w:val="TableParagraph"/>
              <w:spacing w:line="254" w:lineRule="exact" w:before="33"/>
              <w:ind w:left="274"/>
              <w:rPr>
                <w:sz w:val="24"/>
              </w:rPr>
            </w:pPr>
            <w:r>
              <w:rPr>
                <w:sz w:val="24"/>
              </w:rPr>
              <w:t>41(69.5)</w:t>
            </w:r>
          </w:p>
        </w:tc>
        <w:tc>
          <w:tcPr>
            <w:tcW w:w="1791" w:type="dxa"/>
          </w:tcPr>
          <w:p>
            <w:pPr>
              <w:pStyle w:val="TableParagraph"/>
              <w:spacing w:line="254" w:lineRule="exact" w:before="33"/>
              <w:ind w:left="687"/>
              <w:rPr>
                <w:sz w:val="24"/>
              </w:rPr>
            </w:pPr>
            <w:r>
              <w:rPr>
                <w:sz w:val="24"/>
              </w:rPr>
              <w:t>18(30.5)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54" w:lineRule="exact" w:before="33"/>
              <w:ind w:left="298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  <w:tc>
          <w:tcPr>
            <w:tcW w:w="1380" w:type="dxa"/>
          </w:tcPr>
          <w:p>
            <w:pPr>
              <w:pStyle w:val="TableParagraph"/>
              <w:spacing w:line="254" w:lineRule="exact" w:before="33"/>
              <w:ind w:left="132"/>
              <w:rPr>
                <w:sz w:val="24"/>
              </w:rPr>
            </w:pPr>
            <w:r>
              <w:rPr>
                <w:sz w:val="24"/>
              </w:rPr>
              <w:t>16(3.2)</w:t>
            </w:r>
          </w:p>
        </w:tc>
        <w:tc>
          <w:tcPr>
            <w:tcW w:w="2153" w:type="dxa"/>
          </w:tcPr>
          <w:p>
            <w:pPr>
              <w:pStyle w:val="TableParagraph"/>
              <w:spacing w:line="254" w:lineRule="exact" w:before="33"/>
              <w:ind w:left="274"/>
              <w:rPr>
                <w:sz w:val="24"/>
              </w:rPr>
            </w:pPr>
            <w:r>
              <w:rPr>
                <w:sz w:val="24"/>
              </w:rPr>
              <w:t>12(75.0)</w:t>
            </w:r>
          </w:p>
        </w:tc>
        <w:tc>
          <w:tcPr>
            <w:tcW w:w="1791" w:type="dxa"/>
          </w:tcPr>
          <w:p>
            <w:pPr>
              <w:pStyle w:val="TableParagraph"/>
              <w:spacing w:line="254" w:lineRule="exact" w:before="33"/>
              <w:ind w:left="687"/>
              <w:rPr>
                <w:sz w:val="24"/>
              </w:rPr>
            </w:pPr>
            <w:r>
              <w:rPr>
                <w:sz w:val="24"/>
              </w:rPr>
              <w:t>4(25.0)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54" w:lineRule="exact" w:before="33"/>
              <w:ind w:left="298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1380" w:type="dxa"/>
          </w:tcPr>
          <w:p>
            <w:pPr>
              <w:pStyle w:val="TableParagraph"/>
              <w:spacing w:line="254" w:lineRule="exact" w:before="33"/>
              <w:ind w:left="132"/>
              <w:rPr>
                <w:sz w:val="24"/>
              </w:rPr>
            </w:pPr>
            <w:r>
              <w:rPr>
                <w:sz w:val="24"/>
              </w:rPr>
              <w:t>81(16.2)</w:t>
            </w:r>
          </w:p>
        </w:tc>
        <w:tc>
          <w:tcPr>
            <w:tcW w:w="2153" w:type="dxa"/>
          </w:tcPr>
          <w:p>
            <w:pPr>
              <w:pStyle w:val="TableParagraph"/>
              <w:spacing w:line="254" w:lineRule="exact" w:before="33"/>
              <w:ind w:left="274"/>
              <w:rPr>
                <w:sz w:val="24"/>
              </w:rPr>
            </w:pPr>
            <w:r>
              <w:rPr>
                <w:sz w:val="24"/>
              </w:rPr>
              <w:t>34(42.0)</w:t>
            </w:r>
          </w:p>
        </w:tc>
        <w:tc>
          <w:tcPr>
            <w:tcW w:w="1791" w:type="dxa"/>
          </w:tcPr>
          <w:p>
            <w:pPr>
              <w:pStyle w:val="TableParagraph"/>
              <w:spacing w:line="254" w:lineRule="exact" w:before="33"/>
              <w:ind w:left="687"/>
              <w:rPr>
                <w:sz w:val="24"/>
              </w:rPr>
            </w:pPr>
            <w:r>
              <w:rPr>
                <w:sz w:val="24"/>
              </w:rPr>
              <w:t>47(58.0)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54" w:lineRule="exact" w:before="33"/>
              <w:ind w:left="298"/>
              <w:rPr>
                <w:sz w:val="24"/>
              </w:rPr>
            </w:pPr>
            <w:r>
              <w:rPr>
                <w:sz w:val="24"/>
              </w:rPr>
              <w:t>21-30</w:t>
            </w:r>
          </w:p>
        </w:tc>
        <w:tc>
          <w:tcPr>
            <w:tcW w:w="1380" w:type="dxa"/>
          </w:tcPr>
          <w:p>
            <w:pPr>
              <w:pStyle w:val="TableParagraph"/>
              <w:spacing w:line="254" w:lineRule="exact" w:before="33"/>
              <w:ind w:left="132"/>
              <w:rPr>
                <w:sz w:val="24"/>
              </w:rPr>
            </w:pPr>
            <w:r>
              <w:rPr>
                <w:sz w:val="24"/>
              </w:rPr>
              <w:t>185(37.0)</w:t>
            </w:r>
          </w:p>
        </w:tc>
        <w:tc>
          <w:tcPr>
            <w:tcW w:w="2153" w:type="dxa"/>
          </w:tcPr>
          <w:p>
            <w:pPr>
              <w:pStyle w:val="TableParagraph"/>
              <w:spacing w:line="254" w:lineRule="exact" w:before="33"/>
              <w:ind w:left="274"/>
              <w:rPr>
                <w:sz w:val="24"/>
              </w:rPr>
            </w:pPr>
            <w:r>
              <w:rPr>
                <w:sz w:val="24"/>
              </w:rPr>
              <w:t>68(36.8)</w:t>
            </w:r>
          </w:p>
        </w:tc>
        <w:tc>
          <w:tcPr>
            <w:tcW w:w="1791" w:type="dxa"/>
          </w:tcPr>
          <w:p>
            <w:pPr>
              <w:pStyle w:val="TableParagraph"/>
              <w:spacing w:line="254" w:lineRule="exact" w:before="33"/>
              <w:ind w:left="687"/>
              <w:rPr>
                <w:sz w:val="24"/>
              </w:rPr>
            </w:pPr>
            <w:r>
              <w:rPr>
                <w:sz w:val="24"/>
              </w:rPr>
              <w:t>117(63.2)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54" w:lineRule="exact" w:before="33"/>
              <w:ind w:left="298"/>
              <w:rPr>
                <w:sz w:val="24"/>
              </w:rPr>
            </w:pPr>
            <w:r>
              <w:rPr>
                <w:sz w:val="24"/>
              </w:rPr>
              <w:t>31-40</w:t>
            </w:r>
          </w:p>
        </w:tc>
        <w:tc>
          <w:tcPr>
            <w:tcW w:w="1380" w:type="dxa"/>
          </w:tcPr>
          <w:p>
            <w:pPr>
              <w:pStyle w:val="TableParagraph"/>
              <w:spacing w:line="254" w:lineRule="exact" w:before="33"/>
              <w:ind w:left="132"/>
              <w:rPr>
                <w:sz w:val="24"/>
              </w:rPr>
            </w:pPr>
            <w:r>
              <w:rPr>
                <w:sz w:val="24"/>
              </w:rPr>
              <w:t>54(10.8)</w:t>
            </w:r>
          </w:p>
        </w:tc>
        <w:tc>
          <w:tcPr>
            <w:tcW w:w="2153" w:type="dxa"/>
          </w:tcPr>
          <w:p>
            <w:pPr>
              <w:pStyle w:val="TableParagraph"/>
              <w:spacing w:line="254" w:lineRule="exact" w:before="33"/>
              <w:ind w:left="274"/>
              <w:rPr>
                <w:sz w:val="24"/>
              </w:rPr>
            </w:pPr>
            <w:r>
              <w:rPr>
                <w:sz w:val="24"/>
              </w:rPr>
              <w:t>22(40.7)</w:t>
            </w:r>
          </w:p>
        </w:tc>
        <w:tc>
          <w:tcPr>
            <w:tcW w:w="1791" w:type="dxa"/>
          </w:tcPr>
          <w:p>
            <w:pPr>
              <w:pStyle w:val="TableParagraph"/>
              <w:spacing w:line="254" w:lineRule="exact" w:before="33"/>
              <w:ind w:left="687"/>
              <w:rPr>
                <w:sz w:val="24"/>
              </w:rPr>
            </w:pPr>
            <w:r>
              <w:rPr>
                <w:sz w:val="24"/>
              </w:rPr>
              <w:t>32(59.3)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54" w:lineRule="exact" w:before="33"/>
              <w:ind w:left="298"/>
              <w:rPr>
                <w:sz w:val="24"/>
              </w:rPr>
            </w:pPr>
            <w:r>
              <w:rPr>
                <w:sz w:val="24"/>
              </w:rPr>
              <w:t>41-50</w:t>
            </w:r>
          </w:p>
        </w:tc>
        <w:tc>
          <w:tcPr>
            <w:tcW w:w="1380" w:type="dxa"/>
          </w:tcPr>
          <w:p>
            <w:pPr>
              <w:pStyle w:val="TableParagraph"/>
              <w:spacing w:line="254" w:lineRule="exact" w:before="33"/>
              <w:ind w:left="132"/>
              <w:rPr>
                <w:sz w:val="24"/>
              </w:rPr>
            </w:pPr>
            <w:r>
              <w:rPr>
                <w:sz w:val="24"/>
              </w:rPr>
              <w:t>14(2.8)</w:t>
            </w:r>
          </w:p>
        </w:tc>
        <w:tc>
          <w:tcPr>
            <w:tcW w:w="2153" w:type="dxa"/>
          </w:tcPr>
          <w:p>
            <w:pPr>
              <w:pStyle w:val="TableParagraph"/>
              <w:spacing w:line="254" w:lineRule="exact" w:before="33"/>
              <w:ind w:left="274"/>
              <w:rPr>
                <w:sz w:val="24"/>
              </w:rPr>
            </w:pPr>
            <w:r>
              <w:rPr>
                <w:sz w:val="24"/>
              </w:rPr>
              <w:t>5(35.7)</w:t>
            </w:r>
          </w:p>
        </w:tc>
        <w:tc>
          <w:tcPr>
            <w:tcW w:w="1791" w:type="dxa"/>
          </w:tcPr>
          <w:p>
            <w:pPr>
              <w:pStyle w:val="TableParagraph"/>
              <w:spacing w:line="254" w:lineRule="exact" w:before="33"/>
              <w:ind w:left="687"/>
              <w:rPr>
                <w:sz w:val="24"/>
              </w:rPr>
            </w:pPr>
            <w:r>
              <w:rPr>
                <w:sz w:val="24"/>
              </w:rPr>
              <w:t>9(64.3)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54" w:lineRule="exact" w:before="33"/>
              <w:ind w:left="298"/>
              <w:rPr>
                <w:sz w:val="24"/>
              </w:rPr>
            </w:pPr>
            <w:r>
              <w:rPr>
                <w:sz w:val="24"/>
              </w:rPr>
              <w:t>51-60</w:t>
            </w:r>
          </w:p>
        </w:tc>
        <w:tc>
          <w:tcPr>
            <w:tcW w:w="1380" w:type="dxa"/>
          </w:tcPr>
          <w:p>
            <w:pPr>
              <w:pStyle w:val="TableParagraph"/>
              <w:spacing w:line="254" w:lineRule="exact" w:before="33"/>
              <w:ind w:left="132"/>
              <w:rPr>
                <w:sz w:val="24"/>
              </w:rPr>
            </w:pPr>
            <w:r>
              <w:rPr>
                <w:sz w:val="24"/>
              </w:rPr>
              <w:t>1(0.2)</w:t>
            </w:r>
          </w:p>
        </w:tc>
        <w:tc>
          <w:tcPr>
            <w:tcW w:w="2153" w:type="dxa"/>
          </w:tcPr>
          <w:p>
            <w:pPr>
              <w:pStyle w:val="TableParagraph"/>
              <w:spacing w:line="254" w:lineRule="exact" w:before="33"/>
              <w:ind w:left="2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91" w:type="dxa"/>
          </w:tcPr>
          <w:p>
            <w:pPr>
              <w:pStyle w:val="TableParagraph"/>
              <w:spacing w:line="254" w:lineRule="exact" w:before="33"/>
              <w:ind w:left="687"/>
              <w:rPr>
                <w:sz w:val="24"/>
              </w:rPr>
            </w:pPr>
            <w:r>
              <w:rPr>
                <w:sz w:val="24"/>
              </w:rPr>
              <w:t>1(100.0)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1" w:hRule="atLeast"/>
        </w:trPr>
        <w:tc>
          <w:tcPr>
            <w:tcW w:w="17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38" w:lineRule="exact" w:before="33"/>
              <w:ind w:left="298"/>
              <w:rPr>
                <w:sz w:val="24"/>
              </w:rPr>
            </w:pPr>
            <w:r>
              <w:rPr>
                <w:sz w:val="24"/>
              </w:rPr>
              <w:t>&gt;60</w:t>
            </w:r>
          </w:p>
        </w:tc>
        <w:tc>
          <w:tcPr>
            <w:tcW w:w="1380" w:type="dxa"/>
          </w:tcPr>
          <w:p>
            <w:pPr>
              <w:pStyle w:val="TableParagraph"/>
              <w:spacing w:line="236" w:lineRule="exact" w:before="33"/>
              <w:ind w:left="132"/>
              <w:rPr>
                <w:sz w:val="24"/>
              </w:rPr>
            </w:pPr>
            <w:r>
              <w:rPr>
                <w:sz w:val="24"/>
              </w:rPr>
              <w:t>1(0.2)</w:t>
            </w:r>
          </w:p>
        </w:tc>
        <w:tc>
          <w:tcPr>
            <w:tcW w:w="2153" w:type="dxa"/>
          </w:tcPr>
          <w:p>
            <w:pPr>
              <w:pStyle w:val="TableParagraph"/>
              <w:spacing w:line="236" w:lineRule="exact" w:before="33"/>
              <w:ind w:left="2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91" w:type="dxa"/>
          </w:tcPr>
          <w:p>
            <w:pPr>
              <w:pStyle w:val="TableParagraph"/>
              <w:spacing w:line="236" w:lineRule="exact" w:before="33"/>
              <w:ind w:left="687"/>
              <w:rPr>
                <w:sz w:val="24"/>
              </w:rPr>
            </w:pPr>
            <w:r>
              <w:rPr>
                <w:sz w:val="24"/>
              </w:rPr>
              <w:t>1(100.0)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1753" w:type="dxa"/>
          </w:tcPr>
          <w:p>
            <w:pPr>
              <w:pStyle w:val="TableParagraph"/>
              <w:spacing w:line="238" w:lineRule="exact" w:before="17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spacing w:line="238" w:lineRule="exact" w:before="20"/>
              <w:ind w:left="132"/>
              <w:rPr>
                <w:sz w:val="24"/>
              </w:rPr>
            </w:pPr>
            <w:r>
              <w:rPr>
                <w:sz w:val="24"/>
              </w:rPr>
              <w:t>500(100)</w:t>
            </w:r>
          </w:p>
        </w:tc>
        <w:tc>
          <w:tcPr>
            <w:tcW w:w="2153" w:type="dxa"/>
          </w:tcPr>
          <w:p>
            <w:pPr>
              <w:pStyle w:val="TableParagraph"/>
              <w:spacing w:line="238" w:lineRule="exact" w:before="20"/>
              <w:ind w:left="274"/>
              <w:rPr>
                <w:sz w:val="24"/>
              </w:rPr>
            </w:pPr>
            <w:r>
              <w:rPr>
                <w:sz w:val="24"/>
              </w:rPr>
              <w:t>245(49.0)</w:t>
            </w:r>
          </w:p>
        </w:tc>
        <w:tc>
          <w:tcPr>
            <w:tcW w:w="1791" w:type="dxa"/>
          </w:tcPr>
          <w:p>
            <w:pPr>
              <w:pStyle w:val="TableParagraph"/>
              <w:spacing w:line="238" w:lineRule="exact" w:before="20"/>
              <w:ind w:left="687"/>
              <w:rPr>
                <w:sz w:val="24"/>
              </w:rPr>
            </w:pPr>
            <w:r>
              <w:rPr>
                <w:sz w:val="24"/>
              </w:rPr>
              <w:t>255(51.0)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753" w:type="dxa"/>
          </w:tcPr>
          <w:p>
            <w:pPr>
              <w:pStyle w:val="TableParagraph"/>
              <w:spacing w:line="238" w:lineRule="exact" w:before="17"/>
              <w:ind w:left="117"/>
              <w:rPr>
                <w:sz w:val="24"/>
              </w:rPr>
            </w:pPr>
            <w:r>
              <w:rPr>
                <w:sz w:val="24"/>
              </w:rPr>
              <w:t>Gender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753" w:type="dxa"/>
          </w:tcPr>
          <w:p>
            <w:pPr>
              <w:pStyle w:val="TableParagraph"/>
              <w:spacing w:line="238" w:lineRule="exact" w:before="17"/>
              <w:ind w:left="117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spacing w:line="238" w:lineRule="exact" w:before="17"/>
              <w:ind w:left="132"/>
              <w:rPr>
                <w:sz w:val="24"/>
              </w:rPr>
            </w:pPr>
            <w:r>
              <w:rPr>
                <w:sz w:val="24"/>
              </w:rPr>
              <w:t>75(15.0)</w:t>
            </w:r>
          </w:p>
        </w:tc>
        <w:tc>
          <w:tcPr>
            <w:tcW w:w="2153" w:type="dxa"/>
          </w:tcPr>
          <w:p>
            <w:pPr>
              <w:pStyle w:val="TableParagraph"/>
              <w:spacing w:line="238" w:lineRule="exact" w:before="17"/>
              <w:ind w:left="274"/>
              <w:rPr>
                <w:sz w:val="24"/>
              </w:rPr>
            </w:pPr>
            <w:r>
              <w:rPr>
                <w:sz w:val="24"/>
              </w:rPr>
              <w:t>53(70.7)</w:t>
            </w:r>
          </w:p>
        </w:tc>
        <w:tc>
          <w:tcPr>
            <w:tcW w:w="1791" w:type="dxa"/>
          </w:tcPr>
          <w:p>
            <w:pPr>
              <w:pStyle w:val="TableParagraph"/>
              <w:spacing w:line="238" w:lineRule="exact" w:before="17"/>
              <w:ind w:left="687"/>
              <w:rPr>
                <w:sz w:val="24"/>
              </w:rPr>
            </w:pPr>
            <w:r>
              <w:rPr>
                <w:sz w:val="24"/>
              </w:rPr>
              <w:t>22(29.3)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53" w:type="dxa"/>
          </w:tcPr>
          <w:p>
            <w:pPr>
              <w:pStyle w:val="TableParagraph"/>
              <w:spacing w:line="239" w:lineRule="exact" w:before="17"/>
              <w:ind w:left="11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spacing w:line="239" w:lineRule="exact" w:before="17"/>
              <w:ind w:left="132"/>
              <w:rPr>
                <w:sz w:val="24"/>
              </w:rPr>
            </w:pPr>
            <w:r>
              <w:rPr>
                <w:sz w:val="24"/>
              </w:rPr>
              <w:t>425(85.0)</w:t>
            </w:r>
          </w:p>
        </w:tc>
        <w:tc>
          <w:tcPr>
            <w:tcW w:w="2153" w:type="dxa"/>
          </w:tcPr>
          <w:p>
            <w:pPr>
              <w:pStyle w:val="TableParagraph"/>
              <w:spacing w:line="239" w:lineRule="exact" w:before="17"/>
              <w:ind w:left="274"/>
              <w:rPr>
                <w:sz w:val="24"/>
              </w:rPr>
            </w:pPr>
            <w:r>
              <w:rPr>
                <w:sz w:val="24"/>
              </w:rPr>
              <w:t>192(45.2)</w:t>
            </w:r>
          </w:p>
        </w:tc>
        <w:tc>
          <w:tcPr>
            <w:tcW w:w="1791" w:type="dxa"/>
          </w:tcPr>
          <w:p>
            <w:pPr>
              <w:pStyle w:val="TableParagraph"/>
              <w:spacing w:line="239" w:lineRule="exact" w:before="17"/>
              <w:ind w:left="687"/>
              <w:rPr>
                <w:sz w:val="24"/>
              </w:rPr>
            </w:pPr>
            <w:r>
              <w:rPr>
                <w:sz w:val="24"/>
              </w:rPr>
              <w:t>233(54.8)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53" w:type="dxa"/>
          </w:tcPr>
          <w:p>
            <w:pPr>
              <w:pStyle w:val="TableParagraph"/>
              <w:spacing w:line="238" w:lineRule="exact" w:before="17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spacing w:line="238" w:lineRule="exact" w:before="17"/>
              <w:ind w:left="132"/>
              <w:rPr>
                <w:sz w:val="24"/>
              </w:rPr>
            </w:pPr>
            <w:r>
              <w:rPr>
                <w:sz w:val="24"/>
              </w:rPr>
              <w:t>500(100)</w:t>
            </w:r>
          </w:p>
        </w:tc>
        <w:tc>
          <w:tcPr>
            <w:tcW w:w="2153" w:type="dxa"/>
          </w:tcPr>
          <w:p>
            <w:pPr>
              <w:pStyle w:val="TableParagraph"/>
              <w:spacing w:line="238" w:lineRule="exact" w:before="17"/>
              <w:ind w:left="274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791" w:type="dxa"/>
          </w:tcPr>
          <w:p>
            <w:pPr>
              <w:pStyle w:val="TableParagraph"/>
              <w:spacing w:line="238" w:lineRule="exact" w:before="17"/>
              <w:ind w:left="687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133" w:type="dxa"/>
          </w:tcPr>
          <w:p>
            <w:pPr>
              <w:pStyle w:val="TableParagraph"/>
              <w:spacing w:line="238" w:lineRule="exact" w:before="17"/>
              <w:ind w:left="166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276" w:hRule="atLeast"/>
        </w:trPr>
        <w:tc>
          <w:tcPr>
            <w:tcW w:w="1753" w:type="dxa"/>
          </w:tcPr>
          <w:p>
            <w:pPr>
              <w:pStyle w:val="TableParagraph"/>
              <w:spacing w:line="238" w:lineRule="exact" w:before="17"/>
              <w:ind w:left="117"/>
              <w:rPr>
                <w:sz w:val="24"/>
              </w:rPr>
            </w:pPr>
            <w:r>
              <w:rPr>
                <w:sz w:val="24"/>
              </w:rPr>
              <w:t>Education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38" w:lineRule="exact" w:before="17"/>
              <w:ind w:left="298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380" w:type="dxa"/>
          </w:tcPr>
          <w:p>
            <w:pPr>
              <w:pStyle w:val="TableParagraph"/>
              <w:spacing w:line="238" w:lineRule="exact" w:before="17"/>
              <w:ind w:left="132"/>
              <w:rPr>
                <w:sz w:val="24"/>
              </w:rPr>
            </w:pPr>
            <w:r>
              <w:rPr>
                <w:sz w:val="24"/>
              </w:rPr>
              <w:t>223(44.6)</w:t>
            </w:r>
          </w:p>
        </w:tc>
        <w:tc>
          <w:tcPr>
            <w:tcW w:w="2153" w:type="dxa"/>
          </w:tcPr>
          <w:p>
            <w:pPr>
              <w:pStyle w:val="TableParagraph"/>
              <w:spacing w:line="238" w:lineRule="exact" w:before="17"/>
              <w:ind w:left="274"/>
              <w:rPr>
                <w:sz w:val="24"/>
              </w:rPr>
            </w:pPr>
            <w:r>
              <w:rPr>
                <w:sz w:val="24"/>
              </w:rPr>
              <w:t>125(56.0)</w:t>
            </w:r>
          </w:p>
        </w:tc>
        <w:tc>
          <w:tcPr>
            <w:tcW w:w="1791" w:type="dxa"/>
          </w:tcPr>
          <w:p>
            <w:pPr>
              <w:pStyle w:val="TableParagraph"/>
              <w:spacing w:line="238" w:lineRule="exact" w:before="17"/>
              <w:ind w:left="687"/>
              <w:rPr>
                <w:sz w:val="24"/>
              </w:rPr>
            </w:pPr>
            <w:r>
              <w:rPr>
                <w:sz w:val="24"/>
              </w:rPr>
              <w:t>98(43.9)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7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38" w:lineRule="exact" w:before="17"/>
              <w:ind w:left="298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</w:tc>
        <w:tc>
          <w:tcPr>
            <w:tcW w:w="1380" w:type="dxa"/>
          </w:tcPr>
          <w:p>
            <w:pPr>
              <w:pStyle w:val="TableParagraph"/>
              <w:spacing w:line="238" w:lineRule="exact" w:before="17"/>
              <w:ind w:left="132"/>
              <w:rPr>
                <w:sz w:val="24"/>
              </w:rPr>
            </w:pPr>
            <w:r>
              <w:rPr>
                <w:sz w:val="24"/>
              </w:rPr>
              <w:t>126(25.2)</w:t>
            </w:r>
          </w:p>
        </w:tc>
        <w:tc>
          <w:tcPr>
            <w:tcW w:w="2153" w:type="dxa"/>
          </w:tcPr>
          <w:p>
            <w:pPr>
              <w:pStyle w:val="TableParagraph"/>
              <w:spacing w:line="238" w:lineRule="exact" w:before="17"/>
              <w:ind w:left="274"/>
              <w:rPr>
                <w:sz w:val="24"/>
              </w:rPr>
            </w:pPr>
            <w:r>
              <w:rPr>
                <w:sz w:val="24"/>
              </w:rPr>
              <w:t>60(47.6)</w:t>
            </w:r>
          </w:p>
        </w:tc>
        <w:tc>
          <w:tcPr>
            <w:tcW w:w="1791" w:type="dxa"/>
          </w:tcPr>
          <w:p>
            <w:pPr>
              <w:pStyle w:val="TableParagraph"/>
              <w:spacing w:line="238" w:lineRule="exact" w:before="17"/>
              <w:ind w:left="687"/>
              <w:rPr>
                <w:sz w:val="24"/>
              </w:rPr>
            </w:pPr>
            <w:r>
              <w:rPr>
                <w:sz w:val="24"/>
              </w:rPr>
              <w:t>66(52.4)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38" w:lineRule="exact" w:before="17"/>
              <w:ind w:left="298"/>
              <w:rPr>
                <w:sz w:val="24"/>
              </w:rPr>
            </w:pPr>
            <w:r>
              <w:rPr>
                <w:sz w:val="24"/>
              </w:rPr>
              <w:t>Secondary</w:t>
            </w:r>
          </w:p>
        </w:tc>
        <w:tc>
          <w:tcPr>
            <w:tcW w:w="1380" w:type="dxa"/>
          </w:tcPr>
          <w:p>
            <w:pPr>
              <w:pStyle w:val="TableParagraph"/>
              <w:spacing w:line="238" w:lineRule="exact" w:before="17"/>
              <w:ind w:left="132"/>
              <w:rPr>
                <w:sz w:val="24"/>
              </w:rPr>
            </w:pPr>
            <w:r>
              <w:rPr>
                <w:sz w:val="24"/>
              </w:rPr>
              <w:t>89(17.8)</w:t>
            </w:r>
          </w:p>
        </w:tc>
        <w:tc>
          <w:tcPr>
            <w:tcW w:w="2153" w:type="dxa"/>
          </w:tcPr>
          <w:p>
            <w:pPr>
              <w:pStyle w:val="TableParagraph"/>
              <w:spacing w:line="238" w:lineRule="exact" w:before="17"/>
              <w:ind w:left="274"/>
              <w:rPr>
                <w:sz w:val="24"/>
              </w:rPr>
            </w:pPr>
            <w:r>
              <w:rPr>
                <w:sz w:val="24"/>
              </w:rPr>
              <w:t>34(38.2)</w:t>
            </w:r>
          </w:p>
        </w:tc>
        <w:tc>
          <w:tcPr>
            <w:tcW w:w="1791" w:type="dxa"/>
          </w:tcPr>
          <w:p>
            <w:pPr>
              <w:pStyle w:val="TableParagraph"/>
              <w:spacing w:line="238" w:lineRule="exact" w:before="17"/>
              <w:ind w:left="687"/>
              <w:rPr>
                <w:sz w:val="24"/>
              </w:rPr>
            </w:pPr>
            <w:r>
              <w:rPr>
                <w:sz w:val="24"/>
              </w:rPr>
              <w:t>55(61.7)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7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38" w:lineRule="exact" w:before="17"/>
              <w:ind w:left="298"/>
              <w:rPr>
                <w:sz w:val="24"/>
              </w:rPr>
            </w:pPr>
            <w:r>
              <w:rPr>
                <w:sz w:val="24"/>
              </w:rPr>
              <w:t>Tertiary</w:t>
            </w:r>
          </w:p>
        </w:tc>
        <w:tc>
          <w:tcPr>
            <w:tcW w:w="1380" w:type="dxa"/>
          </w:tcPr>
          <w:p>
            <w:pPr>
              <w:pStyle w:val="TableParagraph"/>
              <w:spacing w:line="238" w:lineRule="exact" w:before="17"/>
              <w:ind w:left="132"/>
              <w:rPr>
                <w:sz w:val="24"/>
              </w:rPr>
            </w:pPr>
            <w:r>
              <w:rPr>
                <w:sz w:val="24"/>
              </w:rPr>
              <w:t>62(12.4)</w:t>
            </w:r>
          </w:p>
        </w:tc>
        <w:tc>
          <w:tcPr>
            <w:tcW w:w="2153" w:type="dxa"/>
          </w:tcPr>
          <w:p>
            <w:pPr>
              <w:pStyle w:val="TableParagraph"/>
              <w:spacing w:line="238" w:lineRule="exact" w:before="17"/>
              <w:ind w:left="274"/>
              <w:rPr>
                <w:sz w:val="24"/>
              </w:rPr>
            </w:pPr>
            <w:r>
              <w:rPr>
                <w:sz w:val="24"/>
              </w:rPr>
              <w:t>26(41.9)</w:t>
            </w:r>
          </w:p>
        </w:tc>
        <w:tc>
          <w:tcPr>
            <w:tcW w:w="1791" w:type="dxa"/>
          </w:tcPr>
          <w:p>
            <w:pPr>
              <w:pStyle w:val="TableParagraph"/>
              <w:spacing w:line="238" w:lineRule="exact" w:before="17"/>
              <w:ind w:left="687"/>
              <w:rPr>
                <w:sz w:val="24"/>
              </w:rPr>
            </w:pPr>
            <w:r>
              <w:rPr>
                <w:sz w:val="24"/>
              </w:rPr>
              <w:t>36(58.0)</w:t>
            </w:r>
          </w:p>
        </w:tc>
        <w:tc>
          <w:tcPr>
            <w:tcW w:w="1133" w:type="dxa"/>
          </w:tcPr>
          <w:p>
            <w:pPr>
              <w:pStyle w:val="TableParagraph"/>
              <w:spacing w:line="238" w:lineRule="exact" w:before="17"/>
              <w:ind w:left="166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</w:tr>
      <w:tr>
        <w:trPr>
          <w:trHeight w:val="414" w:hRule="atLeast"/>
        </w:trPr>
        <w:tc>
          <w:tcPr>
            <w:tcW w:w="1753" w:type="dxa"/>
          </w:tcPr>
          <w:p>
            <w:pPr>
              <w:pStyle w:val="TableParagraph"/>
              <w:spacing w:before="17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spacing w:before="17"/>
              <w:ind w:left="132"/>
              <w:rPr>
                <w:sz w:val="24"/>
              </w:rPr>
            </w:pPr>
            <w:r>
              <w:rPr>
                <w:sz w:val="24"/>
              </w:rPr>
              <w:t>500(100)</w:t>
            </w:r>
          </w:p>
        </w:tc>
        <w:tc>
          <w:tcPr>
            <w:tcW w:w="2153" w:type="dxa"/>
          </w:tcPr>
          <w:p>
            <w:pPr>
              <w:pStyle w:val="TableParagraph"/>
              <w:spacing w:before="17"/>
              <w:ind w:left="274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791" w:type="dxa"/>
          </w:tcPr>
          <w:p>
            <w:pPr>
              <w:pStyle w:val="TableParagraph"/>
              <w:spacing w:before="17"/>
              <w:ind w:left="687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753" w:type="dxa"/>
          </w:tcPr>
          <w:p>
            <w:pPr>
              <w:pStyle w:val="TableParagraph"/>
              <w:spacing w:line="238" w:lineRule="exact" w:before="155"/>
              <w:ind w:left="117"/>
              <w:rPr>
                <w:sz w:val="24"/>
              </w:rPr>
            </w:pPr>
            <w:r>
              <w:rPr>
                <w:sz w:val="24"/>
              </w:rPr>
              <w:t>Occupation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17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38" w:lineRule="exact" w:before="17"/>
              <w:ind w:left="298"/>
              <w:rPr>
                <w:sz w:val="24"/>
              </w:rPr>
            </w:pPr>
            <w:r>
              <w:rPr>
                <w:sz w:val="24"/>
              </w:rPr>
              <w:t>Farming</w:t>
            </w:r>
          </w:p>
        </w:tc>
        <w:tc>
          <w:tcPr>
            <w:tcW w:w="1380" w:type="dxa"/>
          </w:tcPr>
          <w:p>
            <w:pPr>
              <w:pStyle w:val="TableParagraph"/>
              <w:spacing w:line="238" w:lineRule="exact" w:before="17"/>
              <w:ind w:left="132"/>
              <w:rPr>
                <w:sz w:val="24"/>
              </w:rPr>
            </w:pPr>
            <w:r>
              <w:rPr>
                <w:sz w:val="24"/>
              </w:rPr>
              <w:t>100(20.0)</w:t>
            </w:r>
          </w:p>
        </w:tc>
        <w:tc>
          <w:tcPr>
            <w:tcW w:w="2153" w:type="dxa"/>
          </w:tcPr>
          <w:p>
            <w:pPr>
              <w:pStyle w:val="TableParagraph"/>
              <w:spacing w:line="238" w:lineRule="exact" w:before="17"/>
              <w:ind w:left="274"/>
              <w:rPr>
                <w:sz w:val="24"/>
              </w:rPr>
            </w:pPr>
            <w:r>
              <w:rPr>
                <w:sz w:val="24"/>
              </w:rPr>
              <w:t>45(45.0)</w:t>
            </w:r>
          </w:p>
        </w:tc>
        <w:tc>
          <w:tcPr>
            <w:tcW w:w="1791" w:type="dxa"/>
          </w:tcPr>
          <w:p>
            <w:pPr>
              <w:pStyle w:val="TableParagraph"/>
              <w:spacing w:line="238" w:lineRule="exact" w:before="17"/>
              <w:ind w:left="687"/>
              <w:rPr>
                <w:sz w:val="24"/>
              </w:rPr>
            </w:pPr>
            <w:r>
              <w:rPr>
                <w:sz w:val="24"/>
              </w:rPr>
              <w:t>55(55.0)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7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38" w:lineRule="exact" w:before="17"/>
              <w:ind w:left="298"/>
              <w:rPr>
                <w:sz w:val="24"/>
              </w:rPr>
            </w:pPr>
            <w:r>
              <w:rPr>
                <w:sz w:val="24"/>
              </w:rPr>
              <w:t>Unskilled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39" w:lineRule="exact" w:before="17"/>
              <w:ind w:left="298"/>
              <w:rPr>
                <w:sz w:val="24"/>
              </w:rPr>
            </w:pPr>
            <w:r>
              <w:rPr>
                <w:sz w:val="24"/>
              </w:rPr>
              <w:t>labour</w:t>
            </w:r>
          </w:p>
        </w:tc>
        <w:tc>
          <w:tcPr>
            <w:tcW w:w="1380" w:type="dxa"/>
          </w:tcPr>
          <w:p>
            <w:pPr>
              <w:pStyle w:val="TableParagraph"/>
              <w:spacing w:line="239" w:lineRule="exact" w:before="17"/>
              <w:ind w:left="132"/>
              <w:rPr>
                <w:sz w:val="24"/>
              </w:rPr>
            </w:pPr>
            <w:r>
              <w:rPr>
                <w:sz w:val="24"/>
              </w:rPr>
              <w:t>71(14.2)</w:t>
            </w:r>
          </w:p>
        </w:tc>
        <w:tc>
          <w:tcPr>
            <w:tcW w:w="2153" w:type="dxa"/>
          </w:tcPr>
          <w:p>
            <w:pPr>
              <w:pStyle w:val="TableParagraph"/>
              <w:spacing w:line="239" w:lineRule="exact" w:before="17"/>
              <w:ind w:left="274"/>
              <w:rPr>
                <w:sz w:val="24"/>
              </w:rPr>
            </w:pPr>
            <w:r>
              <w:rPr>
                <w:sz w:val="24"/>
              </w:rPr>
              <w:t>29(40.8)</w:t>
            </w:r>
          </w:p>
        </w:tc>
        <w:tc>
          <w:tcPr>
            <w:tcW w:w="1791" w:type="dxa"/>
          </w:tcPr>
          <w:p>
            <w:pPr>
              <w:pStyle w:val="TableParagraph"/>
              <w:spacing w:line="239" w:lineRule="exact" w:before="17"/>
              <w:ind w:left="687"/>
              <w:rPr>
                <w:sz w:val="24"/>
              </w:rPr>
            </w:pPr>
            <w:r>
              <w:rPr>
                <w:sz w:val="24"/>
              </w:rPr>
              <w:t>42(59.1)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38" w:lineRule="exact" w:before="18"/>
              <w:ind w:left="298"/>
              <w:rPr>
                <w:sz w:val="24"/>
              </w:rPr>
            </w:pPr>
            <w:r>
              <w:rPr>
                <w:sz w:val="24"/>
              </w:rPr>
              <w:t>Trading</w:t>
            </w:r>
          </w:p>
        </w:tc>
        <w:tc>
          <w:tcPr>
            <w:tcW w:w="1380" w:type="dxa"/>
          </w:tcPr>
          <w:p>
            <w:pPr>
              <w:pStyle w:val="TableParagraph"/>
              <w:spacing w:line="238" w:lineRule="exact" w:before="18"/>
              <w:ind w:left="132"/>
              <w:rPr>
                <w:sz w:val="24"/>
              </w:rPr>
            </w:pPr>
            <w:r>
              <w:rPr>
                <w:sz w:val="24"/>
              </w:rPr>
              <w:t>80(16.0)</w:t>
            </w:r>
          </w:p>
        </w:tc>
        <w:tc>
          <w:tcPr>
            <w:tcW w:w="2153" w:type="dxa"/>
          </w:tcPr>
          <w:p>
            <w:pPr>
              <w:pStyle w:val="TableParagraph"/>
              <w:spacing w:line="238" w:lineRule="exact" w:before="18"/>
              <w:ind w:left="274"/>
              <w:rPr>
                <w:sz w:val="24"/>
              </w:rPr>
            </w:pPr>
            <w:r>
              <w:rPr>
                <w:sz w:val="24"/>
              </w:rPr>
              <w:t>27(33.7)</w:t>
            </w:r>
          </w:p>
        </w:tc>
        <w:tc>
          <w:tcPr>
            <w:tcW w:w="1791" w:type="dxa"/>
          </w:tcPr>
          <w:p>
            <w:pPr>
              <w:pStyle w:val="TableParagraph"/>
              <w:spacing w:line="238" w:lineRule="exact" w:before="18"/>
              <w:ind w:left="687"/>
              <w:rPr>
                <w:sz w:val="24"/>
              </w:rPr>
            </w:pPr>
            <w:r>
              <w:rPr>
                <w:sz w:val="24"/>
              </w:rPr>
              <w:t>53(66.3)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38" w:lineRule="exact" w:before="17"/>
              <w:ind w:left="298"/>
              <w:rPr>
                <w:sz w:val="24"/>
              </w:rPr>
            </w:pPr>
            <w:r>
              <w:rPr>
                <w:sz w:val="24"/>
              </w:rPr>
              <w:t>Civil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servants</w:t>
            </w:r>
          </w:p>
        </w:tc>
        <w:tc>
          <w:tcPr>
            <w:tcW w:w="1380" w:type="dxa"/>
          </w:tcPr>
          <w:p>
            <w:pPr>
              <w:pStyle w:val="TableParagraph"/>
              <w:spacing w:line="238" w:lineRule="exact" w:before="17"/>
              <w:ind w:left="132"/>
              <w:rPr>
                <w:sz w:val="24"/>
              </w:rPr>
            </w:pPr>
            <w:r>
              <w:rPr>
                <w:sz w:val="24"/>
              </w:rPr>
              <w:t>49(9.8)</w:t>
            </w:r>
          </w:p>
        </w:tc>
        <w:tc>
          <w:tcPr>
            <w:tcW w:w="2153" w:type="dxa"/>
          </w:tcPr>
          <w:p>
            <w:pPr>
              <w:pStyle w:val="TableParagraph"/>
              <w:spacing w:line="238" w:lineRule="exact" w:before="17"/>
              <w:ind w:left="274"/>
              <w:rPr>
                <w:sz w:val="24"/>
              </w:rPr>
            </w:pPr>
            <w:r>
              <w:rPr>
                <w:sz w:val="24"/>
              </w:rPr>
              <w:t>16(32.7)</w:t>
            </w:r>
          </w:p>
        </w:tc>
        <w:tc>
          <w:tcPr>
            <w:tcW w:w="1791" w:type="dxa"/>
          </w:tcPr>
          <w:p>
            <w:pPr>
              <w:pStyle w:val="TableParagraph"/>
              <w:spacing w:line="238" w:lineRule="exact" w:before="17"/>
              <w:ind w:left="687"/>
              <w:rPr>
                <w:sz w:val="24"/>
              </w:rPr>
            </w:pPr>
            <w:r>
              <w:rPr>
                <w:sz w:val="24"/>
              </w:rPr>
              <w:t>33(67.3)</w:t>
            </w:r>
          </w:p>
        </w:tc>
        <w:tc>
          <w:tcPr>
            <w:tcW w:w="1133" w:type="dxa"/>
          </w:tcPr>
          <w:p>
            <w:pPr>
              <w:pStyle w:val="TableParagraph"/>
              <w:spacing w:line="238" w:lineRule="exact" w:before="17"/>
              <w:ind w:left="166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276" w:hRule="atLeast"/>
        </w:trPr>
        <w:tc>
          <w:tcPr>
            <w:tcW w:w="17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38" w:lineRule="exact" w:before="17"/>
              <w:ind w:left="298"/>
              <w:rPr>
                <w:sz w:val="24"/>
              </w:rPr>
            </w:pPr>
            <w:r>
              <w:rPr>
                <w:sz w:val="24"/>
              </w:rPr>
              <w:t>Unemployed</w:t>
            </w:r>
          </w:p>
        </w:tc>
        <w:tc>
          <w:tcPr>
            <w:tcW w:w="1380" w:type="dxa"/>
          </w:tcPr>
          <w:p>
            <w:pPr>
              <w:pStyle w:val="TableParagraph"/>
              <w:spacing w:line="238" w:lineRule="exact" w:before="17"/>
              <w:ind w:left="132"/>
              <w:rPr>
                <w:sz w:val="24"/>
              </w:rPr>
            </w:pPr>
            <w:r>
              <w:rPr>
                <w:sz w:val="24"/>
              </w:rPr>
              <w:t>200(40.0)</w:t>
            </w:r>
          </w:p>
        </w:tc>
        <w:tc>
          <w:tcPr>
            <w:tcW w:w="2153" w:type="dxa"/>
          </w:tcPr>
          <w:p>
            <w:pPr>
              <w:pStyle w:val="TableParagraph"/>
              <w:spacing w:line="238" w:lineRule="exact" w:before="17"/>
              <w:ind w:left="274"/>
              <w:rPr>
                <w:sz w:val="24"/>
              </w:rPr>
            </w:pPr>
            <w:r>
              <w:rPr>
                <w:sz w:val="24"/>
              </w:rPr>
              <w:t>128(61.0)</w:t>
            </w:r>
          </w:p>
        </w:tc>
        <w:tc>
          <w:tcPr>
            <w:tcW w:w="1791" w:type="dxa"/>
          </w:tcPr>
          <w:p>
            <w:pPr>
              <w:pStyle w:val="TableParagraph"/>
              <w:spacing w:line="238" w:lineRule="exact" w:before="17"/>
              <w:ind w:left="687"/>
              <w:rPr>
                <w:sz w:val="24"/>
              </w:rPr>
            </w:pPr>
            <w:r>
              <w:rPr>
                <w:sz w:val="24"/>
              </w:rPr>
              <w:t>72(36.0)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75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1" w:lineRule="exact" w:before="17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58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1" w:lineRule="exact" w:before="17"/>
              <w:ind w:left="132"/>
              <w:rPr>
                <w:b/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100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215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1" w:lineRule="exact" w:before="17"/>
              <w:ind w:left="274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79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1" w:lineRule="exact" w:before="17"/>
              <w:ind w:left="687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133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line="278" w:lineRule="auto"/>
        <w:ind w:left="991" w:right="2063"/>
      </w:pPr>
      <w:r>
        <w:rPr/>
        <w:t>At P &lt; 0.05 age group and gender are significant risk factors influencing malaria infections.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occupation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risk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influencing</w:t>
      </w:r>
      <w:r>
        <w:rPr>
          <w:spacing w:val="-4"/>
        </w:rPr>
        <w:t> </w:t>
      </w:r>
      <w:r>
        <w:rPr/>
        <w:t>malaria</w:t>
      </w:r>
      <w:r>
        <w:rPr>
          <w:spacing w:val="-1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P</w:t>
      </w:r>
      <w:r>
        <w:rPr>
          <w:spacing w:val="1"/>
        </w:rPr>
        <w:t> </w:t>
      </w:r>
      <w:r>
        <w:rPr/>
        <w:t>&lt;</w:t>
      </w:r>
      <w:r>
        <w:rPr>
          <w:spacing w:val="-2"/>
        </w:rPr>
        <w:t> </w:t>
      </w:r>
      <w:r>
        <w:rPr/>
        <w:t>0.05</w:t>
      </w:r>
    </w:p>
    <w:p>
      <w:pPr>
        <w:spacing w:after="0" w:line="278" w:lineRule="auto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2"/>
          <w:numId w:val="12"/>
        </w:numPr>
        <w:tabs>
          <w:tab w:pos="1473" w:val="left" w:leader="none"/>
        </w:tabs>
        <w:spacing w:line="240" w:lineRule="auto" w:before="90" w:after="0"/>
        <w:ind w:left="1472" w:right="0" w:hanging="482"/>
        <w:jc w:val="left"/>
      </w:pPr>
      <w:r>
        <w:rPr/>
        <w:t>:</w:t>
      </w:r>
      <w:r>
        <w:rPr>
          <w:spacing w:val="57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 malarial</w:t>
      </w:r>
      <w:r>
        <w:rPr>
          <w:spacing w:val="-1"/>
        </w:rPr>
        <w:t> </w:t>
      </w:r>
      <w:r>
        <w:rPr/>
        <w:t>parasite</w:t>
      </w:r>
      <w:r>
        <w:rPr>
          <w:spacing w:val="-2"/>
        </w:rPr>
        <w:t> </w:t>
      </w:r>
      <w:r>
        <w:rPr/>
        <w:t>in pregnant</w:t>
      </w:r>
      <w:r>
        <w:rPr>
          <w:spacing w:val="-1"/>
        </w:rPr>
        <w:t> </w:t>
      </w:r>
      <w:r>
        <w:rPr/>
        <w:t>women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991"/>
      </w:pPr>
      <w:r>
        <w:rPr/>
        <w:t>The</w:t>
      </w:r>
      <w:r>
        <w:rPr>
          <w:spacing w:val="20"/>
        </w:rPr>
        <w:t> </w:t>
      </w:r>
      <w:r>
        <w:rPr/>
        <w:t>positive</w:t>
      </w:r>
      <w:r>
        <w:rPr>
          <w:spacing w:val="20"/>
        </w:rPr>
        <w:t> </w:t>
      </w:r>
      <w:r>
        <w:rPr/>
        <w:t>cases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malaria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study</w:t>
      </w:r>
      <w:r>
        <w:rPr>
          <w:spacing w:val="16"/>
        </w:rPr>
        <w:t> </w:t>
      </w:r>
      <w:r>
        <w:rPr/>
        <w:t>population</w:t>
      </w:r>
      <w:r>
        <w:rPr>
          <w:spacing w:val="21"/>
        </w:rPr>
        <w:t> </w:t>
      </w:r>
      <w:r>
        <w:rPr/>
        <w:t>with</w:t>
      </w:r>
      <w:r>
        <w:rPr>
          <w:spacing w:val="26"/>
        </w:rPr>
        <w:t> </w:t>
      </w:r>
      <w:r>
        <w:rPr/>
        <w:t>regards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pregnancy</w:t>
      </w:r>
      <w:r>
        <w:rPr>
          <w:spacing w:val="18"/>
        </w:rPr>
        <w:t> </w:t>
      </w:r>
      <w:r>
        <w:rPr/>
        <w:t>is</w:t>
      </w:r>
      <w:r>
        <w:rPr>
          <w:spacing w:val="22"/>
        </w:rPr>
        <w:t> </w:t>
      </w:r>
      <w:r>
        <w:rPr/>
        <w:t>shown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Figure</w:t>
      </w:r>
    </w:p>
    <w:p>
      <w:pPr>
        <w:pStyle w:val="BodyText"/>
      </w:pPr>
    </w:p>
    <w:p>
      <w:pPr>
        <w:pStyle w:val="BodyText"/>
        <w:spacing w:line="480" w:lineRule="auto"/>
        <w:ind w:left="991" w:right="1255"/>
        <w:jc w:val="both"/>
      </w:pPr>
      <w:r>
        <w:rPr/>
        <w:pict>
          <v:shape style="position:absolute;margin-left:22.5pt;margin-top:239.523102pt;width:24.75pt;height:103.5pt;mso-position-horizontal-relative:page;mso-position-vertical-relative:paragraph;z-index:15732736" type="#_x0000_t202" filled="false" stroked="true" strokeweight=".75pt" strokecolor="#000000">
            <v:textbox inset="0,0,0,0" style="layout-flow:vertical">
              <w:txbxContent>
                <w:p>
                  <w:pPr>
                    <w:spacing w:before="145"/>
                    <w:ind w:left="73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%</w:t>
                  </w:r>
                  <w:r>
                    <w:rPr>
                      <w:rFonts w:asci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PREVALENCE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4.2. Gestational age and pregnancy was considered. And it was recorded that of the total of 118</w:t>
      </w:r>
      <w:r>
        <w:rPr>
          <w:spacing w:val="1"/>
        </w:rPr>
        <w:t> </w:t>
      </w:r>
      <w:r>
        <w:rPr/>
        <w:t>pregnant women out of a total of 336 women in</w:t>
      </w:r>
      <w:r>
        <w:rPr>
          <w:spacing w:val="60"/>
        </w:rPr>
        <w:t> </w:t>
      </w:r>
      <w:r>
        <w:rPr/>
        <w:t>the study, 48.6 % malaria prevalence was recorded</w:t>
      </w:r>
      <w:r>
        <w:rPr>
          <w:spacing w:val="1"/>
        </w:rPr>
        <w:t> </w:t>
      </w:r>
      <w:r>
        <w:rPr/>
        <w:t>for women in their first and third trimesters, 44.0 % malaria prevalence was recorded in women in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second trimester.</w:t>
      </w:r>
      <w:r>
        <w:rPr>
          <w:spacing w:val="2"/>
        </w:rPr>
        <w:t> </w:t>
      </w:r>
      <w:r>
        <w:rPr/>
        <w:t>Appendix</w:t>
      </w:r>
      <w:r>
        <w:rPr>
          <w:spacing w:val="1"/>
        </w:rPr>
        <w:t> </w:t>
      </w:r>
      <w:r>
        <w:rPr/>
        <w:t>IV contains detailed</w:t>
      </w:r>
      <w:r>
        <w:rPr>
          <w:spacing w:val="-1"/>
        </w:rPr>
        <w:t> </w:t>
      </w:r>
      <w:r>
        <w:rPr/>
        <w:t>information on this figure.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group style="position:absolute;margin-left:50.639999pt;margin-top:13.094902pt;width:429pt;height:228.75pt;mso-position-horizontal-relative:page;mso-position-vertical-relative:paragraph;z-index:-15725056;mso-wrap-distance-left:0;mso-wrap-distance-right:0" coordorigin="1013,262" coordsize="8580,4575">
            <v:shape style="position:absolute;left:1476;top:492;width:6536;height:3900" coordorigin="1476,492" coordsize="6536,3900" path="m1538,4330l1538,492m1476,4330l1538,4330m1476,3850l1538,3850m1476,3370l1538,3370m1476,2890l1538,2890m1476,2410l1538,2410m1476,1930l1538,1930m1476,1452l1538,1452m1476,972l1538,972m1476,492l1538,492m1538,4330l8011,4330m1538,4330l1538,4392m3696,4330l3696,4392m5854,4330l5854,4392m8011,4330l8011,4392e" filled="false" stroked="true" strokeweight=".72pt" strokecolor="#858585">
              <v:path arrowok="t"/>
              <v:stroke dashstyle="solid"/>
            </v:shape>
            <v:rect style="position:absolute;left:8332;top:2496;width:108;height:108" filled="true" fillcolor="#4f81bc" stroked="false">
              <v:fill type="solid"/>
            </v:rect>
            <v:rect style="position:absolute;left:1020;top:269;width:8566;height:4560" filled="false" stroked="true" strokeweight=".72pt" strokecolor="#858585">
              <v:stroke dashstyle="solid"/>
            </v:rect>
            <v:shape style="position:absolute;left:1150;top:400;width:222;height:211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490;top:2458;width:91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Prevalence</w:t>
                    </w:r>
                  </w:p>
                </w:txbxContent>
              </v:textbox>
              <w10:wrap type="none"/>
            </v:shape>
            <v:shape style="position:absolute;left:1150;top:2799;width:222;height:163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025;top:4497;width:120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First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Trimester</w:t>
                    </w:r>
                  </w:p>
                </w:txbxContent>
              </v:textbox>
              <w10:wrap type="none"/>
            </v:shape>
            <v:shape style="position:absolute;left:4064;top:4497;width:14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Second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Trimester</w:t>
                    </w:r>
                  </w:p>
                </w:txbxContent>
              </v:textbox>
              <w10:wrap type="none"/>
            </v:shape>
            <v:shape style="position:absolute;left:6306;top:4497;width:12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Third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Trimester</w:t>
                    </w:r>
                  </w:p>
                </w:txbxContent>
              </v:textbox>
              <w10:wrap type="none"/>
            </v:shape>
            <v:shape style="position:absolute;left:4344;top:1068;width:862;height:3262" type="#_x0000_t202" filled="true" fillcolor="#4f81bc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292" w:right="32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44</w:t>
                    </w:r>
                  </w:p>
                </w:txbxContent>
              </v:textbox>
              <v:fill type="solid"/>
              <w10:wrap type="none"/>
            </v:shape>
            <v:shape style="position:absolute;left:6501;top:626;width:864;height:3704" type="#_x0000_t202" filled="true" fillcolor="#4f81bc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23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48.6</w:t>
                    </w:r>
                  </w:p>
                </w:txbxContent>
              </v:textbox>
              <v:fill type="solid"/>
              <w10:wrap type="none"/>
            </v:shape>
            <v:shape style="position:absolute;left:2186;top:626;width:862;height:3704" type="#_x0000_t202" filled="true" fillcolor="#4f81bc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19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48.6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Heading1"/>
        <w:spacing w:before="165"/>
        <w:ind w:left="3922"/>
        <w:jc w:val="left"/>
      </w:pPr>
      <w:r>
        <w:rPr/>
        <w:t>Gestation</w:t>
      </w:r>
    </w:p>
    <w:p>
      <w:pPr>
        <w:pStyle w:val="BodyText"/>
        <w:spacing w:before="195"/>
        <w:ind w:left="991"/>
      </w:pP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-1"/>
        </w:rPr>
        <w:t> </w:t>
      </w:r>
      <w:r>
        <w:rPr/>
        <w:t>Prevalence</w:t>
      </w:r>
      <w:r>
        <w:rPr>
          <w:spacing w:val="-1"/>
        </w:rPr>
        <w:t> </w:t>
      </w:r>
      <w:r>
        <w:rPr/>
        <w:t>of malarial</w:t>
      </w:r>
      <w:r>
        <w:rPr>
          <w:spacing w:val="-1"/>
        </w:rPr>
        <w:t> </w:t>
      </w:r>
      <w:r>
        <w:rPr/>
        <w:t>parasite</w:t>
      </w:r>
      <w:r>
        <w:rPr>
          <w:spacing w:val="-1"/>
        </w:rPr>
        <w:t> </w:t>
      </w:r>
      <w:r>
        <w:rPr/>
        <w:t>in pregnant</w:t>
      </w:r>
      <w:r>
        <w:rPr>
          <w:spacing w:val="-1"/>
        </w:rPr>
        <w:t> </w:t>
      </w:r>
      <w:r>
        <w:rPr/>
        <w:t>women</w:t>
      </w:r>
    </w:p>
    <w:p>
      <w:pPr>
        <w:spacing w:after="0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numPr>
          <w:ilvl w:val="2"/>
          <w:numId w:val="12"/>
        </w:numPr>
        <w:tabs>
          <w:tab w:pos="1652" w:val="left" w:leader="none"/>
        </w:tabs>
        <w:spacing w:line="240" w:lineRule="auto" w:before="90" w:after="0"/>
        <w:ind w:left="1651" w:right="0" w:hanging="661"/>
        <w:jc w:val="both"/>
      </w:pPr>
      <w:r>
        <w:rPr/>
        <w:t>Prevalence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malarial</w:t>
      </w:r>
      <w:r>
        <w:rPr>
          <w:spacing w:val="-1"/>
        </w:rPr>
        <w:t> </w:t>
      </w:r>
      <w:r>
        <w:rPr/>
        <w:t>parasite</w:t>
      </w:r>
      <w:r>
        <w:rPr>
          <w:spacing w:val="-3"/>
        </w:rPr>
        <w:t> </w:t>
      </w:r>
      <w:r>
        <w:rPr/>
        <w:t>among</w:t>
      </w:r>
      <w:r>
        <w:rPr>
          <w:spacing w:val="-1"/>
        </w:rPr>
        <w:t> </w:t>
      </w:r>
      <w:r>
        <w:rPr/>
        <w:t>women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children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91" w:right="1259"/>
        <w:jc w:val="both"/>
      </w:pPr>
      <w:r>
        <w:rPr/>
        <w:pict>
          <v:rect style="position:absolute;margin-left:390.23999pt;margin-top:243.433136pt;width:5.52pt;height:5.52pt;mso-position-horizontal-relative:page;mso-position-vertical-relative:paragraph;z-index:-20989440" filled="true" fillcolor="#4f81bc" stroked="false">
            <v:fill type="solid"/>
            <w10:wrap type="none"/>
          </v:rect>
        </w:pict>
      </w:r>
      <w:r>
        <w:rPr/>
        <w:pict>
          <v:rect style="position:absolute;margin-left:390.23999pt;margin-top:261.433136pt;width:5.52pt;height:5.52pt;mso-position-horizontal-relative:page;mso-position-vertical-relative:paragraph;z-index:-20988928" filled="true" fillcolor="#c0504d" stroked="false">
            <v:fill type="solid"/>
            <w10:wrap type="none"/>
          </v:rect>
        </w:pict>
      </w:r>
      <w:r>
        <w:rPr/>
        <w:t>Prevalence of malaria among women and children was determined. Out of the 500 people sampled in</w:t>
      </w:r>
      <w:r>
        <w:rPr>
          <w:spacing w:val="1"/>
        </w:rPr>
        <w:t> </w:t>
      </w:r>
      <w:r>
        <w:rPr/>
        <w:t>the study areas, 118 were pregnant women, 218 were non pregnant women while 164 were children</w:t>
      </w:r>
      <w:r>
        <w:rPr>
          <w:spacing w:val="1"/>
        </w:rPr>
        <w:t> </w:t>
      </w:r>
      <w:r>
        <w:rPr/>
        <w:t>between the ages of 0-12 years old. Malaria prevalence for each of these sections of the study areas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figure</w:t>
      </w:r>
      <w:r>
        <w:rPr>
          <w:spacing w:val="-3"/>
        </w:rPr>
        <w:t> </w:t>
      </w:r>
      <w:r>
        <w:rPr/>
        <w:t>below. The</w:t>
      </w:r>
      <w:r>
        <w:rPr>
          <w:spacing w:val="-2"/>
        </w:rPr>
        <w:t> </w:t>
      </w:r>
      <w:r>
        <w:rPr/>
        <w:t>Table</w:t>
      </w:r>
      <w:r>
        <w:rPr>
          <w:spacing w:val="1"/>
        </w:rPr>
        <w:t> </w:t>
      </w:r>
      <w:r>
        <w:rPr/>
        <w:t>carrying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information is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appendix</w:t>
      </w:r>
      <w:r>
        <w:rPr>
          <w:spacing w:val="4"/>
        </w:rPr>
        <w:t> </w:t>
      </w:r>
      <w:r>
        <w:rPr/>
        <w:t>III.</w:t>
      </w:r>
    </w:p>
    <w:p>
      <w:pPr>
        <w:pStyle w:val="BodyText"/>
        <w:ind w:left="1012"/>
        <w:rPr>
          <w:sz w:val="20"/>
        </w:rPr>
      </w:pPr>
      <w:r>
        <w:rPr>
          <w:sz w:val="20"/>
        </w:rPr>
        <w:pict>
          <v:group style="width:444.75pt;height:307.45pt;mso-position-horizontal-relative:char;mso-position-vertical-relative:line" coordorigin="0,0" coordsize="8895,6149">
            <v:shape style="position:absolute;left:607;top:1211;width:6058;height:3561" type="#_x0000_t75" stroked="false">
              <v:imagedata r:id="rId12" o:title=""/>
            </v:shape>
            <v:shape style="position:absolute;left:7;top:7;width:8880;height:6135" type="#_x0000_t202" filled="false" stroked="true" strokeweight=".72pt" strokecolor="#858585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5208" w:right="3262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44.6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93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70.7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1"/>
                      <w:ind w:left="693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Pregnant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women</w:t>
                    </w:r>
                  </w:p>
                  <w:p>
                    <w:pPr>
                      <w:spacing w:line="362" w:lineRule="exact" w:before="18"/>
                      <w:ind w:left="6936" w:right="12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Non-pregnant</w:t>
                    </w:r>
                    <w:r>
                      <w:rPr>
                        <w:rFonts w:ascii="Calibri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women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Children</w:t>
                    </w:r>
                  </w:p>
                  <w:p>
                    <w:pPr>
                      <w:spacing w:line="195" w:lineRule="exact" w:before="0"/>
                      <w:ind w:left="495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33.9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24"/>
        <w:ind w:left="991"/>
        <w:jc w:val="both"/>
      </w:pPr>
      <w:r>
        <w:rPr/>
        <w:pict>
          <v:rect style="position:absolute;margin-left:390.23999pt;margin-top:-138.736877pt;width:5.52pt;height:5.52pt;mso-position-horizontal-relative:page;mso-position-vertical-relative:paragraph;z-index:-20988416" filled="true" fillcolor="#9bba58" stroked="false">
            <v:fill type="solid"/>
            <w10:wrap type="none"/>
          </v:rect>
        </w:pict>
      </w:r>
      <w:r>
        <w:rPr/>
        <w:t>Figure</w:t>
      </w:r>
      <w:r>
        <w:rPr>
          <w:spacing w:val="-3"/>
        </w:rPr>
        <w:t> </w:t>
      </w:r>
      <w:r>
        <w:rPr/>
        <w:t>4.3:</w:t>
      </w:r>
      <w:r>
        <w:rPr>
          <w:spacing w:val="-1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 malarial</w:t>
      </w:r>
      <w:r>
        <w:rPr>
          <w:spacing w:val="-1"/>
        </w:rPr>
        <w:t> </w:t>
      </w:r>
      <w:r>
        <w:rPr/>
        <w:t>parasite</w:t>
      </w:r>
      <w:r>
        <w:rPr>
          <w:spacing w:val="-2"/>
        </w:rPr>
        <w:t> </w:t>
      </w:r>
      <w:r>
        <w:rPr/>
        <w:t>among</w:t>
      </w:r>
      <w:r>
        <w:rPr>
          <w:spacing w:val="-1"/>
        </w:rPr>
        <w:t> </w:t>
      </w:r>
      <w:r>
        <w:rPr/>
        <w:t>women</w:t>
      </w:r>
      <w:r>
        <w:rPr>
          <w:spacing w:val="-1"/>
        </w:rPr>
        <w:t> </w:t>
      </w:r>
      <w:r>
        <w:rPr/>
        <w:t>and children</w:t>
      </w:r>
    </w:p>
    <w:p>
      <w:pPr>
        <w:spacing w:after="0"/>
        <w:jc w:val="both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2"/>
          <w:numId w:val="12"/>
        </w:numPr>
        <w:tabs>
          <w:tab w:pos="1473" w:val="left" w:leader="none"/>
        </w:tabs>
        <w:spacing w:line="240" w:lineRule="auto" w:before="90" w:after="0"/>
        <w:ind w:left="1472" w:right="0" w:hanging="482"/>
        <w:jc w:val="both"/>
      </w:pPr>
      <w:r>
        <w:rPr/>
        <w:t>:</w:t>
      </w:r>
      <w:r>
        <w:rPr>
          <w:spacing w:val="59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malarial</w:t>
      </w:r>
      <w:r>
        <w:rPr>
          <w:spacing w:val="-1"/>
        </w:rPr>
        <w:t> </w:t>
      </w:r>
      <w:r>
        <w:rPr/>
        <w:t>parasite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regards to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 the Respondents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991" w:right="1253"/>
        <w:jc w:val="both"/>
      </w:pPr>
      <w:r>
        <w:rPr/>
        <w:t>The prevalence of malarial parasite with regards to knowledge of the subjects on transmission is</w:t>
      </w:r>
      <w:r>
        <w:rPr>
          <w:spacing w:val="1"/>
        </w:rPr>
        <w:t> </w:t>
      </w:r>
      <w:r>
        <w:rPr/>
        <w:t>presented in Table 4.2. Out of the total population sampled, 58.0 % prevalence was recorded for those</w:t>
      </w:r>
      <w:r>
        <w:rPr>
          <w:spacing w:val="-57"/>
        </w:rPr>
        <w:t> </w:t>
      </w:r>
      <w:r>
        <w:rPr/>
        <w:t>without the correct knowledge of transmission. While Respondents with the correct knowledge of</w:t>
      </w:r>
      <w:r>
        <w:rPr>
          <w:spacing w:val="1"/>
        </w:rPr>
        <w:t> </w:t>
      </w:r>
      <w:r>
        <w:rPr/>
        <w:t>transmission recorded prevalence</w:t>
      </w:r>
      <w:r>
        <w:rPr>
          <w:spacing w:val="-1"/>
        </w:rPr>
        <w:t> </w:t>
      </w:r>
      <w:r>
        <w:rPr/>
        <w:t>of 45.1 %.</w:t>
      </w:r>
    </w:p>
    <w:p>
      <w:pPr>
        <w:pStyle w:val="Heading1"/>
        <w:spacing w:before="208"/>
      </w:pPr>
      <w:r>
        <w:rPr/>
        <w:t>Table</w:t>
      </w:r>
      <w:r>
        <w:rPr>
          <w:spacing w:val="-1"/>
        </w:rPr>
        <w:t> </w:t>
      </w:r>
      <w:r>
        <w:rPr/>
        <w:t>4.2</w:t>
      </w:r>
      <w:r>
        <w:rPr>
          <w:spacing w:val="57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 malarial</w:t>
      </w:r>
      <w:r>
        <w:rPr>
          <w:spacing w:val="-1"/>
        </w:rPr>
        <w:t> </w:t>
      </w:r>
      <w:r>
        <w:rPr/>
        <w:t>parasite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regards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 of</w:t>
      </w:r>
      <w:r>
        <w:rPr>
          <w:spacing w:val="3"/>
        </w:rPr>
        <w:t> </w:t>
      </w:r>
      <w:r>
        <w:rPr/>
        <w:t>transmission</w:t>
      </w:r>
    </w:p>
    <w:p>
      <w:pPr>
        <w:pStyle w:val="BodyText"/>
        <w:spacing w:before="1"/>
        <w:rPr>
          <w:b/>
          <w:sz w:val="21"/>
        </w:rPr>
      </w:pPr>
    </w:p>
    <w:tbl>
      <w:tblPr>
        <w:tblW w:w="0" w:type="auto"/>
        <w:jc w:val="left"/>
        <w:tblInd w:w="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1"/>
        <w:gridCol w:w="2718"/>
        <w:gridCol w:w="1383"/>
        <w:gridCol w:w="1145"/>
        <w:gridCol w:w="804"/>
        <w:gridCol w:w="861"/>
      </w:tblGrid>
      <w:tr>
        <w:trPr>
          <w:trHeight w:val="826" w:hRule="atLeast"/>
        </w:trPr>
        <w:tc>
          <w:tcPr>
            <w:tcW w:w="31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17" w:right="454"/>
              <w:rPr>
                <w:sz w:val="24"/>
              </w:rPr>
            </w:pPr>
            <w:r>
              <w:rPr>
                <w:sz w:val="24"/>
              </w:rPr>
              <w:t>Response to knowledge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transmission</w:t>
            </w:r>
          </w:p>
        </w:tc>
        <w:tc>
          <w:tcPr>
            <w:tcW w:w="271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474" w:right="671"/>
              <w:rPr>
                <w:sz w:val="24"/>
              </w:rPr>
            </w:pPr>
            <w:r>
              <w:rPr>
                <w:sz w:val="24"/>
              </w:rPr>
              <w:t>Num. of correct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8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7" w:lineRule="exact"/>
              <w:ind w:left="677"/>
              <w:rPr>
                <w:sz w:val="24"/>
              </w:rPr>
            </w:pPr>
            <w:r>
              <w:rPr>
                <w:sz w:val="24"/>
              </w:rPr>
              <w:t>Num.</w:t>
            </w:r>
          </w:p>
          <w:p>
            <w:pPr>
              <w:pStyle w:val="TableParagraph"/>
              <w:spacing w:line="270" w:lineRule="atLeast"/>
              <w:ind w:left="677" w:right="152"/>
              <w:rPr>
                <w:sz w:val="24"/>
              </w:rPr>
            </w:pPr>
            <w:r>
              <w:rPr>
                <w:sz w:val="24"/>
              </w:rPr>
              <w:t>positi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</w:t>
            </w:r>
          </w:p>
        </w:tc>
        <w:tc>
          <w:tcPr>
            <w:tcW w:w="114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63" w:right="130"/>
              <w:rPr>
                <w:sz w:val="24"/>
              </w:rPr>
            </w:pPr>
            <w:r>
              <w:rPr>
                <w:spacing w:val="-1"/>
                <w:sz w:val="24"/>
              </w:rPr>
              <w:t>Prevalen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80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32" w:lineRule="auto" w:before="35"/>
              <w:ind w:left="139"/>
              <w:rPr>
                <w:sz w:val="16"/>
              </w:rPr>
            </w:pPr>
            <w:r>
              <w:rPr>
                <w:position w:val="-8"/>
                <w:sz w:val="24"/>
              </w:rPr>
              <w:t>X</w:t>
            </w:r>
            <w:r>
              <w:rPr>
                <w:sz w:val="16"/>
              </w:rPr>
              <w:t>2</w:t>
            </w:r>
          </w:p>
        </w:tc>
        <w:tc>
          <w:tcPr>
            <w:tcW w:w="86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7" w:lineRule="exact"/>
              <w:ind w:left="118"/>
              <w:rPr>
                <w:sz w:val="24"/>
              </w:rPr>
            </w:pPr>
            <w:r>
              <w:rPr>
                <w:sz w:val="24"/>
              </w:rPr>
              <w:t>P-</w:t>
            </w: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</w:tr>
      <w:tr>
        <w:trPr>
          <w:trHeight w:val="550" w:hRule="atLeast"/>
        </w:trPr>
        <w:tc>
          <w:tcPr>
            <w:tcW w:w="31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Correct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knowledge</w:t>
            </w:r>
          </w:p>
        </w:tc>
        <w:tc>
          <w:tcPr>
            <w:tcW w:w="27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474"/>
              <w:rPr>
                <w:sz w:val="24"/>
              </w:rPr>
            </w:pPr>
            <w:r>
              <w:rPr>
                <w:sz w:val="24"/>
              </w:rPr>
              <w:t>350(70)</w:t>
            </w:r>
          </w:p>
        </w:tc>
        <w:tc>
          <w:tcPr>
            <w:tcW w:w="138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1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63"/>
              <w:rPr>
                <w:sz w:val="24"/>
              </w:rPr>
            </w:pPr>
            <w:r>
              <w:rPr>
                <w:sz w:val="24"/>
              </w:rPr>
              <w:t>45.1</w:t>
            </w:r>
          </w:p>
        </w:tc>
        <w:tc>
          <w:tcPr>
            <w:tcW w:w="8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39"/>
              <w:rPr>
                <w:sz w:val="24"/>
              </w:rPr>
            </w:pPr>
            <w:r>
              <w:rPr>
                <w:sz w:val="24"/>
              </w:rPr>
              <w:t>11.26</w:t>
            </w:r>
          </w:p>
          <w:p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18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333" w:hRule="atLeast"/>
        </w:trPr>
        <w:tc>
          <w:tcPr>
            <w:tcW w:w="31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Incorrect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knowledge</w:t>
            </w:r>
          </w:p>
        </w:tc>
        <w:tc>
          <w:tcPr>
            <w:tcW w:w="271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1" w:lineRule="exact"/>
              <w:ind w:left="474"/>
              <w:rPr>
                <w:sz w:val="24"/>
              </w:rPr>
            </w:pPr>
            <w:r>
              <w:rPr>
                <w:sz w:val="24"/>
              </w:rPr>
              <w:t>150(30)</w:t>
            </w:r>
          </w:p>
        </w:tc>
        <w:tc>
          <w:tcPr>
            <w:tcW w:w="138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1" w:lineRule="exact"/>
              <w:ind w:right="463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58.0</w:t>
            </w:r>
          </w:p>
        </w:tc>
        <w:tc>
          <w:tcPr>
            <w:tcW w:w="804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1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276" w:lineRule="auto"/>
        <w:ind w:left="991" w:right="2137"/>
      </w:pPr>
      <w:r>
        <w:rPr/>
        <w:t>At</w:t>
      </w:r>
      <w:r>
        <w:rPr>
          <w:spacing w:val="-2"/>
        </w:rPr>
        <w:t> </w:t>
      </w:r>
      <w:r>
        <w:rPr/>
        <w:t>P</w:t>
      </w:r>
      <w:r>
        <w:rPr>
          <w:spacing w:val="-1"/>
        </w:rPr>
        <w:t> </w:t>
      </w:r>
      <w:r>
        <w:rPr/>
        <w:t>&lt;</w:t>
      </w:r>
      <w:r>
        <w:rPr>
          <w:spacing w:val="-2"/>
        </w:rPr>
        <w:t> </w:t>
      </w:r>
      <w:r>
        <w:rPr/>
        <w:t>0.05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between</w:t>
      </w:r>
      <w:r>
        <w:rPr>
          <w:spacing w:val="4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correct and</w:t>
      </w:r>
      <w:r>
        <w:rPr>
          <w:spacing w:val="-1"/>
        </w:rPr>
        <w:t> </w:t>
      </w:r>
      <w:r>
        <w:rPr/>
        <w:t>incorrect</w:t>
      </w:r>
      <w:r>
        <w:rPr>
          <w:spacing w:val="-57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of transmission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</w:t>
      </w:r>
      <w:r>
        <w:rPr>
          <w:spacing w:val="-2"/>
        </w:rPr>
        <w:t> </w:t>
      </w:r>
      <w:r>
        <w:rPr/>
        <w:t>infections.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480" w:lineRule="auto" w:before="1"/>
        <w:ind w:left="991" w:right="1254"/>
        <w:jc w:val="both"/>
      </w:pPr>
      <w:r>
        <w:rPr/>
        <w:t>The prevalence of malarial parasites in respect to the knowledge of signs and symptoms of malaria</w:t>
      </w:r>
      <w:r>
        <w:rPr>
          <w:spacing w:val="1"/>
        </w:rPr>
        <w:t> </w:t>
      </w:r>
      <w:r>
        <w:rPr/>
        <w:t>was described in Table 4.3. Of the sampled population, 59.1 % had knowledge of headache, 51.0%</w:t>
      </w:r>
      <w:r>
        <w:rPr>
          <w:spacing w:val="1"/>
        </w:rPr>
        <w:t> </w:t>
      </w:r>
      <w:r>
        <w:rPr/>
        <w:t>dizziness, followed in descending order by chills (50.4 %), loss of appetite (50.2 %), fever (46.6 %),</w:t>
      </w:r>
      <w:r>
        <w:rPr>
          <w:spacing w:val="1"/>
        </w:rPr>
        <w:t> </w:t>
      </w:r>
      <w:r>
        <w:rPr/>
        <w:t>weakness (46.4 %), body pain (45.6 %), vomiting (35.5 %) and 4.8 %</w:t>
      </w:r>
      <w:r>
        <w:rPr>
          <w:spacing w:val="1"/>
        </w:rPr>
        <w:t> </w:t>
      </w:r>
      <w:r>
        <w:rPr/>
        <w:t>had no knowledge of the signs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symptoms.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7"/>
        <w:jc w:val="left"/>
      </w:pPr>
      <w:r>
        <w:rPr/>
        <w:t>Table</w:t>
      </w:r>
      <w:r>
        <w:rPr>
          <w:spacing w:val="-2"/>
        </w:rPr>
        <w:t> </w:t>
      </w:r>
      <w:r>
        <w:rPr/>
        <w:t>4.3</w:t>
      </w:r>
      <w:r>
        <w:rPr>
          <w:spacing w:val="57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 malaria</w:t>
      </w:r>
      <w:r>
        <w:rPr>
          <w:spacing w:val="-2"/>
        </w:rPr>
        <w:t> </w:t>
      </w:r>
      <w:r>
        <w:rPr/>
        <w:t>among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1534"/>
        <w:gridCol w:w="1241"/>
        <w:gridCol w:w="1629"/>
        <w:gridCol w:w="1161"/>
        <w:gridCol w:w="1167"/>
      </w:tblGrid>
      <w:tr>
        <w:trPr>
          <w:trHeight w:val="1105" w:hRule="atLeast"/>
        </w:trPr>
        <w:tc>
          <w:tcPr>
            <w:tcW w:w="226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Signs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Symptoms</w:t>
            </w:r>
          </w:p>
        </w:tc>
        <w:tc>
          <w:tcPr>
            <w:tcW w:w="15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280" w:right="98"/>
              <w:rPr>
                <w:sz w:val="24"/>
              </w:rPr>
            </w:pPr>
            <w:r>
              <w:rPr>
                <w:sz w:val="24"/>
              </w:rPr>
              <w:t>Num.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correct</w:t>
            </w:r>
          </w:p>
          <w:p>
            <w:pPr>
              <w:pStyle w:val="TableParagraph"/>
              <w:spacing w:line="270" w:lineRule="atLeast"/>
              <w:ind w:left="280" w:right="98"/>
              <w:rPr>
                <w:sz w:val="24"/>
              </w:rPr>
            </w:pPr>
            <w:r>
              <w:rPr>
                <w:spacing w:val="-1"/>
                <w:sz w:val="24"/>
              </w:rPr>
              <w:t>respondents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24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10" w:right="337"/>
              <w:rPr>
                <w:sz w:val="24"/>
              </w:rPr>
            </w:pPr>
            <w:r>
              <w:rPr>
                <w:sz w:val="24"/>
              </w:rPr>
              <w:t>Num.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Positive</w:t>
            </w:r>
          </w:p>
        </w:tc>
        <w:tc>
          <w:tcPr>
            <w:tcW w:w="162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357" w:right="199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6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34" w:lineRule="auto" w:before="36"/>
              <w:ind w:left="224"/>
              <w:rPr>
                <w:sz w:val="16"/>
              </w:rPr>
            </w:pPr>
            <w:r>
              <w:rPr>
                <w:position w:val="-8"/>
                <w:sz w:val="24"/>
              </w:rPr>
              <w:t>X</w:t>
            </w:r>
            <w:r>
              <w:rPr>
                <w:sz w:val="16"/>
              </w:rPr>
              <w:t>2</w:t>
            </w:r>
          </w:p>
        </w:tc>
        <w:tc>
          <w:tcPr>
            <w:tcW w:w="116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282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294" w:hRule="atLeast"/>
        </w:trPr>
        <w:tc>
          <w:tcPr>
            <w:tcW w:w="22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Fever</w:t>
            </w:r>
          </w:p>
        </w:tc>
        <w:tc>
          <w:tcPr>
            <w:tcW w:w="15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280"/>
              <w:rPr>
                <w:sz w:val="24"/>
              </w:rPr>
            </w:pPr>
            <w:r>
              <w:rPr>
                <w:sz w:val="24"/>
              </w:rPr>
              <w:t>231(46.6)</w:t>
            </w:r>
          </w:p>
        </w:tc>
        <w:tc>
          <w:tcPr>
            <w:tcW w:w="124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6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357"/>
              <w:rPr>
                <w:sz w:val="24"/>
              </w:rPr>
            </w:pPr>
            <w:r>
              <w:rPr>
                <w:sz w:val="24"/>
              </w:rPr>
              <w:t>65.4</w:t>
            </w:r>
          </w:p>
        </w:tc>
        <w:tc>
          <w:tcPr>
            <w:tcW w:w="11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224"/>
              <w:rPr>
                <w:sz w:val="24"/>
              </w:rPr>
            </w:pPr>
            <w:r>
              <w:rPr>
                <w:sz w:val="24"/>
              </w:rPr>
              <w:t>4464.0</w:t>
            </w:r>
          </w:p>
        </w:tc>
        <w:tc>
          <w:tcPr>
            <w:tcW w:w="11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282"/>
              <w:rPr>
                <w:sz w:val="24"/>
              </w:rPr>
            </w:pPr>
            <w:r>
              <w:rPr>
                <w:sz w:val="24"/>
              </w:rPr>
              <w:t>0.459</w:t>
            </w:r>
          </w:p>
        </w:tc>
      </w:tr>
      <w:tr>
        <w:trPr>
          <w:trHeight w:val="316" w:hRule="atLeast"/>
        </w:trPr>
        <w:tc>
          <w:tcPr>
            <w:tcW w:w="2263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Headache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280"/>
              <w:rPr>
                <w:sz w:val="24"/>
              </w:rPr>
            </w:pPr>
            <w:r>
              <w:rPr>
                <w:sz w:val="24"/>
              </w:rPr>
              <w:t>293(59.1)</w:t>
            </w:r>
          </w:p>
        </w:tc>
        <w:tc>
          <w:tcPr>
            <w:tcW w:w="1241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629" w:type="dxa"/>
          </w:tcPr>
          <w:p>
            <w:pPr>
              <w:pStyle w:val="TableParagraph"/>
              <w:spacing w:before="15"/>
              <w:ind w:left="357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263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Vomiting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280"/>
              <w:rPr>
                <w:sz w:val="24"/>
              </w:rPr>
            </w:pPr>
            <w:r>
              <w:rPr>
                <w:sz w:val="24"/>
              </w:rPr>
              <w:t>176(35.5)</w:t>
            </w:r>
          </w:p>
        </w:tc>
        <w:tc>
          <w:tcPr>
            <w:tcW w:w="1241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629" w:type="dxa"/>
          </w:tcPr>
          <w:p>
            <w:pPr>
              <w:pStyle w:val="TableParagraph"/>
              <w:spacing w:before="15"/>
              <w:ind w:left="357"/>
              <w:rPr>
                <w:sz w:val="24"/>
              </w:rPr>
            </w:pPr>
            <w:r>
              <w:rPr>
                <w:sz w:val="24"/>
              </w:rPr>
              <w:t>53.4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263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Chills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280"/>
              <w:rPr>
                <w:sz w:val="24"/>
              </w:rPr>
            </w:pPr>
            <w:r>
              <w:rPr>
                <w:sz w:val="24"/>
              </w:rPr>
              <w:t>250(50.4)</w:t>
            </w:r>
          </w:p>
        </w:tc>
        <w:tc>
          <w:tcPr>
            <w:tcW w:w="1241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629" w:type="dxa"/>
          </w:tcPr>
          <w:p>
            <w:pPr>
              <w:pStyle w:val="TableParagraph"/>
              <w:spacing w:before="15"/>
              <w:ind w:left="357"/>
              <w:rPr>
                <w:sz w:val="24"/>
              </w:rPr>
            </w:pPr>
            <w:r>
              <w:rPr>
                <w:sz w:val="24"/>
              </w:rPr>
              <w:t>90.4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263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Body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pain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280"/>
              <w:rPr>
                <w:sz w:val="24"/>
              </w:rPr>
            </w:pPr>
            <w:r>
              <w:rPr>
                <w:sz w:val="24"/>
              </w:rPr>
              <w:t>226(45.6)</w:t>
            </w:r>
          </w:p>
        </w:tc>
        <w:tc>
          <w:tcPr>
            <w:tcW w:w="1241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629" w:type="dxa"/>
          </w:tcPr>
          <w:p>
            <w:pPr>
              <w:pStyle w:val="TableParagraph"/>
              <w:spacing w:before="15"/>
              <w:ind w:left="357"/>
              <w:rPr>
                <w:sz w:val="24"/>
              </w:rPr>
            </w:pPr>
            <w:r>
              <w:rPr>
                <w:sz w:val="24"/>
              </w:rPr>
              <w:t>89.3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263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Dizziness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280"/>
              <w:rPr>
                <w:sz w:val="24"/>
              </w:rPr>
            </w:pPr>
            <w:r>
              <w:rPr>
                <w:sz w:val="24"/>
              </w:rPr>
              <w:t>253(51.0)</w:t>
            </w:r>
          </w:p>
        </w:tc>
        <w:tc>
          <w:tcPr>
            <w:tcW w:w="1241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629" w:type="dxa"/>
          </w:tcPr>
          <w:p>
            <w:pPr>
              <w:pStyle w:val="TableParagraph"/>
              <w:spacing w:before="15"/>
              <w:ind w:left="357"/>
              <w:rPr>
                <w:sz w:val="24"/>
              </w:rPr>
            </w:pPr>
            <w:r>
              <w:rPr>
                <w:sz w:val="24"/>
              </w:rPr>
              <w:t>89.3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263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appetite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280"/>
              <w:rPr>
                <w:sz w:val="24"/>
              </w:rPr>
            </w:pPr>
            <w:r>
              <w:rPr>
                <w:sz w:val="24"/>
              </w:rPr>
              <w:t>249(50.2)</w:t>
            </w:r>
          </w:p>
        </w:tc>
        <w:tc>
          <w:tcPr>
            <w:tcW w:w="1241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629" w:type="dxa"/>
          </w:tcPr>
          <w:p>
            <w:pPr>
              <w:pStyle w:val="TableParagraph"/>
              <w:spacing w:before="15"/>
              <w:ind w:left="357"/>
              <w:rPr>
                <w:sz w:val="24"/>
              </w:rPr>
            </w:pPr>
            <w:r>
              <w:rPr>
                <w:sz w:val="24"/>
              </w:rPr>
              <w:t>93.5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2263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Weakness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"/>
              <w:ind w:left="280"/>
              <w:rPr>
                <w:sz w:val="24"/>
              </w:rPr>
            </w:pPr>
            <w:r>
              <w:rPr>
                <w:sz w:val="24"/>
              </w:rPr>
              <w:t>230(46.4)</w:t>
            </w:r>
          </w:p>
        </w:tc>
        <w:tc>
          <w:tcPr>
            <w:tcW w:w="1241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629" w:type="dxa"/>
          </w:tcPr>
          <w:p>
            <w:pPr>
              <w:pStyle w:val="TableParagraph"/>
              <w:spacing w:before="15"/>
              <w:ind w:left="357"/>
              <w:rPr>
                <w:sz w:val="24"/>
              </w:rPr>
            </w:pPr>
            <w:r>
              <w:rPr>
                <w:sz w:val="24"/>
              </w:rPr>
              <w:t>85.2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226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Don’t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know</w:t>
            </w:r>
          </w:p>
        </w:tc>
        <w:tc>
          <w:tcPr>
            <w:tcW w:w="15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6"/>
              <w:ind w:left="280"/>
              <w:rPr>
                <w:sz w:val="24"/>
              </w:rPr>
            </w:pPr>
            <w:r>
              <w:rPr>
                <w:sz w:val="24"/>
              </w:rPr>
              <w:t>24(4.8)</w:t>
            </w:r>
          </w:p>
        </w:tc>
        <w:tc>
          <w:tcPr>
            <w:tcW w:w="124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6"/>
              <w:ind w:left="357"/>
              <w:rPr>
                <w:sz w:val="24"/>
              </w:rPr>
            </w:pPr>
            <w:r>
              <w:rPr>
                <w:sz w:val="24"/>
              </w:rPr>
              <w:t>41.7</w:t>
            </w:r>
          </w:p>
        </w:tc>
        <w:tc>
          <w:tcPr>
            <w:tcW w:w="1161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7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278" w:lineRule="auto"/>
        <w:ind w:left="991" w:right="1662"/>
      </w:pPr>
      <w:r>
        <w:rPr/>
        <w:t>Knowledge of signs and symptoms of malaria has no significant effect on malaria infection at P &gt;</w:t>
      </w:r>
      <w:r>
        <w:rPr>
          <w:spacing w:val="-57"/>
        </w:rPr>
        <w:t> </w:t>
      </w:r>
      <w:r>
        <w:rPr/>
        <w:t>0.05.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480" w:lineRule="auto" w:before="1"/>
        <w:ind w:left="991" w:right="1251"/>
        <w:jc w:val="both"/>
      </w:pPr>
      <w:r>
        <w:rPr/>
        <w:t>Prevalence of malaria in respect to the knowledge of preventive strategies</w:t>
      </w:r>
      <w:r>
        <w:rPr>
          <w:spacing w:val="60"/>
        </w:rPr>
        <w:t> </w:t>
      </w:r>
      <w:r>
        <w:rPr/>
        <w:t>is shown in Table 4.4.</w:t>
      </w:r>
      <w:r>
        <w:rPr>
          <w:spacing w:val="1"/>
        </w:rPr>
        <w:t> </w:t>
      </w:r>
      <w:r>
        <w:rPr/>
        <w:t>From the study population, 51.8 % had knowledge of insecticide treated nets, 42.2 % knew of larval</w:t>
      </w:r>
      <w:r>
        <w:rPr>
          <w:spacing w:val="1"/>
        </w:rPr>
        <w:t> </w:t>
      </w:r>
      <w:r>
        <w:rPr/>
        <w:t>source management, 41.8 % had knowledge of indoor residual spraying while 30.0</w:t>
      </w:r>
      <w:r>
        <w:rPr>
          <w:spacing w:val="1"/>
        </w:rPr>
        <w:t> </w:t>
      </w:r>
      <w:r>
        <w:rPr/>
        <w:t>% knew of</w:t>
      </w:r>
      <w:r>
        <w:rPr>
          <w:spacing w:val="1"/>
        </w:rPr>
        <w:t> </w:t>
      </w:r>
      <w:r>
        <w:rPr/>
        <w:t>intermittent</w:t>
      </w:r>
      <w:r>
        <w:rPr>
          <w:spacing w:val="-1"/>
        </w:rPr>
        <w:t> </w:t>
      </w:r>
      <w:r>
        <w:rPr/>
        <w:t>preventive</w:t>
      </w:r>
      <w:r>
        <w:rPr>
          <w:spacing w:val="-1"/>
        </w:rPr>
        <w:t> </w:t>
      </w:r>
      <w:r>
        <w:rPr/>
        <w:t>treatment in pregnancy.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7"/>
      </w:pPr>
      <w:r>
        <w:rPr/>
        <w:t>Table</w:t>
      </w:r>
      <w:r>
        <w:rPr>
          <w:spacing w:val="-2"/>
        </w:rPr>
        <w:t> </w:t>
      </w:r>
      <w:r>
        <w:rPr/>
        <w:t>4.4</w:t>
      </w:r>
      <w:r>
        <w:rPr>
          <w:spacing w:val="56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respect to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prevention</w:t>
      </w:r>
      <w:r>
        <w:rPr>
          <w:spacing w:val="-4"/>
        </w:rPr>
        <w:t> </w:t>
      </w:r>
      <w:r>
        <w:rPr/>
        <w:t>strategies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3040"/>
        <w:gridCol w:w="1311"/>
        <w:gridCol w:w="1628"/>
        <w:gridCol w:w="878"/>
        <w:gridCol w:w="954"/>
      </w:tblGrid>
      <w:tr>
        <w:trPr>
          <w:trHeight w:val="829" w:hRule="atLeast"/>
        </w:trPr>
        <w:tc>
          <w:tcPr>
            <w:tcW w:w="223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Prevention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strategies</w:t>
            </w:r>
          </w:p>
        </w:tc>
        <w:tc>
          <w:tcPr>
            <w:tcW w:w="304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Num.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respondents (%)</w:t>
            </w:r>
          </w:p>
        </w:tc>
        <w:tc>
          <w:tcPr>
            <w:tcW w:w="131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442"/>
              <w:rPr>
                <w:sz w:val="24"/>
              </w:rPr>
            </w:pPr>
            <w:r>
              <w:rPr>
                <w:sz w:val="24"/>
              </w:rPr>
              <w:t>Num.</w:t>
            </w:r>
          </w:p>
          <w:p>
            <w:pPr>
              <w:pStyle w:val="TableParagraph"/>
              <w:spacing w:line="270" w:lineRule="atLeast"/>
              <w:ind w:left="442" w:right="89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positive</w:t>
            </w:r>
          </w:p>
        </w:tc>
        <w:tc>
          <w:tcPr>
            <w:tcW w:w="162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Prevalence(%)</w:t>
            </w:r>
          </w:p>
        </w:tc>
        <w:tc>
          <w:tcPr>
            <w:tcW w:w="87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34" w:lineRule="auto" w:before="36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X</w:t>
            </w:r>
            <w:r>
              <w:rPr>
                <w:sz w:val="16"/>
              </w:rPr>
              <w:t>2</w:t>
            </w:r>
          </w:p>
        </w:tc>
        <w:tc>
          <w:tcPr>
            <w:tcW w:w="95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318" w:hRule="atLeast"/>
        </w:trPr>
        <w:tc>
          <w:tcPr>
            <w:tcW w:w="223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ITN</w:t>
            </w:r>
          </w:p>
        </w:tc>
        <w:tc>
          <w:tcPr>
            <w:tcW w:w="30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259(51.8)</w:t>
            </w:r>
          </w:p>
        </w:tc>
        <w:tc>
          <w:tcPr>
            <w:tcW w:w="131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442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62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45.2</w:t>
            </w:r>
          </w:p>
        </w:tc>
        <w:tc>
          <w:tcPr>
            <w:tcW w:w="87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1448.0</w:t>
            </w:r>
          </w:p>
        </w:tc>
        <w:tc>
          <w:tcPr>
            <w:tcW w:w="95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0.465</w:t>
            </w:r>
          </w:p>
        </w:tc>
      </w:tr>
      <w:tr>
        <w:trPr>
          <w:trHeight w:val="365" w:hRule="atLeast"/>
        </w:trPr>
        <w:tc>
          <w:tcPr>
            <w:tcW w:w="2230" w:type="dxa"/>
          </w:tcPr>
          <w:p>
            <w:pPr>
              <w:pStyle w:val="TableParagraph"/>
              <w:spacing w:before="39"/>
              <w:ind w:left="117"/>
              <w:rPr>
                <w:sz w:val="24"/>
              </w:rPr>
            </w:pPr>
            <w:r>
              <w:rPr>
                <w:sz w:val="24"/>
              </w:rPr>
              <w:t>IRS</w:t>
            </w:r>
          </w:p>
        </w:tc>
        <w:tc>
          <w:tcPr>
            <w:tcW w:w="3040" w:type="dxa"/>
          </w:tcPr>
          <w:p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209(41.8)</w:t>
            </w:r>
          </w:p>
        </w:tc>
        <w:tc>
          <w:tcPr>
            <w:tcW w:w="1311" w:type="dxa"/>
          </w:tcPr>
          <w:p>
            <w:pPr>
              <w:pStyle w:val="TableParagraph"/>
              <w:spacing w:before="39"/>
              <w:ind w:left="442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628" w:type="dxa"/>
          </w:tcPr>
          <w:p>
            <w:pPr>
              <w:pStyle w:val="TableParagraph"/>
              <w:spacing w:before="39"/>
              <w:ind w:left="106"/>
              <w:rPr>
                <w:sz w:val="24"/>
              </w:rPr>
            </w:pPr>
            <w:r>
              <w:rPr>
                <w:sz w:val="24"/>
              </w:rPr>
              <w:t>44.9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6" w:hRule="atLeast"/>
        </w:trPr>
        <w:tc>
          <w:tcPr>
            <w:tcW w:w="2230" w:type="dxa"/>
          </w:tcPr>
          <w:p>
            <w:pPr>
              <w:pStyle w:val="TableParagraph"/>
              <w:spacing w:before="40"/>
              <w:ind w:left="117"/>
              <w:rPr>
                <w:sz w:val="24"/>
              </w:rPr>
            </w:pPr>
            <w:r>
              <w:rPr>
                <w:sz w:val="24"/>
              </w:rPr>
              <w:t>IPTP</w:t>
            </w:r>
          </w:p>
        </w:tc>
        <w:tc>
          <w:tcPr>
            <w:tcW w:w="3040" w:type="dxa"/>
          </w:tcPr>
          <w:p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150(30.0)</w:t>
            </w:r>
          </w:p>
        </w:tc>
        <w:tc>
          <w:tcPr>
            <w:tcW w:w="1311" w:type="dxa"/>
          </w:tcPr>
          <w:p>
            <w:pPr>
              <w:pStyle w:val="TableParagraph"/>
              <w:spacing w:before="40"/>
              <w:ind w:left="442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628" w:type="dxa"/>
          </w:tcPr>
          <w:p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49.3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6" w:hRule="atLeast"/>
        </w:trPr>
        <w:tc>
          <w:tcPr>
            <w:tcW w:w="223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39"/>
              <w:ind w:left="117"/>
              <w:rPr>
                <w:sz w:val="24"/>
              </w:rPr>
            </w:pPr>
            <w:r>
              <w:rPr>
                <w:sz w:val="24"/>
              </w:rPr>
              <w:t>LSM</w:t>
            </w:r>
          </w:p>
        </w:tc>
        <w:tc>
          <w:tcPr>
            <w:tcW w:w="304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211(42.2)</w:t>
            </w:r>
          </w:p>
        </w:tc>
        <w:tc>
          <w:tcPr>
            <w:tcW w:w="131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39"/>
              <w:ind w:left="442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62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39"/>
              <w:ind w:left="106"/>
              <w:rPr>
                <w:sz w:val="24"/>
              </w:rPr>
            </w:pPr>
            <w:r>
              <w:rPr>
                <w:sz w:val="24"/>
              </w:rPr>
              <w:t>42.2</w:t>
            </w:r>
          </w:p>
        </w:tc>
        <w:tc>
          <w:tcPr>
            <w:tcW w:w="878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4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276" w:lineRule="auto"/>
        <w:ind w:left="991" w:right="1261"/>
        <w:jc w:val="both"/>
      </w:pPr>
      <w:r>
        <w:rPr/>
        <w:t>At P &gt; 0.05 respondents with the correct knowledge of prevention strategy do not have a significant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 malaria infections.</w:t>
      </w:r>
    </w:p>
    <w:p>
      <w:pPr>
        <w:pStyle w:val="BodyText"/>
        <w:spacing w:line="276" w:lineRule="auto"/>
        <w:ind w:left="991" w:right="1258"/>
        <w:jc w:val="both"/>
      </w:pPr>
      <w:r>
        <w:rPr/>
        <w:t>ITN;</w:t>
      </w:r>
      <w:r>
        <w:rPr>
          <w:spacing w:val="1"/>
        </w:rPr>
        <w:t> </w:t>
      </w:r>
      <w:r>
        <w:rPr/>
        <w:t>Insecticide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Net,</w:t>
      </w:r>
      <w:r>
        <w:rPr>
          <w:spacing w:val="1"/>
        </w:rPr>
        <w:t> </w:t>
      </w:r>
      <w:r>
        <w:rPr/>
        <w:t>IRS;</w:t>
      </w:r>
      <w:r>
        <w:rPr>
          <w:spacing w:val="1"/>
        </w:rPr>
        <w:t> </w:t>
      </w:r>
      <w:r>
        <w:rPr/>
        <w:t>Indoor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Spraying,</w:t>
      </w:r>
      <w:r>
        <w:rPr>
          <w:spacing w:val="1"/>
        </w:rPr>
        <w:t> </w:t>
      </w:r>
      <w:r>
        <w:rPr/>
        <w:t>IPTP;</w:t>
      </w:r>
      <w:r>
        <w:rPr>
          <w:spacing w:val="1"/>
        </w:rPr>
        <w:t> </w:t>
      </w:r>
      <w:r>
        <w:rPr/>
        <w:t>Intermittent</w:t>
      </w:r>
      <w:r>
        <w:rPr>
          <w:spacing w:val="60"/>
        </w:rPr>
        <w:t> </w:t>
      </w:r>
      <w:r>
        <w:rPr/>
        <w:t>Preventive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in Pregnancy,</w:t>
      </w:r>
      <w:r>
        <w:rPr>
          <w:spacing w:val="2"/>
        </w:rPr>
        <w:t> </w:t>
      </w:r>
      <w:r>
        <w:rPr/>
        <w:t>LSM;</w:t>
      </w:r>
      <w:r>
        <w:rPr>
          <w:spacing w:val="2"/>
        </w:rPr>
        <w:t> </w:t>
      </w:r>
      <w:r>
        <w:rPr/>
        <w:t>Larval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Management.</w:t>
      </w:r>
    </w:p>
    <w:p>
      <w:pPr>
        <w:pStyle w:val="BodyText"/>
        <w:rPr>
          <w:sz w:val="26"/>
        </w:rPr>
      </w:pPr>
    </w:p>
    <w:p>
      <w:pPr>
        <w:pStyle w:val="Heading1"/>
        <w:spacing w:before="216"/>
      </w:pPr>
      <w:r>
        <w:rPr/>
        <w:t>4.</w:t>
      </w:r>
      <w:r>
        <w:rPr>
          <w:spacing w:val="-2"/>
        </w:rPr>
        <w:t> </w:t>
      </w:r>
      <w:r>
        <w:rPr/>
        <w:t>1.7</w:t>
      </w:r>
      <w:r>
        <w:rPr>
          <w:spacing w:val="58"/>
        </w:rPr>
        <w:t> </w:t>
      </w:r>
      <w:r>
        <w:rPr/>
        <w:t>Prevalence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malaria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regards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haematological</w:t>
      </w:r>
      <w:r>
        <w:rPr>
          <w:spacing w:val="-1"/>
        </w:rPr>
        <w:t> </w:t>
      </w:r>
      <w:r>
        <w:rPr/>
        <w:t>parameters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991" w:right="1256"/>
        <w:jc w:val="both"/>
      </w:pPr>
      <w:r>
        <w:rPr/>
        <w:t>The prevalence of malaria with regards to the haematological parameters of the subjects are presented</w:t>
      </w:r>
      <w:r>
        <w:rPr>
          <w:spacing w:val="-57"/>
        </w:rPr>
        <w:t> </w:t>
      </w:r>
      <w:r>
        <w:rPr/>
        <w:t>in</w:t>
      </w:r>
      <w:r>
        <w:rPr>
          <w:spacing w:val="16"/>
        </w:rPr>
        <w:t> </w:t>
      </w:r>
      <w:r>
        <w:rPr/>
        <w:t>Table</w:t>
      </w:r>
      <w:r>
        <w:rPr>
          <w:spacing w:val="16"/>
        </w:rPr>
        <w:t> </w:t>
      </w:r>
      <w:r>
        <w:rPr/>
        <w:t>4.5.</w:t>
      </w:r>
      <w:r>
        <w:rPr>
          <w:spacing w:val="16"/>
        </w:rPr>
        <w:t> </w:t>
      </w:r>
      <w:r>
        <w:rPr/>
        <w:t>Out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20"/>
        </w:rPr>
        <w:t> </w:t>
      </w:r>
      <w:r>
        <w:rPr/>
        <w:t>total</w:t>
      </w:r>
      <w:r>
        <w:rPr>
          <w:spacing w:val="17"/>
        </w:rPr>
        <w:t> </w:t>
      </w:r>
      <w:r>
        <w:rPr/>
        <w:t>sampled</w:t>
      </w:r>
      <w:r>
        <w:rPr>
          <w:spacing w:val="15"/>
        </w:rPr>
        <w:t> </w:t>
      </w:r>
      <w:r>
        <w:rPr/>
        <w:t>population,</w:t>
      </w:r>
      <w:r>
        <w:rPr>
          <w:spacing w:val="17"/>
        </w:rPr>
        <w:t> </w:t>
      </w:r>
      <w:r>
        <w:rPr/>
        <w:t>blood</w:t>
      </w:r>
      <w:r>
        <w:rPr>
          <w:spacing w:val="17"/>
        </w:rPr>
        <w:t> </w:t>
      </w:r>
      <w:r>
        <w:rPr/>
        <w:t>group</w:t>
      </w:r>
      <w:r>
        <w:rPr>
          <w:spacing w:val="20"/>
        </w:rPr>
        <w:t> </w:t>
      </w:r>
      <w:r>
        <w:rPr/>
        <w:t>AB</w:t>
      </w:r>
      <w:r>
        <w:rPr>
          <w:spacing w:val="13"/>
        </w:rPr>
        <w:t> </w:t>
      </w:r>
      <w:r>
        <w:rPr/>
        <w:t>had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highest</w:t>
      </w:r>
      <w:r>
        <w:rPr>
          <w:spacing w:val="17"/>
        </w:rPr>
        <w:t> </w:t>
      </w:r>
      <w:r>
        <w:rPr/>
        <w:t>prevalence</w:t>
      </w:r>
      <w:r>
        <w:rPr>
          <w:spacing w:val="14"/>
        </w:rPr>
        <w:t> </w:t>
      </w:r>
      <w:r>
        <w:rPr/>
        <w:t>(75.3</w:t>
      </w:r>
    </w:p>
    <w:p>
      <w:pPr>
        <w:pStyle w:val="BodyText"/>
        <w:spacing w:line="480" w:lineRule="auto"/>
        <w:ind w:left="991" w:right="1252"/>
        <w:jc w:val="both"/>
      </w:pPr>
      <w:r>
        <w:rPr/>
        <w:t>%). This is followed in descending order by blood group B (68.4%), blood group A (62.1 %) and</w:t>
      </w:r>
      <w:r>
        <w:rPr>
          <w:spacing w:val="1"/>
        </w:rPr>
        <w:t> </w:t>
      </w:r>
      <w:r>
        <w:rPr/>
        <w:t>blood group O (18.3 %). Genotype AA subjects were the most susceptible (50.2 %) to malarial</w:t>
      </w:r>
      <w:r>
        <w:rPr>
          <w:spacing w:val="1"/>
        </w:rPr>
        <w:t> </w:t>
      </w:r>
      <w:r>
        <w:rPr/>
        <w:t>infection. The least prevalence (16.6 %) was seen among genotype SS. Haemoglobin concentration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0.036).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anaemia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prevalence 55.3 %, moderately anaemic subjects recorded prevalence of 40.0 %, subjects with mild</w:t>
      </w:r>
      <w:r>
        <w:rPr>
          <w:spacing w:val="1"/>
        </w:rPr>
        <w:t> </w:t>
      </w:r>
      <w:r>
        <w:rPr/>
        <w:t>anaemia</w:t>
      </w:r>
      <w:r>
        <w:rPr>
          <w:spacing w:val="38"/>
        </w:rPr>
        <w:t> </w:t>
      </w:r>
      <w:r>
        <w:rPr/>
        <w:t>had</w:t>
      </w:r>
      <w:r>
        <w:rPr>
          <w:spacing w:val="39"/>
        </w:rPr>
        <w:t> </w:t>
      </w:r>
      <w:r>
        <w:rPr/>
        <w:t>50.5</w:t>
      </w:r>
      <w:r>
        <w:rPr>
          <w:spacing w:val="44"/>
        </w:rPr>
        <w:t> </w:t>
      </w:r>
      <w:r>
        <w:rPr/>
        <w:t>%</w:t>
      </w:r>
      <w:r>
        <w:rPr>
          <w:spacing w:val="38"/>
        </w:rPr>
        <w:t> </w:t>
      </w:r>
      <w:r>
        <w:rPr/>
        <w:t>and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non</w:t>
      </w:r>
      <w:r>
        <w:rPr>
          <w:spacing w:val="39"/>
        </w:rPr>
        <w:t> </w:t>
      </w:r>
      <w:r>
        <w:rPr/>
        <w:t>anaemic</w:t>
      </w:r>
      <w:r>
        <w:rPr>
          <w:spacing w:val="39"/>
        </w:rPr>
        <w:t> </w:t>
      </w:r>
      <w:r>
        <w:rPr/>
        <w:t>subjects</w:t>
      </w:r>
      <w:r>
        <w:rPr>
          <w:spacing w:val="40"/>
        </w:rPr>
        <w:t> </w:t>
      </w:r>
      <w:r>
        <w:rPr/>
        <w:t>recorded</w:t>
      </w:r>
      <w:r>
        <w:rPr>
          <w:spacing w:val="40"/>
        </w:rPr>
        <w:t> </w:t>
      </w:r>
      <w:r>
        <w:rPr/>
        <w:t>malaria</w:t>
      </w:r>
      <w:r>
        <w:rPr>
          <w:spacing w:val="38"/>
        </w:rPr>
        <w:t> </w:t>
      </w:r>
      <w:r>
        <w:rPr/>
        <w:t>prevalence</w:t>
      </w:r>
      <w:r>
        <w:rPr>
          <w:spacing w:val="39"/>
        </w:rPr>
        <w:t> </w:t>
      </w:r>
      <w:r>
        <w:rPr/>
        <w:t>(47.8</w:t>
      </w:r>
      <w:r>
        <w:rPr>
          <w:spacing w:val="45"/>
        </w:rPr>
        <w:t> </w:t>
      </w:r>
      <w:r>
        <w:rPr/>
        <w:t>%).</w:t>
      </w:r>
      <w:r>
        <w:rPr>
          <w:spacing w:val="39"/>
        </w:rPr>
        <w:t> </w:t>
      </w:r>
      <w:r>
        <w:rPr/>
        <w:t>Charts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spacing w:line="482" w:lineRule="auto" w:before="72"/>
        <w:ind w:left="991" w:right="1251"/>
      </w:pPr>
      <w:r>
        <w:rPr/>
        <w:t>representing</w:t>
      </w:r>
      <w:r>
        <w:rPr>
          <w:spacing w:val="4"/>
        </w:rPr>
        <w:t> </w:t>
      </w:r>
      <w:r>
        <w:rPr/>
        <w:t>information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haematological</w:t>
      </w:r>
      <w:r>
        <w:rPr>
          <w:spacing w:val="6"/>
        </w:rPr>
        <w:t> </w:t>
      </w:r>
      <w:r>
        <w:rPr/>
        <w:t>profile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subjects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other</w:t>
      </w:r>
      <w:r>
        <w:rPr>
          <w:spacing w:val="4"/>
        </w:rPr>
        <w:t> </w:t>
      </w:r>
      <w:r>
        <w:rPr/>
        <w:t>detailed</w:t>
      </w:r>
      <w:r>
        <w:rPr>
          <w:spacing w:val="5"/>
        </w:rPr>
        <w:t> </w:t>
      </w:r>
      <w:r>
        <w:rPr/>
        <w:t>tables</w:t>
      </w:r>
      <w:r>
        <w:rPr>
          <w:spacing w:val="8"/>
        </w:rPr>
        <w:t> </w:t>
      </w:r>
      <w:r>
        <w:rPr/>
        <w:t>are</w:t>
      </w:r>
      <w:r>
        <w:rPr>
          <w:spacing w:val="5"/>
        </w:rPr>
        <w:t> </w:t>
      </w:r>
      <w:r>
        <w:rPr/>
        <w:t>presented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appendices</w:t>
      </w:r>
      <w:r>
        <w:rPr>
          <w:spacing w:val="3"/>
        </w:rPr>
        <w:t> </w:t>
      </w:r>
      <w:r>
        <w:rPr/>
        <w:t>IV</w:t>
      </w:r>
      <w:r>
        <w:rPr>
          <w:spacing w:val="1"/>
        </w:rPr>
        <w:t> </w:t>
      </w:r>
      <w:r>
        <w:rPr/>
        <w:t>to VII.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991"/>
      </w:pP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4.5</w:t>
      </w:r>
      <w:r>
        <w:rPr>
          <w:b/>
          <w:spacing w:val="-1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 malaria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regards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haematological</w:t>
      </w:r>
      <w:r>
        <w:rPr>
          <w:spacing w:val="-1"/>
        </w:rPr>
        <w:t> </w:t>
      </w:r>
      <w:r>
        <w:rPr/>
        <w:t>parameters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6"/>
        <w:gridCol w:w="2228"/>
        <w:gridCol w:w="1360"/>
        <w:gridCol w:w="1563"/>
        <w:gridCol w:w="1502"/>
        <w:gridCol w:w="1125"/>
      </w:tblGrid>
      <w:tr>
        <w:trPr>
          <w:trHeight w:val="550" w:hRule="atLeast"/>
        </w:trPr>
        <w:tc>
          <w:tcPr>
            <w:tcW w:w="146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222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7" w:lineRule="exact"/>
              <w:ind w:left="249"/>
              <w:rPr>
                <w:sz w:val="24"/>
              </w:rPr>
            </w:pPr>
            <w:r>
              <w:rPr>
                <w:sz w:val="24"/>
              </w:rPr>
              <w:t>Num.</w:t>
            </w:r>
          </w:p>
          <w:p>
            <w:pPr>
              <w:pStyle w:val="TableParagraph"/>
              <w:spacing w:line="263" w:lineRule="exact"/>
              <w:ind w:left="249"/>
              <w:rPr>
                <w:sz w:val="24"/>
              </w:rPr>
            </w:pPr>
            <w:r>
              <w:rPr>
                <w:sz w:val="24"/>
              </w:rPr>
              <w:t>tested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56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>
              <w:rPr>
                <w:sz w:val="24"/>
              </w:rPr>
              <w:t>Num.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tested</w:t>
            </w:r>
          </w:p>
          <w:p>
            <w:pPr>
              <w:pStyle w:val="TableParagraph"/>
              <w:spacing w:line="263" w:lineRule="exact"/>
              <w:ind w:left="137"/>
              <w:rPr>
                <w:sz w:val="24"/>
              </w:rPr>
            </w:pPr>
            <w:r>
              <w:rPr>
                <w:sz w:val="24"/>
              </w:rPr>
              <w:t>positive</w:t>
            </w:r>
          </w:p>
        </w:tc>
        <w:tc>
          <w:tcPr>
            <w:tcW w:w="150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7" w:lineRule="exact"/>
              <w:ind w:left="271"/>
              <w:rPr>
                <w:sz w:val="24"/>
              </w:rPr>
            </w:pPr>
            <w:r>
              <w:rPr>
                <w:sz w:val="24"/>
              </w:rPr>
              <w:t>Prevalence</w:t>
            </w:r>
          </w:p>
        </w:tc>
        <w:tc>
          <w:tcPr>
            <w:tcW w:w="112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7" w:lineRule="exact"/>
              <w:ind w:left="186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294" w:hRule="atLeast"/>
        </w:trPr>
        <w:tc>
          <w:tcPr>
            <w:tcW w:w="14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22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44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13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249"/>
              <w:rPr>
                <w:sz w:val="24"/>
              </w:rPr>
            </w:pPr>
            <w:r>
              <w:rPr>
                <w:sz w:val="24"/>
              </w:rPr>
              <w:t>82(16.4)</w:t>
            </w:r>
          </w:p>
        </w:tc>
        <w:tc>
          <w:tcPr>
            <w:tcW w:w="15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3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50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271"/>
              <w:rPr>
                <w:sz w:val="24"/>
              </w:rPr>
            </w:pPr>
            <w:r>
              <w:rPr>
                <w:sz w:val="24"/>
              </w:rPr>
              <w:t>59.8%</w:t>
            </w:r>
          </w:p>
        </w:tc>
        <w:tc>
          <w:tcPr>
            <w:tcW w:w="11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86"/>
              <w:rPr>
                <w:sz w:val="24"/>
              </w:rPr>
            </w:pPr>
            <w:r>
              <w:rPr>
                <w:sz w:val="24"/>
              </w:rPr>
              <w:t>0.047</w:t>
            </w:r>
          </w:p>
        </w:tc>
      </w:tr>
      <w:tr>
        <w:trPr>
          <w:trHeight w:val="316" w:hRule="atLeast"/>
        </w:trPr>
        <w:tc>
          <w:tcPr>
            <w:tcW w:w="14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A-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249"/>
              <w:rPr>
                <w:sz w:val="24"/>
              </w:rPr>
            </w:pPr>
            <w:r>
              <w:rPr>
                <w:sz w:val="24"/>
              </w:rPr>
              <w:t>21(4.2)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02" w:type="dxa"/>
          </w:tcPr>
          <w:p>
            <w:pPr>
              <w:pStyle w:val="TableParagraph"/>
              <w:spacing w:before="15"/>
              <w:ind w:left="271"/>
              <w:rPr>
                <w:sz w:val="24"/>
              </w:rPr>
            </w:pPr>
            <w:r>
              <w:rPr>
                <w:sz w:val="24"/>
              </w:rPr>
              <w:t>71.4%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4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B+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249"/>
              <w:rPr>
                <w:sz w:val="24"/>
              </w:rPr>
            </w:pPr>
            <w:r>
              <w:rPr>
                <w:sz w:val="24"/>
              </w:rPr>
              <w:t>117(23.4)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502" w:type="dxa"/>
          </w:tcPr>
          <w:p>
            <w:pPr>
              <w:pStyle w:val="TableParagraph"/>
              <w:spacing w:before="15"/>
              <w:ind w:left="271"/>
              <w:rPr>
                <w:sz w:val="24"/>
              </w:rPr>
            </w:pPr>
            <w:r>
              <w:rPr>
                <w:sz w:val="24"/>
              </w:rPr>
              <w:t>67.5%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4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B-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249"/>
              <w:rPr>
                <w:sz w:val="24"/>
              </w:rPr>
            </w:pPr>
            <w:r>
              <w:rPr>
                <w:sz w:val="24"/>
              </w:rPr>
              <w:t>16(3.2)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02" w:type="dxa"/>
          </w:tcPr>
          <w:p>
            <w:pPr>
              <w:pStyle w:val="TableParagraph"/>
              <w:spacing w:before="15"/>
              <w:ind w:left="271"/>
              <w:rPr>
                <w:sz w:val="24"/>
              </w:rPr>
            </w:pPr>
            <w:r>
              <w:rPr>
                <w:sz w:val="24"/>
              </w:rPr>
              <w:t>75.0%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4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AB+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249"/>
              <w:rPr>
                <w:sz w:val="24"/>
              </w:rPr>
            </w:pPr>
            <w:r>
              <w:rPr>
                <w:sz w:val="24"/>
              </w:rPr>
              <w:t>51(10.2)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502" w:type="dxa"/>
          </w:tcPr>
          <w:p>
            <w:pPr>
              <w:pStyle w:val="TableParagraph"/>
              <w:spacing w:before="15"/>
              <w:ind w:left="271"/>
              <w:rPr>
                <w:sz w:val="24"/>
              </w:rPr>
            </w:pPr>
            <w:r>
              <w:rPr>
                <w:sz w:val="24"/>
              </w:rPr>
              <w:t>76.4%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4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AB-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249"/>
              <w:rPr>
                <w:sz w:val="24"/>
              </w:rPr>
            </w:pPr>
            <w:r>
              <w:rPr>
                <w:sz w:val="24"/>
              </w:rPr>
              <w:t>22(4.4)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02" w:type="dxa"/>
          </w:tcPr>
          <w:p>
            <w:pPr>
              <w:pStyle w:val="TableParagraph"/>
              <w:spacing w:before="15"/>
              <w:ind w:left="271"/>
              <w:rPr>
                <w:sz w:val="24"/>
              </w:rPr>
            </w:pPr>
            <w:r>
              <w:rPr>
                <w:sz w:val="24"/>
              </w:rPr>
              <w:t>72.7%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4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spacing w:before="16"/>
              <w:ind w:left="144"/>
              <w:rPr>
                <w:sz w:val="24"/>
              </w:rPr>
            </w:pPr>
            <w:r>
              <w:rPr>
                <w:sz w:val="24"/>
              </w:rPr>
              <w:t>O+</w:t>
            </w:r>
          </w:p>
        </w:tc>
        <w:tc>
          <w:tcPr>
            <w:tcW w:w="1360" w:type="dxa"/>
          </w:tcPr>
          <w:p>
            <w:pPr>
              <w:pStyle w:val="TableParagraph"/>
              <w:spacing w:before="16"/>
              <w:ind w:left="249"/>
              <w:rPr>
                <w:sz w:val="24"/>
              </w:rPr>
            </w:pPr>
            <w:r>
              <w:rPr>
                <w:sz w:val="24"/>
              </w:rPr>
              <w:t>184(36.8)</w:t>
            </w:r>
          </w:p>
        </w:tc>
        <w:tc>
          <w:tcPr>
            <w:tcW w:w="1563" w:type="dxa"/>
          </w:tcPr>
          <w:p>
            <w:pPr>
              <w:pStyle w:val="TableParagraph"/>
              <w:spacing w:before="16"/>
              <w:ind w:left="13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"/>
              <w:ind w:left="271"/>
              <w:rPr>
                <w:sz w:val="24"/>
              </w:rPr>
            </w:pPr>
            <w:r>
              <w:rPr>
                <w:sz w:val="24"/>
              </w:rPr>
              <w:t>17.3%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4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O-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249"/>
              <w:rPr>
                <w:sz w:val="24"/>
              </w:rPr>
            </w:pPr>
            <w:r>
              <w:rPr>
                <w:sz w:val="24"/>
              </w:rPr>
              <w:t>7(1.4)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02" w:type="dxa"/>
          </w:tcPr>
          <w:p>
            <w:pPr>
              <w:pStyle w:val="TableParagraph"/>
              <w:spacing w:before="15"/>
              <w:ind w:left="271"/>
              <w:rPr>
                <w:sz w:val="24"/>
              </w:rPr>
            </w:pPr>
            <w:r>
              <w:rPr>
                <w:sz w:val="24"/>
              </w:rPr>
              <w:t>42.8%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466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Genotype</w:t>
            </w:r>
          </w:p>
        </w:tc>
        <w:tc>
          <w:tcPr>
            <w:tcW w:w="2228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249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502" w:type="dxa"/>
          </w:tcPr>
          <w:p>
            <w:pPr>
              <w:pStyle w:val="TableParagraph"/>
              <w:spacing w:before="15"/>
              <w:ind w:left="271"/>
              <w:rPr>
                <w:sz w:val="24"/>
              </w:rPr>
            </w:pPr>
            <w:r>
              <w:rPr>
                <w:sz w:val="24"/>
              </w:rPr>
              <w:t>50.2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"/>
              <w:ind w:left="186"/>
              <w:rPr>
                <w:sz w:val="24"/>
              </w:rPr>
            </w:pPr>
            <w:r>
              <w:rPr>
                <w:sz w:val="24"/>
              </w:rPr>
              <w:t>0.139</w:t>
            </w:r>
          </w:p>
        </w:tc>
      </w:tr>
      <w:tr>
        <w:trPr>
          <w:trHeight w:val="316" w:hRule="atLeast"/>
        </w:trPr>
        <w:tc>
          <w:tcPr>
            <w:tcW w:w="14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AS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249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502" w:type="dxa"/>
          </w:tcPr>
          <w:p>
            <w:pPr>
              <w:pStyle w:val="TableParagraph"/>
              <w:spacing w:before="15"/>
              <w:ind w:left="271"/>
              <w:rPr>
                <w:sz w:val="24"/>
              </w:rPr>
            </w:pPr>
            <w:r>
              <w:rPr>
                <w:sz w:val="24"/>
              </w:rPr>
              <w:t>49.6%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4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2" w:type="dxa"/>
          </w:tcPr>
          <w:p>
            <w:pPr>
              <w:pStyle w:val="TableParagraph"/>
              <w:spacing w:before="15"/>
              <w:ind w:left="271"/>
              <w:rPr>
                <w:sz w:val="24"/>
              </w:rPr>
            </w:pPr>
            <w:r>
              <w:rPr>
                <w:sz w:val="24"/>
              </w:rPr>
              <w:t>33.3%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4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24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2" w:type="dxa"/>
          </w:tcPr>
          <w:p>
            <w:pPr>
              <w:pStyle w:val="TableParagraph"/>
              <w:spacing w:before="15"/>
              <w:ind w:left="271"/>
              <w:rPr>
                <w:sz w:val="24"/>
              </w:rPr>
            </w:pPr>
            <w:r>
              <w:rPr>
                <w:sz w:val="24"/>
              </w:rPr>
              <w:t>16.6%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4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SC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24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2" w:type="dxa"/>
          </w:tcPr>
          <w:p>
            <w:pPr>
              <w:pStyle w:val="TableParagraph"/>
              <w:spacing w:before="15"/>
              <w:ind w:left="2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466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HB</w:t>
            </w:r>
          </w:p>
        </w:tc>
        <w:tc>
          <w:tcPr>
            <w:tcW w:w="2228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Severe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anaemia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24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02" w:type="dxa"/>
          </w:tcPr>
          <w:p>
            <w:pPr>
              <w:pStyle w:val="TableParagraph"/>
              <w:spacing w:before="15"/>
              <w:ind w:left="271"/>
              <w:rPr>
                <w:sz w:val="24"/>
              </w:rPr>
            </w:pPr>
            <w:r>
              <w:rPr>
                <w:sz w:val="24"/>
              </w:rPr>
              <w:t>55.3%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"/>
              <w:ind w:left="186"/>
              <w:rPr>
                <w:sz w:val="24"/>
              </w:rPr>
            </w:pPr>
            <w:r>
              <w:rPr>
                <w:sz w:val="24"/>
              </w:rPr>
              <w:t>0.036</w:t>
            </w:r>
          </w:p>
        </w:tc>
      </w:tr>
      <w:tr>
        <w:trPr>
          <w:trHeight w:val="316" w:hRule="atLeast"/>
        </w:trPr>
        <w:tc>
          <w:tcPr>
            <w:tcW w:w="14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Moderate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anaemia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24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02" w:type="dxa"/>
          </w:tcPr>
          <w:p>
            <w:pPr>
              <w:pStyle w:val="TableParagraph"/>
              <w:spacing w:before="15"/>
              <w:ind w:left="271"/>
              <w:rPr>
                <w:sz w:val="24"/>
              </w:rPr>
            </w:pPr>
            <w:r>
              <w:rPr>
                <w:sz w:val="24"/>
              </w:rPr>
              <w:t>40.0%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4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anaemia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249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502" w:type="dxa"/>
          </w:tcPr>
          <w:p>
            <w:pPr>
              <w:pStyle w:val="TableParagraph"/>
              <w:spacing w:before="15"/>
              <w:ind w:left="271"/>
              <w:rPr>
                <w:sz w:val="24"/>
              </w:rPr>
            </w:pPr>
            <w:r>
              <w:rPr>
                <w:sz w:val="24"/>
              </w:rPr>
              <w:t>50.5%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2" w:hRule="atLeast"/>
        </w:trPr>
        <w:tc>
          <w:tcPr>
            <w:tcW w:w="1466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Non-anaemia</w:t>
            </w:r>
          </w:p>
        </w:tc>
        <w:tc>
          <w:tcPr>
            <w:tcW w:w="136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5"/>
              <w:ind w:left="249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56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50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5"/>
              <w:ind w:left="271"/>
              <w:rPr>
                <w:sz w:val="24"/>
              </w:rPr>
            </w:pPr>
            <w:r>
              <w:rPr>
                <w:sz w:val="24"/>
              </w:rPr>
              <w:t>47.8%</w:t>
            </w:r>
          </w:p>
        </w:tc>
        <w:tc>
          <w:tcPr>
            <w:tcW w:w="1125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276" w:lineRule="auto"/>
        <w:ind w:left="991" w:right="1528"/>
      </w:pPr>
      <w:r>
        <w:rPr/>
        <w:t>Haematological</w:t>
      </w:r>
      <w:r>
        <w:rPr>
          <w:spacing w:val="-1"/>
        </w:rPr>
        <w:t> </w:t>
      </w:r>
      <w:r>
        <w:rPr/>
        <w:t>parameter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patients is</w:t>
      </w:r>
      <w:r>
        <w:rPr>
          <w:spacing w:val="-1"/>
        </w:rPr>
        <w:t> </w:t>
      </w:r>
      <w:r>
        <w:rPr/>
        <w:t>a significant</w:t>
      </w:r>
      <w:r>
        <w:rPr>
          <w:spacing w:val="-1"/>
        </w:rPr>
        <w:t> </w:t>
      </w:r>
      <w:r>
        <w:rPr/>
        <w:t>risk</w:t>
      </w:r>
      <w:r>
        <w:rPr>
          <w:spacing w:val="-1"/>
        </w:rPr>
        <w:t> </w:t>
      </w:r>
      <w:r>
        <w:rPr/>
        <w:t>factor influencing</w:t>
      </w:r>
      <w:r>
        <w:rPr>
          <w:spacing w:val="-3"/>
        </w:rPr>
        <w:t> </w:t>
      </w:r>
      <w:r>
        <w:rPr/>
        <w:t>malaria</w:t>
      </w:r>
      <w:r>
        <w:rPr>
          <w:spacing w:val="-3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at</w:t>
      </w:r>
      <w:r>
        <w:rPr>
          <w:spacing w:val="-57"/>
        </w:rPr>
        <w:t> </w:t>
      </w:r>
      <w:r>
        <w:rPr/>
        <w:t>P&lt;0.05</w:t>
      </w:r>
      <w:r>
        <w:rPr>
          <w:spacing w:val="-1"/>
        </w:rPr>
        <w:t> </w:t>
      </w:r>
      <w:r>
        <w:rPr/>
        <w:t>and at p&gt;0.05 there</w:t>
      </w:r>
      <w:r>
        <w:rPr>
          <w:spacing w:val="-2"/>
        </w:rPr>
        <w:t> </w:t>
      </w:r>
      <w:r>
        <w:rPr/>
        <w:t>is no significant difference.</w:t>
      </w:r>
    </w:p>
    <w:p>
      <w:pPr>
        <w:pStyle w:val="BodyText"/>
        <w:spacing w:before="192"/>
        <w:ind w:left="720" w:right="1662" w:firstLine="271"/>
      </w:pPr>
      <w:r>
        <w:rPr>
          <w:b/>
        </w:rPr>
        <w:t>Legend:</w:t>
      </w:r>
      <w:r>
        <w:rPr>
          <w:b/>
          <w:spacing w:val="5"/>
        </w:rPr>
        <w:t> </w:t>
      </w:r>
      <w:r>
        <w:rPr/>
        <w:t>Severe</w:t>
      </w:r>
      <w:r>
        <w:rPr>
          <w:spacing w:val="3"/>
        </w:rPr>
        <w:t> </w:t>
      </w:r>
      <w:r>
        <w:rPr/>
        <w:t>anaemia;</w:t>
      </w:r>
      <w:r>
        <w:rPr>
          <w:spacing w:val="5"/>
        </w:rPr>
        <w:t> </w:t>
      </w:r>
      <w:r>
        <w:rPr/>
        <w:t>HB≤</w:t>
      </w:r>
      <w:r>
        <w:rPr>
          <w:spacing w:val="5"/>
        </w:rPr>
        <w:t> </w:t>
      </w:r>
      <w:r>
        <w:rPr/>
        <w:t>5g/dL,</w:t>
      </w:r>
      <w:r>
        <w:rPr>
          <w:spacing w:val="4"/>
        </w:rPr>
        <w:t> </w:t>
      </w:r>
      <w:r>
        <w:rPr/>
        <w:t>Moderate</w:t>
      </w:r>
      <w:r>
        <w:rPr>
          <w:spacing w:val="4"/>
        </w:rPr>
        <w:t> </w:t>
      </w:r>
      <w:r>
        <w:rPr/>
        <w:t>anaemia;</w:t>
      </w:r>
      <w:r>
        <w:rPr>
          <w:spacing w:val="5"/>
        </w:rPr>
        <w:t> </w:t>
      </w:r>
      <w:r>
        <w:rPr/>
        <w:t>HB&gt;5-8g/dL,</w:t>
      </w:r>
      <w:r>
        <w:rPr>
          <w:spacing w:val="4"/>
        </w:rPr>
        <w:t> </w:t>
      </w:r>
      <w:r>
        <w:rPr/>
        <w:t>Mild</w:t>
      </w:r>
      <w:r>
        <w:rPr>
          <w:spacing w:val="4"/>
        </w:rPr>
        <w:t> </w:t>
      </w:r>
      <w:r>
        <w:rPr/>
        <w:t>anaemia;</w:t>
      </w:r>
      <w:r>
        <w:rPr>
          <w:spacing w:val="5"/>
        </w:rPr>
        <w:t> </w:t>
      </w:r>
      <w:r>
        <w:rPr/>
        <w:t>HB&gt;8-</w:t>
      </w:r>
      <w:r>
        <w:rPr>
          <w:spacing w:val="-57"/>
        </w:rPr>
        <w:t> </w:t>
      </w:r>
      <w:r>
        <w:rPr/>
        <w:t>11g/dL,</w:t>
      </w:r>
      <w:r>
        <w:rPr>
          <w:spacing w:val="-1"/>
        </w:rPr>
        <w:t> </w:t>
      </w:r>
      <w:r>
        <w:rPr/>
        <w:t>Non-anaemic; HB&gt;11</w:t>
      </w:r>
    </w:p>
    <w:p>
      <w:pPr>
        <w:spacing w:after="0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Heading1"/>
      </w:pPr>
      <w:bookmarkStart w:name="_TOC_250005" w:id="42"/>
      <w:r>
        <w:rPr/>
        <w:t>4.2</w:t>
      </w:r>
      <w:r>
        <w:rPr>
          <w:spacing w:val="120"/>
        </w:rPr>
        <w:t> </w:t>
      </w:r>
      <w:bookmarkEnd w:id="42"/>
      <w:r>
        <w:rPr/>
        <w:t>Discussion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991" w:right="1253"/>
        <w:jc w:val="both"/>
      </w:pPr>
      <w:r>
        <w:rPr/>
        <w:t>Malaria remains a prominent and ancient disease which has been profiled and studied. Nearly half of</w:t>
      </w:r>
      <w:r>
        <w:rPr>
          <w:spacing w:val="1"/>
        </w:rPr>
        <w:t> </w:t>
      </w:r>
      <w:r>
        <w:rPr/>
        <w:t>the world’s population remains at risk and to a larger extent the African continent. Various research</w:t>
      </w:r>
      <w:r>
        <w:rPr>
          <w:spacing w:val="1"/>
        </w:rPr>
        <w:t> </w:t>
      </w:r>
      <w:r>
        <w:rPr/>
        <w:t>and studies have shown considerable progress in the global fight against malaria. Nigeria bears a</w:t>
      </w:r>
      <w:r>
        <w:rPr>
          <w:spacing w:val="1"/>
        </w:rPr>
        <w:t> </w:t>
      </w:r>
      <w:r>
        <w:rPr/>
        <w:t>higher burden of malaria in African region despite the various gains in the control and the quest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elimination of malaria.</w:t>
      </w:r>
    </w:p>
    <w:p>
      <w:pPr>
        <w:pStyle w:val="BodyText"/>
        <w:spacing w:line="480" w:lineRule="auto" w:before="200"/>
        <w:ind w:left="991" w:right="1253"/>
        <w:jc w:val="both"/>
      </w:pPr>
      <w:r>
        <w:rPr/>
        <w:t>The world Health organization gave approval for the use of RDTs especially for field research in rural</w:t>
      </w:r>
      <w:r>
        <w:rPr>
          <w:spacing w:val="-57"/>
        </w:rPr>
        <w:t> </w:t>
      </w:r>
      <w:r>
        <w:rPr/>
        <w:t>areas where access to light and microscopy is an issue. This has gone a long way to help in the</w:t>
      </w:r>
      <w:r>
        <w:rPr>
          <w:spacing w:val="1"/>
        </w:rPr>
        <w:t> </w:t>
      </w:r>
      <w:r>
        <w:rPr/>
        <w:t>diagnosis of the disease. The method of RDT employed for this survey also tested the sensitivity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Bioline</w:t>
      </w:r>
      <w:r>
        <w:rPr>
          <w:spacing w:val="1"/>
        </w:rPr>
        <w:t> </w:t>
      </w:r>
      <w:r>
        <w:rPr/>
        <w:t>RDT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gold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microscopy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MP</w:t>
      </w:r>
      <w:r>
        <w:rPr>
          <w:spacing w:val="60"/>
        </w:rPr>
        <w:t> </w:t>
      </w:r>
      <w:r>
        <w:rPr/>
        <w:t>(malarial</w:t>
      </w:r>
      <w:r>
        <w:rPr>
          <w:spacing w:val="1"/>
        </w:rPr>
        <w:t> </w:t>
      </w:r>
      <w:r>
        <w:rPr/>
        <w:t>parasite). The Kappa value (0.363) revealed that there is a fair level of agreement between the use of</w:t>
      </w:r>
      <w:r>
        <w:rPr>
          <w:spacing w:val="1"/>
        </w:rPr>
        <w:t> </w:t>
      </w:r>
      <w:r>
        <w:rPr/>
        <w:t>RDT and microscopy in the diagnosis of malarial infection. The kappa value indicates that strong</w:t>
      </w:r>
      <w:r>
        <w:rPr>
          <w:spacing w:val="1"/>
        </w:rPr>
        <w:t> </w:t>
      </w:r>
      <w:r>
        <w:rPr/>
        <w:t>reliance</w:t>
      </w:r>
      <w:r>
        <w:rPr>
          <w:spacing w:val="45"/>
        </w:rPr>
        <w:t> </w:t>
      </w:r>
      <w:r>
        <w:rPr/>
        <w:t>should</w:t>
      </w:r>
      <w:r>
        <w:rPr>
          <w:spacing w:val="44"/>
        </w:rPr>
        <w:t> </w:t>
      </w:r>
      <w:r>
        <w:rPr/>
        <w:t>not</w:t>
      </w:r>
      <w:r>
        <w:rPr>
          <w:spacing w:val="45"/>
        </w:rPr>
        <w:t> </w:t>
      </w:r>
      <w:r>
        <w:rPr/>
        <w:t>be</w:t>
      </w:r>
      <w:r>
        <w:rPr>
          <w:spacing w:val="45"/>
        </w:rPr>
        <w:t> </w:t>
      </w:r>
      <w:r>
        <w:rPr/>
        <w:t>given</w:t>
      </w:r>
      <w:r>
        <w:rPr>
          <w:spacing w:val="43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use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RDT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diagnosis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malaria</w:t>
      </w:r>
      <w:r>
        <w:rPr>
          <w:spacing w:val="46"/>
        </w:rPr>
        <w:t> </w:t>
      </w:r>
      <w:r>
        <w:rPr/>
        <w:t>as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agreement</w:t>
      </w:r>
      <w:r>
        <w:rPr>
          <w:spacing w:val="45"/>
        </w:rPr>
        <w:t> </w:t>
      </w:r>
      <w:r>
        <w:rPr/>
        <w:t>is</w:t>
      </w:r>
      <w:r>
        <w:rPr>
          <w:spacing w:val="-58"/>
        </w:rPr>
        <w:t> </w:t>
      </w:r>
      <w:r>
        <w:rPr/>
        <w:t>between the use of RDT and microscopy is only fair. This could be as a result of lack of proper</w:t>
      </w:r>
      <w:r>
        <w:rPr>
          <w:spacing w:val="1"/>
        </w:rPr>
        <w:t> </w:t>
      </w:r>
      <w:r>
        <w:rPr/>
        <w:t>storage conditions of the RDT cassettes, inability of manufacturing companies to adhere to the right</w:t>
      </w:r>
      <w:r>
        <w:rPr>
          <w:spacing w:val="1"/>
        </w:rPr>
        <w:t> </w:t>
      </w:r>
      <w:r>
        <w:rPr/>
        <w:t>proportion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agents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manufacture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cassettes</w:t>
      </w:r>
      <w:r>
        <w:rPr>
          <w:spacing w:val="30"/>
        </w:rPr>
        <w:t> </w:t>
      </w:r>
      <w:r>
        <w:rPr/>
        <w:t>(Bassey</w:t>
      </w:r>
      <w:r>
        <w:rPr>
          <w:spacing w:val="23"/>
        </w:rPr>
        <w:t> </w:t>
      </w:r>
      <w:r>
        <w:rPr/>
        <w:t>and</w:t>
      </w:r>
      <w:r>
        <w:rPr>
          <w:spacing w:val="28"/>
        </w:rPr>
        <w:t> </w:t>
      </w:r>
      <w:r>
        <w:rPr/>
        <w:t>Izah</w:t>
      </w:r>
      <w:r>
        <w:rPr>
          <w:spacing w:val="26"/>
        </w:rPr>
        <w:t> </w:t>
      </w:r>
      <w:r>
        <w:rPr/>
        <w:t>2017).</w:t>
      </w:r>
      <w:r>
        <w:rPr>
          <w:spacing w:val="25"/>
        </w:rPr>
        <w:t> </w:t>
      </w:r>
      <w:r>
        <w:rPr/>
        <w:t>Moreso,</w:t>
      </w:r>
      <w:r>
        <w:rPr>
          <w:spacing w:val="27"/>
        </w:rPr>
        <w:t> </w:t>
      </w:r>
      <w:r>
        <w:rPr/>
        <w:t>different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spacing w:line="480" w:lineRule="auto" w:before="72"/>
        <w:ind w:left="991" w:right="1255"/>
        <w:jc w:val="both"/>
      </w:pPr>
      <w:r>
        <w:rPr/>
        <w:t>kits have specificity for the detection of specific species of </w:t>
      </w:r>
      <w:r>
        <w:rPr>
          <w:i/>
        </w:rPr>
        <w:t>Plasmodium </w:t>
      </w:r>
      <w:r>
        <w:rPr/>
        <w:t>and specific antigen coated in</w:t>
      </w:r>
      <w:r>
        <w:rPr>
          <w:spacing w:val="-57"/>
        </w:rPr>
        <w:t> </w:t>
      </w:r>
      <w:r>
        <w:rPr/>
        <w:t>the strip might be different from the species of </w:t>
      </w:r>
      <w:r>
        <w:rPr>
          <w:i/>
        </w:rPr>
        <w:t>Plasmodium </w:t>
      </w:r>
      <w:r>
        <w:rPr/>
        <w:t>been sought after in the blood sample</w:t>
      </w:r>
      <w:r>
        <w:rPr>
          <w:spacing w:val="1"/>
        </w:rPr>
        <w:t> </w:t>
      </w:r>
      <w:r>
        <w:rPr/>
        <w:t>been tested and this could result in false negative results. Hence, except on emergency cases</w:t>
      </w:r>
      <w:r>
        <w:rPr>
          <w:spacing w:val="60"/>
        </w:rPr>
        <w:t> </w:t>
      </w:r>
      <w:r>
        <w:rPr/>
        <w:t>and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 of</w:t>
      </w:r>
      <w:r>
        <w:rPr>
          <w:spacing w:val="1"/>
        </w:rPr>
        <w:t> </w:t>
      </w:r>
      <w:r>
        <w:rPr/>
        <w:t>a microscope 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microscopy,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 of RDT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diagnosis</w:t>
      </w:r>
      <w:r>
        <w:rPr>
          <w:spacing w:val="60"/>
        </w:rPr>
        <w:t> </w:t>
      </w:r>
      <w:r>
        <w:rPr/>
        <w:t>of malaria</w:t>
      </w:r>
      <w:r>
        <w:rPr>
          <w:spacing w:val="1"/>
        </w:rPr>
        <w:t> </w:t>
      </w:r>
      <w:r>
        <w:rPr/>
        <w:t>should be discouraged and the gold standard; microscopy should be encouraged at all times (Beisel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2016;</w:t>
      </w:r>
      <w:r>
        <w:rPr>
          <w:spacing w:val="1"/>
        </w:rPr>
        <w:t> </w:t>
      </w:r>
      <w:r>
        <w:rPr/>
        <w:t>Boyce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2018).</w:t>
      </w:r>
    </w:p>
    <w:p>
      <w:pPr>
        <w:pStyle w:val="BodyText"/>
        <w:spacing w:line="480" w:lineRule="auto" w:before="200"/>
        <w:ind w:left="991" w:right="1252"/>
        <w:jc w:val="both"/>
      </w:pPr>
      <w:r>
        <w:rPr/>
        <w:t>Out of 500 samples, 245 were positive for malaria parasite. Bosso LGA had 120 positive samples</w:t>
      </w:r>
      <w:r>
        <w:rPr>
          <w:spacing w:val="1"/>
        </w:rPr>
        <w:t> </w:t>
      </w:r>
      <w:r>
        <w:rPr/>
        <w:t>representing 48.0 % while Paikoro</w:t>
      </w:r>
      <w:r>
        <w:rPr>
          <w:spacing w:val="1"/>
        </w:rPr>
        <w:t> </w:t>
      </w:r>
      <w:r>
        <w:rPr/>
        <w:t>LGA recorded 125</w:t>
      </w:r>
      <w:r>
        <w:rPr>
          <w:spacing w:val="1"/>
        </w:rPr>
        <w:t> </w:t>
      </w:r>
      <w:r>
        <w:rPr/>
        <w:t>representing a</w:t>
      </w:r>
      <w:r>
        <w:rPr>
          <w:spacing w:val="1"/>
        </w:rPr>
        <w:t> </w:t>
      </w:r>
      <w:r>
        <w:rPr/>
        <w:t>prevalence of 50</w:t>
      </w:r>
      <w:r>
        <w:rPr>
          <w:spacing w:val="1"/>
        </w:rPr>
        <w:t> </w:t>
      </w:r>
      <w:r>
        <w:rPr/>
        <w:t>%. The</w:t>
      </w:r>
      <w:r>
        <w:rPr>
          <w:spacing w:val="1"/>
        </w:rPr>
        <w:t> </w:t>
      </w:r>
      <w:r>
        <w:rPr/>
        <w:t>prevalence of malaria by RDT in the study area was 49.0%. The prevalence obtained in this study is</w:t>
      </w:r>
      <w:r>
        <w:rPr>
          <w:spacing w:val="1"/>
        </w:rPr>
        <w:t> </w:t>
      </w:r>
      <w:r>
        <w:rPr/>
        <w:t>lower than the prevalence of 57.6 % reported by Kuta </w:t>
      </w:r>
      <w:r>
        <w:rPr>
          <w:i/>
        </w:rPr>
        <w:t>et al</w:t>
      </w:r>
      <w:r>
        <w:rPr/>
        <w:t>. (2014) who worked on screening of blood</w:t>
      </w:r>
      <w:r>
        <w:rPr>
          <w:spacing w:val="-57"/>
        </w:rPr>
        <w:t> </w:t>
      </w:r>
      <w:r>
        <w:rPr/>
        <w:t>samples from school aged children (0-12 years) for the detection of </w:t>
      </w:r>
      <w:r>
        <w:rPr>
          <w:i/>
        </w:rPr>
        <w:t>Plasmodium </w:t>
      </w:r>
      <w:r>
        <w:rPr/>
        <w:t>parasites in Paikoro</w:t>
      </w:r>
      <w:r>
        <w:rPr>
          <w:spacing w:val="1"/>
        </w:rPr>
        <w:t> </w:t>
      </w:r>
      <w:r>
        <w:rPr/>
        <w:t>Local Government Area of Niger State, Nigeria. The overall prevalence is also lower than what was</w:t>
      </w:r>
      <w:r>
        <w:rPr>
          <w:spacing w:val="1"/>
        </w:rPr>
        <w:t> </w:t>
      </w:r>
      <w:r>
        <w:rPr/>
        <w:t>reported by Edogun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 (2017) who recorded</w:t>
      </w:r>
      <w:r>
        <w:rPr>
          <w:spacing w:val="1"/>
        </w:rPr>
        <w:t> </w:t>
      </w:r>
      <w:r>
        <w:rPr/>
        <w:t>an overall prevalence of 51.9</w:t>
      </w:r>
      <w:r>
        <w:rPr>
          <w:spacing w:val="60"/>
        </w:rPr>
        <w:t> </w:t>
      </w:r>
      <w:r>
        <w:rPr/>
        <w:t>% in three selected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Central,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Millicent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Gabriel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obtained a prevalence of 35.7 % in patients attending the General hospital Makarfi, Makarfi Kaduna</w:t>
      </w:r>
      <w:r>
        <w:rPr>
          <w:spacing w:val="1"/>
        </w:rPr>
        <w:t> </w:t>
      </w:r>
      <w:r>
        <w:rPr/>
        <w:t>State, North-Western Nigeria. Mbuh </w:t>
      </w:r>
      <w:r>
        <w:rPr>
          <w:i/>
        </w:rPr>
        <w:t>et al</w:t>
      </w:r>
      <w:r>
        <w:rPr/>
        <w:t>. (2003) recorded a prevalence of 27 % in a study titled rate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co-infection</w:t>
      </w:r>
      <w:r>
        <w:rPr>
          <w:spacing w:val="-1"/>
        </w:rPr>
        <w:t> </w:t>
      </w:r>
      <w:r>
        <w:rPr/>
        <w:t>with malarial</w:t>
      </w:r>
      <w:r>
        <w:rPr>
          <w:spacing w:val="-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and </w:t>
      </w:r>
      <w:r>
        <w:rPr>
          <w:i/>
        </w:rPr>
        <w:t>Salmonella</w:t>
      </w:r>
      <w:r>
        <w:rPr>
          <w:i/>
          <w:spacing w:val="-1"/>
        </w:rPr>
        <w:t> </w:t>
      </w:r>
      <w:r>
        <w:rPr/>
        <w:t>Typhi</w:t>
      </w:r>
      <w:r>
        <w:rPr>
          <w:spacing w:val="-1"/>
        </w:rPr>
        <w:t> </w:t>
      </w:r>
      <w:r>
        <w:rPr/>
        <w:t>conducted in</w:t>
      </w:r>
      <w:r>
        <w:rPr>
          <w:spacing w:val="1"/>
        </w:rPr>
        <w:t> </w:t>
      </w:r>
      <w:r>
        <w:rPr/>
        <w:t>Zaria,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 w:before="200"/>
        <w:ind w:left="991" w:right="1252"/>
        <w:jc w:val="both"/>
      </w:pPr>
      <w:r>
        <w:rPr/>
        <w:t>The varying prevalence reported in various regions across Nigeria could be as a result of different</w:t>
      </w:r>
      <w:r>
        <w:rPr>
          <w:spacing w:val="1"/>
        </w:rPr>
        <w:t> </w:t>
      </w:r>
      <w:r>
        <w:rPr/>
        <w:t>geographical locations and climate of the regions with respect to the presence and breeding of the</w:t>
      </w:r>
      <w:r>
        <w:rPr>
          <w:spacing w:val="1"/>
        </w:rPr>
        <w:t> </w:t>
      </w:r>
      <w:r>
        <w:rPr/>
        <w:t>insect vector and the habits of the area to preventive and control measures (Bassey and Izah 2017).</w:t>
      </w:r>
      <w:r>
        <w:rPr>
          <w:spacing w:val="1"/>
        </w:rPr>
        <w:t> </w:t>
      </w:r>
      <w:r>
        <w:rPr/>
        <w:t>Other factors such as age, educational status, and pregnancy could also be responsible for the varying</w:t>
      </w:r>
      <w:r>
        <w:rPr>
          <w:spacing w:val="1"/>
        </w:rPr>
        <w:t> </w:t>
      </w:r>
      <w:r>
        <w:rPr/>
        <w:t>prevalence recorded in various regions (Oladeinde </w:t>
      </w:r>
      <w:r>
        <w:rPr>
          <w:i/>
        </w:rPr>
        <w:t>et al</w:t>
      </w:r>
      <w:r>
        <w:rPr/>
        <w:t>., 2014). Furthermore, the lower prevalence</w:t>
      </w:r>
      <w:r>
        <w:rPr>
          <w:spacing w:val="1"/>
        </w:rPr>
        <w:t> </w:t>
      </w:r>
      <w:r>
        <w:rPr/>
        <w:t>obtained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this</w:t>
      </w:r>
      <w:r>
        <w:rPr>
          <w:spacing w:val="16"/>
        </w:rPr>
        <w:t> </w:t>
      </w:r>
      <w:r>
        <w:rPr/>
        <w:t>study</w:t>
      </w:r>
      <w:r>
        <w:rPr>
          <w:spacing w:val="13"/>
        </w:rPr>
        <w:t> </w:t>
      </w:r>
      <w:r>
        <w:rPr/>
        <w:t>as</w:t>
      </w:r>
      <w:r>
        <w:rPr>
          <w:spacing w:val="18"/>
        </w:rPr>
        <w:t> </w:t>
      </w:r>
      <w:r>
        <w:rPr/>
        <w:t>against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higher</w:t>
      </w:r>
      <w:r>
        <w:rPr>
          <w:spacing w:val="14"/>
        </w:rPr>
        <w:t> </w:t>
      </w:r>
      <w:r>
        <w:rPr/>
        <w:t>prevalence(57.6</w:t>
      </w:r>
      <w:r>
        <w:rPr>
          <w:spacing w:val="18"/>
        </w:rPr>
        <w:t> </w:t>
      </w:r>
      <w:r>
        <w:rPr/>
        <w:t>%</w:t>
      </w:r>
      <w:r>
        <w:rPr>
          <w:spacing w:val="15"/>
        </w:rPr>
        <w:t> </w:t>
      </w:r>
      <w:r>
        <w:rPr/>
        <w:t>and</w:t>
      </w:r>
      <w:r>
        <w:rPr>
          <w:spacing w:val="18"/>
        </w:rPr>
        <w:t> </w:t>
      </w:r>
      <w:r>
        <w:rPr/>
        <w:t>35.7</w:t>
      </w:r>
      <w:r>
        <w:rPr>
          <w:spacing w:val="18"/>
        </w:rPr>
        <w:t> </w:t>
      </w:r>
      <w:r>
        <w:rPr/>
        <w:t>%</w:t>
      </w:r>
      <w:r>
        <w:rPr>
          <w:spacing w:val="15"/>
        </w:rPr>
        <w:t> </w:t>
      </w:r>
      <w:r>
        <w:rPr/>
        <w:t>respectively)</w:t>
      </w:r>
      <w:r>
        <w:rPr>
          <w:spacing w:val="17"/>
        </w:rPr>
        <w:t> </w:t>
      </w:r>
      <w:r>
        <w:rPr/>
        <w:t>reported</w:t>
      </w:r>
      <w:r>
        <w:rPr>
          <w:spacing w:val="17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4"/>
        <w:jc w:val="both"/>
      </w:pPr>
      <w:r>
        <w:rPr/>
        <w:t>previous authors; Kuta </w:t>
      </w:r>
      <w:r>
        <w:rPr>
          <w:i/>
        </w:rPr>
        <w:t>et al</w:t>
      </w:r>
      <w:r>
        <w:rPr/>
        <w:t>. (2014) and Millicent and Gabriel (2015) in Niger State could be as a</w:t>
      </w:r>
      <w:r>
        <w:rPr>
          <w:spacing w:val="1"/>
        </w:rPr>
        <w:t> </w:t>
      </w:r>
      <w:r>
        <w:rPr/>
        <w:t>result improved awareness and preventive measures being put in place at various levels through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intervention programs. This decrease will</w:t>
      </w:r>
      <w:r>
        <w:rPr>
          <w:spacing w:val="60"/>
        </w:rPr>
        <w:t> </w:t>
      </w:r>
      <w:r>
        <w:rPr/>
        <w:t>help to reduce the financial</w:t>
      </w:r>
      <w:r>
        <w:rPr>
          <w:spacing w:val="1"/>
        </w:rPr>
        <w:t> </w:t>
      </w:r>
      <w:r>
        <w:rPr/>
        <w:t>burden</w:t>
      </w:r>
      <w:r>
        <w:rPr>
          <w:spacing w:val="-1"/>
        </w:rPr>
        <w:t> </w:t>
      </w:r>
      <w:r>
        <w:rPr/>
        <w:t>incurred by</w:t>
      </w:r>
      <w:r>
        <w:rPr>
          <w:spacing w:val="-5"/>
        </w:rPr>
        <w:t> </w:t>
      </w:r>
      <w:r>
        <w:rPr/>
        <w:t>the individuals in the study</w:t>
      </w:r>
      <w:r>
        <w:rPr>
          <w:spacing w:val="-6"/>
        </w:rPr>
        <w:t> </w:t>
      </w:r>
      <w:r>
        <w:rPr/>
        <w:t>area</w:t>
      </w:r>
      <w:r>
        <w:rPr>
          <w:spacing w:val="-1"/>
        </w:rPr>
        <w:t> </w:t>
      </w:r>
      <w:r>
        <w:rPr/>
        <w:t>and the</w:t>
      </w:r>
      <w:r>
        <w:rPr>
          <w:spacing w:val="3"/>
        </w:rPr>
        <w:t> </w:t>
      </w:r>
      <w:r>
        <w:rPr/>
        <w:t>State</w:t>
      </w:r>
      <w:r>
        <w:rPr>
          <w:spacing w:val="-1"/>
        </w:rPr>
        <w:t> </w:t>
      </w:r>
      <w:r>
        <w:rPr/>
        <w:t>at large.</w:t>
      </w:r>
    </w:p>
    <w:p>
      <w:pPr>
        <w:pStyle w:val="BodyText"/>
        <w:spacing w:line="480" w:lineRule="auto" w:before="199"/>
        <w:ind w:left="991" w:right="1251"/>
        <w:jc w:val="both"/>
      </w:pPr>
      <w:r>
        <w:rPr/>
        <w:t>Although</w:t>
      </w:r>
      <w:r>
        <w:rPr>
          <w:spacing w:val="30"/>
        </w:rPr>
        <w:t> </w:t>
      </w:r>
      <w:r>
        <w:rPr/>
        <w:t>malaria</w:t>
      </w:r>
      <w:r>
        <w:rPr>
          <w:spacing w:val="31"/>
        </w:rPr>
        <w:t> </w:t>
      </w:r>
      <w:r>
        <w:rPr/>
        <w:t>affects</w:t>
      </w:r>
      <w:r>
        <w:rPr>
          <w:spacing w:val="34"/>
        </w:rPr>
        <w:t> </w:t>
      </w:r>
      <w:r>
        <w:rPr/>
        <w:t>all</w:t>
      </w:r>
      <w:r>
        <w:rPr>
          <w:spacing w:val="30"/>
        </w:rPr>
        <w:t> </w:t>
      </w:r>
      <w:r>
        <w:rPr/>
        <w:t>age</w:t>
      </w:r>
      <w:r>
        <w:rPr>
          <w:spacing w:val="33"/>
        </w:rPr>
        <w:t> </w:t>
      </w:r>
      <w:r>
        <w:rPr/>
        <w:t>groups,</w:t>
      </w:r>
      <w:r>
        <w:rPr>
          <w:spacing w:val="31"/>
        </w:rPr>
        <w:t> </w:t>
      </w:r>
      <w:r>
        <w:rPr/>
        <w:t>age</w:t>
      </w:r>
      <w:r>
        <w:rPr>
          <w:spacing w:val="31"/>
        </w:rPr>
        <w:t> </w:t>
      </w:r>
      <w:r>
        <w:rPr/>
        <w:t>group</w:t>
      </w:r>
      <w:r>
        <w:rPr>
          <w:spacing w:val="30"/>
        </w:rPr>
        <w:t> </w:t>
      </w:r>
      <w:r>
        <w:rPr/>
        <w:t>0-4years</w:t>
      </w:r>
      <w:r>
        <w:rPr>
          <w:spacing w:val="30"/>
        </w:rPr>
        <w:t> </w:t>
      </w:r>
      <w:r>
        <w:rPr/>
        <w:t>had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highest</w:t>
      </w:r>
      <w:r>
        <w:rPr>
          <w:spacing w:val="30"/>
        </w:rPr>
        <w:t> </w:t>
      </w:r>
      <w:r>
        <w:rPr/>
        <w:t>prevalence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70.8%.</w:t>
      </w:r>
      <w:r>
        <w:rPr>
          <w:spacing w:val="-57"/>
        </w:rPr>
        <w:t> </w:t>
      </w:r>
      <w:r>
        <w:rPr/>
        <w:t>This high prevalence when compared with other age groups could be attributed to their vulnerability</w:t>
      </w:r>
      <w:r>
        <w:rPr>
          <w:spacing w:val="1"/>
        </w:rPr>
        <w:t> </w:t>
      </w:r>
      <w:r>
        <w:rPr/>
        <w:t>due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immature</w:t>
      </w:r>
      <w:r>
        <w:rPr>
          <w:spacing w:val="14"/>
        </w:rPr>
        <w:t> </w:t>
      </w:r>
      <w:r>
        <w:rPr/>
        <w:t>immune</w:t>
      </w:r>
      <w:r>
        <w:rPr>
          <w:spacing w:val="14"/>
        </w:rPr>
        <w:t> </w:t>
      </w:r>
      <w:r>
        <w:rPr/>
        <w:t>system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inability</w:t>
      </w:r>
      <w:r>
        <w:rPr>
          <w:spacing w:val="8"/>
        </w:rPr>
        <w:t> </w:t>
      </w:r>
      <w:r>
        <w:rPr/>
        <w:t>to</w:t>
      </w:r>
      <w:r>
        <w:rPr>
          <w:spacing w:val="18"/>
        </w:rPr>
        <w:t> </w:t>
      </w:r>
      <w:r>
        <w:rPr/>
        <w:t>adequately</w:t>
      </w:r>
      <w:r>
        <w:rPr>
          <w:spacing w:val="9"/>
        </w:rPr>
        <w:t> </w:t>
      </w:r>
      <w:r>
        <w:rPr/>
        <w:t>protect</w:t>
      </w:r>
      <w:r>
        <w:rPr>
          <w:spacing w:val="16"/>
        </w:rPr>
        <w:t> </w:t>
      </w:r>
      <w:r>
        <w:rPr/>
        <w:t>themselves</w:t>
      </w:r>
      <w:r>
        <w:rPr>
          <w:spacing w:val="15"/>
        </w:rPr>
        <w:t> </w:t>
      </w:r>
      <w:r>
        <w:rPr/>
        <w:t>from</w:t>
      </w:r>
      <w:r>
        <w:rPr>
          <w:spacing w:val="16"/>
        </w:rPr>
        <w:t> </w:t>
      </w:r>
      <w:r>
        <w:rPr/>
        <w:t>mosquito</w:t>
      </w:r>
      <w:r>
        <w:rPr>
          <w:spacing w:val="16"/>
        </w:rPr>
        <w:t> </w:t>
      </w:r>
      <w:r>
        <w:rPr/>
        <w:t>bites</w:t>
      </w:r>
      <w:r>
        <w:rPr>
          <w:spacing w:val="-58"/>
        </w:rPr>
        <w:t> </w:t>
      </w:r>
      <w:r>
        <w:rPr/>
        <w:t>if not provided for by their parents. The high prevalence recorded in this age group was also reported</w:t>
      </w:r>
      <w:r>
        <w:rPr>
          <w:spacing w:val="1"/>
        </w:rPr>
        <w:t> </w:t>
      </w:r>
      <w:r>
        <w:rPr/>
        <w:t>by Edogun </w:t>
      </w:r>
      <w:r>
        <w:rPr>
          <w:i/>
        </w:rPr>
        <w:t>et al</w:t>
      </w:r>
      <w:r>
        <w:rPr/>
        <w:t>. (2017) who recorded prevalence of 48.4 % in children aged 1-5 years.   It is worthy</w:t>
      </w:r>
      <w:r>
        <w:rPr>
          <w:spacing w:val="1"/>
        </w:rPr>
        <w:t> </w:t>
      </w:r>
      <w:r>
        <w:rPr/>
        <w:t>of note that age groups 5-9 years and 10-12 years also had very high malaria prevalence. The least</w:t>
      </w:r>
      <w:r>
        <w:rPr>
          <w:spacing w:val="1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 35.7</w:t>
      </w:r>
      <w:r>
        <w:rPr>
          <w:spacing w:val="3"/>
        </w:rPr>
        <w:t> </w:t>
      </w:r>
      <w:r>
        <w:rPr/>
        <w:t>%</w:t>
      </w:r>
      <w:r>
        <w:rPr>
          <w:spacing w:val="-1"/>
        </w:rPr>
        <w:t> </w:t>
      </w:r>
      <w:r>
        <w:rPr/>
        <w:t>was seen in age group</w:t>
      </w:r>
      <w:r>
        <w:rPr>
          <w:spacing w:val="-1"/>
        </w:rPr>
        <w:t> </w:t>
      </w:r>
      <w:r>
        <w:rPr/>
        <w:t>41-50</w:t>
      </w:r>
      <w:r>
        <w:rPr>
          <w:spacing w:val="2"/>
        </w:rPr>
        <w:t> </w:t>
      </w:r>
      <w:r>
        <w:rPr/>
        <w:t>years.</w:t>
      </w:r>
    </w:p>
    <w:p>
      <w:pPr>
        <w:pStyle w:val="BodyText"/>
        <w:spacing w:line="480" w:lineRule="auto" w:before="201"/>
        <w:ind w:left="991" w:right="1252"/>
        <w:jc w:val="both"/>
      </w:pPr>
      <w:r>
        <w:rPr/>
        <w:t>Malaria affects both males and females however,</w:t>
      </w:r>
      <w:r>
        <w:rPr>
          <w:spacing w:val="1"/>
        </w:rPr>
        <w:t> </w:t>
      </w:r>
      <w:r>
        <w:rPr/>
        <w:t>different studies have reported</w:t>
      </w:r>
      <w:r>
        <w:rPr>
          <w:spacing w:val="60"/>
        </w:rPr>
        <w:t> </w:t>
      </w:r>
      <w:r>
        <w:rPr/>
        <w:t>varying 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male</w:t>
      </w:r>
      <w:r>
        <w:rPr>
          <w:spacing w:val="-57"/>
        </w:rPr>
        <w:t> </w:t>
      </w:r>
      <w:r>
        <w:rPr/>
        <w:t>children while others reported higher prevalence in female (Okonkwo </w:t>
      </w:r>
      <w:r>
        <w:rPr>
          <w:i/>
        </w:rPr>
        <w:t>et al</w:t>
      </w:r>
      <w:r>
        <w:rPr/>
        <w:t>., 2010; Tela </w:t>
      </w:r>
      <w:r>
        <w:rPr>
          <w:i/>
        </w:rPr>
        <w:t>et al</w:t>
      </w:r>
      <w:r>
        <w:rPr/>
        <w:t>., 2015).</w:t>
      </w:r>
      <w:r>
        <w:rPr>
          <w:spacing w:val="1"/>
        </w:rPr>
        <w:t> </w:t>
      </w:r>
      <w:r>
        <w:rPr/>
        <w:t>From the findings of this research, it was found that male children had higher prevalence (70.7 %) of</w:t>
      </w:r>
      <w:r>
        <w:rPr>
          <w:spacing w:val="1"/>
        </w:rPr>
        <w:t> </w:t>
      </w:r>
      <w:r>
        <w:rPr/>
        <w:t>malaria than females (45.2 %). Similar findings were reported by Millicent </w:t>
      </w:r>
      <w:r>
        <w:rPr>
          <w:i/>
        </w:rPr>
        <w:t>et al</w:t>
      </w:r>
      <w:r>
        <w:rPr/>
        <w:t>., (2015) and Kuta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-1"/>
        </w:rPr>
        <w:t> </w:t>
      </w:r>
      <w:r>
        <w:rPr/>
        <w:t>(2014) with higher prevalence</w:t>
      </w:r>
      <w:r>
        <w:rPr>
          <w:spacing w:val="-1"/>
        </w:rPr>
        <w:t> </w:t>
      </w:r>
      <w:r>
        <w:rPr/>
        <w:t>in male</w:t>
      </w:r>
      <w:r>
        <w:rPr>
          <w:spacing w:val="-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than in females.</w:t>
      </w:r>
    </w:p>
    <w:p>
      <w:pPr>
        <w:pStyle w:val="BodyText"/>
        <w:spacing w:line="480" w:lineRule="auto" w:before="202"/>
        <w:ind w:left="991" w:right="1251"/>
        <w:jc w:val="both"/>
      </w:pPr>
      <w:r>
        <w:rPr/>
        <w:t>From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results</w:t>
      </w:r>
      <w:r>
        <w:rPr>
          <w:spacing w:val="23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number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pregnant</w:t>
      </w:r>
      <w:r>
        <w:rPr>
          <w:spacing w:val="23"/>
        </w:rPr>
        <w:t> </w:t>
      </w:r>
      <w:r>
        <w:rPr/>
        <w:t>women,</w:t>
      </w:r>
      <w:r>
        <w:rPr>
          <w:spacing w:val="22"/>
        </w:rPr>
        <w:t> </w:t>
      </w:r>
      <w:r>
        <w:rPr/>
        <w:t>non-pregnant</w:t>
      </w:r>
      <w:r>
        <w:rPr>
          <w:spacing w:val="23"/>
        </w:rPr>
        <w:t> </w:t>
      </w:r>
      <w:r>
        <w:rPr/>
        <w:t>women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children</w:t>
      </w:r>
      <w:r>
        <w:rPr>
          <w:spacing w:val="22"/>
        </w:rPr>
        <w:t> </w:t>
      </w:r>
      <w:r>
        <w:rPr/>
        <w:t>captured</w:t>
      </w:r>
      <w:r>
        <w:rPr>
          <w:spacing w:val="24"/>
        </w:rPr>
        <w:t> </w:t>
      </w:r>
      <w:r>
        <w:rPr/>
        <w:t>in</w:t>
      </w:r>
      <w:r>
        <w:rPr>
          <w:spacing w:val="-58"/>
        </w:rPr>
        <w:t> </w:t>
      </w:r>
      <w:r>
        <w:rPr/>
        <w:t>the study population, 46.6 % prevalence was obtained for malaria in pregnancy,</w:t>
      </w:r>
      <w:r>
        <w:rPr>
          <w:spacing w:val="60"/>
        </w:rPr>
        <w:t> </w:t>
      </w:r>
      <w:r>
        <w:rPr/>
        <w:t>33.9 % prevalence</w:t>
      </w:r>
      <w:r>
        <w:rPr>
          <w:spacing w:val="1"/>
        </w:rPr>
        <w:t> </w:t>
      </w:r>
      <w:r>
        <w:rPr/>
        <w:t>for the non-pregnant while children had 70.7 % prevalence. The high prevalence in children could</w:t>
      </w:r>
      <w:r>
        <w:rPr>
          <w:spacing w:val="1"/>
        </w:rPr>
        <w:t> </w:t>
      </w:r>
      <w:r>
        <w:rPr/>
        <w:t>suggest that mortality in children arising from malaria could still be high (Aregbeshola and Khan</w:t>
      </w:r>
      <w:r>
        <w:rPr>
          <w:spacing w:val="1"/>
        </w:rPr>
        <w:t> </w:t>
      </w:r>
      <w:r>
        <w:rPr/>
        <w:t>2017).</w:t>
      </w:r>
      <w:r>
        <w:rPr>
          <w:spacing w:val="36"/>
        </w:rPr>
        <w:t> </w:t>
      </w:r>
      <w:r>
        <w:rPr/>
        <w:t>More</w:t>
      </w:r>
      <w:r>
        <w:rPr>
          <w:spacing w:val="35"/>
        </w:rPr>
        <w:t> </w:t>
      </w:r>
      <w:r>
        <w:rPr/>
        <w:t>so,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prevalence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malaria</w:t>
      </w:r>
      <w:r>
        <w:rPr>
          <w:spacing w:val="35"/>
        </w:rPr>
        <w:t> </w:t>
      </w:r>
      <w:r>
        <w:rPr/>
        <w:t>in</w:t>
      </w:r>
      <w:r>
        <w:rPr>
          <w:spacing w:val="38"/>
        </w:rPr>
        <w:t> </w:t>
      </w:r>
      <w:r>
        <w:rPr/>
        <w:t>pregnant</w:t>
      </w:r>
      <w:r>
        <w:rPr>
          <w:spacing w:val="37"/>
        </w:rPr>
        <w:t> </w:t>
      </w:r>
      <w:r>
        <w:rPr/>
        <w:t>women</w:t>
      </w:r>
      <w:r>
        <w:rPr>
          <w:spacing w:val="36"/>
        </w:rPr>
        <w:t> </w:t>
      </w:r>
      <w:r>
        <w:rPr/>
        <w:t>is</w:t>
      </w:r>
      <w:r>
        <w:rPr>
          <w:spacing w:val="37"/>
        </w:rPr>
        <w:t> </w:t>
      </w:r>
      <w:r>
        <w:rPr/>
        <w:t>still</w:t>
      </w:r>
      <w:r>
        <w:rPr>
          <w:spacing w:val="37"/>
        </w:rPr>
        <w:t> </w:t>
      </w:r>
      <w:r>
        <w:rPr/>
        <w:t>high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this</w:t>
      </w:r>
      <w:r>
        <w:rPr>
          <w:spacing w:val="37"/>
        </w:rPr>
        <w:t> </w:t>
      </w:r>
      <w:r>
        <w:rPr/>
        <w:t>could</w:t>
      </w:r>
      <w:r>
        <w:rPr>
          <w:spacing w:val="39"/>
        </w:rPr>
        <w:t> </w:t>
      </w:r>
      <w:r>
        <w:rPr/>
        <w:t>lead</w:t>
      </w:r>
      <w:r>
        <w:rPr>
          <w:spacing w:val="34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2" w:lineRule="auto" w:before="72"/>
        <w:ind w:left="991" w:right="1257"/>
        <w:jc w:val="both"/>
      </w:pPr>
      <w:r>
        <w:rPr/>
        <w:t>complications in pregnancy and even maternal mortality. The vulnerability in pregnant women could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as a</w:t>
      </w:r>
      <w:r>
        <w:rPr>
          <w:spacing w:val="-1"/>
        </w:rPr>
        <w:t> </w:t>
      </w:r>
      <w:r>
        <w:rPr/>
        <w:t>result of immune</w:t>
      </w:r>
      <w:r>
        <w:rPr>
          <w:spacing w:val="-1"/>
        </w:rPr>
        <w:t> </w:t>
      </w:r>
      <w:r>
        <w:rPr/>
        <w:t>suppression in pregnancy.</w:t>
      </w:r>
    </w:p>
    <w:p>
      <w:pPr>
        <w:pStyle w:val="BodyText"/>
        <w:spacing w:line="480" w:lineRule="auto" w:before="194"/>
        <w:ind w:left="991" w:right="1253"/>
        <w:jc w:val="both"/>
      </w:pPr>
      <w:r>
        <w:rPr/>
        <w:t>Although previous literatures have established that malaria cuts across all educational status, this</w:t>
      </w:r>
      <w:r>
        <w:rPr>
          <w:spacing w:val="1"/>
        </w:rPr>
        <w:t> </w:t>
      </w:r>
      <w:r>
        <w:rPr/>
        <w:t>study</w:t>
      </w:r>
      <w:r>
        <w:rPr>
          <w:spacing w:val="15"/>
        </w:rPr>
        <w:t> </w:t>
      </w:r>
      <w:r>
        <w:rPr/>
        <w:t>also</w:t>
      </w:r>
      <w:r>
        <w:rPr>
          <w:spacing w:val="17"/>
        </w:rPr>
        <w:t> </w:t>
      </w:r>
      <w:r>
        <w:rPr/>
        <w:t>put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test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role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education</w:t>
      </w:r>
      <w:r>
        <w:rPr>
          <w:spacing w:val="16"/>
        </w:rPr>
        <w:t> </w:t>
      </w:r>
      <w:r>
        <w:rPr/>
        <w:t>in</w:t>
      </w:r>
      <w:r>
        <w:rPr>
          <w:spacing w:val="20"/>
        </w:rPr>
        <w:t> </w:t>
      </w:r>
      <w:r>
        <w:rPr/>
        <w:t>malarial</w:t>
      </w:r>
      <w:r>
        <w:rPr>
          <w:spacing w:val="17"/>
        </w:rPr>
        <w:t> </w:t>
      </w:r>
      <w:r>
        <w:rPr/>
        <w:t>infection.</w:t>
      </w:r>
      <w:r>
        <w:rPr>
          <w:spacing w:val="16"/>
        </w:rPr>
        <w:t> </w:t>
      </w:r>
      <w:r>
        <w:rPr/>
        <w:t>Malaria</w:t>
      </w:r>
      <w:r>
        <w:rPr>
          <w:spacing w:val="15"/>
        </w:rPr>
        <w:t> </w:t>
      </w:r>
      <w:r>
        <w:rPr/>
        <w:t>prevalence</w:t>
      </w:r>
      <w:r>
        <w:rPr>
          <w:spacing w:val="15"/>
        </w:rPr>
        <w:t> </w:t>
      </w:r>
      <w:r>
        <w:rPr/>
        <w:t>in</w:t>
      </w:r>
      <w:r>
        <w:rPr>
          <w:spacing w:val="19"/>
        </w:rPr>
        <w:t> </w:t>
      </w:r>
      <w:r>
        <w:rPr/>
        <w:t>patients</w:t>
      </w:r>
      <w:r>
        <w:rPr>
          <w:spacing w:val="17"/>
        </w:rPr>
        <w:t> </w:t>
      </w:r>
      <w:r>
        <w:rPr/>
        <w:t>with</w:t>
      </w:r>
      <w:r>
        <w:rPr>
          <w:spacing w:val="-57"/>
        </w:rPr>
        <w:t> </w:t>
      </w:r>
      <w:r>
        <w:rPr/>
        <w:t>no formal education was 56.0 % making it the highest prevalence under educational status. This is</w:t>
      </w:r>
      <w:r>
        <w:rPr>
          <w:spacing w:val="1"/>
        </w:rPr>
        <w:t> </w:t>
      </w:r>
      <w:r>
        <w:rPr/>
        <w:t>followed in descending order by primary (47.6 %), tertiary (42.0 %) and secondary educational status</w:t>
      </w:r>
      <w:r>
        <w:rPr>
          <w:spacing w:val="1"/>
        </w:rPr>
        <w:t> </w:t>
      </w:r>
      <w:r>
        <w:rPr/>
        <w:t>(38.2 %) respectively. Education plays key role in malarial prevention and control as seen from 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RDT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</w:t>
      </w:r>
      <w:r>
        <w:rPr>
          <w:spacing w:val="60"/>
        </w:rPr>
        <w:t> </w:t>
      </w:r>
      <w:r>
        <w:rPr/>
        <w:t>formal</w:t>
      </w:r>
      <w:r>
        <w:rPr>
          <w:spacing w:val="1"/>
        </w:rPr>
        <w:t> </w:t>
      </w:r>
      <w:r>
        <w:rPr/>
        <w:t>education. The p-value, 0.019 indicate a statistically significant result for the role of education as a</w:t>
      </w:r>
      <w:r>
        <w:rPr>
          <w:spacing w:val="1"/>
        </w:rPr>
        <w:t> </w:t>
      </w:r>
      <w:r>
        <w:rPr/>
        <w:t>risk factor in malarial infection in the study population. This agrees with the findings of Valea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malarial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status.</w:t>
      </w:r>
      <w:r>
        <w:rPr>
          <w:spacing w:val="1"/>
        </w:rPr>
        <w:t> </w:t>
      </w:r>
      <w:r>
        <w:rPr/>
        <w:t>Aregbeshola and Khan (2017) also reported from their study a high prevalence (46.3%) of malaria</w:t>
      </w:r>
      <w:r>
        <w:rPr>
          <w:spacing w:val="1"/>
        </w:rPr>
        <w:t> </w:t>
      </w:r>
      <w:r>
        <w:rPr/>
        <w:t>among the group without any form of education. This could be as a result of little or no knowledge of</w:t>
      </w:r>
      <w:r>
        <w:rPr>
          <w:spacing w:val="1"/>
        </w:rPr>
        <w:t> </w:t>
      </w:r>
      <w:r>
        <w:rPr/>
        <w:t>transmission or preventive strategies by this group of people. This could have negative impact on the</w:t>
      </w:r>
      <w:r>
        <w:rPr>
          <w:spacing w:val="1"/>
        </w:rPr>
        <w:t> </w:t>
      </w:r>
      <w:r>
        <w:rPr/>
        <w:t>finance in terms of money that will be used for programs in the prevention and control of the Local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Areas in the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480" w:lineRule="auto" w:before="201"/>
        <w:ind w:left="991" w:right="1255"/>
        <w:jc w:val="both"/>
      </w:pPr>
      <w:r>
        <w:rPr/>
        <w:t>On the basis of occupation, it was seen that the highest malarial prevalence by RDT was recorded in</w:t>
      </w:r>
      <w:r>
        <w:rPr>
          <w:spacing w:val="1"/>
        </w:rPr>
        <w:t> </w:t>
      </w:r>
      <w:r>
        <w:rPr/>
        <w:t>the unemployed with a prevalence of 61.0% this is followed by farmers out of 100 farmers tested 45</w:t>
      </w:r>
      <w:r>
        <w:rPr>
          <w:spacing w:val="1"/>
        </w:rPr>
        <w:t> </w:t>
      </w:r>
      <w:r>
        <w:rPr/>
        <w:t>proved positive for malaria representing 45.0 % prevalence. The least prevalence was seen in civil</w:t>
      </w:r>
      <w:r>
        <w:rPr>
          <w:spacing w:val="1"/>
        </w:rPr>
        <w:t> </w:t>
      </w:r>
      <w:r>
        <w:rPr/>
        <w:t>servants having a total of 49 tested patients, with 16 positive for malaria by RDT representing 32.7 %</w:t>
      </w:r>
      <w:r>
        <w:rPr>
          <w:spacing w:val="1"/>
        </w:rPr>
        <w:t> </w:t>
      </w:r>
      <w:r>
        <w:rPr/>
        <w:t>prevalence. The study agrees with that of Edogun </w:t>
      </w:r>
      <w:r>
        <w:rPr>
          <w:i/>
        </w:rPr>
        <w:t>et al</w:t>
      </w:r>
      <w:r>
        <w:rPr/>
        <w:t>. (2017) where farmers had appreciably high</w:t>
      </w:r>
      <w:r>
        <w:rPr>
          <w:spacing w:val="1"/>
        </w:rPr>
        <w:t> </w:t>
      </w:r>
      <w:r>
        <w:rPr/>
        <w:t>prevalence (39.3 %) as against other occupations. This could be traced to outdoor mosquito bites</w:t>
      </w:r>
      <w:r>
        <w:rPr>
          <w:spacing w:val="1"/>
        </w:rPr>
        <w:t> </w:t>
      </w:r>
      <w:r>
        <w:rPr/>
        <w:t>experienced</w:t>
      </w:r>
      <w:r>
        <w:rPr>
          <w:spacing w:val="34"/>
        </w:rPr>
        <w:t> </w:t>
      </w:r>
      <w:r>
        <w:rPr/>
        <w:t>by</w:t>
      </w:r>
      <w:r>
        <w:rPr>
          <w:spacing w:val="27"/>
        </w:rPr>
        <w:t> </w:t>
      </w:r>
      <w:r>
        <w:rPr/>
        <w:t>the</w:t>
      </w:r>
      <w:r>
        <w:rPr>
          <w:spacing w:val="34"/>
        </w:rPr>
        <w:t> </w:t>
      </w:r>
      <w:r>
        <w:rPr/>
        <w:t>farmers.</w:t>
      </w:r>
      <w:r>
        <w:rPr>
          <w:spacing w:val="39"/>
        </w:rPr>
        <w:t> </w:t>
      </w:r>
      <w:r>
        <w:rPr/>
        <w:t>If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farmers</w:t>
      </w:r>
      <w:r>
        <w:rPr>
          <w:spacing w:val="34"/>
        </w:rPr>
        <w:t> </w:t>
      </w:r>
      <w:r>
        <w:rPr/>
        <w:t>are</w:t>
      </w:r>
      <w:r>
        <w:rPr>
          <w:spacing w:val="34"/>
        </w:rPr>
        <w:t> </w:t>
      </w:r>
      <w:r>
        <w:rPr/>
        <w:t>not</w:t>
      </w:r>
      <w:r>
        <w:rPr>
          <w:spacing w:val="35"/>
        </w:rPr>
        <w:t> </w:t>
      </w:r>
      <w:r>
        <w:rPr/>
        <w:t>able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cultivate</w:t>
      </w:r>
      <w:r>
        <w:rPr>
          <w:spacing w:val="33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3"/>
        </w:rPr>
        <w:t> </w:t>
      </w:r>
      <w:r>
        <w:rPr/>
        <w:t>farming</w:t>
      </w:r>
      <w:r>
        <w:rPr>
          <w:spacing w:val="33"/>
        </w:rPr>
        <w:t> </w:t>
      </w:r>
      <w:r>
        <w:rPr/>
        <w:t>seasons</w:t>
      </w:r>
      <w:r>
        <w:rPr>
          <w:spacing w:val="35"/>
        </w:rPr>
        <w:t> </w:t>
      </w:r>
      <w:r>
        <w:rPr/>
        <w:t>due</w:t>
      </w:r>
      <w:r>
        <w:rPr>
          <w:spacing w:val="33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3"/>
        <w:jc w:val="both"/>
      </w:pPr>
      <w:r>
        <w:rPr/>
        <w:t>infection by the parasite, it could have reduced the availability of food and this will affect the overall</w:t>
      </w:r>
      <w:r>
        <w:rPr>
          <w:spacing w:val="1"/>
        </w:rPr>
        <w:t> </w:t>
      </w:r>
      <w:r>
        <w:rPr/>
        <w:t>well-being of the community (Ughasoro </w:t>
      </w:r>
      <w:r>
        <w:rPr>
          <w:i/>
        </w:rPr>
        <w:t>et al</w:t>
      </w:r>
      <w:r>
        <w:rPr/>
        <w:t>., 2013). The highest prevalence seen in the unemployed</w:t>
      </w:r>
      <w:r>
        <w:rPr>
          <w:spacing w:val="-57"/>
        </w:rPr>
        <w:t> </w:t>
      </w:r>
      <w:r>
        <w:rPr/>
        <w:t>is</w:t>
      </w:r>
      <w:r>
        <w:rPr>
          <w:spacing w:val="18"/>
        </w:rPr>
        <w:t> </w:t>
      </w:r>
      <w:r>
        <w:rPr/>
        <w:t>probably</w:t>
      </w:r>
      <w:r>
        <w:rPr>
          <w:spacing w:val="15"/>
        </w:rPr>
        <w:t> </w:t>
      </w:r>
      <w:r>
        <w:rPr/>
        <w:t>traceable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their</w:t>
      </w:r>
      <w:r>
        <w:rPr>
          <w:spacing w:val="18"/>
        </w:rPr>
        <w:t> </w:t>
      </w:r>
      <w:r>
        <w:rPr/>
        <w:t>inability</w:t>
      </w:r>
      <w:r>
        <w:rPr>
          <w:spacing w:val="13"/>
        </w:rPr>
        <w:t> </w:t>
      </w:r>
      <w:r>
        <w:rPr/>
        <w:t>to</w:t>
      </w:r>
      <w:r>
        <w:rPr>
          <w:spacing w:val="21"/>
        </w:rPr>
        <w:t> </w:t>
      </w:r>
      <w:r>
        <w:rPr/>
        <w:t>access</w:t>
      </w:r>
      <w:r>
        <w:rPr>
          <w:spacing w:val="22"/>
        </w:rPr>
        <w:t> </w:t>
      </w:r>
      <w:r>
        <w:rPr/>
        <w:t>good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healthy</w:t>
      </w:r>
      <w:r>
        <w:rPr>
          <w:spacing w:val="13"/>
        </w:rPr>
        <w:t> </w:t>
      </w:r>
      <w:r>
        <w:rPr/>
        <w:t>living,</w:t>
      </w:r>
      <w:r>
        <w:rPr>
          <w:spacing w:val="18"/>
        </w:rPr>
        <w:t> </w:t>
      </w:r>
      <w:r>
        <w:rPr/>
        <w:t>lack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resources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afford</w:t>
      </w:r>
      <w:r>
        <w:rPr>
          <w:spacing w:val="-57"/>
        </w:rPr>
        <w:t> </w:t>
      </w:r>
      <w:r>
        <w:rPr/>
        <w:t>the basic</w:t>
      </w:r>
      <w:r>
        <w:rPr>
          <w:spacing w:val="1"/>
        </w:rPr>
        <w:t> </w:t>
      </w:r>
      <w:r>
        <w:rPr/>
        <w:t>preventive measures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 money to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(Pam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</w:t>
      </w:r>
      <w:r>
        <w:rPr/>
        <w:t>.,</w:t>
      </w:r>
      <w:r>
        <w:rPr>
          <w:spacing w:val="-57"/>
        </w:rPr>
        <w:t> </w:t>
      </w:r>
      <w:r>
        <w:rPr/>
        <w:t>2015). The least prevalence recorded</w:t>
      </w:r>
      <w:r>
        <w:rPr>
          <w:spacing w:val="1"/>
        </w:rPr>
        <w:t> </w:t>
      </w:r>
      <w:r>
        <w:rPr/>
        <w:t>in civil</w:t>
      </w:r>
      <w:r>
        <w:rPr>
          <w:spacing w:val="1"/>
        </w:rPr>
        <w:t> </w:t>
      </w:r>
      <w:r>
        <w:rPr/>
        <w:t>servants</w:t>
      </w:r>
      <w:r>
        <w:rPr>
          <w:spacing w:val="1"/>
        </w:rPr>
        <w:t> </w:t>
      </w:r>
      <w:r>
        <w:rPr/>
        <w:t>can be traced or linked to their level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preventive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availability of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diagnosis and treatment</w:t>
      </w:r>
      <w:r>
        <w:rPr>
          <w:spacing w:val="1"/>
        </w:rPr>
        <w:t> </w:t>
      </w:r>
      <w:r>
        <w:rPr/>
        <w:t>(Bassey and</w:t>
      </w:r>
      <w:r>
        <w:rPr>
          <w:spacing w:val="1"/>
        </w:rPr>
        <w:t> </w:t>
      </w:r>
      <w:r>
        <w:rPr/>
        <w:t>Izah 2017). The difference in statistics among the various</w:t>
      </w:r>
      <w:r>
        <w:rPr>
          <w:spacing w:val="1"/>
        </w:rPr>
        <w:t> </w:t>
      </w:r>
      <w:r>
        <w:rPr/>
        <w:t>occupations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0.001,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0.05).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occupation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considered as a risk factor influencing malaria infection in the study population. The findings agree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Edogun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occupation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malarial</w:t>
      </w:r>
      <w:r>
        <w:rPr>
          <w:spacing w:val="-57"/>
        </w:rPr>
        <w:t> </w:t>
      </w:r>
      <w:r>
        <w:rPr/>
        <w:t>infection.</w:t>
      </w:r>
    </w:p>
    <w:p>
      <w:pPr>
        <w:pStyle w:val="BodyText"/>
        <w:spacing w:line="480" w:lineRule="auto" w:before="200"/>
        <w:ind w:left="991" w:right="1250"/>
        <w:jc w:val="both"/>
      </w:pPr>
      <w:r>
        <w:rPr/>
        <w:t>Adequate knowledge of signs and symptoms of malaria was also tested among the participants in the</w:t>
      </w:r>
      <w:r>
        <w:rPr>
          <w:spacing w:val="1"/>
        </w:rPr>
        <w:t> </w:t>
      </w:r>
      <w:r>
        <w:rPr/>
        <w:t>research. The findings revealed that of the 500 patients, 59.1 % of the population had knowledge of</w:t>
      </w:r>
      <w:r>
        <w:rPr>
          <w:spacing w:val="1"/>
        </w:rPr>
        <w:t> </w:t>
      </w:r>
      <w:r>
        <w:rPr/>
        <w:t>headache as a symptom of malaria. Other signs and symptoms are</w:t>
      </w:r>
      <w:r>
        <w:rPr>
          <w:spacing w:val="60"/>
        </w:rPr>
        <w:t> </w:t>
      </w:r>
      <w:r>
        <w:rPr/>
        <w:t>recorded below in descending</w:t>
      </w:r>
      <w:r>
        <w:rPr>
          <w:spacing w:val="1"/>
        </w:rPr>
        <w:t> </w:t>
      </w:r>
      <w:r>
        <w:rPr/>
        <w:t>order according to knowledge of participants; dizziness (51.0 %), chills (50.0 %), loss of appetite</w:t>
      </w:r>
      <w:r>
        <w:rPr>
          <w:spacing w:val="1"/>
        </w:rPr>
        <w:t> </w:t>
      </w:r>
      <w:r>
        <w:rPr/>
        <w:t>(49.8 %), fever (46.2 %), weakness (46.0%), body pains (45.2 %), vomiting (35.2 %) and very little</w:t>
      </w:r>
      <w:r>
        <w:rPr>
          <w:spacing w:val="1"/>
        </w:rPr>
        <w:t> </w:t>
      </w:r>
      <w:r>
        <w:rPr/>
        <w:t>group; 4.8 % had no knowledge respectively. This is in agreement with results of Okwa and Ibidapo</w:t>
      </w:r>
      <w:r>
        <w:rPr>
          <w:spacing w:val="1"/>
        </w:rPr>
        <w:t> </w:t>
      </w:r>
      <w:r>
        <w:rPr/>
        <w:t>(2010) who reported headache (49.6 %) as the most known and common symptom within their study</w:t>
      </w:r>
      <w:r>
        <w:rPr>
          <w:spacing w:val="1"/>
        </w:rPr>
        <w:t> </w:t>
      </w:r>
      <w:r>
        <w:rPr/>
        <w:t>population. It is worthy of note that very small percent of the population had no knowledge of the</w:t>
      </w:r>
      <w:r>
        <w:rPr>
          <w:spacing w:val="1"/>
        </w:rPr>
        <w:t> </w:t>
      </w:r>
      <w:r>
        <w:rPr/>
        <w:t>signs and symptoms even in the rural communities where this study was carried out. This indicates</w:t>
      </w:r>
      <w:r>
        <w:rPr>
          <w:spacing w:val="1"/>
        </w:rPr>
        <w:t> </w:t>
      </w:r>
      <w:r>
        <w:rPr/>
        <w:t>that there is an appreciable knowledge of the signs and the symptoms of malaria; this can be traced to</w:t>
      </w:r>
      <w:r>
        <w:rPr>
          <w:spacing w:val="1"/>
        </w:rPr>
        <w:t> </w:t>
      </w:r>
      <w:r>
        <w:rPr/>
        <w:t>various</w:t>
      </w:r>
      <w:r>
        <w:rPr>
          <w:spacing w:val="7"/>
        </w:rPr>
        <w:t> </w:t>
      </w:r>
      <w:r>
        <w:rPr/>
        <w:t>levels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research</w:t>
      </w:r>
      <w:r>
        <w:rPr>
          <w:spacing w:val="6"/>
        </w:rPr>
        <w:t> </w:t>
      </w:r>
      <w:r>
        <w:rPr/>
        <w:t>done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disease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various</w:t>
      </w:r>
      <w:r>
        <w:rPr>
          <w:spacing w:val="6"/>
        </w:rPr>
        <w:t> </w:t>
      </w:r>
      <w:r>
        <w:rPr/>
        <w:t>international,</w:t>
      </w:r>
      <w:r>
        <w:rPr>
          <w:spacing w:val="7"/>
        </w:rPr>
        <w:t> </w:t>
      </w:r>
      <w:r>
        <w:rPr/>
        <w:t>federal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state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2" w:lineRule="auto" w:before="72"/>
        <w:ind w:left="991" w:right="1253"/>
        <w:jc w:val="both"/>
      </w:pPr>
      <w:r>
        <w:rPr/>
        <w:t>involvements in ensuring that the disease is adequately managed. Although the p-value (0.459) was</w:t>
      </w:r>
      <w:r>
        <w:rPr>
          <w:spacing w:val="1"/>
        </w:rPr>
        <w:t> </w:t>
      </w:r>
      <w:r>
        <w:rPr/>
        <w:t>statistically</w:t>
      </w:r>
      <w:r>
        <w:rPr>
          <w:spacing w:val="-6"/>
        </w:rPr>
        <w:t> </w:t>
      </w:r>
      <w:r>
        <w:rPr/>
        <w:t>not significant</w:t>
      </w:r>
      <w:r>
        <w:rPr>
          <w:spacing w:val="-1"/>
        </w:rPr>
        <w:t> </w:t>
      </w:r>
      <w:r>
        <w:rPr/>
        <w:t>varying</w:t>
      </w:r>
      <w:r>
        <w:rPr>
          <w:spacing w:val="-3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 malarial</w:t>
      </w:r>
      <w:r>
        <w:rPr>
          <w:spacing w:val="-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recorded for</w:t>
      </w:r>
      <w:r>
        <w:rPr>
          <w:spacing w:val="-3"/>
        </w:rPr>
        <w:t> </w:t>
      </w:r>
      <w:r>
        <w:rPr/>
        <w:t>the various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line="480" w:lineRule="auto" w:before="194"/>
        <w:ind w:left="991" w:right="1254"/>
        <w:jc w:val="both"/>
      </w:pPr>
      <w:r>
        <w:rPr/>
        <w:t>The participants were also subjected to test to ascertain the level of their knowledge on various</w:t>
      </w:r>
      <w:r>
        <w:rPr>
          <w:spacing w:val="1"/>
        </w:rPr>
        <w:t> </w:t>
      </w:r>
      <w:r>
        <w:rPr/>
        <w:t>preventive strategies. The preventive strategies include; insecticide treated nets (ITN), indoor residual</w:t>
      </w:r>
      <w:r>
        <w:rPr>
          <w:spacing w:val="-57"/>
        </w:rPr>
        <w:t> </w:t>
      </w:r>
      <w:r>
        <w:rPr/>
        <w:t>spraying (IRS), intermittent preventive treatment in pregnancy (IPTP) and larval source management</w:t>
      </w:r>
      <w:r>
        <w:rPr>
          <w:spacing w:val="1"/>
        </w:rPr>
        <w:t> </w:t>
      </w:r>
      <w:r>
        <w:rPr/>
        <w:t>(LSM).</w:t>
      </w:r>
      <w:r>
        <w:rPr>
          <w:spacing w:val="1"/>
        </w:rPr>
        <w:t> </w:t>
      </w:r>
      <w:r>
        <w:rPr/>
        <w:t>Out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 strategies sort for, 51.8</w:t>
      </w:r>
      <w:r>
        <w:rPr>
          <w:spacing w:val="4"/>
        </w:rPr>
        <w:t> </w:t>
      </w:r>
      <w:r>
        <w:rPr/>
        <w:t>%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population had knowledge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ITN,</w:t>
      </w:r>
      <w:r>
        <w:rPr>
          <w:spacing w:val="2"/>
        </w:rPr>
        <w:t> </w:t>
      </w:r>
      <w:r>
        <w:rPr/>
        <w:t>42.2</w:t>
      </w:r>
    </w:p>
    <w:p>
      <w:pPr>
        <w:pStyle w:val="BodyText"/>
        <w:spacing w:line="480" w:lineRule="auto" w:before="1"/>
        <w:ind w:left="991" w:right="1251"/>
        <w:jc w:val="both"/>
      </w:pPr>
      <w:r>
        <w:rPr/>
        <w:t>% for LSM, 41.8 % for IRS and 30.0 % for IPTP respectively. Okwa and Ibidapo (2010) and</w:t>
      </w:r>
      <w:r>
        <w:rPr>
          <w:spacing w:val="1"/>
        </w:rPr>
        <w:t> </w:t>
      </w:r>
      <w:r>
        <w:rPr/>
        <w:t>Chukwuocha (2012) in their independent studies also reported ITN prevention strategy as the most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Statistically,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(0.465)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 of prevention strategies without properly practicing same has little or no effect in reducing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incidence</w:t>
      </w:r>
      <w:r>
        <w:rPr>
          <w:spacing w:val="-1"/>
        </w:rPr>
        <w:t> </w:t>
      </w:r>
      <w:r>
        <w:rPr/>
        <w:t>of malarial</w:t>
      </w:r>
      <w:r>
        <w:rPr>
          <w:spacing w:val="2"/>
        </w:rPr>
        <w:t> </w:t>
      </w:r>
      <w:r>
        <w:rPr/>
        <w:t>infection.</w:t>
      </w:r>
    </w:p>
    <w:p>
      <w:pPr>
        <w:pStyle w:val="BodyText"/>
        <w:spacing w:line="480" w:lineRule="auto" w:before="199"/>
        <w:ind w:left="991" w:right="1253"/>
        <w:jc w:val="both"/>
      </w:pPr>
      <w:r>
        <w:rPr/>
        <w:t>Response to correct knowledge of transmission was also tested and this revealed that 350 (70.7 %)</w:t>
      </w:r>
      <w:r>
        <w:rPr>
          <w:spacing w:val="1"/>
        </w:rPr>
        <w:t> </w:t>
      </w:r>
      <w:r>
        <w:rPr/>
        <w:t>subjects of the total population had the correct knowledge that infected mosquito bite brings about</w:t>
      </w:r>
      <w:r>
        <w:rPr>
          <w:spacing w:val="1"/>
        </w:rPr>
        <w:t> </w:t>
      </w:r>
      <w:r>
        <w:rPr/>
        <w:t>transmission and of this 350, 158 tested positive to malaria representing 45.1 % prevalence. The other</w:t>
      </w:r>
      <w:r>
        <w:rPr>
          <w:spacing w:val="-57"/>
        </w:rPr>
        <w:t> </w:t>
      </w:r>
      <w:r>
        <w:rPr/>
        <w:t>150 representing 30 % had no knowledge of transmission. From the 150,</w:t>
      </w:r>
      <w:r>
        <w:rPr>
          <w:spacing w:val="60"/>
        </w:rPr>
        <w:t> </w:t>
      </w:r>
      <w:r>
        <w:rPr/>
        <w:t>87 tested positive for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58.0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prevalence.</w:t>
      </w:r>
      <w:r>
        <w:rPr>
          <w:spacing w:val="1"/>
        </w:rPr>
        <w:t> </w:t>
      </w:r>
      <w:r>
        <w:rPr/>
        <w:t>Okwa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Ibidapo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reported</w:t>
      </w:r>
      <w:r>
        <w:rPr>
          <w:spacing w:val="60"/>
        </w:rPr>
        <w:t> </w:t>
      </w:r>
      <w:r>
        <w:rPr/>
        <w:t>high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among their</w:t>
      </w:r>
      <w:r>
        <w:rPr>
          <w:spacing w:val="1"/>
        </w:rPr>
        <w:t> </w:t>
      </w:r>
      <w:r>
        <w:rPr/>
        <w:t>study population.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transmission, subjects are can prevent transmission of the disease. But subjects without the right</w:t>
      </w:r>
      <w:r>
        <w:rPr>
          <w:spacing w:val="1"/>
        </w:rPr>
        <w:t> </w:t>
      </w:r>
      <w:r>
        <w:rPr/>
        <w:t>knowledge of transmission are mostly at risk of infection (Okwa and Ibidapo 2010; Edogun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spacing w:line="480" w:lineRule="auto" w:before="203"/>
        <w:ind w:left="991" w:right="1253"/>
        <w:jc w:val="both"/>
      </w:pPr>
      <w:r>
        <w:rPr/>
        <w:t>All 500 blood samples were screened for their ABO blood groups. The following malarial prevalence</w:t>
      </w:r>
      <w:r>
        <w:rPr>
          <w:spacing w:val="1"/>
        </w:rPr>
        <w:t> </w:t>
      </w:r>
      <w:r>
        <w:rPr/>
        <w:t>was</w:t>
      </w:r>
      <w:r>
        <w:rPr>
          <w:spacing w:val="11"/>
        </w:rPr>
        <w:t> </w:t>
      </w:r>
      <w:r>
        <w:rPr/>
        <w:t>recorded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basis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blood</w:t>
      </w:r>
      <w:r>
        <w:rPr>
          <w:spacing w:val="11"/>
        </w:rPr>
        <w:t> </w:t>
      </w:r>
      <w:r>
        <w:rPr/>
        <w:t>group;</w:t>
      </w:r>
      <w:r>
        <w:rPr>
          <w:spacing w:val="10"/>
        </w:rPr>
        <w:t> </w:t>
      </w:r>
      <w:r>
        <w:rPr/>
        <w:t>blood</w:t>
      </w:r>
      <w:r>
        <w:rPr>
          <w:spacing w:val="12"/>
        </w:rPr>
        <w:t> </w:t>
      </w:r>
      <w:r>
        <w:rPr/>
        <w:t>group</w:t>
      </w:r>
      <w:r>
        <w:rPr>
          <w:spacing w:val="11"/>
        </w:rPr>
        <w:t> </w:t>
      </w:r>
      <w:r>
        <w:rPr/>
        <w:t>AB</w:t>
      </w:r>
      <w:r>
        <w:rPr>
          <w:spacing w:val="9"/>
        </w:rPr>
        <w:t> </w:t>
      </w:r>
      <w:r>
        <w:rPr/>
        <w:t>(75.3</w:t>
      </w:r>
      <w:r>
        <w:rPr>
          <w:spacing w:val="11"/>
        </w:rPr>
        <w:t> </w:t>
      </w:r>
      <w:r>
        <w:rPr/>
        <w:t>%),</w:t>
      </w:r>
      <w:r>
        <w:rPr>
          <w:spacing w:val="10"/>
        </w:rPr>
        <w:t> </w:t>
      </w:r>
      <w:r>
        <w:rPr/>
        <w:t>blood</w:t>
      </w:r>
      <w:r>
        <w:rPr>
          <w:spacing w:val="12"/>
        </w:rPr>
        <w:t> </w:t>
      </w:r>
      <w:r>
        <w:rPr/>
        <w:t>group</w:t>
      </w:r>
      <w:r>
        <w:rPr>
          <w:spacing w:val="10"/>
        </w:rPr>
        <w:t> </w:t>
      </w:r>
      <w:r>
        <w:rPr/>
        <w:t>B</w:t>
      </w:r>
      <w:r>
        <w:rPr>
          <w:spacing w:val="9"/>
        </w:rPr>
        <w:t> </w:t>
      </w:r>
      <w:r>
        <w:rPr/>
        <w:t>(68.4</w:t>
      </w:r>
      <w:r>
        <w:rPr>
          <w:spacing w:val="11"/>
        </w:rPr>
        <w:t> </w:t>
      </w:r>
      <w:r>
        <w:rPr/>
        <w:t>%),</w:t>
      </w:r>
      <w:r>
        <w:rPr>
          <w:spacing w:val="10"/>
        </w:rPr>
        <w:t> </w:t>
      </w:r>
      <w:r>
        <w:rPr/>
        <w:t>blood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2" w:lineRule="auto" w:before="72"/>
        <w:ind w:left="991" w:right="1253"/>
        <w:jc w:val="both"/>
      </w:pPr>
      <w:r>
        <w:rPr/>
        <w:t>group A (62.1 %) and blood group O (18.3 %) respectively. The high frequency of blood type O was</w:t>
      </w:r>
      <w:r>
        <w:rPr>
          <w:spacing w:val="1"/>
        </w:rPr>
        <w:t> </w:t>
      </w:r>
      <w:r>
        <w:rPr/>
        <w:t>also recorded by Tewodros </w:t>
      </w:r>
      <w:r>
        <w:rPr>
          <w:i/>
        </w:rPr>
        <w:t>et al</w:t>
      </w:r>
      <w:r>
        <w:rPr/>
        <w:t>. (2011) but the study disagrees with the findings of Uneke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(2006)</w:t>
      </w:r>
      <w:r>
        <w:rPr>
          <w:spacing w:val="-2"/>
        </w:rPr>
        <w:t> </w:t>
      </w:r>
      <w:r>
        <w:rPr/>
        <w:t>with low frequency</w:t>
      </w:r>
      <w:r>
        <w:rPr>
          <w:spacing w:val="-3"/>
        </w:rPr>
        <w:t> </w:t>
      </w:r>
      <w:r>
        <w:rPr/>
        <w:t>of blood type</w:t>
      </w:r>
      <w:r>
        <w:rPr>
          <w:spacing w:val="1"/>
        </w:rPr>
        <w:t> </w:t>
      </w:r>
      <w:r>
        <w:rPr/>
        <w:t>O.</w:t>
      </w:r>
    </w:p>
    <w:p>
      <w:pPr>
        <w:pStyle w:val="BodyText"/>
        <w:spacing w:line="480" w:lineRule="auto" w:before="191"/>
        <w:ind w:left="991" w:right="1252"/>
        <w:jc w:val="both"/>
      </w:pPr>
      <w:r>
        <w:rPr/>
        <w:t>Malarial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(P=0.047)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malarial prevalence (75.3 %) recorded among individuals with blood group AB. Blood group O had</w:t>
      </w:r>
      <w:r>
        <w:rPr>
          <w:spacing w:val="1"/>
        </w:rPr>
        <w:t> </w:t>
      </w:r>
      <w:r>
        <w:rPr/>
        <w:t>the least malaria prevalence of 18.3 %. This agrees with the findings of Tewodros </w:t>
      </w:r>
      <w:r>
        <w:rPr>
          <w:i/>
        </w:rPr>
        <w:t>et al</w:t>
      </w:r>
      <w:r>
        <w:rPr/>
        <w:t>. (2011) who</w:t>
      </w:r>
      <w:r>
        <w:rPr>
          <w:spacing w:val="1"/>
        </w:rPr>
        <w:t> </w:t>
      </w:r>
      <w:r>
        <w:rPr/>
        <w:t>recorded lowest prevalence of malaria among the O blood type. But the study is not in credence with</w:t>
      </w:r>
      <w:r>
        <w:rPr>
          <w:spacing w:val="1"/>
        </w:rPr>
        <w:t> </w:t>
      </w:r>
      <w:r>
        <w:rPr/>
        <w:t>the findings from the studies of Okwa and Ibidapo 2010 in a work titled ‘The Malaria situation,</w:t>
      </w:r>
      <w:r>
        <w:rPr>
          <w:spacing w:val="1"/>
        </w:rPr>
        <w:t> </w:t>
      </w:r>
      <w:r>
        <w:rPr/>
        <w:t>perception of cause and treatment in</w:t>
      </w:r>
      <w:r>
        <w:rPr>
          <w:spacing w:val="60"/>
        </w:rPr>
        <w:t> </w:t>
      </w:r>
      <w:r>
        <w:rPr/>
        <w:t>a Nigerian University’ where the most infected with malaria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those of blood</w:t>
      </w:r>
      <w:r>
        <w:rPr>
          <w:spacing w:val="1"/>
        </w:rPr>
        <w:t> </w:t>
      </w:r>
      <w:r>
        <w:rPr/>
        <w:t>group O.</w:t>
      </w:r>
    </w:p>
    <w:p>
      <w:pPr>
        <w:pStyle w:val="BodyText"/>
        <w:spacing w:line="480" w:lineRule="auto" w:before="200"/>
        <w:ind w:left="991" w:right="1252"/>
        <w:jc w:val="both"/>
      </w:pPr>
      <w:r>
        <w:rPr/>
        <w:t>The present finding in this study substantiates the hypothesis about a selective (survival) evolutionary</w:t>
      </w:r>
      <w:r>
        <w:rPr>
          <w:spacing w:val="-57"/>
        </w:rPr>
        <w:t> </w:t>
      </w:r>
      <w:r>
        <w:rPr/>
        <w:t>advantage of </w:t>
      </w:r>
      <w:r>
        <w:rPr>
          <w:i/>
        </w:rPr>
        <w:t>P. falciparum </w:t>
      </w:r>
      <w:r>
        <w:rPr/>
        <w:t>infection on blood group O cells compared with other blood group types</w:t>
      </w:r>
      <w:r>
        <w:rPr>
          <w:spacing w:val="1"/>
        </w:rPr>
        <w:t> </w:t>
      </w:r>
      <w:r>
        <w:rPr/>
        <w:t>(A,</w:t>
      </w:r>
      <w:r>
        <w:rPr>
          <w:spacing w:val="26"/>
        </w:rPr>
        <w:t> </w:t>
      </w:r>
      <w:r>
        <w:rPr/>
        <w:t>B</w:t>
      </w:r>
      <w:r>
        <w:rPr>
          <w:spacing w:val="26"/>
        </w:rPr>
        <w:t> </w:t>
      </w:r>
      <w:r>
        <w:rPr/>
        <w:t>or</w:t>
      </w:r>
      <w:r>
        <w:rPr>
          <w:spacing w:val="26"/>
        </w:rPr>
        <w:t> </w:t>
      </w:r>
      <w:r>
        <w:rPr/>
        <w:t>AB)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malarial</w:t>
      </w:r>
      <w:r>
        <w:rPr>
          <w:spacing w:val="28"/>
        </w:rPr>
        <w:t> </w:t>
      </w:r>
      <w:r>
        <w:rPr/>
        <w:t>endemic</w:t>
      </w:r>
      <w:r>
        <w:rPr>
          <w:spacing w:val="27"/>
        </w:rPr>
        <w:t> </w:t>
      </w:r>
      <w:r>
        <w:rPr/>
        <w:t>areas</w:t>
      </w:r>
      <w:r>
        <w:rPr>
          <w:spacing w:val="28"/>
        </w:rPr>
        <w:t> </w:t>
      </w:r>
      <w:r>
        <w:rPr/>
        <w:t>(Cserti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Dzik</w:t>
      </w:r>
      <w:r>
        <w:rPr>
          <w:spacing w:val="28"/>
        </w:rPr>
        <w:t> </w:t>
      </w:r>
      <w:r>
        <w:rPr/>
        <w:t>2007;</w:t>
      </w:r>
      <w:r>
        <w:rPr>
          <w:spacing w:val="25"/>
        </w:rPr>
        <w:t> </w:t>
      </w:r>
      <w:r>
        <w:rPr/>
        <w:t>Fry</w:t>
      </w:r>
      <w:r>
        <w:rPr>
          <w:spacing w:val="22"/>
        </w:rPr>
        <w:t> </w:t>
      </w:r>
      <w:r>
        <w:rPr>
          <w:i/>
        </w:rPr>
        <w:t>et</w:t>
      </w:r>
      <w:r>
        <w:rPr>
          <w:i/>
          <w:spacing w:val="28"/>
        </w:rPr>
        <w:t> </w:t>
      </w:r>
      <w:r>
        <w:rPr>
          <w:i/>
        </w:rPr>
        <w:t>al</w:t>
      </w:r>
      <w:r>
        <w:rPr/>
        <w:t>.,</w:t>
      </w:r>
      <w:r>
        <w:rPr>
          <w:spacing w:val="27"/>
        </w:rPr>
        <w:t> </w:t>
      </w:r>
      <w:r>
        <w:rPr/>
        <w:t>2008).</w:t>
      </w:r>
      <w:r>
        <w:rPr>
          <w:spacing w:val="27"/>
        </w:rPr>
        <w:t> </w:t>
      </w:r>
      <w:r>
        <w:rPr/>
        <w:t>Previous</w:t>
      </w:r>
      <w:r>
        <w:rPr>
          <w:spacing w:val="28"/>
        </w:rPr>
        <w:t> </w:t>
      </w:r>
      <w:r>
        <w:rPr/>
        <w:t>studies</w:t>
      </w:r>
      <w:r>
        <w:rPr>
          <w:spacing w:val="-58"/>
        </w:rPr>
        <w:t> </w:t>
      </w:r>
      <w:r>
        <w:rPr/>
        <w:t>have tried to establish the reason for low level of infection among the O blood groups. Antigens of</w:t>
      </w:r>
      <w:r>
        <w:rPr>
          <w:spacing w:val="1"/>
        </w:rPr>
        <w:t> </w:t>
      </w:r>
      <w:r>
        <w:rPr/>
        <w:t>blood</w:t>
      </w:r>
      <w:r>
        <w:rPr>
          <w:spacing w:val="23"/>
        </w:rPr>
        <w:t> </w:t>
      </w:r>
      <w:r>
        <w:rPr/>
        <w:t>groups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B</w:t>
      </w:r>
      <w:r>
        <w:rPr>
          <w:spacing w:val="22"/>
        </w:rPr>
        <w:t> </w:t>
      </w:r>
      <w:r>
        <w:rPr/>
        <w:t>have</w:t>
      </w:r>
      <w:r>
        <w:rPr>
          <w:spacing w:val="22"/>
        </w:rPr>
        <w:t> </w:t>
      </w:r>
      <w:r>
        <w:rPr/>
        <w:t>been</w:t>
      </w:r>
      <w:r>
        <w:rPr>
          <w:spacing w:val="23"/>
        </w:rPr>
        <w:t> </w:t>
      </w:r>
      <w:r>
        <w:rPr/>
        <w:t>suggested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play</w:t>
      </w:r>
      <w:r>
        <w:rPr>
          <w:spacing w:val="19"/>
        </w:rPr>
        <w:t> </w:t>
      </w:r>
      <w:r>
        <w:rPr/>
        <w:t>important</w:t>
      </w:r>
      <w:r>
        <w:rPr>
          <w:spacing w:val="24"/>
        </w:rPr>
        <w:t> </w:t>
      </w:r>
      <w:r>
        <w:rPr/>
        <w:t>roles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cytoadherence</w:t>
      </w:r>
      <w:r>
        <w:rPr>
          <w:spacing w:val="23"/>
        </w:rPr>
        <w:t> </w:t>
      </w:r>
      <w:r>
        <w:rPr/>
        <w:t>(Afoakwah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-58"/>
        </w:rPr>
        <w:t> </w:t>
      </w:r>
      <w:r>
        <w:rPr>
          <w:i/>
        </w:rPr>
        <w:t>al</w:t>
      </w:r>
      <w:r>
        <w:rPr/>
        <w:t>., 2016). Due to the absence of A and B antigens on the surface of blood group O erythrocytes,</w:t>
      </w:r>
      <w:r>
        <w:rPr>
          <w:spacing w:val="1"/>
        </w:rPr>
        <w:t> </w:t>
      </w:r>
      <w:r>
        <w:rPr/>
        <w:t>cytoadherence, and hence rosetting and sequestration, is reduced in individuals with blood group O</w:t>
      </w:r>
      <w:r>
        <w:rPr>
          <w:spacing w:val="1"/>
        </w:rPr>
        <w:t> </w:t>
      </w:r>
      <w:r>
        <w:rPr/>
        <w:t>(Tewodros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relate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associations,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affinity for</w:t>
      </w:r>
      <w:r>
        <w:rPr>
          <w:spacing w:val="1"/>
        </w:rPr>
        <w:t> </w:t>
      </w:r>
      <w:r>
        <w:rPr>
          <w:i/>
        </w:rPr>
        <w:t>Anopheles </w:t>
      </w:r>
      <w:r>
        <w:rPr/>
        <w:t>species, shared ABO antigens with </w:t>
      </w:r>
      <w:r>
        <w:rPr>
          <w:i/>
        </w:rPr>
        <w:t>P. falciparum</w:t>
      </w:r>
      <w:r>
        <w:rPr/>
        <w:t>, impairment of merozoite penetration of</w:t>
      </w:r>
      <w:r>
        <w:rPr>
          <w:spacing w:val="1"/>
        </w:rPr>
        <w:t> </w:t>
      </w:r>
      <w:r>
        <w:rPr/>
        <w:t>RBCs, as well as cytoadherence, endothelial activation and rosetting (Tewodros </w:t>
      </w:r>
      <w:r>
        <w:rPr>
          <w:i/>
        </w:rPr>
        <w:t>et al</w:t>
      </w:r>
      <w:r>
        <w:rPr/>
        <w:t>., 2011; Obisike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Thomas 2020).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7"/>
        <w:jc w:val="both"/>
      </w:pPr>
      <w:r>
        <w:rPr/>
        <w:t>The mechanism by which ‘A’ promotes susceptibility and ‘O’ confers a relative protective effect</w:t>
      </w:r>
      <w:r>
        <w:rPr>
          <w:spacing w:val="1"/>
        </w:rPr>
        <w:t> </w:t>
      </w:r>
      <w:r>
        <w:rPr/>
        <w:t>against high </w:t>
      </w:r>
      <w:r>
        <w:rPr>
          <w:i/>
        </w:rPr>
        <w:t>P. falciparum </w:t>
      </w:r>
      <w:r>
        <w:rPr/>
        <w:t>parasitaemia is not well understood. Nevertheless, different studies have</w:t>
      </w:r>
      <w:r>
        <w:rPr>
          <w:spacing w:val="1"/>
        </w:rPr>
        <w:t> </w:t>
      </w:r>
      <w:r>
        <w:rPr/>
        <w:t>come up with their reasonable explanations on the basis of rosette formation. Several reports support</w:t>
      </w:r>
      <w:r>
        <w:rPr>
          <w:spacing w:val="1"/>
        </w:rPr>
        <w:t> </w:t>
      </w:r>
      <w:r>
        <w:rPr/>
        <w:t>the hypothesis that blood group A represents a risk factor for high chance of rosette, which is usually</w:t>
      </w:r>
      <w:r>
        <w:rPr>
          <w:spacing w:val="1"/>
        </w:rPr>
        <w:t> </w:t>
      </w:r>
      <w:r>
        <w:rPr/>
        <w:t>characterized by high </w:t>
      </w:r>
      <w:r>
        <w:rPr>
          <w:i/>
        </w:rPr>
        <w:t>P. falciparum </w:t>
      </w:r>
      <w:r>
        <w:rPr/>
        <w:t>parasitaemia during malaria infection and a reducing effect of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group ‘O’</w:t>
      </w:r>
      <w:r>
        <w:rPr>
          <w:spacing w:val="-2"/>
        </w:rPr>
        <w:t> </w:t>
      </w:r>
      <w:r>
        <w:rPr/>
        <w:t>on rosette</w:t>
      </w:r>
      <w:r>
        <w:rPr>
          <w:spacing w:val="-1"/>
        </w:rPr>
        <w:t> </w:t>
      </w:r>
      <w:r>
        <w:rPr/>
        <w:t>(Tewodros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2011; Gayathri </w:t>
      </w:r>
      <w:r>
        <w:rPr>
          <w:i/>
        </w:rPr>
        <w:t>et al</w:t>
      </w:r>
      <w:r>
        <w:rPr/>
        <w:t>., 2013).</w:t>
      </w:r>
    </w:p>
    <w:p>
      <w:pPr>
        <w:pStyle w:val="BodyText"/>
        <w:spacing w:line="480" w:lineRule="auto" w:before="200"/>
        <w:ind w:left="991" w:right="1253"/>
        <w:jc w:val="both"/>
      </w:pPr>
      <w:r>
        <w:rPr/>
        <w:t>The presence of several glycosylated adhesion molecules such as intracellular adhesion molecule,</w:t>
      </w:r>
      <w:r>
        <w:rPr>
          <w:spacing w:val="1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receptor,</w:t>
      </w:r>
      <w:r>
        <w:rPr>
          <w:spacing w:val="1"/>
        </w:rPr>
        <w:t> </w:t>
      </w:r>
      <w:r>
        <w:rPr/>
        <w:t>heparin</w:t>
      </w:r>
      <w:r>
        <w:rPr>
          <w:spacing w:val="1"/>
        </w:rPr>
        <w:t> </w:t>
      </w:r>
      <w:r>
        <w:rPr/>
        <w:t>sulfate-like</w:t>
      </w:r>
      <w:r>
        <w:rPr>
          <w:spacing w:val="1"/>
        </w:rPr>
        <w:t> </w:t>
      </w:r>
      <w:r>
        <w:rPr/>
        <w:t>glycosaminoglycan,</w:t>
      </w:r>
      <w:r>
        <w:rPr>
          <w:spacing w:val="1"/>
        </w:rPr>
        <w:t> </w:t>
      </w:r>
      <w:r>
        <w:rPr/>
        <w:t>platelet</w:t>
      </w:r>
      <w:r>
        <w:rPr>
          <w:spacing w:val="1"/>
        </w:rPr>
        <w:t> </w:t>
      </w:r>
      <w:r>
        <w:rPr/>
        <w:t>glycoprotein</w:t>
      </w:r>
      <w:r>
        <w:rPr>
          <w:spacing w:val="1"/>
        </w:rPr>
        <w:t> </w:t>
      </w:r>
      <w:r>
        <w:rPr/>
        <w:t>CD36,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arginine and nitrate levels, presence of cellular micro-particles and the nature of sugar molecules</w:t>
      </w:r>
      <w:r>
        <w:rPr>
          <w:spacing w:val="1"/>
        </w:rPr>
        <w:t> </w:t>
      </w:r>
      <w:r>
        <w:rPr/>
        <w:t>(trisacchrides) in blood group ‘A’ cells promote a high chance of binding with the rosette-forming</w:t>
      </w:r>
      <w:r>
        <w:rPr>
          <w:spacing w:val="1"/>
        </w:rPr>
        <w:t> </w:t>
      </w:r>
      <w:r>
        <w:rPr/>
        <w:t>surface molecules of the </w:t>
      </w:r>
      <w:r>
        <w:rPr>
          <w:i/>
        </w:rPr>
        <w:t>P</w:t>
      </w:r>
      <w:r>
        <w:rPr/>
        <w:t>. </w:t>
      </w:r>
      <w:r>
        <w:rPr>
          <w:i/>
        </w:rPr>
        <w:t>falciparum </w:t>
      </w:r>
      <w:r>
        <w:rPr/>
        <w:t>such as Duffy binding-like domain 1 alpha of </w:t>
      </w:r>
      <w:r>
        <w:rPr>
          <w:i/>
        </w:rPr>
        <w:t>P. falciparum</w:t>
      </w:r>
      <w:r>
        <w:rPr>
          <w:i/>
          <w:spacing w:val="1"/>
        </w:rPr>
        <w:t> </w:t>
      </w:r>
      <w:r>
        <w:rPr/>
        <w:t>erythrocyte membrane protein-1 (Fan </w:t>
      </w:r>
      <w:r>
        <w:rPr>
          <w:i/>
        </w:rPr>
        <w:t>et al</w:t>
      </w:r>
      <w:r>
        <w:rPr/>
        <w:t>., 2011</w:t>
      </w:r>
      <w:r>
        <w:rPr>
          <w:rFonts w:ascii="Calibri" w:hAnsi="Calibri"/>
          <w:sz w:val="22"/>
        </w:rPr>
        <w:t>;</w:t>
      </w:r>
      <w:r>
        <w:rPr>
          <w:rFonts w:ascii="Calibri" w:hAnsi="Calibri"/>
          <w:spacing w:val="1"/>
          <w:sz w:val="22"/>
        </w:rPr>
        <w:t> </w:t>
      </w:r>
      <w:r>
        <w:rPr/>
        <w:t>Tewodros </w:t>
      </w:r>
      <w:r>
        <w:rPr>
          <w:i/>
        </w:rPr>
        <w:t>et al</w:t>
      </w:r>
      <w:r>
        <w:rPr/>
        <w:t>., 2011; Afoakwah </w:t>
      </w:r>
      <w:r>
        <w:rPr>
          <w:i/>
        </w:rPr>
        <w:t>et al</w:t>
      </w:r>
      <w:r>
        <w:rPr/>
        <w:t>., 2016).</w:t>
      </w:r>
      <w:r>
        <w:rPr>
          <w:spacing w:val="1"/>
        </w:rPr>
        <w:t> </w:t>
      </w:r>
      <w:r>
        <w:rPr/>
        <w:t>Conversely, blood group ‘O’ cells show deficiency of most of the above adhesive molecules and</w:t>
      </w:r>
      <w:r>
        <w:rPr>
          <w:spacing w:val="1"/>
        </w:rPr>
        <w:t> </w:t>
      </w:r>
      <w:r>
        <w:rPr/>
        <w:t>contain disaccharides sugar molecules which reduce the rate, size and stability of rosette formed</w:t>
      </w:r>
      <w:r>
        <w:rPr>
          <w:spacing w:val="1"/>
        </w:rPr>
        <w:t> </w:t>
      </w:r>
      <w:r>
        <w:rPr/>
        <w:t>during</w:t>
      </w:r>
      <w:r>
        <w:rPr>
          <w:spacing w:val="-4"/>
        </w:rPr>
        <w:t> </w:t>
      </w:r>
      <w:r>
        <w:rPr>
          <w:i/>
        </w:rPr>
        <w:t>P. falciparum</w:t>
      </w:r>
      <w:r>
        <w:rPr>
          <w:i/>
          <w:spacing w:val="-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(Tewodros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2011; Afoakwah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2016).</w:t>
      </w:r>
    </w:p>
    <w:p>
      <w:pPr>
        <w:pStyle w:val="BodyText"/>
        <w:spacing w:line="480" w:lineRule="auto" w:before="200"/>
        <w:ind w:left="991" w:right="1254"/>
        <w:jc w:val="both"/>
      </w:pPr>
      <w:r>
        <w:rPr/>
        <w:t>The</w:t>
      </w:r>
      <w:r>
        <w:rPr>
          <w:spacing w:val="1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parasitized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non-parasitized</w:t>
      </w:r>
      <w:r>
        <w:rPr>
          <w:spacing w:val="1"/>
        </w:rPr>
        <w:t> </w:t>
      </w:r>
      <w:r>
        <w:rPr/>
        <w:t>erythrocytes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rosetting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sequestration of parasitized erythrocytes has been cited to be the major cause of severe anaemia in</w:t>
      </w:r>
      <w:r>
        <w:rPr>
          <w:spacing w:val="1"/>
        </w:rPr>
        <w:t> </w:t>
      </w:r>
      <w:r>
        <w:rPr/>
        <w:t>complicated malaria (Afoakwah </w:t>
      </w:r>
      <w:r>
        <w:rPr>
          <w:i/>
        </w:rPr>
        <w:t>et al</w:t>
      </w:r>
      <w:r>
        <w:rPr/>
        <w:t>., 2016). Malaria has long been recognized as one of the major</w:t>
      </w:r>
      <w:r>
        <w:rPr>
          <w:spacing w:val="1"/>
        </w:rPr>
        <w:t> </w:t>
      </w:r>
      <w:r>
        <w:rPr/>
        <w:t>causes of anaemia (Okwa and Adejoke 2010). Although a wide, and confusing variety of definitions</w:t>
      </w:r>
      <w:r>
        <w:rPr>
          <w:spacing w:val="1"/>
        </w:rPr>
        <w:t> </w:t>
      </w:r>
      <w:r>
        <w:rPr/>
        <w:t>of anaemia in general have been proposed, the most commonly used definitions in malaria studies,</w:t>
      </w:r>
      <w:r>
        <w:rPr>
          <w:spacing w:val="1"/>
        </w:rPr>
        <w:t> </w:t>
      </w:r>
      <w:r>
        <w:rPr/>
        <w:t>based on</w:t>
      </w:r>
      <w:r>
        <w:rPr>
          <w:spacing w:val="60"/>
        </w:rPr>
        <w:t> </w:t>
      </w:r>
      <w:r>
        <w:rPr/>
        <w:t>haemoglobin concentrations, are as follows;</w:t>
      </w:r>
      <w:r>
        <w:rPr>
          <w:spacing w:val="60"/>
        </w:rPr>
        <w:t> </w:t>
      </w:r>
      <w:r>
        <w:rPr/>
        <w:t>Mild anaemia ≤ 11 g/dL Moderate anaemia</w:t>
      </w:r>
      <w:r>
        <w:rPr>
          <w:spacing w:val="60"/>
        </w:rPr>
        <w:t> </w:t>
      </w:r>
      <w:r>
        <w:rPr/>
        <w:t>≤</w:t>
      </w:r>
      <w:r>
        <w:rPr>
          <w:spacing w:val="1"/>
        </w:rPr>
        <w:t> </w:t>
      </w:r>
      <w:r>
        <w:rPr/>
        <w:t>8</w:t>
      </w:r>
      <w:r>
        <w:rPr>
          <w:spacing w:val="-1"/>
        </w:rPr>
        <w:t> </w:t>
      </w:r>
      <w:r>
        <w:rPr/>
        <w:t>g/dL</w:t>
      </w:r>
      <w:r>
        <w:rPr>
          <w:spacing w:val="-3"/>
        </w:rPr>
        <w:t> </w:t>
      </w:r>
      <w:r>
        <w:rPr/>
        <w:t>Severe</w:t>
      </w:r>
      <w:r>
        <w:rPr>
          <w:spacing w:val="-2"/>
        </w:rPr>
        <w:t> </w:t>
      </w:r>
      <w:r>
        <w:rPr/>
        <w:t>anaemia</w:t>
      </w:r>
      <w:r>
        <w:rPr>
          <w:spacing w:val="-1"/>
        </w:rPr>
        <w:t> </w:t>
      </w:r>
      <w:r>
        <w:rPr/>
        <w:t>≤</w:t>
      </w:r>
      <w:r>
        <w:rPr>
          <w:spacing w:val="2"/>
        </w:rPr>
        <w:t> </w:t>
      </w:r>
      <w:r>
        <w:rPr/>
        <w:t>5</w:t>
      </w:r>
      <w:r>
        <w:rPr>
          <w:spacing w:val="1"/>
        </w:rPr>
        <w:t> </w:t>
      </w:r>
      <w:r>
        <w:rPr/>
        <w:t>g/dL</w:t>
      </w:r>
      <w:r>
        <w:rPr>
          <w:spacing w:val="-2"/>
        </w:rPr>
        <w:t> </w:t>
      </w:r>
      <w:r>
        <w:rPr/>
        <w:t>(White</w:t>
      </w:r>
      <w:r>
        <w:rPr>
          <w:spacing w:val="-1"/>
        </w:rPr>
        <w:t> </w:t>
      </w:r>
      <w:r>
        <w:rPr/>
        <w:t>2018).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1"/>
        <w:jc w:val="both"/>
      </w:pP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credence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reduction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haemoglobin</w:t>
      </w:r>
      <w:r>
        <w:rPr>
          <w:spacing w:val="29"/>
        </w:rPr>
        <w:t> </w:t>
      </w:r>
      <w:r>
        <w:rPr/>
        <w:t>(Hb)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blood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malaria</w:t>
      </w:r>
      <w:r>
        <w:rPr>
          <w:spacing w:val="32"/>
        </w:rPr>
        <w:t> </w:t>
      </w:r>
      <w:r>
        <w:rPr/>
        <w:t>infected</w:t>
      </w:r>
      <w:r>
        <w:rPr>
          <w:spacing w:val="33"/>
        </w:rPr>
        <w:t> </w:t>
      </w:r>
      <w:r>
        <w:rPr/>
        <w:t>subjects.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500</w:t>
      </w:r>
      <w:r>
        <w:rPr>
          <w:spacing w:val="33"/>
        </w:rPr>
        <w:t> </w:t>
      </w:r>
      <w:r>
        <w:rPr/>
        <w:t>participants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study,</w:t>
      </w:r>
      <w:r>
        <w:rPr>
          <w:spacing w:val="33"/>
        </w:rPr>
        <w:t> </w:t>
      </w:r>
      <w:r>
        <w:rPr/>
        <w:t>236</w:t>
      </w:r>
      <w:r>
        <w:rPr>
          <w:spacing w:val="-57"/>
        </w:rPr>
        <w:t> </w:t>
      </w:r>
      <w:r>
        <w:rPr/>
        <w:t>were non anaemic from their Hb values (ranging from &gt;11 to 16.6 g/dL), out of these, 113(47.8 %)</w:t>
      </w:r>
      <w:r>
        <w:rPr>
          <w:spacing w:val="1"/>
        </w:rPr>
        <w:t> </w:t>
      </w:r>
      <w:r>
        <w:rPr/>
        <w:t>were positive for malaria. For the 113 that had malaria but presented to be non aneamic some factors</w:t>
      </w:r>
      <w:r>
        <w:rPr>
          <w:spacing w:val="1"/>
        </w:rPr>
        <w:t> </w:t>
      </w:r>
      <w:r>
        <w:rPr/>
        <w:t>such as blood type, stage of infection, nutritional state, level of immunity and possibly some intake of</w:t>
      </w:r>
      <w:r>
        <w:rPr>
          <w:spacing w:val="-57"/>
        </w:rPr>
        <w:t> </w:t>
      </w:r>
      <w:r>
        <w:rPr/>
        <w:t>anti-malarial drugs before visiting the clinic facility</w:t>
      </w:r>
      <w:r>
        <w:rPr>
          <w:spacing w:val="1"/>
        </w:rPr>
        <w:t> </w:t>
      </w:r>
      <w:r>
        <w:rPr/>
        <w:t>could have been responsible for that.</w:t>
      </w:r>
      <w:r>
        <w:rPr>
          <w:spacing w:val="60"/>
        </w:rPr>
        <w:t> </w:t>
      </w:r>
      <w:r>
        <w:rPr/>
        <w:t>One</w:t>
      </w:r>
      <w:r>
        <w:rPr>
          <w:spacing w:val="1"/>
        </w:rPr>
        <w:t> </w:t>
      </w:r>
      <w:r>
        <w:rPr/>
        <w:t>hundred and eighty two (182) persons out of the study population had mild anaemia and of these,</w:t>
      </w:r>
      <w:r>
        <w:rPr>
          <w:spacing w:val="1"/>
        </w:rPr>
        <w:t> </w:t>
      </w:r>
      <w:r>
        <w:rPr/>
        <w:t>92(50.5 %) were positive for malaria. This implies that slightly above half (50.5 %) of the study</w:t>
      </w:r>
      <w:r>
        <w:rPr>
          <w:spacing w:val="1"/>
        </w:rPr>
        <w:t> </w:t>
      </w:r>
      <w:r>
        <w:rPr/>
        <w:t>populations having mild anaemia were positive for malarial infection. Less than half (40.0 %) of the</w:t>
      </w:r>
      <w:r>
        <w:rPr>
          <w:spacing w:val="1"/>
        </w:rPr>
        <w:t> </w:t>
      </w:r>
      <w:r>
        <w:rPr/>
        <w:t>study population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anaemia.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(55.0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population living with malaria had severe anaemia. Consequently, the anaemic situation of the study</w:t>
      </w:r>
      <w:r>
        <w:rPr>
          <w:spacing w:val="1"/>
        </w:rPr>
        <w:t> </w:t>
      </w:r>
      <w:r>
        <w:rPr/>
        <w:t>population is high and this could have detrimental effects on the health and economic status of the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Therefore, there is need to caution people on dieting and intake of iron rich foods as this will</w:t>
      </w:r>
      <w:r>
        <w:rPr>
          <w:spacing w:val="1"/>
        </w:rPr>
        <w:t> </w:t>
      </w:r>
      <w:r>
        <w:rPr/>
        <w:t>help in reducing the anaemic status of the study population. Chi square analysis revealed that p-value</w:t>
      </w:r>
      <w:r>
        <w:rPr>
          <w:spacing w:val="1"/>
        </w:rPr>
        <w:t> </w:t>
      </w:r>
      <w:r>
        <w:rPr/>
        <w:t>of anaemia and malaria in the study population was statistically significant (p = 0.036). This study</w:t>
      </w:r>
      <w:r>
        <w:rPr>
          <w:spacing w:val="1"/>
        </w:rPr>
        <w:t> </w:t>
      </w:r>
      <w:r>
        <w:rPr/>
        <w:t>agrees with the other studies by White (2018) and Burham </w:t>
      </w:r>
      <w:r>
        <w:rPr>
          <w:i/>
        </w:rPr>
        <w:t>et al</w:t>
      </w:r>
      <w:r>
        <w:rPr/>
        <w:t>. (2016) who in their independent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malarial infection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anaemia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 severities.</w:t>
      </w:r>
    </w:p>
    <w:p>
      <w:pPr>
        <w:pStyle w:val="BodyText"/>
        <w:spacing w:line="480" w:lineRule="auto" w:before="201"/>
        <w:ind w:left="991" w:right="1252"/>
        <w:jc w:val="both"/>
      </w:pPr>
      <w:r>
        <w:rPr/>
        <w:t>Participants</w:t>
      </w:r>
      <w:r>
        <w:rPr>
          <w:spacing w:val="1"/>
        </w:rPr>
        <w:t> </w:t>
      </w:r>
      <w:r>
        <w:rPr/>
        <w:t>of the study with</w:t>
      </w:r>
      <w:r>
        <w:rPr>
          <w:spacing w:val="1"/>
        </w:rPr>
        <w:t> </w:t>
      </w:r>
      <w:r>
        <w:rPr/>
        <w:t>genotype SS</w:t>
      </w:r>
      <w:r>
        <w:rPr>
          <w:spacing w:val="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more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malaria than their</w:t>
      </w:r>
      <w:r>
        <w:rPr>
          <w:spacing w:val="1"/>
        </w:rPr>
        <w:t> </w:t>
      </w:r>
      <w:r>
        <w:rPr/>
        <w:t>counterpart AA, AS, AC and SC.</w:t>
      </w:r>
      <w:r>
        <w:rPr>
          <w:spacing w:val="1"/>
        </w:rPr>
        <w:t> </w:t>
      </w:r>
      <w:r>
        <w:rPr/>
        <w:t>This is perceived to be so because the red blood cells of the other</w:t>
      </w:r>
      <w:r>
        <w:rPr>
          <w:spacing w:val="1"/>
        </w:rPr>
        <w:t> </w:t>
      </w:r>
      <w:r>
        <w:rPr/>
        <w:t>genotypes except SS appeared to be more conducive for the growth and development of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(Okwa and</w:t>
      </w:r>
      <w:r>
        <w:rPr>
          <w:spacing w:val="1"/>
        </w:rPr>
        <w:t> </w:t>
      </w:r>
      <w:r>
        <w:rPr/>
        <w:t>Adejoke</w:t>
      </w:r>
      <w:r>
        <w:rPr>
          <w:spacing w:val="-2"/>
        </w:rPr>
        <w:t> </w:t>
      </w:r>
      <w:r>
        <w:rPr/>
        <w:t>2010).</w:t>
      </w:r>
      <w:r>
        <w:rPr>
          <w:spacing w:val="2"/>
        </w:rPr>
        <w:t> </w:t>
      </w:r>
      <w:r>
        <w:rPr/>
        <w:t>Okwa and</w:t>
      </w:r>
      <w:r>
        <w:rPr>
          <w:spacing w:val="1"/>
        </w:rPr>
        <w:t> </w:t>
      </w:r>
      <w:r>
        <w:rPr/>
        <w:t>Adejoke</w:t>
      </w:r>
      <w:r>
        <w:rPr>
          <w:spacing w:val="-1"/>
        </w:rPr>
        <w:t> </w:t>
      </w:r>
      <w:r>
        <w:rPr/>
        <w:t>(2010) opined that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 higher</w:t>
      </w:r>
      <w:r>
        <w:rPr>
          <w:spacing w:val="-1"/>
        </w:rPr>
        <w:t> </w:t>
      </w:r>
      <w:r>
        <w:rPr/>
        <w:t>resistance</w:t>
      </w:r>
      <w:r>
        <w:rPr>
          <w:spacing w:val="2"/>
        </w:rPr>
        <w:t> </w:t>
      </w:r>
      <w:r>
        <w:rPr/>
        <w:t>to</w:t>
      </w:r>
    </w:p>
    <w:p>
      <w:pPr>
        <w:pStyle w:val="BodyText"/>
        <w:spacing w:line="480" w:lineRule="auto" w:before="1"/>
        <w:ind w:left="991" w:right="1251"/>
        <w:jc w:val="both"/>
      </w:pPr>
      <w:r>
        <w:rPr>
          <w:i/>
        </w:rPr>
        <w:t>P. falciparium </w:t>
      </w:r>
      <w:r>
        <w:rPr/>
        <w:t>infection in patients with homozygous sickle cell disease. In their study, malarial</w:t>
      </w:r>
      <w:r>
        <w:rPr>
          <w:spacing w:val="1"/>
        </w:rPr>
        <w:t> </w:t>
      </w:r>
      <w:r>
        <w:rPr/>
        <w:t>parasites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predominant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HbAA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least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HbSS.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study</w:t>
      </w:r>
      <w:r>
        <w:rPr>
          <w:spacing w:val="9"/>
        </w:rPr>
        <w:t> </w:t>
      </w:r>
      <w:r>
        <w:rPr/>
        <w:t>give</w:t>
      </w:r>
      <w:r>
        <w:rPr>
          <w:spacing w:val="15"/>
        </w:rPr>
        <w:t> </w:t>
      </w:r>
      <w:r>
        <w:rPr/>
        <w:t>credence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findings</w:t>
      </w:r>
      <w:r>
        <w:rPr>
          <w:spacing w:val="1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480" w:lineRule="auto" w:before="72"/>
        <w:ind w:left="991" w:right="1255"/>
        <w:jc w:val="both"/>
      </w:pPr>
      <w:r>
        <w:rPr/>
        <w:t>Okwa and Adejoke (2010) as the least prevalence was found in subjects with genotype SS. The low</w:t>
      </w:r>
      <w:r>
        <w:rPr>
          <w:spacing w:val="1"/>
        </w:rPr>
        <w:t> </w:t>
      </w:r>
      <w:r>
        <w:rPr/>
        <w:t>level of malarial infection recorded in the SS genotype can be traced to low level of folic acid in the</w:t>
      </w:r>
      <w:r>
        <w:rPr>
          <w:spacing w:val="1"/>
        </w:rPr>
        <w:t> </w:t>
      </w:r>
      <w:r>
        <w:rPr/>
        <w:t>subjects with the sickle cell gene. Tetrahydrofolate is essential for DNA synthesis, survival and</w:t>
      </w:r>
      <w:r>
        <w:rPr>
          <w:spacing w:val="1"/>
        </w:rPr>
        <w:t> </w:t>
      </w:r>
      <w:r>
        <w:rPr/>
        <w:t>growth of malarial parasite in the blood. Hence low level of it in the SS genotype could be the reason</w:t>
      </w:r>
      <w:r>
        <w:rPr>
          <w:spacing w:val="1"/>
        </w:rPr>
        <w:t> </w:t>
      </w:r>
      <w:r>
        <w:rPr/>
        <w:t>for the low prevalence of malaria. Conversely, sufficient folic acid in the AA genotype could be</w:t>
      </w:r>
      <w:r>
        <w:rPr>
          <w:spacing w:val="1"/>
        </w:rPr>
        <w:t> </w:t>
      </w:r>
      <w:r>
        <w:rPr/>
        <w:t>attributed to the high prevalence of malarial infection recorded in the study population. About half</w:t>
      </w:r>
      <w:r>
        <w:rPr>
          <w:spacing w:val="1"/>
        </w:rPr>
        <w:t> </w:t>
      </w:r>
      <w:r>
        <w:rPr/>
        <w:t>(50.2 %) of the study population living with malaria were of the AA genotype, 49.6 % were of AS</w:t>
      </w:r>
      <w:r>
        <w:rPr>
          <w:spacing w:val="1"/>
        </w:rPr>
        <w:t> </w:t>
      </w:r>
      <w:r>
        <w:rPr/>
        <w:t>genotype while 16.6 % were of the SS genotype and 33.3 % were of AC genotype. The HbSS patients</w:t>
      </w:r>
      <w:r>
        <w:rPr>
          <w:spacing w:val="-57"/>
        </w:rPr>
        <w:t> </w:t>
      </w:r>
      <w:r>
        <w:rPr/>
        <w:t>even though with the least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are however not exempted from great risk for increased</w:t>
      </w:r>
      <w:r>
        <w:rPr>
          <w:spacing w:val="1"/>
        </w:rPr>
        <w:t> </w:t>
      </w:r>
      <w:r>
        <w:rPr/>
        <w:t>morbidity and mortality arising from malaria as a result of inherent HbSS complications and immune</w:t>
      </w:r>
      <w:r>
        <w:rPr>
          <w:spacing w:val="1"/>
        </w:rPr>
        <w:t> </w:t>
      </w:r>
      <w:r>
        <w:rPr/>
        <w:t>suppression.</w:t>
      </w:r>
      <w:r>
        <w:rPr>
          <w:spacing w:val="45"/>
        </w:rPr>
        <w:t> </w:t>
      </w:r>
      <w:r>
        <w:rPr/>
        <w:t>There</w:t>
      </w:r>
      <w:r>
        <w:rPr>
          <w:spacing w:val="43"/>
        </w:rPr>
        <w:t> </w:t>
      </w:r>
      <w:r>
        <w:rPr/>
        <w:t>is</w:t>
      </w:r>
      <w:r>
        <w:rPr>
          <w:spacing w:val="45"/>
        </w:rPr>
        <w:t> </w:t>
      </w:r>
      <w:r>
        <w:rPr/>
        <w:t>no</w:t>
      </w:r>
      <w:r>
        <w:rPr>
          <w:spacing w:val="45"/>
        </w:rPr>
        <w:t> </w:t>
      </w:r>
      <w:r>
        <w:rPr/>
        <w:t>relationship</w:t>
      </w:r>
      <w:r>
        <w:rPr>
          <w:spacing w:val="44"/>
        </w:rPr>
        <w:t> </w:t>
      </w:r>
      <w:r>
        <w:rPr/>
        <w:t>between</w:t>
      </w:r>
      <w:r>
        <w:rPr>
          <w:spacing w:val="46"/>
        </w:rPr>
        <w:t> </w:t>
      </w:r>
      <w:r>
        <w:rPr/>
        <w:t>malaria</w:t>
      </w:r>
      <w:r>
        <w:rPr>
          <w:spacing w:val="44"/>
        </w:rPr>
        <w:t> </w:t>
      </w:r>
      <w:r>
        <w:rPr/>
        <w:t>infection</w:t>
      </w:r>
      <w:r>
        <w:rPr>
          <w:spacing w:val="44"/>
        </w:rPr>
        <w:t> </w:t>
      </w:r>
      <w:r>
        <w:rPr/>
        <w:t>and</w:t>
      </w:r>
      <w:r>
        <w:rPr>
          <w:spacing w:val="46"/>
        </w:rPr>
        <w:t> </w:t>
      </w:r>
      <w:r>
        <w:rPr/>
        <w:t>genotype</w:t>
      </w:r>
      <w:r>
        <w:rPr>
          <w:spacing w:val="43"/>
        </w:rPr>
        <w:t> </w:t>
      </w:r>
      <w:r>
        <w:rPr/>
        <w:t>of</w:t>
      </w:r>
      <w:r>
        <w:rPr>
          <w:spacing w:val="47"/>
        </w:rPr>
        <w:t> </w:t>
      </w:r>
      <w:r>
        <w:rPr/>
        <w:t>a</w:t>
      </w:r>
      <w:r>
        <w:rPr>
          <w:spacing w:val="43"/>
        </w:rPr>
        <w:t> </w:t>
      </w:r>
      <w:r>
        <w:rPr/>
        <w:t>person</w:t>
      </w:r>
      <w:r>
        <w:rPr>
          <w:spacing w:val="43"/>
        </w:rPr>
        <w:t> </w:t>
      </w:r>
      <w:r>
        <w:rPr/>
        <w:t>as</w:t>
      </w:r>
      <w:r>
        <w:rPr>
          <w:spacing w:val="47"/>
        </w:rPr>
        <w:t> </w:t>
      </w:r>
      <w:r>
        <w:rPr/>
        <w:t>chi</w:t>
      </w:r>
      <w:r>
        <w:rPr>
          <w:spacing w:val="-57"/>
        </w:rPr>
        <w:t> </w:t>
      </w:r>
      <w:r>
        <w:rPr/>
        <w:t>square analysis revealed no significant difference in the P-value (p = 0.139). This study agrees with</w:t>
      </w:r>
      <w:r>
        <w:rPr>
          <w:spacing w:val="1"/>
        </w:rPr>
        <w:t> </w:t>
      </w:r>
      <w:r>
        <w:rPr/>
        <w:t>the findings of Faga </w:t>
      </w:r>
      <w:r>
        <w:rPr>
          <w:i/>
        </w:rPr>
        <w:t>et al</w:t>
      </w:r>
      <w:r>
        <w:rPr/>
        <w:t>. (2020) having the least infection in SS genotype individuals and the highest</w:t>
      </w:r>
      <w:r>
        <w:rPr>
          <w:spacing w:val="-57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recorded</w:t>
      </w:r>
      <w:r>
        <w:rPr>
          <w:spacing w:val="2"/>
        </w:rPr>
        <w:t> </w:t>
      </w:r>
      <w:r>
        <w:rPr/>
        <w:t>among genotype</w:t>
      </w:r>
      <w:r>
        <w:rPr>
          <w:spacing w:val="-1"/>
        </w:rPr>
        <w:t> </w:t>
      </w:r>
      <w:r>
        <w:rPr/>
        <w:t>AA.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0"/>
        <w:ind w:left="1114" w:right="1381"/>
        <w:jc w:val="center"/>
      </w:pPr>
      <w:bookmarkStart w:name="_TOC_250004" w:id="43"/>
      <w:r>
        <w:rPr/>
        <w:t>CHAPTER</w:t>
      </w:r>
      <w:r>
        <w:rPr>
          <w:spacing w:val="-2"/>
        </w:rPr>
        <w:t> </w:t>
      </w:r>
      <w:bookmarkEnd w:id="43"/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3"/>
        </w:numPr>
        <w:tabs>
          <w:tab w:pos="3331" w:val="left" w:leader="none"/>
          <w:tab w:pos="3332" w:val="left" w:leader="none"/>
        </w:tabs>
        <w:spacing w:line="240" w:lineRule="auto" w:before="177" w:after="0"/>
        <w:ind w:left="3331" w:right="0" w:hanging="2341"/>
        <w:jc w:val="left"/>
      </w:pPr>
      <w:bookmarkStart w:name="_TOC_250003" w:id="44"/>
      <w:r>
        <w:rPr/>
        <w:t>CONCLUSION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44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3"/>
        </w:numPr>
        <w:tabs>
          <w:tab w:pos="1711" w:val="left" w:leader="none"/>
          <w:tab w:pos="1712" w:val="left" w:leader="none"/>
        </w:tabs>
        <w:spacing w:line="240" w:lineRule="auto" w:before="176" w:after="0"/>
        <w:ind w:left="1711" w:right="0" w:hanging="721"/>
        <w:jc w:val="left"/>
      </w:pPr>
      <w:bookmarkStart w:name="_TOC_250002" w:id="45"/>
      <w:bookmarkEnd w:id="45"/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991" w:right="1255"/>
        <w:jc w:val="both"/>
      </w:pPr>
      <w:r>
        <w:rPr/>
        <w:t>The incidence of malaria in Bosso and Paikoro LGA obtained in this study was 49.0%.</w:t>
      </w:r>
      <w:r>
        <w:rPr>
          <w:spacing w:val="1"/>
        </w:rPr>
        <w:t> </w:t>
      </w:r>
      <w:r>
        <w:rPr/>
        <w:t>Children are</w:t>
      </w:r>
      <w:r>
        <w:rPr>
          <w:spacing w:val="1"/>
        </w:rPr>
        <w:t> </w:t>
      </w:r>
      <w:r>
        <w:rPr/>
        <w:t>the most vulnerable groups affected by malaria in the study area, this was followed by the pregnant</w:t>
      </w:r>
      <w:r>
        <w:rPr>
          <w:spacing w:val="1"/>
        </w:rPr>
        <w:t> </w:t>
      </w:r>
      <w:r>
        <w:rPr/>
        <w:t>women.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also revealed that malaria</w:t>
      </w:r>
      <w:r>
        <w:rPr>
          <w:spacing w:val="1"/>
        </w:rPr>
        <w:t> </w:t>
      </w:r>
      <w:r>
        <w:rPr/>
        <w:t>affects both males and females.</w:t>
      </w:r>
    </w:p>
    <w:p>
      <w:pPr>
        <w:pStyle w:val="BodyText"/>
        <w:spacing w:before="203"/>
        <w:ind w:left="991"/>
        <w:jc w:val="both"/>
      </w:pPr>
      <w:r>
        <w:rPr/>
        <w:t>The</w:t>
      </w:r>
      <w:r>
        <w:rPr>
          <w:spacing w:val="-4"/>
        </w:rPr>
        <w:t> </w:t>
      </w:r>
      <w:r>
        <w:rPr/>
        <w:t>rapid</w:t>
      </w:r>
      <w:r>
        <w:rPr>
          <w:spacing w:val="-1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test cassette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sensitive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detection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malarial</w:t>
      </w:r>
      <w:r>
        <w:rPr>
          <w:spacing w:val="-1"/>
        </w:rPr>
        <w:t> </w:t>
      </w:r>
      <w:r>
        <w:rPr/>
        <w:t>parasite.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3"/>
        <w:ind w:left="991" w:right="1254"/>
        <w:jc w:val="both"/>
      </w:pPr>
      <w:r>
        <w:rPr/>
        <w:t>It is also evident that anaemia and malaria infection cannot be separated, in most of the cases in 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anaemia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severities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malarial</w:t>
      </w:r>
      <w:r>
        <w:rPr>
          <w:spacing w:val="1"/>
        </w:rPr>
        <w:t> </w:t>
      </w:r>
      <w:r>
        <w:rPr/>
        <w:t>parasite.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relationship between ABO blood group and malaria infection was also revealed from the study,</w:t>
      </w:r>
      <w:r>
        <w:rPr>
          <w:spacing w:val="1"/>
        </w:rPr>
        <w:t> </w:t>
      </w:r>
      <w:r>
        <w:rPr/>
        <w:t>subjects with blood group O exhibited low malarial prevalence when compared with the other blood</w:t>
      </w:r>
      <w:r>
        <w:rPr>
          <w:spacing w:val="1"/>
        </w:rPr>
        <w:t> </w:t>
      </w:r>
      <w:r>
        <w:rPr/>
        <w:t>groups. Blood groups AB were the most susceptible to malarial parasite with the highest prevalence.</w:t>
      </w:r>
      <w:r>
        <w:rPr>
          <w:spacing w:val="1"/>
        </w:rPr>
        <w:t> </w:t>
      </w:r>
      <w:r>
        <w:rPr/>
        <w:t>All genotypes were affected by the disease, although, the SS genotypes have low burden of the</w:t>
      </w:r>
      <w:r>
        <w:rPr>
          <w:spacing w:val="1"/>
        </w:rPr>
        <w:t> </w:t>
      </w:r>
      <w:r>
        <w:rPr/>
        <w:t>infection.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AS and the</w:t>
      </w:r>
      <w:r>
        <w:rPr>
          <w:spacing w:val="-2"/>
        </w:rPr>
        <w:t> </w:t>
      </w:r>
      <w:r>
        <w:rPr/>
        <w:t>SS genotypes had the highest</w:t>
      </w:r>
      <w:r>
        <w:rPr>
          <w:spacing w:val="-1"/>
        </w:rPr>
        <w:t> </w:t>
      </w:r>
      <w:r>
        <w:rPr/>
        <w:t>number of uninfected subjects.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spacing w:line="480" w:lineRule="auto" w:before="72"/>
        <w:ind w:left="991" w:right="1254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malarial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socio-demographic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(age,</w:t>
      </w:r>
      <w:r>
        <w:rPr>
          <w:spacing w:val="-57"/>
        </w:rPr>
        <w:t> </w:t>
      </w:r>
      <w:r>
        <w:rPr/>
        <w:t>occupation and education) as revealed from the research. Although malaria affects both the educated</w:t>
      </w:r>
      <w:r>
        <w:rPr>
          <w:spacing w:val="1"/>
        </w:rPr>
        <w:t> </w:t>
      </w:r>
      <w:r>
        <w:rPr/>
        <w:t>and uneducated, the study revealed that education plays a major role in malarial infection as the</w:t>
      </w:r>
      <w:r>
        <w:rPr>
          <w:spacing w:val="1"/>
        </w:rPr>
        <w:t> </w:t>
      </w:r>
      <w:r>
        <w:rPr/>
        <w:t>educated subjects recorded lower prevalence than their uneducated counterparts. It was also revealed</w:t>
      </w:r>
      <w:r>
        <w:rPr>
          <w:spacing w:val="1"/>
        </w:rPr>
        <w:t> </w:t>
      </w:r>
      <w:r>
        <w:rPr/>
        <w:t>from the study</w:t>
      </w:r>
      <w:r>
        <w:rPr>
          <w:spacing w:val="-6"/>
        </w:rPr>
        <w:t> </w:t>
      </w:r>
      <w:r>
        <w:rPr/>
        <w:t>that occupation and age</w:t>
      </w:r>
      <w:r>
        <w:rPr>
          <w:spacing w:val="1"/>
        </w:rPr>
        <w:t> </w:t>
      </w:r>
      <w:r>
        <w:rPr/>
        <w:t>are factors</w:t>
      </w:r>
      <w:r>
        <w:rPr>
          <w:spacing w:val="1"/>
        </w:rPr>
        <w:t> </w:t>
      </w:r>
      <w:r>
        <w:rPr/>
        <w:t>that predisposes</w:t>
      </w:r>
      <w:r>
        <w:rPr>
          <w:spacing w:val="-1"/>
        </w:rPr>
        <w:t> </w:t>
      </w:r>
      <w:r>
        <w:rPr/>
        <w:t>to malarial infection.</w:t>
      </w:r>
    </w:p>
    <w:p>
      <w:pPr>
        <w:pStyle w:val="Heading1"/>
        <w:numPr>
          <w:ilvl w:val="1"/>
          <w:numId w:val="13"/>
        </w:numPr>
        <w:tabs>
          <w:tab w:pos="1712" w:val="left" w:leader="none"/>
        </w:tabs>
        <w:spacing w:line="240" w:lineRule="auto" w:before="207" w:after="0"/>
        <w:ind w:left="1711" w:right="0" w:hanging="721"/>
        <w:jc w:val="both"/>
      </w:pPr>
      <w:bookmarkStart w:name="_TOC_250001" w:id="46"/>
      <w:bookmarkEnd w:id="46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991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drawn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3"/>
        </w:numPr>
        <w:tabs>
          <w:tab w:pos="2071" w:val="left" w:leader="none"/>
          <w:tab w:pos="2072" w:val="left" w:leader="none"/>
        </w:tabs>
        <w:spacing w:line="240" w:lineRule="auto" w:before="174" w:after="0"/>
        <w:ind w:left="2071" w:right="0" w:hanging="721"/>
        <w:jc w:val="left"/>
        <w:rPr>
          <w:sz w:val="24"/>
        </w:rPr>
      </w:pPr>
      <w:r>
        <w:rPr>
          <w:sz w:val="24"/>
        </w:rPr>
        <w:t>Many</w:t>
      </w:r>
      <w:r>
        <w:rPr>
          <w:spacing w:val="-4"/>
          <w:sz w:val="24"/>
        </w:rPr>
        <w:t> </w:t>
      </w:r>
      <w:r>
        <w:rPr>
          <w:sz w:val="24"/>
        </w:rPr>
        <w:t>cases</w:t>
      </w:r>
      <w:r>
        <w:rPr>
          <w:spacing w:val="-1"/>
          <w:sz w:val="24"/>
        </w:rPr>
        <w:t> </w:t>
      </w:r>
      <w:r>
        <w:rPr>
          <w:sz w:val="24"/>
        </w:rPr>
        <w:t>of malaria will be</w:t>
      </w:r>
      <w:r>
        <w:rPr>
          <w:spacing w:val="-1"/>
          <w:sz w:val="24"/>
        </w:rPr>
        <w:t> </w:t>
      </w:r>
      <w:r>
        <w:rPr>
          <w:sz w:val="24"/>
        </w:rPr>
        <w:t>missed if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dependence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placed on</w:t>
      </w:r>
      <w:r>
        <w:rPr>
          <w:spacing w:val="-1"/>
          <w:sz w:val="24"/>
        </w:rPr>
        <w:t> </w:t>
      </w:r>
      <w:r>
        <w:rPr>
          <w:sz w:val="24"/>
        </w:rPr>
        <w:t>RDT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diagnosis.</w:t>
      </w:r>
    </w:p>
    <w:p>
      <w:pPr>
        <w:pStyle w:val="BodyText"/>
      </w:pPr>
    </w:p>
    <w:p>
      <w:pPr>
        <w:pStyle w:val="BodyText"/>
        <w:spacing w:line="480" w:lineRule="auto"/>
        <w:ind w:left="2071" w:right="1837"/>
        <w:jc w:val="both"/>
      </w:pPr>
      <w:r>
        <w:rPr/>
        <w:t>Microscopy which is regarded as the gold standard should be encouraged at all times</w:t>
      </w:r>
      <w:r>
        <w:rPr>
          <w:spacing w:val="-58"/>
        </w:rPr>
        <w:t> </w:t>
      </w:r>
      <w:r>
        <w:rPr/>
        <w:t>where</w:t>
      </w:r>
      <w:r>
        <w:rPr>
          <w:spacing w:val="-3"/>
        </w:rPr>
        <w:t> </w:t>
      </w:r>
      <w:r>
        <w:rPr/>
        <w:t>practicable.</w:t>
      </w:r>
    </w:p>
    <w:p>
      <w:pPr>
        <w:pStyle w:val="ListParagraph"/>
        <w:numPr>
          <w:ilvl w:val="2"/>
          <w:numId w:val="13"/>
        </w:numPr>
        <w:tabs>
          <w:tab w:pos="2072" w:val="left" w:leader="none"/>
        </w:tabs>
        <w:spacing w:line="480" w:lineRule="auto" w:before="0" w:after="0"/>
        <w:ind w:left="2071" w:right="1255" w:hanging="720"/>
        <w:jc w:val="both"/>
        <w:rPr>
          <w:sz w:val="24"/>
        </w:rPr>
      </w:pPr>
      <w:r>
        <w:rPr>
          <w:sz w:val="24"/>
        </w:rPr>
        <w:t>Further studies are required to know the compliance to the various existing preventive</w:t>
      </w:r>
      <w:r>
        <w:rPr>
          <w:spacing w:val="1"/>
          <w:sz w:val="24"/>
        </w:rPr>
        <w:t> </w:t>
      </w:r>
      <w:r>
        <w:rPr>
          <w:sz w:val="24"/>
        </w:rPr>
        <w:t>strategies already in place. This will require researchers visiting the homes of the rural</w:t>
      </w:r>
      <w:r>
        <w:rPr>
          <w:spacing w:val="1"/>
          <w:sz w:val="24"/>
        </w:rPr>
        <w:t> </w:t>
      </w:r>
      <w:r>
        <w:rPr>
          <w:sz w:val="24"/>
        </w:rPr>
        <w:t>dwellers</w:t>
      </w:r>
      <w:r>
        <w:rPr>
          <w:spacing w:val="-1"/>
          <w:sz w:val="24"/>
        </w:rPr>
        <w:t> </w:t>
      </w:r>
      <w:r>
        <w:rPr>
          <w:sz w:val="24"/>
        </w:rPr>
        <w:t>to check if the</w:t>
      </w:r>
      <w:r>
        <w:rPr>
          <w:spacing w:val="-1"/>
          <w:sz w:val="24"/>
        </w:rPr>
        <w:t> </w:t>
      </w:r>
      <w:r>
        <w:rPr>
          <w:sz w:val="24"/>
        </w:rPr>
        <w:t>strategies are</w:t>
      </w:r>
      <w:r>
        <w:rPr>
          <w:spacing w:val="-1"/>
          <w:sz w:val="24"/>
        </w:rPr>
        <w:t> </w:t>
      </w:r>
      <w:r>
        <w:rPr>
          <w:sz w:val="24"/>
        </w:rPr>
        <w:t>been practiced.</w:t>
      </w:r>
    </w:p>
    <w:p>
      <w:pPr>
        <w:pStyle w:val="ListParagraph"/>
        <w:numPr>
          <w:ilvl w:val="2"/>
          <w:numId w:val="13"/>
        </w:numPr>
        <w:tabs>
          <w:tab w:pos="2072" w:val="left" w:leader="none"/>
        </w:tabs>
        <w:spacing w:line="480" w:lineRule="auto" w:before="1" w:after="0"/>
        <w:ind w:left="2071" w:right="1256" w:hanging="720"/>
        <w:jc w:val="both"/>
        <w:rPr>
          <w:sz w:val="24"/>
        </w:rPr>
      </w:pP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intake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iron</w:t>
      </w:r>
      <w:r>
        <w:rPr>
          <w:spacing w:val="1"/>
          <w:sz w:val="24"/>
        </w:rPr>
        <w:t> </w:t>
      </w:r>
      <w:r>
        <w:rPr>
          <w:sz w:val="24"/>
        </w:rPr>
        <w:t>rich</w:t>
      </w:r>
      <w:r>
        <w:rPr>
          <w:spacing w:val="1"/>
          <w:sz w:val="24"/>
        </w:rPr>
        <w:t> </w:t>
      </w:r>
      <w:r>
        <w:rPr>
          <w:sz w:val="24"/>
        </w:rPr>
        <w:t>foods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sea</w:t>
      </w:r>
      <w:r>
        <w:rPr>
          <w:spacing w:val="1"/>
          <w:sz w:val="24"/>
        </w:rPr>
        <w:t> </w:t>
      </w:r>
      <w:r>
        <w:rPr>
          <w:sz w:val="24"/>
        </w:rPr>
        <w:t>foods,</w:t>
      </w:r>
      <w:r>
        <w:rPr>
          <w:spacing w:val="1"/>
          <w:sz w:val="24"/>
        </w:rPr>
        <w:t> </w:t>
      </w:r>
      <w:r>
        <w:rPr>
          <w:sz w:val="24"/>
        </w:rPr>
        <w:t>beans,</w:t>
      </w:r>
      <w:r>
        <w:rPr>
          <w:spacing w:val="1"/>
          <w:sz w:val="24"/>
        </w:rPr>
        <w:t> </w:t>
      </w:r>
      <w:r>
        <w:rPr>
          <w:sz w:val="24"/>
        </w:rPr>
        <w:t>legumes,</w:t>
      </w:r>
      <w:r>
        <w:rPr>
          <w:spacing w:val="1"/>
          <w:sz w:val="24"/>
        </w:rPr>
        <w:t> </w:t>
      </w:r>
      <w:r>
        <w:rPr>
          <w:sz w:val="24"/>
        </w:rPr>
        <w:t>dark</w:t>
      </w:r>
      <w:r>
        <w:rPr>
          <w:spacing w:val="1"/>
          <w:sz w:val="24"/>
        </w:rPr>
        <w:t> </w:t>
      </w:r>
      <w:r>
        <w:rPr>
          <w:sz w:val="24"/>
        </w:rPr>
        <w:t>green</w:t>
      </w:r>
      <w:r>
        <w:rPr>
          <w:spacing w:val="1"/>
          <w:sz w:val="24"/>
        </w:rPr>
        <w:t> </w:t>
      </w:r>
      <w:r>
        <w:rPr>
          <w:sz w:val="24"/>
        </w:rPr>
        <w:t>vegetables, liver and other organ meats should be encouraged in the rural communities.</w:t>
      </w:r>
      <w:r>
        <w:rPr>
          <w:spacing w:val="1"/>
          <w:sz w:val="24"/>
        </w:rPr>
        <w:t> </w:t>
      </w:r>
      <w:r>
        <w:rPr>
          <w:sz w:val="24"/>
        </w:rPr>
        <w:t>This will in turn help to build blood and help in the management of severe aneamia cases</w:t>
      </w:r>
      <w:r>
        <w:rPr>
          <w:spacing w:val="1"/>
          <w:sz w:val="24"/>
        </w:rPr>
        <w:t> </w:t>
      </w:r>
      <w:r>
        <w:rPr>
          <w:sz w:val="24"/>
        </w:rPr>
        <w:t>resulting</w:t>
      </w:r>
      <w:r>
        <w:rPr>
          <w:spacing w:val="-3"/>
          <w:sz w:val="24"/>
        </w:rPr>
        <w:t> </w:t>
      </w:r>
      <w:r>
        <w:rPr>
          <w:sz w:val="24"/>
        </w:rPr>
        <w:t>from malarial infection.</w:t>
      </w:r>
    </w:p>
    <w:p>
      <w:pPr>
        <w:pStyle w:val="ListParagraph"/>
        <w:numPr>
          <w:ilvl w:val="2"/>
          <w:numId w:val="13"/>
        </w:numPr>
        <w:tabs>
          <w:tab w:pos="2072" w:val="left" w:leader="none"/>
        </w:tabs>
        <w:spacing w:line="480" w:lineRule="auto" w:before="0" w:after="0"/>
        <w:ind w:left="2071" w:right="1254" w:hanging="720"/>
        <w:jc w:val="both"/>
        <w:rPr>
          <w:sz w:val="24"/>
        </w:rPr>
      </w:pPr>
      <w:r>
        <w:rPr>
          <w:sz w:val="24"/>
        </w:rPr>
        <w:t>Proper and adequate training should be organized for the health personnels in the rural</w:t>
      </w:r>
      <w:r>
        <w:rPr>
          <w:spacing w:val="1"/>
          <w:sz w:val="24"/>
        </w:rPr>
        <w:t> </w:t>
      </w:r>
      <w:r>
        <w:rPr>
          <w:sz w:val="24"/>
        </w:rPr>
        <w:t>areas on the need for standard procedures in the diagnosis of malaria in order to avoid</w:t>
      </w:r>
      <w:r>
        <w:rPr>
          <w:spacing w:val="1"/>
          <w:sz w:val="24"/>
        </w:rPr>
        <w:t> </w:t>
      </w:r>
      <w:r>
        <w:rPr>
          <w:sz w:val="24"/>
        </w:rPr>
        <w:t>administering</w:t>
      </w:r>
      <w:r>
        <w:rPr>
          <w:spacing w:val="-4"/>
          <w:sz w:val="24"/>
        </w:rPr>
        <w:t> </w:t>
      </w:r>
      <w:r>
        <w:rPr>
          <w:sz w:val="24"/>
        </w:rPr>
        <w:t>false results.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0" w:right="180"/>
        </w:sectPr>
      </w:pPr>
    </w:p>
    <w:p>
      <w:pPr>
        <w:pStyle w:val="ListParagraph"/>
        <w:numPr>
          <w:ilvl w:val="2"/>
          <w:numId w:val="13"/>
        </w:numPr>
        <w:tabs>
          <w:tab w:pos="2072" w:val="left" w:leader="none"/>
        </w:tabs>
        <w:spacing w:line="482" w:lineRule="auto" w:before="72" w:after="0"/>
        <w:ind w:left="2071" w:right="1256" w:hanging="720"/>
        <w:jc w:val="both"/>
        <w:rPr>
          <w:sz w:val="24"/>
        </w:rPr>
      </w:pPr>
      <w:r>
        <w:rPr>
          <w:sz w:val="24"/>
        </w:rPr>
        <w:t>Public awareness campaign using health care workers, community leaders, town criers, at</w:t>
      </w:r>
      <w:r>
        <w:rPr>
          <w:spacing w:val="1"/>
          <w:sz w:val="24"/>
        </w:rPr>
        <w:t> </w:t>
      </w:r>
      <w:r>
        <w:rPr>
          <w:sz w:val="24"/>
        </w:rPr>
        <w:t>social and religious gatherings on malarial preventive measures such as bush clearing,</w:t>
      </w:r>
      <w:r>
        <w:rPr>
          <w:spacing w:val="1"/>
          <w:sz w:val="24"/>
        </w:rPr>
        <w:t> </w:t>
      </w:r>
      <w:r>
        <w:rPr>
          <w:sz w:val="24"/>
        </w:rPr>
        <w:t>cleaning</w:t>
      </w:r>
      <w:r>
        <w:rPr>
          <w:spacing w:val="-4"/>
          <w:sz w:val="24"/>
        </w:rPr>
        <w:t> </w:t>
      </w:r>
      <w:r>
        <w:rPr>
          <w:sz w:val="24"/>
        </w:rPr>
        <w:t>of drainages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breeding grounds</w:t>
      </w:r>
      <w:r>
        <w:rPr>
          <w:spacing w:val="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encouraged.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9"/>
        <w:ind w:left="1118" w:right="1381"/>
        <w:jc w:val="center"/>
      </w:pPr>
      <w:bookmarkStart w:name="_TOC_250000" w:id="47"/>
      <w:bookmarkEnd w:id="47"/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1711" w:right="1252" w:hanging="721"/>
        <w:jc w:val="both"/>
      </w:pPr>
      <w:r>
        <w:rPr/>
        <w:t>Abba, K., Deeks, J. J., Olliaro, P. L., Naing, C. M., Jackson, S. M., Takwoingi, Y., Donegan, S. &amp;</w:t>
      </w:r>
      <w:r>
        <w:rPr>
          <w:spacing w:val="1"/>
        </w:rPr>
        <w:t> </w:t>
      </w:r>
      <w:r>
        <w:rPr/>
        <w:t>Garner, P. (2011). Rapid diagnostic tests for diagnosing uncomplicated </w:t>
      </w:r>
      <w:r>
        <w:rPr>
          <w:i/>
        </w:rPr>
        <w:t>P. falciparum </w:t>
      </w:r>
      <w:r>
        <w:rPr/>
        <w:t>malaria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endemic</w:t>
      </w:r>
      <w:r>
        <w:rPr>
          <w:spacing w:val="-1"/>
        </w:rPr>
        <w:t> </w:t>
      </w:r>
      <w:r>
        <w:rPr/>
        <w:t>countries. </w:t>
      </w:r>
      <w:r>
        <w:rPr>
          <w:i/>
        </w:rPr>
        <w:t>Cochrane</w:t>
      </w:r>
      <w:r>
        <w:rPr>
          <w:i/>
          <w:spacing w:val="-1"/>
        </w:rPr>
        <w:t> </w:t>
      </w:r>
      <w:r>
        <w:rPr>
          <w:i/>
        </w:rPr>
        <w:t>Database</w:t>
      </w:r>
      <w:r>
        <w:rPr>
          <w:i/>
          <w:spacing w:val="-1"/>
        </w:rPr>
        <w:t> </w:t>
      </w:r>
      <w:r>
        <w:rPr>
          <w:i/>
        </w:rPr>
        <w:t>System</w:t>
      </w:r>
      <w:r>
        <w:rPr>
          <w:i/>
          <w:spacing w:val="2"/>
        </w:rPr>
        <w:t> </w:t>
      </w:r>
      <w:r>
        <w:rPr>
          <w:i/>
        </w:rPr>
        <w:t>Review</w:t>
      </w:r>
      <w:r>
        <w:rPr/>
        <w:t>, 7, 89-94.</w:t>
      </w:r>
    </w:p>
    <w:p>
      <w:pPr>
        <w:spacing w:line="240" w:lineRule="auto" w:before="202"/>
        <w:ind w:left="1711" w:right="1256" w:hanging="721"/>
        <w:jc w:val="both"/>
        <w:rPr>
          <w:sz w:val="24"/>
        </w:rPr>
      </w:pPr>
      <w:r>
        <w:rPr>
          <w:sz w:val="24"/>
        </w:rPr>
        <w:t>Afoakwah,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Edmond,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James,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Ekene,</w:t>
      </w:r>
      <w:r>
        <w:rPr>
          <w:spacing w:val="1"/>
          <w:sz w:val="24"/>
        </w:rPr>
        <w:t> </w:t>
      </w:r>
      <w:r>
        <w:rPr>
          <w:sz w:val="24"/>
        </w:rPr>
        <w:t>K.N.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Johnson,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60"/>
          <w:sz w:val="24"/>
        </w:rPr>
        <w:t> </w:t>
      </w:r>
      <w:r>
        <w:rPr>
          <w:sz w:val="24"/>
        </w:rPr>
        <w:t>Relative</w:t>
      </w:r>
      <w:r>
        <w:rPr>
          <w:spacing w:val="1"/>
          <w:sz w:val="24"/>
        </w:rPr>
        <w:t> </w:t>
      </w:r>
      <w:r>
        <w:rPr>
          <w:sz w:val="24"/>
        </w:rPr>
        <w:t>Susceptibilities of ABO Blood Groups to </w:t>
      </w:r>
      <w:r>
        <w:rPr>
          <w:i/>
          <w:sz w:val="24"/>
        </w:rPr>
        <w:t>Plasmodium falciparum </w:t>
      </w:r>
      <w:r>
        <w:rPr>
          <w:sz w:val="24"/>
        </w:rPr>
        <w:t>Malaria in Ghana.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Advances in Hematology</w:t>
      </w:r>
      <w:r>
        <w:rPr>
          <w:sz w:val="24"/>
        </w:rPr>
        <w:t>, 3, 59-72.</w:t>
      </w:r>
    </w:p>
    <w:p>
      <w:pPr>
        <w:pStyle w:val="BodyText"/>
        <w:spacing w:line="242" w:lineRule="auto" w:before="199"/>
        <w:ind w:left="1711" w:right="1255" w:hanging="721"/>
        <w:jc w:val="both"/>
      </w:pPr>
      <w:r>
        <w:rPr/>
        <w:t>Aina, O. O., Agomo, C. O., Olukosi, Y. A., Okoh, H. I., Iwalokun, B. A. &amp; Egbuna, K. N. (2013).</w:t>
      </w:r>
      <w:r>
        <w:rPr>
          <w:spacing w:val="1"/>
        </w:rPr>
        <w:t> </w:t>
      </w:r>
      <w:r>
        <w:rPr/>
        <w:t>Malariometric survey of Ibeshe community in Ikorodu, Lagos state: dry season.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Malaria</w:t>
      </w:r>
      <w:r>
        <w:rPr>
          <w:i/>
          <w:spacing w:val="-1"/>
        </w:rPr>
        <w:t> </w:t>
      </w:r>
      <w:r>
        <w:rPr>
          <w:i/>
        </w:rPr>
        <w:t>Research and Treatment</w:t>
      </w:r>
      <w:r>
        <w:rPr/>
        <w:t>, 5, 48-72.</w:t>
      </w:r>
    </w:p>
    <w:p>
      <w:pPr>
        <w:pStyle w:val="BodyText"/>
        <w:spacing w:before="191"/>
        <w:ind w:left="1711" w:right="1251" w:hanging="721"/>
        <w:jc w:val="both"/>
      </w:pPr>
      <w:r>
        <w:rPr/>
        <w:t>Ajayi,</w:t>
      </w:r>
      <w:r>
        <w:rPr>
          <w:spacing w:val="1"/>
        </w:rPr>
        <w:t> </w:t>
      </w:r>
      <w:r>
        <w:rPr/>
        <w:t>I.O., Ughasoro,</w:t>
      </w:r>
      <w:r>
        <w:rPr>
          <w:spacing w:val="1"/>
        </w:rPr>
        <w:t> </w:t>
      </w:r>
      <w:r>
        <w:rPr/>
        <w:t>M. D., Ogunwale,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Odeyinka, O.,</w:t>
      </w:r>
      <w:r>
        <w:rPr>
          <w:spacing w:val="1"/>
        </w:rPr>
        <w:t> </w:t>
      </w:r>
      <w:r>
        <w:rPr/>
        <w:t>Babalola, O., Sharafadeen, S.,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Mukhtar, Y. A., Olufemi, A., Taiwo, O. &amp; Patrick, N. (2017). A qualitative exploration of</w:t>
      </w:r>
      <w:r>
        <w:rPr>
          <w:spacing w:val="1"/>
        </w:rPr>
        <w:t> </w:t>
      </w:r>
      <w:r>
        <w:rPr/>
        <w:t>malaria</w:t>
      </w:r>
      <w:r>
        <w:rPr>
          <w:spacing w:val="-3"/>
        </w:rPr>
        <w:t> </w:t>
      </w:r>
      <w:r>
        <w:rPr/>
        <w:t>operational research situation in</w:t>
      </w:r>
      <w:r>
        <w:rPr>
          <w:spacing w:val="-1"/>
        </w:rPr>
        <w:t> </w:t>
      </w:r>
      <w:r>
        <w:rPr/>
        <w:t>Nigeria.</w:t>
      </w:r>
      <w:r>
        <w:rPr>
          <w:spacing w:val="5"/>
        </w:rPr>
        <w:t> </w:t>
      </w:r>
      <w:r>
        <w:rPr>
          <w:i/>
        </w:rPr>
        <w:t>PLoS ONE, </w:t>
      </w:r>
      <w:r>
        <w:rPr/>
        <w:t>12,</w:t>
      </w:r>
      <w:r>
        <w:rPr>
          <w:spacing w:val="-1"/>
        </w:rPr>
        <w:t> </w:t>
      </w:r>
      <w:r>
        <w:rPr/>
        <w:t>345-400.</w:t>
      </w:r>
    </w:p>
    <w:p>
      <w:pPr>
        <w:spacing w:line="240" w:lineRule="auto" w:before="199"/>
        <w:ind w:left="1711" w:right="1252" w:hanging="721"/>
        <w:jc w:val="both"/>
        <w:rPr>
          <w:sz w:val="24"/>
        </w:rPr>
      </w:pPr>
      <w:r>
        <w:rPr>
          <w:sz w:val="24"/>
        </w:rPr>
        <w:t>Ajayi,</w:t>
      </w:r>
      <w:r>
        <w:rPr>
          <w:spacing w:val="1"/>
          <w:sz w:val="24"/>
        </w:rPr>
        <w:t> </w:t>
      </w:r>
      <w:r>
        <w:rPr>
          <w:sz w:val="24"/>
        </w:rPr>
        <w:t>M.T.A.,</w:t>
      </w:r>
      <w:r>
        <w:rPr>
          <w:spacing w:val="1"/>
          <w:sz w:val="24"/>
        </w:rPr>
        <w:t> </w:t>
      </w:r>
      <w:r>
        <w:rPr>
          <w:sz w:val="24"/>
        </w:rPr>
        <w:t>Jimoh,</w:t>
      </w:r>
      <w:r>
        <w:rPr>
          <w:spacing w:val="1"/>
          <w:sz w:val="24"/>
        </w:rPr>
        <w:t> </w:t>
      </w:r>
      <w:r>
        <w:rPr>
          <w:sz w:val="24"/>
        </w:rPr>
        <w:t>O.J.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Jimoh,</w:t>
      </w:r>
      <w:r>
        <w:rPr>
          <w:spacing w:val="1"/>
          <w:sz w:val="24"/>
        </w:rPr>
        <w:t> </w:t>
      </w:r>
      <w:r>
        <w:rPr>
          <w:sz w:val="24"/>
        </w:rPr>
        <w:t>R.A.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infrastructural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residential</w:t>
      </w:r>
      <w:r>
        <w:rPr>
          <w:spacing w:val="1"/>
          <w:sz w:val="24"/>
        </w:rPr>
        <w:t> </w:t>
      </w:r>
      <w:r>
        <w:rPr>
          <w:sz w:val="24"/>
        </w:rPr>
        <w:t>property</w:t>
      </w:r>
      <w:r>
        <w:rPr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minna.</w:t>
      </w:r>
      <w:r>
        <w:rPr>
          <w:spacing w:val="1"/>
          <w:sz w:val="24"/>
        </w:rPr>
        <w:t> </w:t>
      </w:r>
      <w:r>
        <w:rPr>
          <w:i/>
          <w:sz w:val="24"/>
        </w:rPr>
        <w:t>Ethiopian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7, 452 – 459.</w:t>
      </w:r>
    </w:p>
    <w:p>
      <w:pPr>
        <w:pStyle w:val="BodyText"/>
        <w:spacing w:before="202"/>
        <w:ind w:left="1711" w:right="1258" w:hanging="721"/>
        <w:jc w:val="both"/>
      </w:pPr>
      <w:r>
        <w:rPr/>
        <w:t>Albert, L. K., Jose, G.T., Mgaywa, G. M.D., Reginald, M., Roy, T., Naoko, S. M. &amp; Jean, J. M.</w:t>
      </w:r>
      <w:r>
        <w:rPr>
          <w:spacing w:val="1"/>
        </w:rPr>
        <w:t> </w:t>
      </w:r>
      <w:r>
        <w:rPr/>
        <w:t>(2015). SD Bioline Malaria Antigen pf (HRP2/Plhd) for Assessing Efficacy of Arteminisin</w:t>
      </w:r>
      <w:r>
        <w:rPr>
          <w:spacing w:val="1"/>
        </w:rPr>
        <w:t> </w:t>
      </w:r>
      <w:r>
        <w:rPr/>
        <w:t>Combination Therapy against </w:t>
      </w:r>
      <w:r>
        <w:rPr>
          <w:i/>
        </w:rPr>
        <w:t>Plasmodium fulciparum </w:t>
      </w:r>
      <w:r>
        <w:rPr/>
        <w:t>in Pediatric Patients in the Democratic</w:t>
      </w:r>
      <w:r>
        <w:rPr>
          <w:spacing w:val="1"/>
        </w:rPr>
        <w:t> </w:t>
      </w:r>
      <w:r>
        <w:rPr/>
        <w:t>Republic</w:t>
      </w:r>
      <w:r>
        <w:rPr>
          <w:spacing w:val="-2"/>
        </w:rPr>
        <w:t> </w:t>
      </w:r>
      <w:r>
        <w:rPr/>
        <w:t>of Congo. </w:t>
      </w:r>
      <w:r>
        <w:rPr>
          <w:i/>
        </w:rPr>
        <w:t>Pan</w:t>
      </w:r>
      <w:r>
        <w:rPr>
          <w:i/>
          <w:spacing w:val="1"/>
        </w:rPr>
        <w:t> </w:t>
      </w:r>
      <w:r>
        <w:rPr>
          <w:i/>
        </w:rPr>
        <w:t>African Medical Journal</w:t>
      </w:r>
      <w:r>
        <w:rPr/>
        <w:t>,</w:t>
      </w:r>
      <w:r>
        <w:rPr>
          <w:spacing w:val="2"/>
        </w:rPr>
        <w:t> </w:t>
      </w:r>
      <w:r>
        <w:rPr/>
        <w:t>22, 304.</w:t>
      </w:r>
    </w:p>
    <w:p>
      <w:pPr>
        <w:spacing w:line="240" w:lineRule="auto" w:before="200"/>
        <w:ind w:left="1711" w:right="1259" w:hanging="721"/>
        <w:jc w:val="both"/>
        <w:rPr>
          <w:sz w:val="24"/>
        </w:rPr>
      </w:pPr>
      <w:r>
        <w:rPr>
          <w:sz w:val="24"/>
        </w:rPr>
        <w:t>Ali, M. Yahaya, A. &amp; Nas, F. S. (2017). Prevalence of Malaria with Respect to Age, Gender and</w:t>
      </w:r>
      <w:r>
        <w:rPr>
          <w:spacing w:val="1"/>
          <w:sz w:val="24"/>
        </w:rPr>
        <w:t> </w:t>
      </w:r>
      <w:r>
        <w:rPr>
          <w:sz w:val="24"/>
        </w:rPr>
        <w:t>Socio-Economic Status of Fever Related Patients in Kano City, Nigeria. </w:t>
      </w:r>
      <w:r>
        <w:rPr>
          <w:i/>
          <w:sz w:val="24"/>
        </w:rPr>
        <w:t>Greener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Epidemiology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, 5, 44-49.</w:t>
      </w:r>
    </w:p>
    <w:p>
      <w:pPr>
        <w:pStyle w:val="BodyText"/>
        <w:spacing w:line="276" w:lineRule="auto" w:before="202"/>
        <w:ind w:left="1711" w:right="1258" w:hanging="721"/>
        <w:jc w:val="both"/>
      </w:pPr>
      <w:r>
        <w:rPr/>
        <w:t>Amino, R., Giovannini, D., Thiberge, S., Gueirard, P., Boisson, B., Dubremetz, J. F., Prevost, M. C.,</w:t>
      </w:r>
      <w:r>
        <w:rPr>
          <w:spacing w:val="1"/>
        </w:rPr>
        <w:t> </w:t>
      </w:r>
      <w:r>
        <w:rPr/>
        <w:t>Ishino, T., Yuda, M. &amp; Menard, R. (2008). Host cell traversal is important for progression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malarial</w:t>
      </w:r>
      <w:r>
        <w:rPr>
          <w:spacing w:val="-1"/>
        </w:rPr>
        <w:t> </w:t>
      </w:r>
      <w:r>
        <w:rPr/>
        <w:t>parasite</w:t>
      </w:r>
      <w:r>
        <w:rPr>
          <w:spacing w:val="-2"/>
        </w:rPr>
        <w:t> </w:t>
      </w:r>
      <w:r>
        <w:rPr/>
        <w:t>through the</w:t>
      </w:r>
      <w:r>
        <w:rPr>
          <w:spacing w:val="-1"/>
        </w:rPr>
        <w:t> </w:t>
      </w:r>
      <w:r>
        <w:rPr/>
        <w:t>dermis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liver.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Cell</w:t>
      </w:r>
      <w:r>
        <w:rPr>
          <w:i/>
          <w:spacing w:val="-1"/>
        </w:rPr>
        <w:t> </w:t>
      </w:r>
      <w:r>
        <w:rPr>
          <w:i/>
        </w:rPr>
        <w:t>Host Microbe</w:t>
      </w:r>
      <w:r>
        <w:rPr/>
        <w:t>,</w:t>
      </w:r>
      <w:r>
        <w:rPr>
          <w:spacing w:val="-1"/>
        </w:rPr>
        <w:t> </w:t>
      </w:r>
      <w:r>
        <w:rPr/>
        <w:t>3,</w:t>
      </w:r>
      <w:r>
        <w:rPr>
          <w:spacing w:val="-1"/>
        </w:rPr>
        <w:t> </w:t>
      </w:r>
      <w:r>
        <w:rPr/>
        <w:t>88-96.</w:t>
      </w:r>
    </w:p>
    <w:p>
      <w:pPr>
        <w:spacing w:after="0" w:line="276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242" w:lineRule="auto" w:before="72"/>
        <w:ind w:left="1711" w:right="1254" w:hanging="721"/>
        <w:jc w:val="both"/>
      </w:pPr>
      <w:r>
        <w:rPr/>
        <w:t>Aregbeshola,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Khan,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60"/>
        </w:rPr>
        <w:t> </w:t>
      </w:r>
      <w:r>
        <w:rPr/>
        <w:t>facilities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malaria</w:t>
      </w:r>
      <w:r>
        <w:rPr>
          <w:spacing w:val="60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interventions among children under five years of</w:t>
      </w:r>
      <w:r>
        <w:rPr>
          <w:spacing w:val="1"/>
        </w:rPr>
        <w:t> </w:t>
      </w:r>
      <w:r>
        <w:rPr/>
        <w:t>age and pregnant women in Nigeria. </w:t>
      </w:r>
      <w:r>
        <w:rPr>
          <w:i/>
        </w:rPr>
        <w:t>South</w:t>
      </w:r>
      <w:r>
        <w:rPr>
          <w:i/>
          <w:spacing w:val="1"/>
        </w:rPr>
        <w:t> </w:t>
      </w:r>
      <w:r>
        <w:rPr>
          <w:i/>
        </w:rPr>
        <w:t>East</w:t>
      </w:r>
      <w:r>
        <w:rPr>
          <w:i/>
          <w:spacing w:val="-1"/>
        </w:rPr>
        <w:t> </w:t>
      </w:r>
      <w:r>
        <w:rPr>
          <w:i/>
        </w:rPr>
        <w:t>Asia Journal of Public Health</w:t>
      </w:r>
      <w:r>
        <w:rPr/>
        <w:t>, 7, 35-41.</w:t>
      </w:r>
    </w:p>
    <w:p>
      <w:pPr>
        <w:pStyle w:val="BodyText"/>
        <w:spacing w:line="276" w:lineRule="auto" w:before="193"/>
        <w:ind w:left="1711" w:right="1256" w:hanging="721"/>
        <w:jc w:val="both"/>
      </w:pPr>
      <w:r>
        <w:rPr/>
        <w:t>Artavanis-Tsakonas, K. &amp; E. M. Riley, E. M. (2002).</w:t>
      </w:r>
      <w:r>
        <w:rPr>
          <w:spacing w:val="1"/>
        </w:rPr>
        <w:t> </w:t>
      </w:r>
      <w:r>
        <w:rPr/>
        <w:t>Innate immune response to malaria: rapid</w:t>
      </w:r>
      <w:r>
        <w:rPr>
          <w:spacing w:val="1"/>
        </w:rPr>
        <w:t> </w:t>
      </w:r>
      <w:r>
        <w:rPr/>
        <w:t>induction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IFN-gamma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NK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by live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/>
        <w:t>-infected</w:t>
      </w:r>
      <w:r>
        <w:rPr>
          <w:spacing w:val="1"/>
        </w:rPr>
        <w:t> </w:t>
      </w:r>
      <w:r>
        <w:rPr/>
        <w:t>erythrocytes.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Immunology</w:t>
      </w:r>
      <w:r>
        <w:rPr/>
        <w:t>, 169, 2956-2963.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991"/>
      </w:pPr>
      <w:r>
        <w:rPr/>
        <w:t>Aye,</w:t>
      </w:r>
      <w:r>
        <w:rPr>
          <w:spacing w:val="32"/>
        </w:rPr>
        <w:t> </w:t>
      </w:r>
      <w:r>
        <w:rPr/>
        <w:t>A.</w:t>
      </w:r>
      <w:r>
        <w:rPr>
          <w:spacing w:val="33"/>
        </w:rPr>
        <w:t> </w:t>
      </w:r>
      <w:r>
        <w:rPr/>
        <w:t>W.,</w:t>
      </w:r>
      <w:r>
        <w:rPr>
          <w:spacing w:val="32"/>
        </w:rPr>
        <w:t> </w:t>
      </w:r>
      <w:r>
        <w:rPr/>
        <w:t>Ohnmar,</w:t>
      </w:r>
      <w:r>
        <w:rPr>
          <w:spacing w:val="36"/>
        </w:rPr>
        <w:t> </w:t>
      </w:r>
      <w:r>
        <w:rPr/>
        <w:t>M.</w:t>
      </w:r>
      <w:r>
        <w:rPr>
          <w:spacing w:val="32"/>
        </w:rPr>
        <w:t> </w:t>
      </w:r>
      <w:r>
        <w:rPr/>
        <w:t>&amp;</w:t>
      </w:r>
      <w:r>
        <w:rPr>
          <w:spacing w:val="32"/>
        </w:rPr>
        <w:t> </w:t>
      </w:r>
      <w:r>
        <w:rPr/>
        <w:t>Thant,</w:t>
      </w:r>
      <w:r>
        <w:rPr>
          <w:spacing w:val="35"/>
        </w:rPr>
        <w:t> </w:t>
      </w:r>
      <w:r>
        <w:rPr/>
        <w:t>Z.</w:t>
      </w:r>
      <w:r>
        <w:rPr>
          <w:spacing w:val="33"/>
        </w:rPr>
        <w:t> </w:t>
      </w:r>
      <w:r>
        <w:rPr/>
        <w:t>(2016).</w:t>
      </w:r>
      <w:r>
        <w:rPr>
          <w:spacing w:val="34"/>
        </w:rPr>
        <w:t> </w:t>
      </w:r>
      <w:r>
        <w:rPr/>
        <w:t>Host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Parasite</w:t>
      </w:r>
      <w:r>
        <w:rPr>
          <w:spacing w:val="34"/>
        </w:rPr>
        <w:t> </w:t>
      </w:r>
      <w:r>
        <w:rPr/>
        <w:t>Immunopathogenesis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Malaria.</w:t>
      </w:r>
    </w:p>
    <w:p>
      <w:pPr>
        <w:spacing w:before="3"/>
        <w:ind w:left="1711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Dental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Medical 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15, 134-138.</w:t>
      </w:r>
    </w:p>
    <w:p>
      <w:pPr>
        <w:pStyle w:val="BodyText"/>
        <w:spacing w:before="197"/>
        <w:ind w:left="1711" w:right="1254" w:hanging="721"/>
        <w:jc w:val="both"/>
      </w:pPr>
      <w:r>
        <w:rPr/>
        <w:t>Ayogu, E.E. Ukwe, C.C. &amp; Nna, E.O. (2016). Assessing the reliability of microscopy and rapid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older</w:t>
      </w:r>
      <w:r>
        <w:rPr>
          <w:spacing w:val="-57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and adult</w:t>
      </w:r>
      <w:r>
        <w:rPr>
          <w:spacing w:val="-1"/>
        </w:rPr>
        <w:t> </w:t>
      </w:r>
      <w:r>
        <w:rPr/>
        <w:t>patients in Nigeria.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Postgraduate Medicine</w:t>
      </w:r>
      <w:r>
        <w:rPr/>
        <w:t>, 62,</w:t>
      </w:r>
      <w:r>
        <w:rPr>
          <w:spacing w:val="-1"/>
        </w:rPr>
        <w:t> </w:t>
      </w:r>
      <w:r>
        <w:rPr/>
        <w:t>150–156.</w:t>
      </w:r>
    </w:p>
    <w:p>
      <w:pPr>
        <w:pStyle w:val="BodyText"/>
        <w:spacing w:before="201"/>
        <w:ind w:left="1711" w:right="1252" w:hanging="721"/>
        <w:jc w:val="both"/>
      </w:pPr>
      <w:r>
        <w:rPr/>
        <w:t>Baer, K., Michael, R. Allen, B. C., Nico, V. R., Thomas, S. &amp; Ute, F. (2007). Kupffer cells are</w:t>
      </w:r>
      <w:r>
        <w:rPr>
          <w:spacing w:val="1"/>
        </w:rPr>
        <w:t> </w:t>
      </w:r>
      <w:r>
        <w:rPr/>
        <w:t>obligatory for </w:t>
      </w:r>
      <w:r>
        <w:rPr>
          <w:i/>
        </w:rPr>
        <w:t>Plasmodium yoelii </w:t>
      </w:r>
      <w:r>
        <w:rPr/>
        <w:t>sporozoite infection of the liver. </w:t>
      </w:r>
      <w:r>
        <w:rPr>
          <w:i/>
        </w:rPr>
        <w:t>Cell Microbiology</w:t>
      </w:r>
      <w:r>
        <w:rPr/>
        <w:t>, 9,</w:t>
      </w:r>
      <w:r>
        <w:rPr>
          <w:spacing w:val="1"/>
        </w:rPr>
        <w:t> </w:t>
      </w:r>
      <w:r>
        <w:rPr/>
        <w:t>397-</w:t>
      </w:r>
      <w:r>
        <w:rPr>
          <w:spacing w:val="1"/>
        </w:rPr>
        <w:t> </w:t>
      </w:r>
      <w:r>
        <w:rPr/>
        <w:t>412.</w:t>
      </w:r>
    </w:p>
    <w:p>
      <w:pPr>
        <w:pStyle w:val="BodyText"/>
        <w:spacing w:before="202"/>
        <w:ind w:left="991"/>
      </w:pPr>
      <w:r>
        <w:rPr/>
        <w:t>Bartoloni,</w:t>
      </w:r>
      <w:r>
        <w:rPr>
          <w:spacing w:val="8"/>
        </w:rPr>
        <w:t> </w:t>
      </w:r>
      <w:r>
        <w:rPr/>
        <w:t>A.</w:t>
      </w:r>
      <w:r>
        <w:rPr>
          <w:spacing w:val="66"/>
        </w:rPr>
        <w:t> </w:t>
      </w:r>
      <w:r>
        <w:rPr/>
        <w:t>&amp;</w:t>
      </w:r>
      <w:r>
        <w:rPr>
          <w:spacing w:val="68"/>
        </w:rPr>
        <w:t> </w:t>
      </w:r>
      <w:r>
        <w:rPr/>
        <w:t>Zammarchi,</w:t>
      </w:r>
      <w:r>
        <w:rPr>
          <w:spacing w:val="71"/>
        </w:rPr>
        <w:t> </w:t>
      </w:r>
      <w:r>
        <w:rPr/>
        <w:t>L.</w:t>
      </w:r>
      <w:r>
        <w:rPr>
          <w:spacing w:val="67"/>
        </w:rPr>
        <w:t> </w:t>
      </w:r>
      <w:r>
        <w:rPr/>
        <w:t>(2012).</w:t>
      </w:r>
      <w:r>
        <w:rPr>
          <w:spacing w:val="67"/>
        </w:rPr>
        <w:t> </w:t>
      </w:r>
      <w:r>
        <w:rPr/>
        <w:t>Clinical</w:t>
      </w:r>
      <w:r>
        <w:rPr>
          <w:spacing w:val="67"/>
        </w:rPr>
        <w:t> </w:t>
      </w:r>
      <w:r>
        <w:rPr/>
        <w:t>aspects</w:t>
      </w:r>
      <w:r>
        <w:rPr>
          <w:spacing w:val="69"/>
        </w:rPr>
        <w:t> </w:t>
      </w:r>
      <w:r>
        <w:rPr/>
        <w:t>of</w:t>
      </w:r>
      <w:r>
        <w:rPr>
          <w:spacing w:val="66"/>
        </w:rPr>
        <w:t> </w:t>
      </w:r>
      <w:r>
        <w:rPr/>
        <w:t>uncomplicated</w:t>
      </w:r>
      <w:r>
        <w:rPr>
          <w:spacing w:val="67"/>
        </w:rPr>
        <w:t> </w:t>
      </w:r>
      <w:r>
        <w:rPr/>
        <w:t>and</w:t>
      </w:r>
      <w:r>
        <w:rPr>
          <w:spacing w:val="67"/>
        </w:rPr>
        <w:t> </w:t>
      </w:r>
      <w:r>
        <w:rPr/>
        <w:t>severe</w:t>
      </w:r>
      <w:r>
        <w:rPr>
          <w:spacing w:val="66"/>
        </w:rPr>
        <w:t> </w:t>
      </w:r>
      <w:r>
        <w:rPr/>
        <w:t>malaria.</w:t>
      </w:r>
    </w:p>
    <w:p>
      <w:pPr>
        <w:spacing w:before="41"/>
        <w:ind w:left="1711" w:right="0" w:firstLine="0"/>
        <w:jc w:val="left"/>
        <w:rPr>
          <w:sz w:val="24"/>
        </w:rPr>
      </w:pPr>
      <w:r>
        <w:rPr>
          <w:i/>
          <w:sz w:val="24"/>
        </w:rPr>
        <w:t>Mediterranean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hematology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diseases,</w:t>
      </w:r>
      <w:r>
        <w:rPr>
          <w:i/>
          <w:spacing w:val="3"/>
          <w:sz w:val="24"/>
        </w:rPr>
        <w:t> </w:t>
      </w:r>
      <w:r>
        <w:rPr>
          <w:sz w:val="24"/>
        </w:rPr>
        <w:t>4,</w:t>
      </w:r>
      <w:r>
        <w:rPr>
          <w:spacing w:val="-1"/>
          <w:sz w:val="24"/>
        </w:rPr>
        <w:t> </w:t>
      </w:r>
      <w:r>
        <w:rPr>
          <w:sz w:val="24"/>
        </w:rPr>
        <w:t>2012-2026.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1711" w:right="1255" w:hanging="721"/>
        <w:jc w:val="both"/>
        <w:rPr>
          <w:sz w:val="24"/>
        </w:rPr>
      </w:pPr>
      <w:r>
        <w:rPr>
          <w:sz w:val="24"/>
        </w:rPr>
        <w:t>Bassey S. E., &amp; Izah S.C. (2017). Nigerian plants with insecticidal potentials against various stages of</w:t>
      </w:r>
      <w:r>
        <w:rPr>
          <w:spacing w:val="-57"/>
          <w:sz w:val="24"/>
        </w:rPr>
        <w:t> </w:t>
      </w:r>
      <w:r>
        <w:rPr>
          <w:sz w:val="24"/>
        </w:rPr>
        <w:t>mosquito development. </w:t>
      </w:r>
      <w:r>
        <w:rPr>
          <w:i/>
          <w:sz w:val="24"/>
        </w:rPr>
        <w:t>Albert Science International Organization Journal of Medical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Research</w:t>
      </w:r>
      <w:r>
        <w:rPr>
          <w:sz w:val="24"/>
        </w:rPr>
        <w:t>, 2, 8-28.</w:t>
      </w:r>
    </w:p>
    <w:p>
      <w:pPr>
        <w:pStyle w:val="BodyText"/>
        <w:spacing w:before="198"/>
        <w:ind w:left="1711" w:right="1253" w:hanging="721"/>
        <w:jc w:val="both"/>
      </w:pPr>
      <w:r>
        <w:rPr/>
        <w:t>Bawa, J. A., Auta, T. &amp; Liadi, S. (2014). Prevalence of malaria: knowledge, attitude and cultural</w:t>
      </w:r>
      <w:r>
        <w:rPr>
          <w:spacing w:val="1"/>
        </w:rPr>
        <w:t> </w:t>
      </w:r>
      <w:r>
        <w:rPr/>
        <w:t>practices of pregnant women in Katsina metropolis, Nigeria. </w:t>
      </w:r>
      <w:r>
        <w:rPr>
          <w:i/>
        </w:rPr>
        <w:t>European Scientific Journal</w:t>
      </w:r>
      <w:r>
        <w:rPr/>
        <w:t>, 10,</w:t>
      </w:r>
      <w:r>
        <w:rPr>
          <w:spacing w:val="1"/>
        </w:rPr>
        <w:t> </w:t>
      </w:r>
      <w:r>
        <w:rPr/>
        <w:t>148-167.</w:t>
      </w:r>
    </w:p>
    <w:p>
      <w:pPr>
        <w:pStyle w:val="BodyText"/>
        <w:spacing w:before="199"/>
        <w:ind w:left="1711" w:right="1255" w:hanging="721"/>
        <w:jc w:val="both"/>
      </w:pPr>
      <w:r>
        <w:rPr/>
        <w:t>Beisel,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Umlauf,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Hutchinson,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Chandler,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simple</w:t>
      </w:r>
      <w:r>
        <w:rPr>
          <w:spacing w:val="-57"/>
        </w:rPr>
        <w:t> </w:t>
      </w:r>
      <w:r>
        <w:rPr/>
        <w:t>technologies: re-imaging the role of rapid diagnostic tests in malaria control efforts. </w:t>
      </w:r>
      <w:r>
        <w:rPr>
          <w:i/>
        </w:rPr>
        <w:t>Malaria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 15,</w:t>
      </w:r>
      <w:r>
        <w:rPr>
          <w:spacing w:val="-1"/>
        </w:rPr>
        <w:t> </w:t>
      </w:r>
      <w:r>
        <w:rPr/>
        <w:t>64.</w:t>
      </w:r>
    </w:p>
    <w:p>
      <w:pPr>
        <w:pStyle w:val="BodyText"/>
        <w:spacing w:line="276" w:lineRule="auto" w:before="202"/>
        <w:ind w:left="1711" w:right="1256" w:hanging="721"/>
        <w:jc w:val="both"/>
      </w:pPr>
      <w:r>
        <w:rPr/>
        <w:t>Bharti, A. R, Patra, K. P., Chuquiyauri, R., Kosek, M., Gilman, R. H. &amp; Llanos-Cuentas, A. (2007).</w:t>
      </w:r>
      <w:r>
        <w:rPr>
          <w:spacing w:val="1"/>
        </w:rPr>
        <w:t> </w:t>
      </w:r>
      <w:r>
        <w:rPr/>
        <w:t>Polymerase chain reaction detection of Plasmodium vivax and Plasmodium falciparum DNA</w:t>
      </w:r>
      <w:r>
        <w:rPr>
          <w:spacing w:val="1"/>
        </w:rPr>
        <w:t> </w:t>
      </w:r>
      <w:r>
        <w:rPr/>
        <w:t>from stored serum samples: implications for retrospective diagnosis of malaria. </w:t>
      </w:r>
      <w:r>
        <w:rPr>
          <w:i/>
        </w:rPr>
        <w:t>The 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tropical medicine</w:t>
      </w:r>
      <w:r>
        <w:rPr>
          <w:i/>
          <w:spacing w:val="-1"/>
        </w:rPr>
        <w:t> </w:t>
      </w:r>
      <w:r>
        <w:rPr>
          <w:i/>
        </w:rPr>
        <w:t>and hygiene</w:t>
      </w:r>
      <w:r>
        <w:rPr/>
        <w:t>, 77, 444-6.</w:t>
      </w:r>
    </w:p>
    <w:p>
      <w:pPr>
        <w:pStyle w:val="BodyText"/>
        <w:spacing w:line="276" w:lineRule="auto" w:before="202"/>
        <w:ind w:left="1711" w:right="1257" w:hanging="721"/>
        <w:jc w:val="both"/>
      </w:pPr>
      <w:r>
        <w:rPr/>
        <w:t>Bousema,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Okell,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Felger,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Drakeley,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Asymptomatic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infections:</w:t>
      </w:r>
      <w:r>
        <w:rPr>
          <w:spacing w:val="1"/>
        </w:rPr>
        <w:t> </w:t>
      </w:r>
      <w:r>
        <w:rPr/>
        <w:t>detectability, transmissibility and public health relevance. </w:t>
      </w:r>
      <w:r>
        <w:rPr>
          <w:i/>
        </w:rPr>
        <w:t>Nature reviews Microbiology</w:t>
      </w:r>
      <w:r>
        <w:rPr/>
        <w:t>, 12,</w:t>
      </w:r>
      <w:r>
        <w:rPr>
          <w:spacing w:val="1"/>
        </w:rPr>
        <w:t> </w:t>
      </w:r>
      <w:r>
        <w:rPr/>
        <w:t>833-40.</w:t>
      </w:r>
    </w:p>
    <w:p>
      <w:pPr>
        <w:spacing w:after="0" w:line="276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276" w:lineRule="auto" w:before="74"/>
        <w:ind w:left="1711" w:right="1255" w:hanging="721"/>
        <w:jc w:val="both"/>
      </w:pPr>
      <w:r>
        <w:rPr/>
        <w:t>Boyce,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R., Diana,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Elizabeth,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T., Jeremiah,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&amp; Wendy, P. O. (2018).</w:t>
      </w:r>
      <w:r>
        <w:rPr>
          <w:spacing w:val="60"/>
        </w:rPr>
        <w:t> </w:t>
      </w:r>
      <w:r>
        <w:rPr/>
        <w:t>Evaluation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 rapid diagnostic test used by community health workers: a longitudinal study in</w:t>
      </w:r>
      <w:r>
        <w:rPr>
          <w:spacing w:val="1"/>
        </w:rPr>
        <w:t> </w:t>
      </w:r>
      <w:r>
        <w:rPr/>
        <w:t>western</w:t>
      </w:r>
      <w:r>
        <w:rPr>
          <w:spacing w:val="-1"/>
        </w:rPr>
        <w:t> </w:t>
      </w:r>
      <w:r>
        <w:rPr/>
        <w:t>Kenya. </w:t>
      </w:r>
      <w:r>
        <w:rPr>
          <w:i/>
        </w:rPr>
        <w:t>Malaria</w:t>
      </w:r>
      <w:r>
        <w:rPr>
          <w:i/>
          <w:spacing w:val="2"/>
        </w:rPr>
        <w:t> </w:t>
      </w:r>
      <w:r>
        <w:rPr>
          <w:i/>
        </w:rPr>
        <w:t>Journal</w:t>
      </w:r>
      <w:r>
        <w:rPr/>
        <w:t>, 17, 206.</w:t>
      </w:r>
    </w:p>
    <w:p>
      <w:pPr>
        <w:pStyle w:val="BodyText"/>
        <w:spacing w:line="276" w:lineRule="auto" w:before="200"/>
        <w:ind w:left="1711" w:right="1254" w:hanging="721"/>
        <w:jc w:val="both"/>
      </w:pPr>
      <w:r>
        <w:rPr/>
        <w:t>CDC, (2006). Life cycle of malaria parasite. : </w:t>
      </w:r>
      <w:hyperlink r:id="rId7">
        <w:r>
          <w:rPr>
            <w:color w:val="0000FF"/>
            <w:u w:val="single" w:color="0000FF"/>
          </w:rPr>
          <w:t>https://www.cdc.gov/malaria/about/biology/</w:t>
        </w:r>
        <w:r>
          <w:rPr>
            <w:color w:val="0000FF"/>
          </w:rPr>
          <w:t> </w:t>
        </w:r>
      </w:hyperlink>
      <w:r>
        <w:rPr/>
        <w:t>Accessed</w:t>
      </w:r>
      <w:r>
        <w:rPr>
          <w:spacing w:val="1"/>
        </w:rPr>
        <w:t> </w:t>
      </w:r>
      <w:r>
        <w:rPr/>
        <w:t>23</w:t>
      </w:r>
      <w:r>
        <w:rPr>
          <w:spacing w:val="-1"/>
        </w:rPr>
        <w:t> </w:t>
      </w:r>
      <w:r>
        <w:rPr/>
        <w:t>march, 2020.</w:t>
      </w:r>
    </w:p>
    <w:p>
      <w:pPr>
        <w:pStyle w:val="BodyText"/>
        <w:spacing w:line="276" w:lineRule="auto" w:before="201"/>
        <w:ind w:left="1711" w:right="1259" w:hanging="721"/>
        <w:jc w:val="both"/>
      </w:pPr>
      <w:r>
        <w:rPr/>
        <w:t>Chattopadhyay, R., Majam, V. F. &amp; Kumar, S. (2001). Survival of Plasmodium falciparum in human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refrigeration.</w:t>
      </w:r>
      <w:r>
        <w:rPr>
          <w:spacing w:val="1"/>
        </w:rPr>
        <w:t> </w:t>
      </w:r>
      <w:r>
        <w:rPr>
          <w:i/>
        </w:rPr>
        <w:t>Transfusion</w:t>
      </w:r>
      <w:r>
        <w:rPr/>
        <w:t>, 51, 630–635.</w:t>
      </w:r>
    </w:p>
    <w:p>
      <w:pPr>
        <w:spacing w:line="242" w:lineRule="auto" w:before="198"/>
        <w:ind w:left="1711" w:right="1253" w:hanging="721"/>
        <w:jc w:val="both"/>
        <w:rPr>
          <w:sz w:val="24"/>
        </w:rPr>
      </w:pPr>
      <w:r>
        <w:rPr>
          <w:sz w:val="24"/>
        </w:rPr>
        <w:t>Cheesbrough, M. (2009). </w:t>
      </w:r>
      <w:r>
        <w:rPr>
          <w:i/>
          <w:sz w:val="24"/>
        </w:rPr>
        <w:t>District Laboratory Practice in Tropical Countries (Part 1)</w:t>
      </w:r>
      <w:r>
        <w:rPr>
          <w:sz w:val="24"/>
        </w:rPr>
        <w:t>. 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Press, UK. pp</w:t>
      </w:r>
      <w:r>
        <w:rPr>
          <w:spacing w:val="1"/>
          <w:sz w:val="24"/>
        </w:rPr>
        <w:t> </w:t>
      </w:r>
      <w:r>
        <w:rPr>
          <w:sz w:val="24"/>
        </w:rPr>
        <w:t>454.</w:t>
      </w:r>
    </w:p>
    <w:p>
      <w:pPr>
        <w:spacing w:before="197"/>
        <w:ind w:left="991" w:right="0" w:firstLine="0"/>
        <w:jc w:val="left"/>
        <w:rPr>
          <w:sz w:val="24"/>
        </w:rPr>
      </w:pPr>
      <w:r>
        <w:rPr>
          <w:sz w:val="24"/>
        </w:rPr>
        <w:t>Chukwuocha,</w:t>
      </w:r>
      <w:r>
        <w:rPr>
          <w:spacing w:val="-1"/>
          <w:sz w:val="24"/>
        </w:rPr>
        <w:t> </w:t>
      </w:r>
      <w:r>
        <w:rPr>
          <w:sz w:val="24"/>
        </w:rPr>
        <w:t>U.</w:t>
      </w:r>
      <w:r>
        <w:rPr>
          <w:spacing w:val="-1"/>
          <w:sz w:val="24"/>
        </w:rPr>
        <w:t> </w:t>
      </w:r>
      <w:r>
        <w:rPr>
          <w:sz w:val="24"/>
        </w:rPr>
        <w:t>M. (2012).</w:t>
      </w:r>
      <w:r>
        <w:rPr>
          <w:spacing w:val="-1"/>
          <w:sz w:val="24"/>
        </w:rPr>
        <w:t> </w:t>
      </w:r>
      <w:r>
        <w:rPr>
          <w:sz w:val="24"/>
        </w:rPr>
        <w:t>Malaria</w:t>
      </w:r>
      <w:r>
        <w:rPr>
          <w:spacing w:val="-1"/>
          <w:sz w:val="24"/>
        </w:rPr>
        <w:t> </w:t>
      </w:r>
      <w:r>
        <w:rPr>
          <w:sz w:val="24"/>
        </w:rPr>
        <w:t>Control in</w:t>
      </w:r>
      <w:r>
        <w:rPr>
          <w:spacing w:val="-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 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Care</w:t>
      </w:r>
      <w:r>
        <w:rPr>
          <w:sz w:val="24"/>
        </w:rPr>
        <w:t>, 2,</w:t>
      </w:r>
      <w:r>
        <w:rPr>
          <w:spacing w:val="-1"/>
          <w:sz w:val="24"/>
        </w:rPr>
        <w:t> </w:t>
      </w:r>
      <w:r>
        <w:rPr>
          <w:sz w:val="24"/>
        </w:rPr>
        <w:t>118.</w:t>
      </w:r>
    </w:p>
    <w:p>
      <w:pPr>
        <w:pStyle w:val="BodyText"/>
        <w:spacing w:line="242" w:lineRule="auto" w:before="196"/>
        <w:ind w:left="1711" w:right="1257" w:hanging="721"/>
        <w:jc w:val="both"/>
      </w:pPr>
      <w:r>
        <w:rPr/>
        <w:t>Coll, O., Menendez, C., Bofet, F., Greenough, A., Gibes, R.S. &amp; Ville, Y. (2008). Treatment and</w:t>
      </w:r>
      <w:r>
        <w:rPr>
          <w:spacing w:val="1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</w:t>
      </w:r>
      <w:r>
        <w:rPr>
          <w:spacing w:val="-2"/>
        </w:rPr>
        <w:t> </w:t>
      </w:r>
      <w:r>
        <w:rPr/>
        <w:t>in Pregnancy</w:t>
      </w:r>
      <w:r>
        <w:rPr>
          <w:spacing w:val="-6"/>
        </w:rPr>
        <w:t> </w:t>
      </w:r>
      <w:r>
        <w:rPr/>
        <w:t>and Newborn.</w:t>
      </w:r>
      <w:r>
        <w:rPr>
          <w:spacing w:val="3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Perinata Medicine</w:t>
      </w:r>
      <w:r>
        <w:rPr/>
        <w:t>, 36,</w:t>
      </w:r>
      <w:r>
        <w:rPr>
          <w:spacing w:val="-1"/>
        </w:rPr>
        <w:t> </w:t>
      </w:r>
      <w:r>
        <w:rPr/>
        <w:t>15-29.</w:t>
      </w:r>
    </w:p>
    <w:p>
      <w:pPr>
        <w:spacing w:line="276" w:lineRule="auto" w:before="199"/>
        <w:ind w:left="1711" w:right="1254" w:hanging="721"/>
        <w:jc w:val="both"/>
        <w:rPr>
          <w:sz w:val="24"/>
        </w:rPr>
      </w:pPr>
      <w:r>
        <w:rPr>
          <w:sz w:val="24"/>
        </w:rPr>
        <w:t>Cordray, M. S. &amp; Richards-Kortum, R. R. (2012). Emerging nucleic acid-based tests for point-of-care</w:t>
      </w:r>
      <w:r>
        <w:rPr>
          <w:spacing w:val="-57"/>
          <w:sz w:val="24"/>
        </w:rPr>
        <w:t> </w:t>
      </w:r>
      <w:r>
        <w:rPr>
          <w:sz w:val="24"/>
        </w:rPr>
        <w:t>detection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malaria. </w:t>
      </w:r>
      <w:r>
        <w:rPr>
          <w:i/>
          <w:sz w:val="24"/>
        </w:rPr>
        <w:t>The American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Tropical 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Hygiene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87,</w:t>
      </w:r>
      <w:r>
        <w:rPr>
          <w:spacing w:val="-1"/>
          <w:sz w:val="24"/>
        </w:rPr>
        <w:t> </w:t>
      </w:r>
      <w:r>
        <w:rPr>
          <w:sz w:val="24"/>
        </w:rPr>
        <w:t>223-30.</w:t>
      </w:r>
    </w:p>
    <w:p>
      <w:pPr>
        <w:pStyle w:val="BodyText"/>
        <w:spacing w:before="198"/>
        <w:ind w:left="991"/>
        <w:rPr>
          <w:i/>
        </w:rPr>
      </w:pPr>
      <w:r>
        <w:rPr/>
        <w:t>Cowman,</w:t>
      </w:r>
      <w:r>
        <w:rPr>
          <w:spacing w:val="15"/>
        </w:rPr>
        <w:t> </w:t>
      </w:r>
      <w:r>
        <w:rPr/>
        <w:t>A.</w:t>
      </w:r>
      <w:r>
        <w:rPr>
          <w:spacing w:val="15"/>
        </w:rPr>
        <w:t> </w:t>
      </w:r>
      <w:r>
        <w:rPr/>
        <w:t>F.,</w:t>
      </w:r>
      <w:r>
        <w:rPr>
          <w:spacing w:val="17"/>
        </w:rPr>
        <w:t> </w:t>
      </w:r>
      <w:r>
        <w:rPr/>
        <w:t>Healer,</w:t>
      </w:r>
      <w:r>
        <w:rPr>
          <w:spacing w:val="19"/>
        </w:rPr>
        <w:t> </w:t>
      </w:r>
      <w:r>
        <w:rPr/>
        <w:t>J.,</w:t>
      </w:r>
      <w:r>
        <w:rPr>
          <w:spacing w:val="15"/>
        </w:rPr>
        <w:t> </w:t>
      </w:r>
      <w:r>
        <w:rPr/>
        <w:t>Marapana,</w:t>
      </w:r>
      <w:r>
        <w:rPr>
          <w:spacing w:val="15"/>
        </w:rPr>
        <w:t> </w:t>
      </w:r>
      <w:r>
        <w:rPr/>
        <w:t>D.</w:t>
      </w:r>
      <w:r>
        <w:rPr>
          <w:spacing w:val="21"/>
        </w:rPr>
        <w:t> </w:t>
      </w:r>
      <w:r>
        <w:rPr/>
        <w:t>&amp;</w:t>
      </w:r>
      <w:r>
        <w:rPr>
          <w:spacing w:val="14"/>
        </w:rPr>
        <w:t> </w:t>
      </w:r>
      <w:r>
        <w:rPr/>
        <w:t>Marsh,</w:t>
      </w:r>
      <w:r>
        <w:rPr>
          <w:spacing w:val="15"/>
        </w:rPr>
        <w:t> </w:t>
      </w:r>
      <w:r>
        <w:rPr/>
        <w:t>K.</w:t>
      </w:r>
      <w:r>
        <w:rPr>
          <w:spacing w:val="16"/>
        </w:rPr>
        <w:t> </w:t>
      </w:r>
      <w:r>
        <w:rPr/>
        <w:t>(2016).</w:t>
      </w:r>
      <w:r>
        <w:rPr>
          <w:spacing w:val="35"/>
        </w:rPr>
        <w:t> </w:t>
      </w:r>
      <w:r>
        <w:rPr/>
        <w:t>Malaria:</w:t>
      </w:r>
      <w:r>
        <w:rPr>
          <w:spacing w:val="18"/>
        </w:rPr>
        <w:t> </w:t>
      </w:r>
      <w:r>
        <w:rPr/>
        <w:t>Biology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Disease.</w:t>
      </w:r>
      <w:r>
        <w:rPr>
          <w:spacing w:val="18"/>
        </w:rPr>
        <w:t> </w:t>
      </w:r>
      <w:r>
        <w:rPr>
          <w:i/>
        </w:rPr>
        <w:t>Cell,</w:t>
      </w:r>
    </w:p>
    <w:p>
      <w:pPr>
        <w:pStyle w:val="BodyText"/>
        <w:spacing w:before="43"/>
        <w:ind w:left="1711"/>
      </w:pPr>
      <w:r>
        <w:rPr/>
        <w:t>167,</w:t>
      </w:r>
      <w:r>
        <w:rPr>
          <w:spacing w:val="-1"/>
        </w:rPr>
        <w:t> </w:t>
      </w:r>
      <w:r>
        <w:rPr/>
        <w:t>610-24.</w:t>
      </w:r>
    </w:p>
    <w:p>
      <w:pPr>
        <w:spacing w:line="480" w:lineRule="atLeast" w:before="36"/>
        <w:ind w:left="991" w:right="1251" w:firstLine="0"/>
        <w:jc w:val="left"/>
        <w:rPr>
          <w:sz w:val="24"/>
        </w:rPr>
      </w:pPr>
      <w:r>
        <w:rPr>
          <w:sz w:val="24"/>
        </w:rPr>
        <w:t>Cox, F. E. G. (2002). History of Human Parasitology. </w:t>
      </w:r>
      <w:r>
        <w:rPr>
          <w:i/>
          <w:sz w:val="24"/>
        </w:rPr>
        <w:t>Clinical Microbiology Reviews</w:t>
      </w:r>
      <w:r>
        <w:rPr>
          <w:sz w:val="24"/>
        </w:rPr>
        <w:t>, 15, 595–612.</w:t>
      </w:r>
      <w:r>
        <w:rPr>
          <w:spacing w:val="1"/>
          <w:sz w:val="24"/>
        </w:rPr>
        <w:t> </w:t>
      </w:r>
      <w:r>
        <w:rPr>
          <w:sz w:val="24"/>
        </w:rPr>
        <w:t>Crawley,</w:t>
      </w:r>
      <w:r>
        <w:rPr>
          <w:spacing w:val="8"/>
          <w:sz w:val="24"/>
        </w:rPr>
        <w:t> </w:t>
      </w:r>
      <w:r>
        <w:rPr>
          <w:sz w:val="24"/>
        </w:rPr>
        <w:t>J,</w:t>
      </w:r>
      <w:r>
        <w:rPr>
          <w:spacing w:val="8"/>
          <w:sz w:val="24"/>
        </w:rPr>
        <w:t> </w:t>
      </w:r>
      <w:r>
        <w:rPr>
          <w:sz w:val="24"/>
        </w:rPr>
        <w:t>Chu,</w:t>
      </w:r>
      <w:r>
        <w:rPr>
          <w:spacing w:val="8"/>
          <w:sz w:val="24"/>
        </w:rPr>
        <w:t> </w:t>
      </w:r>
      <w:r>
        <w:rPr>
          <w:sz w:val="24"/>
        </w:rPr>
        <w:t>C.,</w:t>
      </w:r>
      <w:r>
        <w:rPr>
          <w:spacing w:val="8"/>
          <w:sz w:val="24"/>
        </w:rPr>
        <w:t> </w:t>
      </w:r>
      <w:r>
        <w:rPr>
          <w:sz w:val="24"/>
        </w:rPr>
        <w:t>Mtove,</w:t>
      </w:r>
      <w:r>
        <w:rPr>
          <w:spacing w:val="8"/>
          <w:sz w:val="24"/>
        </w:rPr>
        <w:t> </w:t>
      </w:r>
      <w:r>
        <w:rPr>
          <w:sz w:val="24"/>
        </w:rPr>
        <w:t>G.</w:t>
      </w:r>
      <w:r>
        <w:rPr>
          <w:spacing w:val="7"/>
          <w:sz w:val="24"/>
        </w:rPr>
        <w:t> </w:t>
      </w:r>
      <w:r>
        <w:rPr>
          <w:sz w:val="24"/>
        </w:rPr>
        <w:t>&amp;</w:t>
      </w:r>
      <w:r>
        <w:rPr>
          <w:spacing w:val="11"/>
          <w:sz w:val="24"/>
        </w:rPr>
        <w:t> </w:t>
      </w:r>
      <w:r>
        <w:rPr>
          <w:sz w:val="24"/>
        </w:rPr>
        <w:t>Nosten,</w:t>
      </w:r>
      <w:r>
        <w:rPr>
          <w:spacing w:val="9"/>
          <w:sz w:val="24"/>
        </w:rPr>
        <w:t> </w:t>
      </w:r>
      <w:r>
        <w:rPr>
          <w:sz w:val="24"/>
        </w:rPr>
        <w:t>F.</w:t>
      </w:r>
      <w:r>
        <w:rPr>
          <w:spacing w:val="11"/>
          <w:sz w:val="24"/>
        </w:rPr>
        <w:t> </w:t>
      </w:r>
      <w:r>
        <w:rPr>
          <w:sz w:val="24"/>
        </w:rPr>
        <w:t>(2010).</w:t>
      </w:r>
      <w:r>
        <w:rPr>
          <w:spacing w:val="8"/>
          <w:sz w:val="24"/>
        </w:rPr>
        <w:t> </w:t>
      </w:r>
      <w:r>
        <w:rPr>
          <w:sz w:val="24"/>
        </w:rPr>
        <w:t>Malaria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children.</w:t>
      </w:r>
      <w:r>
        <w:rPr>
          <w:spacing w:val="10"/>
          <w:sz w:val="24"/>
        </w:rPr>
        <w:t> </w:t>
      </w:r>
      <w:r>
        <w:rPr>
          <w:i/>
          <w:sz w:val="24"/>
        </w:rPr>
        <w:t>Lancet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(London,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England)</w:t>
      </w:r>
      <w:r>
        <w:rPr>
          <w:sz w:val="24"/>
        </w:rPr>
        <w:t>,</w:t>
      </w:r>
    </w:p>
    <w:p>
      <w:pPr>
        <w:pStyle w:val="BodyText"/>
        <w:spacing w:before="39"/>
        <w:ind w:left="1711"/>
      </w:pPr>
      <w:r>
        <w:rPr/>
        <w:t>375,</w:t>
      </w:r>
      <w:r>
        <w:rPr>
          <w:spacing w:val="-1"/>
        </w:rPr>
        <w:t> </w:t>
      </w:r>
      <w:r>
        <w:rPr/>
        <w:t>1468-1481.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1263"/>
        <w:jc w:val="right"/>
      </w:pPr>
      <w:r>
        <w:rPr/>
        <w:t>Crompton,</w:t>
      </w:r>
      <w:r>
        <w:rPr>
          <w:spacing w:val="13"/>
        </w:rPr>
        <w:t> </w:t>
      </w:r>
      <w:r>
        <w:rPr/>
        <w:t>P.D.,</w:t>
      </w:r>
      <w:r>
        <w:rPr>
          <w:spacing w:val="14"/>
        </w:rPr>
        <w:t> </w:t>
      </w:r>
      <w:r>
        <w:rPr/>
        <w:t>Kayla,</w:t>
      </w:r>
      <w:r>
        <w:rPr>
          <w:spacing w:val="15"/>
        </w:rPr>
        <w:t> </w:t>
      </w:r>
      <w:r>
        <w:rPr/>
        <w:t>M.</w:t>
      </w:r>
      <w:r>
        <w:rPr>
          <w:spacing w:val="13"/>
        </w:rPr>
        <w:t> </w:t>
      </w:r>
      <w:r>
        <w:rPr/>
        <w:t>A.,</w:t>
      </w:r>
      <w:r>
        <w:rPr>
          <w:spacing w:val="12"/>
        </w:rPr>
        <w:t> </w:t>
      </w:r>
      <w:r>
        <w:rPr/>
        <w:t>Traore,</w:t>
      </w:r>
      <w:r>
        <w:rPr>
          <w:spacing w:val="13"/>
        </w:rPr>
        <w:t> </w:t>
      </w:r>
      <w:r>
        <w:rPr/>
        <w:t>B.,</w:t>
      </w:r>
      <w:r>
        <w:rPr>
          <w:spacing w:val="16"/>
        </w:rPr>
        <w:t> </w:t>
      </w:r>
      <w:r>
        <w:rPr/>
        <w:t>Kayentao,</w:t>
      </w:r>
      <w:r>
        <w:rPr>
          <w:spacing w:val="12"/>
        </w:rPr>
        <w:t> </w:t>
      </w:r>
      <w:r>
        <w:rPr/>
        <w:t>K.,</w:t>
      </w:r>
      <w:r>
        <w:rPr>
          <w:spacing w:val="12"/>
        </w:rPr>
        <w:t> </w:t>
      </w:r>
      <w:r>
        <w:rPr/>
        <w:t>Ongoiba,</w:t>
      </w:r>
      <w:r>
        <w:rPr>
          <w:spacing w:val="12"/>
        </w:rPr>
        <w:t> </w:t>
      </w:r>
      <w:r>
        <w:rPr/>
        <w:t>A.,</w:t>
      </w:r>
      <w:r>
        <w:rPr>
          <w:spacing w:val="15"/>
        </w:rPr>
        <w:t> </w:t>
      </w:r>
      <w:r>
        <w:rPr/>
        <w:t>Weiss,</w:t>
      </w:r>
      <w:r>
        <w:rPr>
          <w:spacing w:val="13"/>
        </w:rPr>
        <w:t> </w:t>
      </w:r>
      <w:r>
        <w:rPr/>
        <w:t>G.</w:t>
      </w:r>
      <w:r>
        <w:rPr>
          <w:spacing w:val="12"/>
        </w:rPr>
        <w:t> </w:t>
      </w:r>
      <w:r>
        <w:rPr/>
        <w:t>E.,</w:t>
      </w:r>
      <w:r>
        <w:rPr>
          <w:spacing w:val="13"/>
        </w:rPr>
        <w:t> </w:t>
      </w:r>
      <w:r>
        <w:rPr/>
        <w:t>Molina,</w:t>
      </w:r>
      <w:r>
        <w:rPr>
          <w:spacing w:val="13"/>
        </w:rPr>
        <w:t> </w:t>
      </w:r>
      <w:r>
        <w:rPr/>
        <w:t>D.</w:t>
      </w:r>
      <w:r>
        <w:rPr>
          <w:spacing w:val="12"/>
        </w:rPr>
        <w:t> </w:t>
      </w:r>
      <w:r>
        <w:rPr/>
        <w:t>M.,</w:t>
      </w:r>
    </w:p>
    <w:p>
      <w:pPr>
        <w:pStyle w:val="BodyText"/>
        <w:spacing w:before="43"/>
        <w:ind w:right="1263"/>
        <w:jc w:val="right"/>
      </w:pPr>
      <w:r>
        <w:rPr/>
        <w:t>Burk,</w:t>
      </w:r>
      <w:r>
        <w:rPr>
          <w:spacing w:val="36"/>
        </w:rPr>
        <w:t> </w:t>
      </w:r>
      <w:r>
        <w:rPr/>
        <w:t>C.</w:t>
      </w:r>
      <w:r>
        <w:rPr>
          <w:spacing w:val="37"/>
        </w:rPr>
        <w:t> </w:t>
      </w:r>
      <w:r>
        <w:rPr/>
        <w:t>R.,</w:t>
      </w:r>
      <w:r>
        <w:rPr>
          <w:spacing w:val="38"/>
        </w:rPr>
        <w:t> </w:t>
      </w:r>
      <w:r>
        <w:rPr/>
        <w:t>Waisberg,</w:t>
      </w:r>
      <w:r>
        <w:rPr>
          <w:spacing w:val="39"/>
        </w:rPr>
        <w:t> </w:t>
      </w:r>
      <w:r>
        <w:rPr/>
        <w:t>M.,</w:t>
      </w:r>
      <w:r>
        <w:rPr>
          <w:spacing w:val="37"/>
        </w:rPr>
        <w:t> </w:t>
      </w:r>
      <w:r>
        <w:rPr/>
        <w:t>Jasinskas,</w:t>
      </w:r>
      <w:r>
        <w:rPr>
          <w:spacing w:val="37"/>
        </w:rPr>
        <w:t> </w:t>
      </w:r>
      <w:r>
        <w:rPr/>
        <w:t>A.,</w:t>
      </w:r>
      <w:r>
        <w:rPr>
          <w:spacing w:val="37"/>
        </w:rPr>
        <w:t> </w:t>
      </w:r>
      <w:r>
        <w:rPr/>
        <w:t>Tan,</w:t>
      </w:r>
      <w:r>
        <w:rPr>
          <w:spacing w:val="39"/>
        </w:rPr>
        <w:t> </w:t>
      </w:r>
      <w:r>
        <w:rPr/>
        <w:t>X.,</w:t>
      </w:r>
      <w:r>
        <w:rPr>
          <w:spacing w:val="36"/>
        </w:rPr>
        <w:t> </w:t>
      </w:r>
      <w:r>
        <w:rPr/>
        <w:t>Doumbo,</w:t>
      </w:r>
      <w:r>
        <w:rPr>
          <w:spacing w:val="38"/>
        </w:rPr>
        <w:t> </w:t>
      </w:r>
      <w:r>
        <w:rPr/>
        <w:t>S.,</w:t>
      </w:r>
      <w:r>
        <w:rPr>
          <w:spacing w:val="37"/>
        </w:rPr>
        <w:t> </w:t>
      </w:r>
      <w:r>
        <w:rPr/>
        <w:t>Doumtabe,</w:t>
      </w:r>
      <w:r>
        <w:rPr>
          <w:spacing w:val="37"/>
        </w:rPr>
        <w:t> </w:t>
      </w:r>
      <w:r>
        <w:rPr/>
        <w:t>D.,</w:t>
      </w:r>
      <w:r>
        <w:rPr>
          <w:spacing w:val="40"/>
        </w:rPr>
        <w:t> </w:t>
      </w:r>
      <w:r>
        <w:rPr/>
        <w:t>Kone,</w:t>
      </w:r>
      <w:r>
        <w:rPr>
          <w:spacing w:val="37"/>
        </w:rPr>
        <w:t> </w:t>
      </w:r>
      <w:r>
        <w:rPr/>
        <w:t>Y.,</w:t>
      </w:r>
    </w:p>
    <w:p>
      <w:pPr>
        <w:pStyle w:val="BodyText"/>
        <w:spacing w:before="41"/>
        <w:ind w:right="1254"/>
        <w:jc w:val="right"/>
      </w:pPr>
      <w:r>
        <w:rPr/>
        <w:t>Narum,</w:t>
      </w:r>
      <w:r>
        <w:rPr>
          <w:spacing w:val="12"/>
        </w:rPr>
        <w:t> </w:t>
      </w:r>
      <w:r>
        <w:rPr/>
        <w:t>D.</w:t>
      </w:r>
      <w:r>
        <w:rPr>
          <w:spacing w:val="17"/>
        </w:rPr>
        <w:t> </w:t>
      </w:r>
      <w:r>
        <w:rPr/>
        <w:t>L.,</w:t>
      </w:r>
      <w:r>
        <w:rPr>
          <w:spacing w:val="15"/>
        </w:rPr>
        <w:t> </w:t>
      </w:r>
      <w:r>
        <w:rPr/>
        <w:t>Liang,</w:t>
      </w:r>
      <w:r>
        <w:rPr>
          <w:spacing w:val="15"/>
        </w:rPr>
        <w:t> </w:t>
      </w:r>
      <w:r>
        <w:rPr/>
        <w:t>X.,</w:t>
      </w:r>
      <w:r>
        <w:rPr>
          <w:spacing w:val="14"/>
        </w:rPr>
        <w:t> </w:t>
      </w:r>
      <w:r>
        <w:rPr/>
        <w:t>Doumbo,</w:t>
      </w:r>
      <w:r>
        <w:rPr>
          <w:spacing w:val="13"/>
        </w:rPr>
        <w:t> </w:t>
      </w:r>
      <w:r>
        <w:rPr/>
        <w:t>O.</w:t>
      </w:r>
      <w:r>
        <w:rPr>
          <w:spacing w:val="13"/>
        </w:rPr>
        <w:t> </w:t>
      </w:r>
      <w:r>
        <w:rPr/>
        <w:t>K.,</w:t>
      </w:r>
      <w:r>
        <w:rPr>
          <w:spacing w:val="14"/>
        </w:rPr>
        <w:t> </w:t>
      </w:r>
      <w:r>
        <w:rPr/>
        <w:t>Miller,</w:t>
      </w:r>
      <w:r>
        <w:rPr>
          <w:spacing w:val="17"/>
        </w:rPr>
        <w:t> </w:t>
      </w:r>
      <w:r>
        <w:rPr/>
        <w:t>L.</w:t>
      </w:r>
      <w:r>
        <w:rPr>
          <w:spacing w:val="15"/>
        </w:rPr>
        <w:t> </w:t>
      </w:r>
      <w:r>
        <w:rPr/>
        <w:t>H.,</w:t>
      </w:r>
      <w:r>
        <w:rPr>
          <w:spacing w:val="12"/>
        </w:rPr>
        <w:t> </w:t>
      </w:r>
      <w:r>
        <w:rPr/>
        <w:t>Doolan,</w:t>
      </w:r>
      <w:r>
        <w:rPr>
          <w:spacing w:val="13"/>
        </w:rPr>
        <w:t> </w:t>
      </w:r>
      <w:r>
        <w:rPr/>
        <w:t>D.</w:t>
      </w:r>
      <w:r>
        <w:rPr>
          <w:spacing w:val="17"/>
        </w:rPr>
        <w:t> </w:t>
      </w:r>
      <w:r>
        <w:rPr/>
        <w:t>L.,</w:t>
      </w:r>
      <w:r>
        <w:rPr>
          <w:spacing w:val="16"/>
        </w:rPr>
        <w:t> </w:t>
      </w:r>
      <w:r>
        <w:rPr/>
        <w:t>Baldi,</w:t>
      </w:r>
      <w:r>
        <w:rPr>
          <w:spacing w:val="13"/>
        </w:rPr>
        <w:t> </w:t>
      </w:r>
      <w:r>
        <w:rPr/>
        <w:t>P.,</w:t>
      </w:r>
      <w:r>
        <w:rPr>
          <w:spacing w:val="13"/>
        </w:rPr>
        <w:t> </w:t>
      </w:r>
      <w:r>
        <w:rPr/>
        <w:t>Felhner,</w:t>
      </w:r>
      <w:r>
        <w:rPr>
          <w:spacing w:val="12"/>
        </w:rPr>
        <w:t> </w:t>
      </w:r>
      <w:r>
        <w:rPr/>
        <w:t>P.</w:t>
      </w:r>
    </w:p>
    <w:p>
      <w:pPr>
        <w:spacing w:line="276" w:lineRule="auto" w:before="41"/>
        <w:ind w:left="1711" w:right="1253" w:firstLine="0"/>
        <w:jc w:val="both"/>
        <w:rPr>
          <w:sz w:val="24"/>
        </w:rPr>
      </w:pP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Pierce,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prospective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falciparum</w:t>
      </w:r>
      <w:r>
        <w:rPr>
          <w:i/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season</w:t>
      </w:r>
      <w:r>
        <w:rPr>
          <w:spacing w:val="1"/>
          <w:sz w:val="24"/>
        </w:rPr>
        <w:t> </w:t>
      </w:r>
      <w:r>
        <w:rPr>
          <w:sz w:val="24"/>
        </w:rPr>
        <w:t>by protein</w:t>
      </w:r>
      <w:r>
        <w:rPr>
          <w:spacing w:val="1"/>
          <w:sz w:val="24"/>
        </w:rPr>
        <w:t> </w:t>
      </w:r>
      <w:r>
        <w:rPr>
          <w:sz w:val="24"/>
        </w:rPr>
        <w:t>microarray.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Sciences U S A</w:t>
      </w:r>
      <w:r>
        <w:rPr>
          <w:sz w:val="24"/>
        </w:rPr>
        <w:t>, 107, 6958-6963.</w:t>
      </w:r>
    </w:p>
    <w:p>
      <w:pPr>
        <w:spacing w:before="197"/>
        <w:ind w:left="991" w:right="0" w:firstLine="0"/>
        <w:jc w:val="left"/>
        <w:rPr>
          <w:i/>
          <w:sz w:val="24"/>
        </w:rPr>
      </w:pPr>
      <w:r>
        <w:rPr>
          <w:sz w:val="24"/>
        </w:rPr>
        <w:t>Cserti,</w:t>
      </w:r>
      <w:r>
        <w:rPr>
          <w:spacing w:val="39"/>
          <w:sz w:val="24"/>
        </w:rPr>
        <w:t> </w:t>
      </w:r>
      <w:r>
        <w:rPr>
          <w:sz w:val="24"/>
        </w:rPr>
        <w:t>C.</w:t>
      </w:r>
      <w:r>
        <w:rPr>
          <w:spacing w:val="39"/>
          <w:sz w:val="24"/>
        </w:rPr>
        <w:t> </w:t>
      </w:r>
      <w:r>
        <w:rPr>
          <w:sz w:val="24"/>
        </w:rPr>
        <w:t>M.</w:t>
      </w:r>
      <w:r>
        <w:rPr>
          <w:spacing w:val="37"/>
          <w:sz w:val="24"/>
        </w:rPr>
        <w:t> </w:t>
      </w:r>
      <w:r>
        <w:rPr>
          <w:sz w:val="24"/>
        </w:rPr>
        <w:t>&amp;</w:t>
      </w:r>
      <w:r>
        <w:rPr>
          <w:spacing w:val="38"/>
          <w:sz w:val="24"/>
        </w:rPr>
        <w:t> </w:t>
      </w:r>
      <w:r>
        <w:rPr>
          <w:sz w:val="24"/>
        </w:rPr>
        <w:t>Dzik,</w:t>
      </w:r>
      <w:r>
        <w:rPr>
          <w:spacing w:val="37"/>
          <w:sz w:val="24"/>
        </w:rPr>
        <w:t> </w:t>
      </w:r>
      <w:r>
        <w:rPr>
          <w:sz w:val="24"/>
        </w:rPr>
        <w:t>W.</w:t>
      </w:r>
      <w:r>
        <w:rPr>
          <w:spacing w:val="42"/>
          <w:sz w:val="24"/>
        </w:rPr>
        <w:t> </w:t>
      </w:r>
      <w:r>
        <w:rPr>
          <w:sz w:val="24"/>
        </w:rPr>
        <w:t>H.</w:t>
      </w:r>
      <w:r>
        <w:rPr>
          <w:spacing w:val="40"/>
          <w:sz w:val="24"/>
        </w:rPr>
        <w:t> </w:t>
      </w:r>
      <w:r>
        <w:rPr>
          <w:sz w:val="24"/>
        </w:rPr>
        <w:t>(2007).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ABO</w:t>
      </w:r>
      <w:r>
        <w:rPr>
          <w:spacing w:val="39"/>
          <w:sz w:val="24"/>
        </w:rPr>
        <w:t> </w:t>
      </w:r>
      <w:r>
        <w:rPr>
          <w:sz w:val="24"/>
        </w:rPr>
        <w:t>blood</w:t>
      </w:r>
      <w:r>
        <w:rPr>
          <w:spacing w:val="41"/>
          <w:sz w:val="24"/>
        </w:rPr>
        <w:t> </w:t>
      </w:r>
      <w:r>
        <w:rPr>
          <w:sz w:val="24"/>
        </w:rPr>
        <w:t>group</w:t>
      </w:r>
      <w:r>
        <w:rPr>
          <w:spacing w:val="38"/>
          <w:sz w:val="24"/>
        </w:rPr>
        <w:t> </w:t>
      </w:r>
      <w:r>
        <w:rPr>
          <w:sz w:val="24"/>
        </w:rPr>
        <w:t>system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falciparum</w:t>
      </w:r>
    </w:p>
    <w:p>
      <w:pPr>
        <w:spacing w:before="3"/>
        <w:ind w:left="1711" w:right="0" w:firstLine="0"/>
        <w:jc w:val="left"/>
        <w:rPr>
          <w:sz w:val="24"/>
        </w:rPr>
      </w:pPr>
      <w:r>
        <w:rPr>
          <w:sz w:val="24"/>
        </w:rPr>
        <w:t>malaria.</w:t>
      </w:r>
      <w:r>
        <w:rPr>
          <w:spacing w:val="-1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110, 2250-2258.</w:t>
      </w:r>
    </w:p>
    <w:p>
      <w:pPr>
        <w:spacing w:line="242" w:lineRule="auto" w:before="197"/>
        <w:ind w:left="1711" w:right="1251" w:hanging="721"/>
        <w:jc w:val="both"/>
        <w:rPr>
          <w:sz w:val="24"/>
        </w:rPr>
      </w:pPr>
      <w:r>
        <w:rPr>
          <w:sz w:val="24"/>
        </w:rPr>
        <w:t>Daniels,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molecular</w:t>
      </w:r>
      <w:r>
        <w:rPr>
          <w:spacing w:val="1"/>
          <w:sz w:val="24"/>
        </w:rPr>
        <w:t> </w:t>
      </w:r>
      <w:r>
        <w:rPr>
          <w:sz w:val="24"/>
        </w:rPr>
        <w:t>genetics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polymorphism.</w:t>
      </w:r>
      <w:r>
        <w:rPr>
          <w:spacing w:val="6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Transplantation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Immunology</w:t>
      </w:r>
      <w:r>
        <w:rPr>
          <w:sz w:val="24"/>
        </w:rPr>
        <w:t>, 14, 143-153.</w:t>
      </w:r>
    </w:p>
    <w:p>
      <w:pPr>
        <w:pStyle w:val="BodyText"/>
        <w:spacing w:line="279" w:lineRule="exact" w:before="200"/>
        <w:ind w:left="991"/>
        <w:jc w:val="both"/>
      </w:pPr>
      <w:r>
        <w:rPr/>
        <w:t>Dawaki</w:t>
      </w:r>
      <w:r>
        <w:rPr>
          <w:spacing w:val="10"/>
        </w:rPr>
        <w:t> </w:t>
      </w:r>
      <w:r>
        <w:rPr/>
        <w:t>S.,</w:t>
      </w:r>
      <w:r>
        <w:rPr>
          <w:spacing w:val="9"/>
        </w:rPr>
        <w:t> </w:t>
      </w:r>
      <w:r>
        <w:rPr/>
        <w:t>Hesham</w:t>
      </w:r>
      <w:r>
        <w:rPr>
          <w:spacing w:val="11"/>
        </w:rPr>
        <w:t> </w:t>
      </w:r>
      <w:r>
        <w:rPr/>
        <w:t>M.,</w:t>
      </w:r>
      <w:r>
        <w:rPr>
          <w:spacing w:val="7"/>
        </w:rPr>
        <w:t> </w:t>
      </w:r>
      <w:r>
        <w:rPr/>
        <w:t>Al</w:t>
      </w:r>
      <w:r>
        <w:rPr>
          <w:rFonts w:ascii="Cambria Math" w:hAnsi="Cambria Math"/>
        </w:rPr>
        <w:t>‑</w:t>
      </w:r>
      <w:r>
        <w:rPr/>
        <w:t>Mekhlafi,</w:t>
      </w:r>
      <w:r>
        <w:rPr>
          <w:spacing w:val="13"/>
        </w:rPr>
        <w:t> </w:t>
      </w:r>
      <w:r>
        <w:rPr/>
        <w:t>Init</w:t>
      </w:r>
      <w:r>
        <w:rPr>
          <w:spacing w:val="12"/>
        </w:rPr>
        <w:t> </w:t>
      </w:r>
      <w:r>
        <w:rPr/>
        <w:t>I.,</w:t>
      </w:r>
      <w:r>
        <w:rPr>
          <w:spacing w:val="10"/>
        </w:rPr>
        <w:t> </w:t>
      </w:r>
      <w:r>
        <w:rPr/>
        <w:t>Jamaiah</w:t>
      </w:r>
      <w:r>
        <w:rPr>
          <w:spacing w:val="12"/>
        </w:rPr>
        <w:t> </w:t>
      </w:r>
      <w:r>
        <w:rPr/>
        <w:t>I.,</w:t>
      </w:r>
      <w:r>
        <w:rPr>
          <w:spacing w:val="10"/>
        </w:rPr>
        <w:t> </w:t>
      </w:r>
      <w:r>
        <w:rPr/>
        <w:t>Wahib</w:t>
      </w:r>
      <w:r>
        <w:rPr>
          <w:spacing w:val="10"/>
        </w:rPr>
        <w:t> </w:t>
      </w:r>
      <w:r>
        <w:rPr/>
        <w:t>M.</w:t>
      </w:r>
      <w:r>
        <w:rPr>
          <w:spacing w:val="11"/>
        </w:rPr>
        <w:t> </w:t>
      </w:r>
      <w:r>
        <w:rPr/>
        <w:t>A.,</w:t>
      </w:r>
      <w:r>
        <w:rPr>
          <w:spacing w:val="9"/>
        </w:rPr>
        <w:t> </w:t>
      </w:r>
      <w:r>
        <w:rPr/>
        <w:t>Awatif</w:t>
      </w:r>
      <w:r>
        <w:rPr>
          <w:spacing w:val="9"/>
        </w:rPr>
        <w:t> </w:t>
      </w:r>
      <w:r>
        <w:rPr/>
        <w:t>M.</w:t>
      </w:r>
      <w:r>
        <w:rPr>
          <w:spacing w:val="11"/>
        </w:rPr>
        <w:t> </w:t>
      </w:r>
      <w:r>
        <w:rPr/>
        <w:t>A.,</w:t>
      </w:r>
      <w:r>
        <w:rPr>
          <w:spacing w:val="9"/>
        </w:rPr>
        <w:t> </w:t>
      </w:r>
      <w:r>
        <w:rPr/>
        <w:t>Hany</w:t>
      </w:r>
      <w:r>
        <w:rPr>
          <w:spacing w:val="3"/>
        </w:rPr>
        <w:t> </w:t>
      </w:r>
      <w:r>
        <w:rPr/>
        <w:t>S.,</w:t>
      </w:r>
      <w:r>
        <w:rPr>
          <w:spacing w:val="10"/>
        </w:rPr>
        <w:t> </w:t>
      </w:r>
      <w:r>
        <w:rPr/>
        <w:t>Fatin</w:t>
      </w:r>
    </w:p>
    <w:p>
      <w:pPr>
        <w:pStyle w:val="BodyText"/>
        <w:ind w:left="1711" w:right="1250"/>
        <w:jc w:val="both"/>
      </w:pPr>
      <w:r>
        <w:rPr/>
        <w:t>N. E., Ado U. A., Saadatu I. Y., Abdulhamid A., Mona A. A., Lahvanya R. S., Nabil A. N. &amp;</w:t>
      </w:r>
      <w:r>
        <w:rPr>
          <w:spacing w:val="1"/>
        </w:rPr>
        <w:t> </w:t>
      </w:r>
      <w:r>
        <w:rPr/>
        <w:t>Yee</w:t>
      </w:r>
      <w:r>
        <w:rPr>
          <w:rFonts w:ascii="Cambria Math" w:hAnsi="Cambria Math"/>
        </w:rPr>
        <w:t>‑</w:t>
      </w:r>
      <w:r>
        <w:rPr/>
        <w:t>Ling</w:t>
      </w:r>
      <w:r>
        <w:rPr>
          <w:spacing w:val="1"/>
        </w:rPr>
        <w:t> </w:t>
      </w:r>
      <w:r>
        <w:rPr/>
        <w:t>L. (2016).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Nigeria winning the battle against malaria?</w:t>
      </w:r>
      <w:r>
        <w:rPr>
          <w:spacing w:val="60"/>
        </w:rPr>
        <w:t> </w:t>
      </w:r>
      <w:r>
        <w:rPr/>
        <w:t>Prevalence,</w:t>
      </w:r>
      <w:r>
        <w:rPr>
          <w:spacing w:val="60"/>
        </w:rPr>
        <w:t> </w:t>
      </w:r>
      <w:r>
        <w:rPr/>
        <w:t>risk factors</w:t>
      </w:r>
      <w:r>
        <w:rPr>
          <w:spacing w:val="1"/>
        </w:rPr>
        <w:t> </w:t>
      </w:r>
      <w:r>
        <w:rPr/>
        <w:t>and KAP assessment among Hausa communities in Kano State. </w:t>
      </w:r>
      <w:r>
        <w:rPr>
          <w:i/>
        </w:rPr>
        <w:t>Malaria Journal, </w:t>
      </w:r>
      <w:r>
        <w:rPr/>
        <w:t>15, 351-</w:t>
      </w:r>
      <w:r>
        <w:rPr>
          <w:spacing w:val="1"/>
        </w:rPr>
        <w:t> </w:t>
      </w:r>
      <w:r>
        <w:rPr/>
        <w:t>365.</w:t>
      </w:r>
    </w:p>
    <w:p>
      <w:pPr>
        <w:spacing w:after="0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242" w:lineRule="auto" w:before="72"/>
        <w:ind w:left="1711" w:right="1256" w:hanging="721"/>
        <w:jc w:val="both"/>
      </w:pPr>
      <w:r>
        <w:rPr/>
        <w:t>Edogun, H. A., Daramola, G. O. Esan, C. O. &amp; Edungbola, I. D. (2017). Prevalence of Malaria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Central,</w:t>
      </w:r>
      <w:r>
        <w:rPr>
          <w:spacing w:val="1"/>
        </w:rPr>
        <w:t> </w:t>
      </w:r>
      <w:r>
        <w:rPr/>
        <w:t>Nigeria.</w:t>
      </w:r>
      <w:r>
        <w:rPr>
          <w:spacing w:val="59"/>
        </w:rPr>
        <w:t> </w:t>
      </w:r>
      <w:r>
        <w:rPr>
          <w:i/>
        </w:rPr>
        <w:t>Journal of Advances in Biology</w:t>
      </w:r>
      <w:r>
        <w:rPr>
          <w:i/>
          <w:spacing w:val="4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Biotechnology</w:t>
      </w:r>
      <w:r>
        <w:rPr/>
        <w:t>, 16, 1-9.</w:t>
      </w:r>
    </w:p>
    <w:p>
      <w:pPr>
        <w:spacing w:line="240" w:lineRule="auto" w:before="191"/>
        <w:ind w:left="1711" w:right="1256" w:hanging="721"/>
        <w:jc w:val="both"/>
        <w:rPr>
          <w:sz w:val="24"/>
        </w:rPr>
      </w:pPr>
      <w:r>
        <w:rPr>
          <w:sz w:val="24"/>
        </w:rPr>
        <w:t>Eledo, B. O. &amp; Sylvester, C. I. (2018). Studies on some Haematological parameters among Malaria</w:t>
      </w:r>
      <w:r>
        <w:rPr>
          <w:spacing w:val="1"/>
          <w:sz w:val="24"/>
        </w:rPr>
        <w:t> </w:t>
      </w:r>
      <w:r>
        <w:rPr>
          <w:sz w:val="24"/>
        </w:rPr>
        <w:t>Infected Patients Attending a Tertiary Hospital in Nigeria. </w:t>
      </w:r>
      <w:r>
        <w:rPr>
          <w:i/>
          <w:sz w:val="24"/>
        </w:rPr>
        <w:t>Open Access Blood Research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Transfusion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2, 555-586.</w:t>
      </w:r>
    </w:p>
    <w:p>
      <w:pPr>
        <w:pStyle w:val="BodyText"/>
        <w:spacing w:before="202"/>
        <w:ind w:left="1711" w:right="1256" w:hanging="721"/>
        <w:jc w:val="both"/>
      </w:pPr>
      <w:r>
        <w:rPr/>
        <w:t>Etusim, P. E., Kalu, C., Nduka, F. O., Kalu, E. C., Melariri, P. E., Nwoke, M. &amp; Aduaka, A. C.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Malarial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Splenomegaly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Aba</w:t>
      </w:r>
      <w:r>
        <w:rPr>
          <w:spacing w:val="1"/>
        </w:rPr>
        <w:t> </w:t>
      </w:r>
      <w:r>
        <w:rPr/>
        <w:t>Metropolis,</w:t>
      </w:r>
      <w:r>
        <w:rPr>
          <w:spacing w:val="1"/>
        </w:rPr>
        <w:t> </w:t>
      </w:r>
      <w:r>
        <w:rPr/>
        <w:t>Abia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Biosciences,</w:t>
      </w:r>
      <w:r>
        <w:rPr>
          <w:i/>
          <w:spacing w:val="-1"/>
        </w:rPr>
        <w:t> </w:t>
      </w:r>
      <w:r>
        <w:rPr/>
        <w:t>5, 56 -</w:t>
      </w:r>
      <w:r>
        <w:rPr>
          <w:spacing w:val="-1"/>
        </w:rPr>
        <w:t> </w:t>
      </w:r>
      <w:r>
        <w:rPr/>
        <w:t>66.</w:t>
      </w:r>
    </w:p>
    <w:p>
      <w:pPr>
        <w:spacing w:line="242" w:lineRule="auto" w:before="199"/>
        <w:ind w:left="1711" w:right="1256" w:hanging="721"/>
        <w:jc w:val="both"/>
        <w:rPr>
          <w:sz w:val="24"/>
        </w:rPr>
      </w:pPr>
      <w:r>
        <w:rPr>
          <w:sz w:val="24"/>
        </w:rPr>
        <w:t>Ezeama, M., Ezeamah, F. &amp; Akor, Q. G. (2014). Factors militating against the use of insecticide</w:t>
      </w:r>
      <w:r>
        <w:rPr>
          <w:spacing w:val="1"/>
          <w:sz w:val="24"/>
        </w:rPr>
        <w:t> </w:t>
      </w:r>
      <w:r>
        <w:rPr>
          <w:sz w:val="24"/>
        </w:rPr>
        <w:t>treated nets among pregnant women in Nigeria. </w:t>
      </w:r>
      <w:r>
        <w:rPr>
          <w:i/>
          <w:sz w:val="24"/>
        </w:rPr>
        <w:t>International Journal of Research in 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4, 8-14.</w:t>
      </w:r>
    </w:p>
    <w:p>
      <w:pPr>
        <w:pStyle w:val="BodyText"/>
        <w:spacing w:before="232"/>
        <w:ind w:left="2162" w:right="1253" w:hanging="1172"/>
        <w:jc w:val="both"/>
      </w:pPr>
      <w:r>
        <w:rPr/>
        <w:t>Faga,</w:t>
      </w:r>
      <w:r>
        <w:rPr>
          <w:spacing w:val="19"/>
        </w:rPr>
        <w:t> </w:t>
      </w:r>
      <w:r>
        <w:rPr/>
        <w:t>C.</w:t>
      </w:r>
      <w:r>
        <w:rPr>
          <w:spacing w:val="20"/>
        </w:rPr>
        <w:t> </w:t>
      </w:r>
      <w:r>
        <w:rPr/>
        <w:t>D.,</w:t>
      </w:r>
      <w:r>
        <w:rPr>
          <w:spacing w:val="19"/>
        </w:rPr>
        <w:t> </w:t>
      </w:r>
      <w:r>
        <w:rPr/>
        <w:t>Obisike,</w:t>
      </w:r>
      <w:r>
        <w:rPr>
          <w:spacing w:val="20"/>
        </w:rPr>
        <w:t> </w:t>
      </w:r>
      <w:r>
        <w:rPr/>
        <w:t>V.</w:t>
      </w:r>
      <w:r>
        <w:rPr>
          <w:spacing w:val="19"/>
        </w:rPr>
        <w:t> </w:t>
      </w:r>
      <w:r>
        <w:rPr/>
        <w:t>U.</w:t>
      </w:r>
      <w:r>
        <w:rPr>
          <w:spacing w:val="19"/>
        </w:rPr>
        <w:t> </w:t>
      </w:r>
      <w:r>
        <w:rPr/>
        <w:t>Onah,</w:t>
      </w:r>
      <w:r>
        <w:rPr>
          <w:spacing w:val="22"/>
        </w:rPr>
        <w:t> </w:t>
      </w:r>
      <w:r>
        <w:rPr/>
        <w:t>I.</w:t>
      </w:r>
      <w:r>
        <w:rPr>
          <w:spacing w:val="19"/>
        </w:rPr>
        <w:t> </w:t>
      </w:r>
      <w:r>
        <w:rPr/>
        <w:t>E.</w:t>
      </w:r>
      <w:r>
        <w:rPr>
          <w:spacing w:val="20"/>
        </w:rPr>
        <w:t> </w:t>
      </w:r>
      <w:r>
        <w:rPr/>
        <w:t>&amp;</w:t>
      </w:r>
      <w:r>
        <w:rPr>
          <w:spacing w:val="18"/>
        </w:rPr>
        <w:t> </w:t>
      </w:r>
      <w:r>
        <w:rPr/>
        <w:t>Amuta,</w:t>
      </w:r>
      <w:r>
        <w:rPr>
          <w:spacing w:val="20"/>
        </w:rPr>
        <w:t> </w:t>
      </w:r>
      <w:r>
        <w:rPr/>
        <w:t>E.</w:t>
      </w:r>
      <w:r>
        <w:rPr>
          <w:spacing w:val="20"/>
        </w:rPr>
        <w:t> </w:t>
      </w:r>
      <w:r>
        <w:rPr/>
        <w:t>U.</w:t>
      </w:r>
      <w:r>
        <w:rPr>
          <w:spacing w:val="19"/>
        </w:rPr>
        <w:t> </w:t>
      </w:r>
      <w:r>
        <w:rPr/>
        <w:t>(2020).</w:t>
      </w:r>
      <w:r>
        <w:rPr>
          <w:spacing w:val="19"/>
        </w:rPr>
        <w:t> </w:t>
      </w:r>
      <w:r>
        <w:rPr/>
        <w:t>Assessment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malaria</w:t>
      </w:r>
      <w:r>
        <w:rPr>
          <w:spacing w:val="19"/>
        </w:rPr>
        <w:t> </w:t>
      </w:r>
      <w:r>
        <w:rPr/>
        <w:t>parasitemia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genotype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attending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hospitals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Animal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International Journal</w:t>
      </w:r>
      <w:r>
        <w:rPr/>
        <w:t>, 17, 3640-3648.</w:t>
      </w:r>
    </w:p>
    <w:p>
      <w:pPr>
        <w:spacing w:line="240" w:lineRule="auto" w:before="200"/>
        <w:ind w:left="1711" w:right="1254" w:hanging="721"/>
        <w:jc w:val="both"/>
        <w:rPr>
          <w:sz w:val="24"/>
        </w:rPr>
      </w:pPr>
      <w:r>
        <w:rPr>
          <w:sz w:val="24"/>
        </w:rPr>
        <w:t>Fan, Z. G., Zhang, L. M., Yan, G. G., Wu, Q.., Gan, X. F. &amp; Zhong, S. F. (2011). Bioinformatics</w:t>
      </w:r>
      <w:r>
        <w:rPr>
          <w:spacing w:val="1"/>
          <w:sz w:val="24"/>
        </w:rPr>
        <w:t> </w:t>
      </w:r>
      <w:r>
        <w:rPr>
          <w:sz w:val="24"/>
        </w:rPr>
        <w:t>analysis for structure and function of CPR of</w:t>
      </w:r>
      <w:r>
        <w:rPr>
          <w:spacing w:val="60"/>
          <w:sz w:val="24"/>
        </w:rPr>
        <w:t> </w:t>
      </w:r>
      <w:r>
        <w:rPr>
          <w:i/>
          <w:sz w:val="24"/>
        </w:rPr>
        <w:t>Plasmodium falciparum. Asian Pacific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Tropical Medicine</w:t>
      </w:r>
      <w:r>
        <w:rPr>
          <w:sz w:val="24"/>
        </w:rPr>
        <w:t>, 4, 85-87.</w:t>
      </w:r>
    </w:p>
    <w:p>
      <w:pPr>
        <w:pStyle w:val="BodyText"/>
        <w:spacing w:before="199"/>
        <w:ind w:left="991"/>
        <w:jc w:val="both"/>
      </w:pPr>
      <w:r>
        <w:rPr/>
        <w:t>Fox,</w:t>
      </w:r>
      <w:r>
        <w:rPr>
          <w:spacing w:val="4"/>
        </w:rPr>
        <w:t> </w:t>
      </w:r>
      <w:r>
        <w:rPr/>
        <w:t>L.</w:t>
      </w:r>
      <w:r>
        <w:rPr>
          <w:spacing w:val="8"/>
        </w:rPr>
        <w:t> </w:t>
      </w:r>
      <w:r>
        <w:rPr/>
        <w:t>L.,</w:t>
      </w:r>
      <w:r>
        <w:rPr>
          <w:spacing w:val="5"/>
        </w:rPr>
        <w:t> </w:t>
      </w:r>
      <w:r>
        <w:rPr/>
        <w:t>Taylor,</w:t>
      </w:r>
      <w:r>
        <w:rPr>
          <w:spacing w:val="4"/>
        </w:rPr>
        <w:t> </w:t>
      </w:r>
      <w:r>
        <w:rPr/>
        <w:t>T.</w:t>
      </w:r>
      <w:r>
        <w:rPr>
          <w:spacing w:val="5"/>
        </w:rPr>
        <w:t> </w:t>
      </w:r>
      <w:r>
        <w:rPr/>
        <w:t>E.,</w:t>
      </w:r>
      <w:r>
        <w:rPr>
          <w:spacing w:val="5"/>
        </w:rPr>
        <w:t> </w:t>
      </w:r>
      <w:r>
        <w:rPr/>
        <w:t>Pensulo,</w:t>
      </w:r>
      <w:r>
        <w:rPr>
          <w:spacing w:val="5"/>
        </w:rPr>
        <w:t> </w:t>
      </w:r>
      <w:r>
        <w:rPr/>
        <w:t>P.,</w:t>
      </w:r>
      <w:r>
        <w:rPr>
          <w:spacing w:val="4"/>
        </w:rPr>
        <w:t> </w:t>
      </w:r>
      <w:r>
        <w:rPr/>
        <w:t>Liomba,</w:t>
      </w:r>
      <w:r>
        <w:rPr>
          <w:spacing w:val="5"/>
        </w:rPr>
        <w:t> </w:t>
      </w:r>
      <w:r>
        <w:rPr/>
        <w:t>A.,</w:t>
      </w:r>
      <w:r>
        <w:rPr>
          <w:spacing w:val="7"/>
        </w:rPr>
        <w:t> </w:t>
      </w:r>
      <w:r>
        <w:rPr/>
        <w:t>Mpakize,</w:t>
      </w:r>
      <w:r>
        <w:rPr>
          <w:spacing w:val="4"/>
        </w:rPr>
        <w:t> </w:t>
      </w:r>
      <w:r>
        <w:rPr/>
        <w:t>A.,</w:t>
      </w:r>
      <w:r>
        <w:rPr>
          <w:spacing w:val="5"/>
        </w:rPr>
        <w:t> </w:t>
      </w:r>
      <w:r>
        <w:rPr/>
        <w:t>Verula,</w:t>
      </w:r>
      <w:r>
        <w:rPr>
          <w:spacing w:val="5"/>
        </w:rPr>
        <w:t> </w:t>
      </w:r>
      <w:r>
        <w:rPr/>
        <w:t>A.,</w:t>
      </w:r>
      <w:r>
        <w:rPr>
          <w:spacing w:val="5"/>
        </w:rPr>
        <w:t> </w:t>
      </w:r>
      <w:r>
        <w:rPr/>
        <w:t>Glover,</w:t>
      </w:r>
      <w:r>
        <w:rPr>
          <w:spacing w:val="4"/>
        </w:rPr>
        <w:t> </w:t>
      </w:r>
      <w:r>
        <w:rPr/>
        <w:t>S.</w:t>
      </w:r>
      <w:r>
        <w:rPr>
          <w:spacing w:val="3"/>
        </w:rPr>
        <w:t> </w:t>
      </w:r>
      <w:r>
        <w:rPr/>
        <w:t>J.,</w:t>
      </w:r>
      <w:r>
        <w:rPr>
          <w:spacing w:val="5"/>
        </w:rPr>
        <w:t> </w:t>
      </w:r>
      <w:r>
        <w:rPr/>
        <w:t>Reeves,</w:t>
      </w:r>
      <w:r>
        <w:rPr>
          <w:spacing w:val="6"/>
        </w:rPr>
        <w:t> </w:t>
      </w:r>
      <w:r>
        <w:rPr/>
        <w:t>M.</w:t>
      </w:r>
    </w:p>
    <w:p>
      <w:pPr>
        <w:spacing w:line="240" w:lineRule="auto" w:before="0"/>
        <w:ind w:left="1711" w:right="1254" w:firstLine="0"/>
        <w:jc w:val="both"/>
        <w:rPr>
          <w:sz w:val="24"/>
        </w:rPr>
      </w:pP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&amp; Seydel,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(2013). Histidine-rich</w:t>
      </w:r>
      <w:r>
        <w:rPr>
          <w:spacing w:val="1"/>
          <w:sz w:val="24"/>
        </w:rPr>
        <w:t> </w:t>
      </w:r>
      <w:r>
        <w:rPr>
          <w:sz w:val="24"/>
        </w:rPr>
        <w:t>protein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plasma levels</w:t>
      </w:r>
      <w:r>
        <w:rPr>
          <w:spacing w:val="1"/>
          <w:sz w:val="24"/>
        </w:rPr>
        <w:t> </w:t>
      </w:r>
      <w:r>
        <w:rPr>
          <w:sz w:val="24"/>
        </w:rPr>
        <w:t>predict</w:t>
      </w:r>
      <w:r>
        <w:rPr>
          <w:spacing w:val="1"/>
          <w:sz w:val="24"/>
        </w:rPr>
        <w:t> </w:t>
      </w:r>
      <w:r>
        <w:rPr>
          <w:sz w:val="24"/>
        </w:rPr>
        <w:t>progression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cerebral malaria in Malawian children with </w:t>
      </w:r>
      <w:r>
        <w:rPr>
          <w:i/>
          <w:sz w:val="24"/>
        </w:rPr>
        <w:t>Plasmodium falciparum </w:t>
      </w:r>
      <w:r>
        <w:rPr>
          <w:sz w:val="24"/>
        </w:rPr>
        <w:t>infection.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Diseases</w:t>
      </w:r>
      <w:r>
        <w:rPr>
          <w:sz w:val="24"/>
        </w:rPr>
        <w:t>, 208,</w:t>
      </w:r>
      <w:r>
        <w:rPr>
          <w:spacing w:val="2"/>
          <w:sz w:val="24"/>
        </w:rPr>
        <w:t> </w:t>
      </w:r>
      <w:r>
        <w:rPr>
          <w:sz w:val="24"/>
        </w:rPr>
        <w:t>500–503.</w:t>
      </w:r>
    </w:p>
    <w:p>
      <w:pPr>
        <w:pStyle w:val="BodyText"/>
        <w:spacing w:before="202"/>
        <w:ind w:left="1711" w:right="1254" w:hanging="721"/>
        <w:jc w:val="both"/>
      </w:pPr>
      <w:r>
        <w:rPr/>
        <w:t>Fry, A. E., Griffiths, M. J., Auburn, S., Diakite, M., Forton, J. T. &amp; Green, A. (2008). Common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</w:t>
      </w:r>
      <w:r>
        <w:rPr>
          <w:spacing w:val="1"/>
        </w:rPr>
        <w:t> </w:t>
      </w:r>
      <w:r>
        <w:rPr/>
        <w:t>glycosyltransferase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Plasmodium</w:t>
      </w:r>
      <w:r>
        <w:rPr>
          <w:spacing w:val="-1"/>
        </w:rPr>
        <w:t> </w:t>
      </w:r>
      <w:r>
        <w:rPr/>
        <w:t>falciparum malaria.</w:t>
      </w:r>
      <w:r>
        <w:rPr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Human Molecular</w:t>
      </w:r>
      <w:r>
        <w:rPr>
          <w:i/>
          <w:spacing w:val="-1"/>
        </w:rPr>
        <w:t> </w:t>
      </w:r>
      <w:r>
        <w:rPr>
          <w:i/>
        </w:rPr>
        <w:t>Genetics</w:t>
      </w:r>
      <w:r>
        <w:rPr/>
        <w:t>, 17:</w:t>
      </w:r>
      <w:r>
        <w:rPr>
          <w:spacing w:val="-1"/>
        </w:rPr>
        <w:t> </w:t>
      </w:r>
      <w:r>
        <w:rPr/>
        <w:t>567-576.</w:t>
      </w:r>
    </w:p>
    <w:p>
      <w:pPr>
        <w:spacing w:line="276" w:lineRule="auto" w:before="202"/>
        <w:ind w:left="1711" w:right="1256" w:hanging="721"/>
        <w:jc w:val="both"/>
        <w:rPr>
          <w:sz w:val="24"/>
        </w:rPr>
      </w:pPr>
      <w:r>
        <w:rPr>
          <w:sz w:val="24"/>
        </w:rPr>
        <w:t>Garraud, O. (2006). Mechanisms of transfusion-linked parasite infection. </w:t>
      </w:r>
      <w:r>
        <w:rPr>
          <w:i/>
          <w:sz w:val="24"/>
        </w:rPr>
        <w:t>Transfusion Clinique 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Biologique Journal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13, 290–297.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 w:before="1"/>
        <w:ind w:left="2162" w:right="1256" w:hanging="1172"/>
        <w:jc w:val="both"/>
      </w:pPr>
      <w:r>
        <w:rPr/>
        <w:t>Gayathri, B.N., Harendra, K.M., Gomathi, N., Jeevan, S. &amp; Rathesh, R. P. (2013).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 ABO groups and malaria with clinical outcome in rural area of South India.</w:t>
      </w:r>
      <w:r>
        <w:rPr>
          <w:spacing w:val="1"/>
        </w:rPr>
        <w:t> </w:t>
      </w:r>
      <w:r>
        <w:rPr>
          <w:i/>
        </w:rPr>
        <w:t>Global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-1"/>
        </w:rPr>
        <w:t> </w:t>
      </w:r>
      <w:r>
        <w:rPr>
          <w:i/>
        </w:rPr>
        <w:t>and Public</w:t>
      </w:r>
      <w:r>
        <w:rPr>
          <w:i/>
          <w:spacing w:val="-1"/>
        </w:rPr>
        <w:t> </w:t>
      </w:r>
      <w:r>
        <w:rPr>
          <w:i/>
        </w:rPr>
        <w:t>Health</w:t>
      </w:r>
      <w:r>
        <w:rPr/>
        <w:t>, 3,</w:t>
      </w:r>
      <w:r>
        <w:rPr>
          <w:spacing w:val="3"/>
        </w:rPr>
        <w:t> </w:t>
      </w:r>
      <w:r>
        <w:rPr/>
        <w:t>1-7.</w:t>
      </w:r>
    </w:p>
    <w:p>
      <w:pPr>
        <w:pStyle w:val="BodyText"/>
        <w:spacing w:line="276" w:lineRule="auto" w:before="194"/>
        <w:ind w:left="1711" w:right="1252" w:hanging="721"/>
        <w:jc w:val="both"/>
      </w:pPr>
      <w:r>
        <w:rPr/>
        <w:t>Griffin, Q. J., Ferguson, N. M. &amp; Ghani, A. C. (2014). Estimates of the changing age-burden of</w:t>
      </w:r>
      <w:r>
        <w:rPr>
          <w:spacing w:val="1"/>
        </w:rPr>
        <w:t> </w:t>
      </w:r>
      <w:r>
        <w:rPr/>
        <w:t>Plasmodium</w:t>
      </w:r>
      <w:r>
        <w:rPr>
          <w:spacing w:val="1"/>
        </w:rPr>
        <w:t> </w:t>
      </w:r>
      <w:r>
        <w:rPr/>
        <w:t>falciparum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Nature</w:t>
      </w:r>
      <w:r>
        <w:rPr>
          <w:i/>
          <w:spacing w:val="1"/>
        </w:rPr>
        <w:t> </w:t>
      </w:r>
      <w:r>
        <w:rPr>
          <w:i/>
        </w:rPr>
        <w:t>Communications</w:t>
      </w:r>
      <w:r>
        <w:rPr/>
        <w:t>, 5,</w:t>
      </w:r>
      <w:r>
        <w:rPr>
          <w:spacing w:val="-1"/>
        </w:rPr>
        <w:t> </w:t>
      </w:r>
      <w:r>
        <w:rPr/>
        <w:t>136.</w:t>
      </w:r>
    </w:p>
    <w:p>
      <w:pPr>
        <w:pStyle w:val="BodyText"/>
        <w:spacing w:before="199"/>
        <w:ind w:left="991"/>
        <w:jc w:val="both"/>
      </w:pPr>
      <w:r>
        <w:rPr/>
        <w:t>Hafalla,</w:t>
      </w:r>
      <w:r>
        <w:rPr>
          <w:spacing w:val="46"/>
        </w:rPr>
        <w:t> </w:t>
      </w:r>
      <w:r>
        <w:rPr/>
        <w:t>J.</w:t>
      </w:r>
      <w:r>
        <w:rPr>
          <w:spacing w:val="48"/>
        </w:rPr>
        <w:t> </w:t>
      </w:r>
      <w:r>
        <w:rPr/>
        <w:t>C.,</w:t>
      </w:r>
      <w:r>
        <w:rPr>
          <w:spacing w:val="47"/>
        </w:rPr>
        <w:t> </w:t>
      </w:r>
      <w:r>
        <w:rPr/>
        <w:t>Silvie,</w:t>
      </w:r>
      <w:r>
        <w:rPr>
          <w:spacing w:val="47"/>
        </w:rPr>
        <w:t> </w:t>
      </w:r>
      <w:r>
        <w:rPr/>
        <w:t>O.</w:t>
      </w:r>
      <w:r>
        <w:rPr>
          <w:spacing w:val="47"/>
        </w:rPr>
        <w:t> </w:t>
      </w:r>
      <w:r>
        <w:rPr/>
        <w:t>&amp;</w:t>
      </w:r>
      <w:r>
        <w:rPr>
          <w:spacing w:val="45"/>
        </w:rPr>
        <w:t> </w:t>
      </w:r>
      <w:r>
        <w:rPr/>
        <w:t>Matuschewski,</w:t>
      </w:r>
      <w:r>
        <w:rPr>
          <w:spacing w:val="47"/>
        </w:rPr>
        <w:t> </w:t>
      </w:r>
      <w:r>
        <w:rPr/>
        <w:t>K.</w:t>
      </w:r>
      <w:r>
        <w:rPr>
          <w:spacing w:val="46"/>
        </w:rPr>
        <w:t> </w:t>
      </w:r>
      <w:r>
        <w:rPr/>
        <w:t>(2011).</w:t>
      </w:r>
      <w:r>
        <w:rPr>
          <w:spacing w:val="48"/>
        </w:rPr>
        <w:t> </w:t>
      </w:r>
      <w:r>
        <w:rPr/>
        <w:t>Cell</w:t>
      </w:r>
      <w:r>
        <w:rPr>
          <w:spacing w:val="47"/>
        </w:rPr>
        <w:t> </w:t>
      </w:r>
      <w:r>
        <w:rPr/>
        <w:t>biology</w:t>
      </w:r>
      <w:r>
        <w:rPr>
          <w:spacing w:val="41"/>
        </w:rPr>
        <w:t> </w:t>
      </w:r>
      <w:r>
        <w:rPr/>
        <w:t>and</w:t>
      </w:r>
      <w:r>
        <w:rPr>
          <w:spacing w:val="48"/>
        </w:rPr>
        <w:t> </w:t>
      </w:r>
      <w:r>
        <w:rPr/>
        <w:t>immunology</w:t>
      </w:r>
      <w:r>
        <w:rPr>
          <w:spacing w:val="41"/>
        </w:rPr>
        <w:t> </w:t>
      </w:r>
      <w:r>
        <w:rPr/>
        <w:t>of</w:t>
      </w:r>
      <w:r>
        <w:rPr>
          <w:spacing w:val="47"/>
        </w:rPr>
        <w:t> </w:t>
      </w:r>
      <w:r>
        <w:rPr/>
        <w:t>malaria.</w:t>
      </w:r>
    </w:p>
    <w:p>
      <w:pPr>
        <w:spacing w:before="41"/>
        <w:ind w:left="1711" w:right="0" w:firstLine="0"/>
        <w:jc w:val="left"/>
        <w:rPr>
          <w:sz w:val="24"/>
        </w:rPr>
      </w:pPr>
      <w:r>
        <w:rPr>
          <w:i/>
          <w:sz w:val="24"/>
        </w:rPr>
        <w:t>Immunological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240,</w:t>
      </w:r>
      <w:r>
        <w:rPr>
          <w:spacing w:val="-1"/>
          <w:sz w:val="24"/>
        </w:rPr>
        <w:t> </w:t>
      </w:r>
      <w:r>
        <w:rPr>
          <w:sz w:val="24"/>
        </w:rPr>
        <w:t>297-316.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276" w:lineRule="auto" w:before="74"/>
        <w:ind w:left="1711" w:right="1256" w:hanging="721"/>
        <w:jc w:val="both"/>
      </w:pPr>
      <w:r>
        <w:rPr/>
        <w:t>Hay, S. I, Guerra, C. A., Tatem, A. J., Atkinson, P. M. &amp; Snow, R. W. (2005). Urbanization, malaria</w:t>
      </w:r>
      <w:r>
        <w:rPr>
          <w:spacing w:val="1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and disease burden in</w:t>
      </w:r>
      <w:r>
        <w:rPr>
          <w:spacing w:val="-1"/>
        </w:rPr>
        <w:t> </w:t>
      </w:r>
      <w:r>
        <w:rPr/>
        <w:t>Africa.</w:t>
      </w:r>
      <w:r>
        <w:rPr>
          <w:spacing w:val="2"/>
        </w:rPr>
        <w:t> </w:t>
      </w:r>
      <w:r>
        <w:rPr>
          <w:i/>
        </w:rPr>
        <w:t>Nature reviews Microbiology</w:t>
      </w:r>
      <w:r>
        <w:rPr/>
        <w:t>,</w:t>
      </w:r>
      <w:r>
        <w:rPr>
          <w:spacing w:val="-1"/>
        </w:rPr>
        <w:t> </w:t>
      </w:r>
      <w:r>
        <w:rPr/>
        <w:t>3,</w:t>
      </w:r>
      <w:r>
        <w:rPr>
          <w:spacing w:val="2"/>
        </w:rPr>
        <w:t> </w:t>
      </w:r>
      <w:r>
        <w:rPr/>
        <w:t>81-90.</w:t>
      </w:r>
    </w:p>
    <w:p>
      <w:pPr>
        <w:pStyle w:val="BodyText"/>
        <w:spacing w:before="198"/>
        <w:ind w:left="1711" w:right="1257" w:hanging="721"/>
        <w:jc w:val="both"/>
      </w:pPr>
      <w:r>
        <w:rPr/>
        <w:t>Hendriksen, I. C. E., Mtove, G., Pedro, A. J., Gomes, E., Silamut, K., Lee, S. J., Mwambuli, A.,</w:t>
      </w:r>
      <w:r>
        <w:rPr>
          <w:spacing w:val="1"/>
        </w:rPr>
        <w:t> </w:t>
      </w:r>
      <w:r>
        <w:rPr/>
        <w:t>Gesase,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Reyburn,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PfHRP2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pLDH-based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diagnostic</w:t>
      </w:r>
      <w:r>
        <w:rPr>
          <w:spacing w:val="57"/>
        </w:rPr>
        <w:t> </w:t>
      </w:r>
      <w:r>
        <w:rPr/>
        <w:t>test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the  diagnosis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severe</w:t>
      </w:r>
      <w:r>
        <w:rPr>
          <w:spacing w:val="57"/>
        </w:rPr>
        <w:t> </w:t>
      </w:r>
      <w:r>
        <w:rPr/>
        <w:t>malaria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2</w:t>
      </w:r>
      <w:r>
        <w:rPr>
          <w:spacing w:val="58"/>
        </w:rPr>
        <w:t> </w:t>
      </w:r>
      <w:r>
        <w:rPr/>
        <w:t>populations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African</w:t>
      </w:r>
      <w:r>
        <w:rPr>
          <w:spacing w:val="1"/>
        </w:rPr>
        <w:t> </w:t>
      </w:r>
      <w:r>
        <w:rPr/>
        <w:t>children.</w:t>
      </w:r>
      <w:r>
        <w:rPr>
          <w:spacing w:val="-58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Clinical Infectious Diseases</w:t>
      </w:r>
      <w:r>
        <w:rPr/>
        <w:t>, 52, 1100–1107.</w:t>
      </w:r>
    </w:p>
    <w:p>
      <w:pPr>
        <w:spacing w:line="242" w:lineRule="auto" w:before="200"/>
        <w:ind w:left="1711" w:right="1262" w:hanging="721"/>
        <w:jc w:val="both"/>
        <w:rPr>
          <w:sz w:val="24"/>
        </w:rPr>
      </w:pPr>
      <w:r>
        <w:rPr>
          <w:sz w:val="24"/>
        </w:rPr>
        <w:t>Jaykaran, C. &amp; Tamoghna, B. (2013). How to calculate sample size for different study designs in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-1"/>
          <w:sz w:val="24"/>
        </w:rPr>
        <w:t> </w:t>
      </w:r>
      <w:r>
        <w:rPr>
          <w:sz w:val="24"/>
        </w:rPr>
        <w:t>research.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Psychological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32, 121-126.</w:t>
      </w:r>
    </w:p>
    <w:p>
      <w:pPr>
        <w:pStyle w:val="BodyText"/>
        <w:spacing w:line="242" w:lineRule="auto" w:before="194"/>
        <w:ind w:left="1711" w:right="1259" w:hanging="721"/>
        <w:jc w:val="both"/>
      </w:pPr>
      <w:r>
        <w:rPr/>
        <w:t>Jenkins, P. V. &amp; O’Donnell, J. S. (2006). ABO blood group determines plasma von Willebrand factor</w:t>
      </w:r>
      <w:r>
        <w:rPr>
          <w:spacing w:val="-57"/>
        </w:rPr>
        <w:t> </w:t>
      </w:r>
      <w:r>
        <w:rPr/>
        <w:t>levels: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biologic</w:t>
      </w:r>
      <w:r>
        <w:rPr>
          <w:spacing w:val="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after all?</w:t>
      </w:r>
      <w:r>
        <w:rPr>
          <w:spacing w:val="6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Blood Transfusion</w:t>
      </w:r>
      <w:r>
        <w:rPr/>
        <w:t>,</w:t>
      </w:r>
      <w:r>
        <w:rPr>
          <w:spacing w:val="-1"/>
        </w:rPr>
        <w:t> </w:t>
      </w:r>
      <w:r>
        <w:rPr/>
        <w:t>46,</w:t>
      </w:r>
      <w:r>
        <w:rPr>
          <w:spacing w:val="-1"/>
        </w:rPr>
        <w:t> </w:t>
      </w:r>
      <w:r>
        <w:rPr/>
        <w:t>1836-1844.</w:t>
      </w:r>
    </w:p>
    <w:p>
      <w:pPr>
        <w:pStyle w:val="BodyText"/>
        <w:spacing w:before="196"/>
        <w:ind w:left="1711" w:right="1269" w:hanging="721"/>
        <w:jc w:val="both"/>
      </w:pPr>
      <w:r>
        <w:rPr>
          <w:spacing w:val="11"/>
        </w:rPr>
        <w:t>Kalu,</w:t>
      </w:r>
      <w:r>
        <w:rPr>
          <w:spacing w:val="12"/>
        </w:rPr>
        <w:t> </w:t>
      </w:r>
      <w:r>
        <w:rPr/>
        <w:t>M.</w:t>
      </w:r>
      <w:r>
        <w:rPr>
          <w:spacing w:val="1"/>
        </w:rPr>
        <w:t> </w:t>
      </w:r>
      <w:r>
        <w:rPr>
          <w:spacing w:val="9"/>
        </w:rPr>
        <w:t>K.,</w:t>
      </w:r>
      <w:r>
        <w:rPr>
          <w:spacing w:val="10"/>
        </w:rPr>
        <w:t> </w:t>
      </w:r>
      <w:r>
        <w:rPr>
          <w:spacing w:val="11"/>
        </w:rPr>
        <w:t>Nwogo,</w:t>
      </w:r>
      <w:r>
        <w:rPr>
          <w:spacing w:val="12"/>
        </w:rPr>
        <w:t> </w:t>
      </w:r>
      <w:r>
        <w:rPr/>
        <w:t>A.</w:t>
      </w:r>
      <w:r>
        <w:rPr>
          <w:spacing w:val="1"/>
        </w:rPr>
        <w:t> </w:t>
      </w:r>
      <w:r>
        <w:rPr>
          <w:spacing w:val="9"/>
        </w:rPr>
        <w:t>O.,</w:t>
      </w:r>
      <w:r>
        <w:rPr>
          <w:spacing w:val="10"/>
        </w:rPr>
        <w:t> </w:t>
      </w:r>
      <w:r>
        <w:rPr>
          <w:spacing w:val="12"/>
        </w:rPr>
        <w:t>Florence,</w:t>
      </w:r>
      <w:r>
        <w:rPr>
          <w:spacing w:val="13"/>
        </w:rPr>
        <w:t> </w:t>
      </w:r>
      <w:r>
        <w:rPr>
          <w:spacing w:val="12"/>
        </w:rPr>
        <w:t>Onyemachi,</w:t>
      </w:r>
      <w:r>
        <w:rPr>
          <w:spacing w:val="13"/>
        </w:rPr>
        <w:t> </w:t>
      </w:r>
      <w:r>
        <w:rPr/>
        <w:t>N.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>
          <w:spacing w:val="10"/>
        </w:rPr>
        <w:t>Glory,</w:t>
      </w:r>
      <w:r>
        <w:rPr>
          <w:spacing w:val="11"/>
        </w:rPr>
        <w:t> </w:t>
      </w:r>
      <w:r>
        <w:rPr/>
        <w:t>O.</w:t>
      </w:r>
      <w:r>
        <w:rPr>
          <w:spacing w:val="60"/>
        </w:rPr>
        <w:t> </w:t>
      </w:r>
      <w:r>
        <w:rPr/>
        <w:t>C.</w:t>
      </w:r>
      <w:r>
        <w:rPr>
          <w:spacing w:val="60"/>
        </w:rPr>
        <w:t> </w:t>
      </w:r>
      <w:r>
        <w:rPr>
          <w:spacing w:val="11"/>
        </w:rPr>
        <w:t>(2012).  </w:t>
      </w:r>
      <w:r>
        <w:rPr/>
        <w:t>A</w:t>
      </w:r>
      <w:r>
        <w:rPr>
          <w:spacing w:val="1"/>
        </w:rPr>
        <w:t> </w:t>
      </w:r>
      <w:r>
        <w:rPr>
          <w:spacing w:val="12"/>
        </w:rPr>
        <w:t>Comparative </w:t>
      </w:r>
      <w:r>
        <w:rPr>
          <w:spacing w:val="11"/>
        </w:rPr>
        <w:t>Study </w:t>
      </w:r>
      <w:r>
        <w:rPr/>
        <w:t>of</w:t>
      </w:r>
      <w:r>
        <w:rPr>
          <w:spacing w:val="1"/>
        </w:rPr>
        <w:t> </w:t>
      </w:r>
      <w:r>
        <w:rPr>
          <w:spacing w:val="9"/>
        </w:rPr>
        <w:t>the </w:t>
      </w:r>
      <w:r>
        <w:rPr>
          <w:spacing w:val="12"/>
        </w:rPr>
        <w:t>Prevalence </w:t>
      </w:r>
      <w:r>
        <w:rPr/>
        <w:t>of</w:t>
      </w:r>
      <w:r>
        <w:rPr>
          <w:spacing w:val="60"/>
        </w:rPr>
        <w:t> </w:t>
      </w:r>
      <w:r>
        <w:rPr>
          <w:spacing w:val="11"/>
        </w:rPr>
        <w:t>Malaria </w:t>
      </w:r>
      <w:r>
        <w:rPr/>
        <w:t>in</w:t>
      </w:r>
      <w:r>
        <w:rPr>
          <w:spacing w:val="60"/>
        </w:rPr>
        <w:t> </w:t>
      </w:r>
      <w:r>
        <w:rPr/>
        <w:t>Aba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>
          <w:spacing w:val="11"/>
        </w:rPr>
        <w:t>Umuahia </w:t>
      </w:r>
      <w:r>
        <w:rPr>
          <w:spacing w:val="10"/>
        </w:rPr>
        <w:t>Urban Areas</w:t>
      </w:r>
      <w:r>
        <w:rPr>
          <w:spacing w:val="11"/>
        </w:rPr>
        <w:t> </w:t>
      </w:r>
      <w:r>
        <w:rPr/>
        <w:t>of</w:t>
      </w:r>
      <w:r>
        <w:rPr>
          <w:spacing w:val="29"/>
        </w:rPr>
        <w:t> </w:t>
      </w:r>
      <w:r>
        <w:rPr>
          <w:spacing w:val="10"/>
        </w:rPr>
        <w:t>Abia</w:t>
      </w:r>
      <w:r>
        <w:rPr>
          <w:spacing w:val="29"/>
        </w:rPr>
        <w:t> </w:t>
      </w:r>
      <w:r>
        <w:rPr>
          <w:spacing w:val="11"/>
        </w:rPr>
        <w:t>State,</w:t>
      </w:r>
      <w:r>
        <w:rPr>
          <w:spacing w:val="30"/>
        </w:rPr>
        <w:t> </w:t>
      </w:r>
      <w:r>
        <w:rPr>
          <w:spacing w:val="11"/>
        </w:rPr>
        <w:t>Nigeria.</w:t>
      </w:r>
      <w:r>
        <w:rPr>
          <w:spacing w:val="36"/>
        </w:rPr>
        <w:t> </w:t>
      </w:r>
      <w:r>
        <w:rPr>
          <w:i/>
          <w:spacing w:val="11"/>
        </w:rPr>
        <w:t>Research</w:t>
      </w:r>
      <w:r>
        <w:rPr>
          <w:i/>
          <w:spacing w:val="30"/>
        </w:rPr>
        <w:t> </w:t>
      </w:r>
      <w:r>
        <w:rPr>
          <w:i/>
          <w:spacing w:val="11"/>
        </w:rPr>
        <w:t>Journal</w:t>
      </w:r>
      <w:r>
        <w:rPr>
          <w:i/>
          <w:spacing w:val="30"/>
        </w:rPr>
        <w:t> </w:t>
      </w:r>
      <w:r>
        <w:rPr>
          <w:i/>
        </w:rPr>
        <w:t>of</w:t>
      </w:r>
      <w:r>
        <w:rPr>
          <w:i/>
          <w:spacing w:val="26"/>
        </w:rPr>
        <w:t> </w:t>
      </w:r>
      <w:r>
        <w:rPr>
          <w:i/>
          <w:spacing w:val="12"/>
        </w:rPr>
        <w:t>Parasitology,</w:t>
      </w:r>
      <w:r>
        <w:rPr>
          <w:i/>
          <w:spacing w:val="39"/>
        </w:rPr>
        <w:t> </w:t>
      </w:r>
      <w:r>
        <w:rPr/>
        <w:t>7,</w:t>
      </w:r>
      <w:r>
        <w:rPr>
          <w:spacing w:val="30"/>
        </w:rPr>
        <w:t> </w:t>
      </w:r>
      <w:r>
        <w:rPr>
          <w:spacing w:val="11"/>
        </w:rPr>
        <w:t>17-24.</w:t>
      </w:r>
    </w:p>
    <w:p>
      <w:pPr>
        <w:pStyle w:val="BodyText"/>
        <w:spacing w:line="276" w:lineRule="auto" w:before="202"/>
        <w:ind w:left="1711" w:right="1252" w:hanging="721"/>
        <w:jc w:val="both"/>
      </w:pPr>
      <w:r>
        <w:rPr/>
        <w:t>Kinde – Gazard, O. J., Gnahoui, I. and Massoughodji, A. (2000). The risk of malaria transmission by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transfusion at Cotonou, Benin.</w:t>
      </w:r>
      <w:r>
        <w:rPr>
          <w:spacing w:val="1"/>
        </w:rPr>
        <w:t> </w:t>
      </w:r>
      <w:r>
        <w:rPr>
          <w:i/>
        </w:rPr>
        <w:t>Sante,</w:t>
      </w:r>
      <w:r>
        <w:rPr>
          <w:i/>
          <w:spacing w:val="-1"/>
        </w:rPr>
        <w:t> </w:t>
      </w:r>
      <w:r>
        <w:rPr/>
        <w:t>10, 389 – 392.</w:t>
      </w:r>
    </w:p>
    <w:p>
      <w:pPr>
        <w:pStyle w:val="BodyText"/>
        <w:spacing w:line="276" w:lineRule="auto" w:before="200"/>
        <w:ind w:left="1711" w:right="1254" w:hanging="721"/>
        <w:jc w:val="both"/>
      </w:pPr>
      <w:r>
        <w:rPr/>
        <w:t>Kitchen, A. D., Barbara, J. A. &amp; Hewitt, P. E. (2005). Documented cases of post-transfusion malaria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England: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pro-</w:t>
      </w:r>
      <w:r>
        <w:rPr>
          <w:spacing w:val="1"/>
        </w:rPr>
        <w:t> </w:t>
      </w:r>
      <w:r>
        <w:rPr/>
        <w:t>posed</w:t>
      </w:r>
      <w:r>
        <w:rPr>
          <w:spacing w:val="60"/>
        </w:rPr>
        <w:t> </w:t>
      </w:r>
      <w:r>
        <w:rPr/>
        <w:t>donor-selection</w:t>
      </w:r>
      <w:r>
        <w:rPr>
          <w:spacing w:val="1"/>
        </w:rPr>
        <w:t> </w:t>
      </w:r>
      <w:r>
        <w:rPr/>
        <w:t>guidelines.</w:t>
      </w:r>
      <w:r>
        <w:rPr>
          <w:spacing w:val="-2"/>
        </w:rPr>
        <w:t> </w:t>
      </w:r>
      <w:r>
        <w:rPr>
          <w:i/>
        </w:rPr>
        <w:t>Vox</w:t>
      </w:r>
      <w:r>
        <w:rPr>
          <w:i/>
          <w:spacing w:val="-1"/>
        </w:rPr>
        <w:t> </w:t>
      </w:r>
      <w:r>
        <w:rPr>
          <w:i/>
        </w:rPr>
        <w:t>Sang</w:t>
      </w:r>
      <w:r>
        <w:rPr/>
        <w:t>, 89,</w:t>
      </w:r>
      <w:r>
        <w:rPr>
          <w:spacing w:val="2"/>
        </w:rPr>
        <w:t> </w:t>
      </w:r>
      <w:r>
        <w:rPr/>
        <w:t>77–80.</w:t>
      </w:r>
    </w:p>
    <w:p>
      <w:pPr>
        <w:pStyle w:val="BodyText"/>
        <w:spacing w:line="242" w:lineRule="auto" w:before="198"/>
        <w:ind w:left="1711" w:right="1262" w:hanging="721"/>
        <w:jc w:val="both"/>
      </w:pPr>
      <w:r>
        <w:rPr/>
        <w:t>Klein, I. and Crispe, I.</w:t>
      </w:r>
      <w:r>
        <w:rPr>
          <w:spacing w:val="1"/>
        </w:rPr>
        <w:t> </w:t>
      </w:r>
      <w:r>
        <w:rPr/>
        <w:t>N. (2006). Complete differentiation of CD8+ T cells activated locally within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transplanted liver.</w:t>
      </w:r>
      <w:r>
        <w:rPr>
          <w:spacing w:val="2"/>
        </w:rPr>
        <w:t> </w:t>
      </w:r>
      <w:r>
        <w:rPr>
          <w:i/>
        </w:rPr>
        <w:t>Journal of Experimental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, 203, 437-47.</w:t>
      </w:r>
    </w:p>
    <w:p>
      <w:pPr>
        <w:pStyle w:val="BodyText"/>
        <w:spacing w:line="242" w:lineRule="auto" w:before="194"/>
        <w:ind w:left="1711" w:right="1255" w:hanging="721"/>
        <w:jc w:val="both"/>
      </w:pPr>
      <w:r>
        <w:rPr/>
        <w:t>Knolle, P. A. &amp; Gerken, G. (2000). Local control of the immune response in the liver. </w:t>
      </w:r>
      <w:r>
        <w:rPr>
          <w:i/>
        </w:rPr>
        <w:t>Immunology</w:t>
      </w:r>
      <w:r>
        <w:rPr>
          <w:i/>
          <w:spacing w:val="1"/>
        </w:rPr>
        <w:t> </w:t>
      </w:r>
      <w:r>
        <w:rPr>
          <w:i/>
        </w:rPr>
        <w:t>Review</w:t>
      </w:r>
      <w:r>
        <w:rPr/>
        <w:t>,</w:t>
      </w:r>
      <w:r>
        <w:rPr>
          <w:spacing w:val="-1"/>
        </w:rPr>
        <w:t> </w:t>
      </w:r>
      <w:r>
        <w:rPr/>
        <w:t>174, 21-34.</w:t>
      </w:r>
    </w:p>
    <w:p>
      <w:pPr>
        <w:pStyle w:val="BodyText"/>
        <w:spacing w:before="196"/>
        <w:ind w:left="1711" w:right="1257" w:hanging="721"/>
        <w:jc w:val="both"/>
      </w:pPr>
      <w:r>
        <w:rPr/>
        <w:t>Kuta,</w:t>
      </w:r>
      <w:r>
        <w:rPr>
          <w:spacing w:val="30"/>
        </w:rPr>
        <w:t> </w:t>
      </w:r>
      <w:r>
        <w:rPr/>
        <w:t>F.</w:t>
      </w:r>
      <w:r>
        <w:rPr>
          <w:spacing w:val="30"/>
        </w:rPr>
        <w:t> </w:t>
      </w:r>
      <w:r>
        <w:rPr/>
        <w:t>A.,</w:t>
      </w:r>
      <w:r>
        <w:rPr>
          <w:spacing w:val="30"/>
        </w:rPr>
        <w:t> </w:t>
      </w:r>
      <w:r>
        <w:rPr/>
        <w:t>Damisa,</w:t>
      </w:r>
      <w:r>
        <w:rPr>
          <w:spacing w:val="29"/>
        </w:rPr>
        <w:t> </w:t>
      </w:r>
      <w:r>
        <w:rPr/>
        <w:t>D.,</w:t>
      </w:r>
      <w:r>
        <w:rPr>
          <w:spacing w:val="30"/>
        </w:rPr>
        <w:t> </w:t>
      </w:r>
      <w:r>
        <w:rPr/>
        <w:t>Muhammed,</w:t>
      </w:r>
      <w:r>
        <w:rPr>
          <w:spacing w:val="29"/>
        </w:rPr>
        <w:t> </w:t>
      </w:r>
      <w:r>
        <w:rPr/>
        <w:t>A.</w:t>
      </w:r>
      <w:r>
        <w:rPr>
          <w:spacing w:val="29"/>
        </w:rPr>
        <w:t> </w:t>
      </w:r>
      <w:r>
        <w:rPr/>
        <w:t>S.</w:t>
      </w:r>
      <w:r>
        <w:rPr>
          <w:spacing w:val="30"/>
        </w:rPr>
        <w:t> </w:t>
      </w:r>
      <w:r>
        <w:rPr/>
        <w:t>&amp;</w:t>
      </w:r>
      <w:r>
        <w:rPr>
          <w:spacing w:val="28"/>
        </w:rPr>
        <w:t> </w:t>
      </w:r>
      <w:r>
        <w:rPr/>
        <w:t>Adedeji,</w:t>
      </w:r>
      <w:r>
        <w:rPr>
          <w:spacing w:val="30"/>
        </w:rPr>
        <w:t> </w:t>
      </w:r>
      <w:r>
        <w:rPr/>
        <w:t>A.</w:t>
      </w:r>
      <w:r>
        <w:rPr>
          <w:spacing w:val="29"/>
        </w:rPr>
        <w:t> </w:t>
      </w:r>
      <w:r>
        <w:rPr/>
        <w:t>S.</w:t>
      </w:r>
      <w:r>
        <w:rPr>
          <w:spacing w:val="29"/>
        </w:rPr>
        <w:t> </w:t>
      </w:r>
      <w:r>
        <w:rPr/>
        <w:t>(2014).</w:t>
      </w:r>
      <w:r>
        <w:rPr>
          <w:spacing w:val="31"/>
        </w:rPr>
        <w:t> </w:t>
      </w:r>
      <w:r>
        <w:rPr/>
        <w:t>Screening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blood</w:t>
      </w:r>
      <w:r>
        <w:rPr>
          <w:spacing w:val="30"/>
        </w:rPr>
        <w:t> </w:t>
      </w:r>
      <w:r>
        <w:rPr/>
        <w:t>samples</w:t>
      </w:r>
      <w:r>
        <w:rPr>
          <w:spacing w:val="-57"/>
        </w:rPr>
        <w:t> </w:t>
      </w:r>
      <w:r>
        <w:rPr/>
        <w:t>from school aged children (0-12</w:t>
      </w:r>
      <w:r>
        <w:rPr>
          <w:spacing w:val="60"/>
        </w:rPr>
        <w:t> </w:t>
      </w:r>
      <w:r>
        <w:rPr/>
        <w:t>years) for the detection of plasmodia parasites in paikoro</w:t>
      </w:r>
      <w:r>
        <w:rPr>
          <w:spacing w:val="1"/>
        </w:rPr>
        <w:t> </w:t>
      </w:r>
      <w:r>
        <w:rPr/>
        <w:t>local government area, Niger state, Nigeria. </w:t>
      </w:r>
      <w:r>
        <w:rPr>
          <w:i/>
        </w:rPr>
        <w:t>International Journal of Research in Biosciences</w:t>
      </w:r>
      <w:r>
        <w:rPr/>
        <w:t>,</w:t>
      </w:r>
      <w:r>
        <w:rPr>
          <w:spacing w:val="1"/>
        </w:rPr>
        <w:t> </w:t>
      </w:r>
      <w:r>
        <w:rPr/>
        <w:t>3,</w:t>
      </w:r>
      <w:r>
        <w:rPr>
          <w:spacing w:val="-1"/>
        </w:rPr>
        <w:t> </w:t>
      </w:r>
      <w:r>
        <w:rPr/>
        <w:t>71-74.</w:t>
      </w:r>
    </w:p>
    <w:p>
      <w:pPr>
        <w:pStyle w:val="BodyText"/>
        <w:spacing w:before="199"/>
        <w:ind w:left="1711" w:right="1253" w:hanging="721"/>
        <w:jc w:val="both"/>
      </w:pPr>
      <w:r>
        <w:rPr/>
        <w:t>Lopansri, B. K., Anstey, N. M., Weinberg, J. B., Stoddard, G. J., Hobbs, M.R. &amp; Levesque, M. C.</w:t>
      </w:r>
      <w:r>
        <w:rPr>
          <w:spacing w:val="1"/>
        </w:rPr>
        <w:t> </w:t>
      </w:r>
      <w:r>
        <w:rPr/>
        <w:t>(2003). Low plasma arginine concentrations in children with cerebral malaria and decreased</w:t>
      </w:r>
      <w:r>
        <w:rPr>
          <w:spacing w:val="1"/>
        </w:rPr>
        <w:t> </w:t>
      </w:r>
      <w:r>
        <w:rPr/>
        <w:t>nitric</w:t>
      </w:r>
      <w:r>
        <w:rPr>
          <w:spacing w:val="-3"/>
        </w:rPr>
        <w:t> </w:t>
      </w:r>
      <w:r>
        <w:rPr/>
        <w:t>oxide production.</w:t>
      </w:r>
      <w:r>
        <w:rPr>
          <w:spacing w:val="1"/>
        </w:rPr>
        <w:t> </w:t>
      </w:r>
      <w:r>
        <w:rPr>
          <w:i/>
        </w:rPr>
        <w:t>Lancet</w:t>
      </w:r>
      <w:r>
        <w:rPr/>
        <w:t>, 361, 676-678.</w:t>
      </w:r>
    </w:p>
    <w:p>
      <w:pPr>
        <w:spacing w:line="240" w:lineRule="auto" w:before="200"/>
        <w:ind w:left="1711" w:right="1256" w:hanging="721"/>
        <w:jc w:val="both"/>
        <w:rPr>
          <w:sz w:val="24"/>
        </w:rPr>
      </w:pPr>
      <w:r>
        <w:rPr>
          <w:sz w:val="24"/>
        </w:rPr>
        <w:t>Loscertales MP, Owens S, O’Donnell J, Bunn J, Bosch-Capblanch X, Brabin BJ. ABO blood group</w:t>
      </w:r>
      <w:r>
        <w:rPr>
          <w:spacing w:val="1"/>
          <w:sz w:val="24"/>
        </w:rPr>
        <w:t> </w:t>
      </w:r>
      <w:r>
        <w:rPr>
          <w:sz w:val="24"/>
        </w:rPr>
        <w:t>phenotypes and </w:t>
      </w:r>
      <w:r>
        <w:rPr>
          <w:i/>
          <w:sz w:val="24"/>
        </w:rPr>
        <w:t>Plasmodium falciparum </w:t>
      </w:r>
      <w:r>
        <w:rPr>
          <w:sz w:val="24"/>
        </w:rPr>
        <w:t>malaria: unlocking a pivotal mechanism. </w:t>
      </w:r>
      <w:r>
        <w:rPr>
          <w:i/>
          <w:sz w:val="24"/>
        </w:rPr>
        <w:t>Advances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Parasitology</w:t>
      </w:r>
      <w:r>
        <w:rPr>
          <w:sz w:val="24"/>
        </w:rPr>
        <w:t>, 65,</w:t>
      </w:r>
      <w:r>
        <w:rPr>
          <w:spacing w:val="-1"/>
          <w:sz w:val="24"/>
        </w:rPr>
        <w:t> </w:t>
      </w:r>
      <w:r>
        <w:rPr>
          <w:sz w:val="24"/>
        </w:rPr>
        <w:t>1-50.</w:t>
      </w:r>
    </w:p>
    <w:p>
      <w:pPr>
        <w:pStyle w:val="BodyText"/>
        <w:spacing w:line="242" w:lineRule="auto" w:before="200"/>
        <w:ind w:left="1711" w:right="1263" w:hanging="721"/>
        <w:jc w:val="both"/>
      </w:pPr>
      <w:r>
        <w:rPr/>
        <w:t>Maduka, O. (2018). End malaria for good: a review of current strategies and future novelties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malaria</w:t>
      </w:r>
      <w:r>
        <w:rPr>
          <w:spacing w:val="-3"/>
        </w:rPr>
        <w:t> </w:t>
      </w:r>
      <w:r>
        <w:rPr/>
        <w:t>elimination in Nigeria.</w:t>
      </w:r>
      <w:r>
        <w:rPr>
          <w:spacing w:val="1"/>
        </w:rPr>
        <w:t> </w:t>
      </w:r>
      <w:r>
        <w:rPr>
          <w:i/>
        </w:rPr>
        <w:t>Malaria</w:t>
      </w:r>
      <w:r>
        <w:rPr>
          <w:i/>
          <w:spacing w:val="1"/>
        </w:rPr>
        <w:t> </w:t>
      </w:r>
      <w:r>
        <w:rPr>
          <w:i/>
        </w:rPr>
        <w:t>World Journal, </w:t>
      </w:r>
      <w:r>
        <w:rPr/>
        <w:t>9, 2214-4374.</w:t>
      </w:r>
    </w:p>
    <w:p>
      <w:pPr>
        <w:pStyle w:val="BodyText"/>
        <w:spacing w:line="242" w:lineRule="auto" w:before="196"/>
        <w:ind w:left="1711" w:right="1253" w:hanging="721"/>
        <w:jc w:val="both"/>
      </w:pPr>
      <w:r>
        <w:rPr/>
        <w:t>Mbuh,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Musa,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Lucy,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Co-Infection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Salmonella</w:t>
      </w:r>
      <w:r>
        <w:rPr>
          <w:spacing w:val="-2"/>
        </w:rPr>
        <w:t> </w:t>
      </w:r>
      <w:r>
        <w:rPr/>
        <w:t>Typhi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Zaria,</w:t>
      </w:r>
      <w:r>
        <w:rPr>
          <w:spacing w:val="-1"/>
        </w:rPr>
        <w:t> </w:t>
      </w:r>
      <w:r>
        <w:rPr/>
        <w:t>Kaduna</w:t>
      </w:r>
      <w:r>
        <w:rPr>
          <w:spacing w:val="-2"/>
        </w:rPr>
        <w:t> </w:t>
      </w:r>
      <w:r>
        <w:rPr/>
        <w:t>State,</w:t>
      </w:r>
      <w:r>
        <w:rPr>
          <w:spacing w:val="2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Annals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African</w:t>
      </w:r>
      <w:r>
        <w:rPr>
          <w:i/>
          <w:spacing w:val="-1"/>
        </w:rPr>
        <w:t> </w:t>
      </w:r>
      <w:r>
        <w:rPr>
          <w:i/>
        </w:rPr>
        <w:t>Medicine</w:t>
      </w:r>
      <w:r>
        <w:rPr/>
        <w:t>,</w:t>
      </w:r>
      <w:r>
        <w:rPr>
          <w:spacing w:val="-1"/>
        </w:rPr>
        <w:t> </w:t>
      </w:r>
      <w:r>
        <w:rPr/>
        <w:t>2, 64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67.</w:t>
      </w:r>
    </w:p>
    <w:p>
      <w:pPr>
        <w:spacing w:after="0" w:line="242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spacing w:line="276" w:lineRule="auto" w:before="74"/>
        <w:ind w:left="1711" w:right="1259" w:hanging="721"/>
        <w:jc w:val="both"/>
        <w:rPr>
          <w:sz w:val="24"/>
        </w:rPr>
      </w:pPr>
      <w:r>
        <w:rPr>
          <w:sz w:val="24"/>
        </w:rPr>
        <w:t>Menendez C, &amp; Mayor, A. (2007). Congenital malaria: the least known consequence of malaria in</w:t>
      </w:r>
      <w:r>
        <w:rPr>
          <w:spacing w:val="1"/>
          <w:sz w:val="24"/>
        </w:rPr>
        <w:t> </w:t>
      </w:r>
      <w:r>
        <w:rPr>
          <w:sz w:val="24"/>
        </w:rPr>
        <w:t>pregnancy.</w:t>
      </w:r>
      <w:r>
        <w:rPr>
          <w:spacing w:val="-1"/>
          <w:sz w:val="24"/>
        </w:rPr>
        <w:t> </w:t>
      </w:r>
      <w:r>
        <w:rPr>
          <w:i/>
          <w:sz w:val="24"/>
        </w:rPr>
        <w:t>Seminal Fetal Neonatal Medicine</w:t>
      </w:r>
      <w:r>
        <w:rPr>
          <w:sz w:val="24"/>
        </w:rPr>
        <w:t>, 12,</w:t>
      </w:r>
      <w:r>
        <w:rPr>
          <w:spacing w:val="2"/>
          <w:sz w:val="24"/>
        </w:rPr>
        <w:t> </w:t>
      </w:r>
      <w:r>
        <w:rPr>
          <w:sz w:val="24"/>
        </w:rPr>
        <w:t>207–13.</w:t>
      </w:r>
    </w:p>
    <w:p>
      <w:pPr>
        <w:spacing w:line="240" w:lineRule="auto" w:before="198"/>
        <w:ind w:left="1711" w:right="1256" w:hanging="721"/>
        <w:jc w:val="both"/>
        <w:rPr>
          <w:sz w:val="24"/>
        </w:rPr>
      </w:pPr>
      <w:r>
        <w:rPr>
          <w:sz w:val="24"/>
        </w:rPr>
        <w:t>Millicent L. U. &amp; Gabriel N. U. (2015). Prevalence of Malaria in Patients Attending the General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1"/>
          <w:sz w:val="24"/>
        </w:rPr>
        <w:t> </w:t>
      </w:r>
      <w:r>
        <w:rPr>
          <w:sz w:val="24"/>
        </w:rPr>
        <w:t>Makarfi,</w:t>
      </w:r>
      <w:r>
        <w:rPr>
          <w:spacing w:val="1"/>
          <w:sz w:val="24"/>
        </w:rPr>
        <w:t> </w:t>
      </w:r>
      <w:r>
        <w:rPr>
          <w:sz w:val="24"/>
        </w:rPr>
        <w:t>Makarfi</w:t>
      </w:r>
      <w:r>
        <w:rPr>
          <w:spacing w:val="1"/>
          <w:sz w:val="24"/>
        </w:rPr>
        <w:t> </w:t>
      </w:r>
      <w:r>
        <w:rPr>
          <w:sz w:val="24"/>
        </w:rPr>
        <w:t>Kaduna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State, North-Western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Diseases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, 3, 1-5.</w:t>
      </w:r>
    </w:p>
    <w:p>
      <w:pPr>
        <w:pStyle w:val="BodyText"/>
        <w:spacing w:before="200"/>
        <w:ind w:left="991"/>
      </w:pPr>
      <w:r>
        <w:rPr/>
        <w:t>Mouatcho,</w:t>
      </w:r>
      <w:r>
        <w:rPr>
          <w:spacing w:val="27"/>
        </w:rPr>
        <w:t> </w:t>
      </w:r>
      <w:r>
        <w:rPr/>
        <w:t>J.</w:t>
      </w:r>
      <w:r>
        <w:rPr>
          <w:spacing w:val="27"/>
        </w:rPr>
        <w:t> </w:t>
      </w:r>
      <w:r>
        <w:rPr/>
        <w:t>C.</w:t>
      </w:r>
      <w:r>
        <w:rPr>
          <w:spacing w:val="27"/>
        </w:rPr>
        <w:t> </w:t>
      </w:r>
      <w:r>
        <w:rPr/>
        <w:t>&amp;</w:t>
      </w:r>
      <w:r>
        <w:rPr>
          <w:spacing w:val="25"/>
        </w:rPr>
        <w:t> </w:t>
      </w:r>
      <w:r>
        <w:rPr/>
        <w:t>Dean,</w:t>
      </w:r>
      <w:r>
        <w:rPr>
          <w:spacing w:val="27"/>
        </w:rPr>
        <w:t> </w:t>
      </w:r>
      <w:r>
        <w:rPr/>
        <w:t>G.</w:t>
      </w:r>
      <w:r>
        <w:rPr>
          <w:spacing w:val="27"/>
        </w:rPr>
        <w:t> </w:t>
      </w:r>
      <w:r>
        <w:rPr/>
        <w:t>J.</w:t>
      </w:r>
      <w:r>
        <w:rPr>
          <w:spacing w:val="26"/>
        </w:rPr>
        <w:t> </w:t>
      </w:r>
      <w:r>
        <w:rPr/>
        <w:t>P.</w:t>
      </w:r>
      <w:r>
        <w:rPr>
          <w:spacing w:val="27"/>
        </w:rPr>
        <w:t> </w:t>
      </w:r>
      <w:r>
        <w:rPr/>
        <w:t>(2013).</w:t>
      </w:r>
      <w:r>
        <w:rPr>
          <w:spacing w:val="26"/>
        </w:rPr>
        <w:t> </w:t>
      </w:r>
      <w:r>
        <w:rPr/>
        <w:t>Malaria</w:t>
      </w:r>
      <w:r>
        <w:rPr>
          <w:spacing w:val="27"/>
        </w:rPr>
        <w:t> </w:t>
      </w:r>
      <w:r>
        <w:rPr/>
        <w:t>rapid</w:t>
      </w:r>
      <w:r>
        <w:rPr>
          <w:spacing w:val="28"/>
        </w:rPr>
        <w:t> </w:t>
      </w:r>
      <w:r>
        <w:rPr/>
        <w:t>diagnostic</w:t>
      </w:r>
      <w:r>
        <w:rPr>
          <w:spacing w:val="27"/>
        </w:rPr>
        <w:t> </w:t>
      </w:r>
      <w:r>
        <w:rPr/>
        <w:t>tests:</w:t>
      </w:r>
      <w:r>
        <w:rPr>
          <w:spacing w:val="28"/>
        </w:rPr>
        <w:t> </w:t>
      </w:r>
      <w:r>
        <w:rPr/>
        <w:t>challenges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prospects.</w:t>
      </w:r>
    </w:p>
    <w:p>
      <w:pPr>
        <w:spacing w:before="2"/>
        <w:ind w:left="1711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, 62,</w:t>
      </w:r>
      <w:r>
        <w:rPr>
          <w:spacing w:val="-1"/>
          <w:sz w:val="24"/>
        </w:rPr>
        <w:t> </w:t>
      </w:r>
      <w:r>
        <w:rPr>
          <w:sz w:val="24"/>
        </w:rPr>
        <w:t>1491–1505.</w:t>
      </w:r>
    </w:p>
    <w:p>
      <w:pPr>
        <w:pStyle w:val="BodyText"/>
        <w:spacing w:line="242" w:lineRule="auto" w:before="197"/>
        <w:ind w:left="1711" w:right="1254" w:hanging="721"/>
        <w:jc w:val="both"/>
      </w:pPr>
      <w:r>
        <w:rPr/>
        <w:t>Niger State Department of Budget &amp; Planning; National Population Commission (2012). Facts and</w:t>
      </w:r>
      <w:r>
        <w:rPr>
          <w:spacing w:val="1"/>
        </w:rPr>
        <w:t> </w:t>
      </w:r>
      <w:r>
        <w:rPr/>
        <w:t>figures</w:t>
      </w:r>
      <w:r>
        <w:rPr>
          <w:spacing w:val="-1"/>
        </w:rPr>
        <w:t> </w:t>
      </w:r>
      <w:r>
        <w:rPr/>
        <w:t>about Niger State.</w:t>
      </w:r>
    </w:p>
    <w:p>
      <w:pPr>
        <w:pStyle w:val="BodyText"/>
        <w:spacing w:before="197"/>
        <w:ind w:left="1711" w:right="1256" w:hanging="721"/>
        <w:jc w:val="both"/>
      </w:pPr>
      <w:r>
        <w:rPr/>
        <w:t>Nmadu, P. M., Peter, E., Alexander, P., Koggie, A. Z. &amp; Maikenti J. I. (2015), The Prevalence of</w:t>
      </w:r>
      <w:r>
        <w:rPr>
          <w:spacing w:val="1"/>
        </w:rPr>
        <w:t> </w:t>
      </w:r>
      <w:r>
        <w:rPr/>
        <w:t>Malaria in Children between the Ages 2-15 Visiting Gwarinpa General Hospital Life-Camp,</w:t>
      </w:r>
      <w:r>
        <w:rPr>
          <w:spacing w:val="1"/>
        </w:rPr>
        <w:t> </w:t>
      </w:r>
      <w:r>
        <w:rPr/>
        <w:t>Abuja,</w:t>
      </w:r>
      <w:r>
        <w:rPr>
          <w:spacing w:val="-1"/>
        </w:rPr>
        <w:t> </w:t>
      </w:r>
      <w:r>
        <w:rPr/>
        <w:t>Nigeria,</w:t>
      </w:r>
      <w:r>
        <w:rPr>
          <w:spacing w:val="2"/>
        </w:rPr>
        <w:t> </w:t>
      </w:r>
      <w:r>
        <w:rPr>
          <w:i/>
        </w:rPr>
        <w:t>Journal of Health Science</w:t>
      </w:r>
      <w:r>
        <w:rPr/>
        <w:t>, 5, 47-51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162" w:right="1251" w:hanging="1172"/>
        <w:jc w:val="both"/>
      </w:pPr>
      <w:r>
        <w:rPr/>
        <w:t>Obisike,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Thomas,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(2020).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ABO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malaria</w:t>
      </w:r>
      <w:r>
        <w:rPr>
          <w:spacing w:val="-57"/>
        </w:rPr>
        <w:t> </w:t>
      </w:r>
      <w:r>
        <w:rPr/>
        <w:t>infection and ownership and utilization of long lasting insecticide treated nets among</w:t>
      </w:r>
      <w:r>
        <w:rPr>
          <w:spacing w:val="1"/>
        </w:rPr>
        <w:t> </w:t>
      </w:r>
      <w:r>
        <w:rPr/>
        <w:t>school children in North Bank area of Makurdi, Nigeria. </w:t>
      </w:r>
      <w:r>
        <w:rPr>
          <w:i/>
        </w:rPr>
        <w:t>Biomedical Journal of Scientific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Technical Research</w:t>
      </w:r>
      <w:r>
        <w:rPr/>
        <w:t>,</w:t>
      </w:r>
      <w:r>
        <w:rPr>
          <w:spacing w:val="2"/>
        </w:rPr>
        <w:t> </w:t>
      </w:r>
      <w:r>
        <w:rPr/>
        <w:t>3. 1-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spacing w:line="276" w:lineRule="auto" w:before="202"/>
        <w:ind w:left="1711" w:right="1255" w:hanging="721"/>
        <w:jc w:val="both"/>
      </w:pPr>
      <w:r>
        <w:rPr/>
        <w:t>Okechukwu, O. C., Nneka, A. F., Grace, A. I. &amp; Martin, I. O. (2017). Methemoglobin levels among</w:t>
      </w:r>
      <w:r>
        <w:rPr>
          <w:spacing w:val="1"/>
        </w:rPr>
        <w:t> </w:t>
      </w:r>
      <w:r>
        <w:rPr/>
        <w:t>malaria parasite-infected blood donors in Nnewi, Southeastern, Nigeria. </w:t>
      </w:r>
      <w:r>
        <w:rPr>
          <w:i/>
        </w:rPr>
        <w:t>Tropical Journal of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Resources</w:t>
      </w:r>
      <w:r>
        <w:rPr/>
        <w:t>, 20, 80-83.</w:t>
      </w:r>
    </w:p>
    <w:p>
      <w:pPr>
        <w:pStyle w:val="BodyText"/>
        <w:spacing w:line="276" w:lineRule="auto" w:before="200"/>
        <w:ind w:left="1711" w:right="1253" w:hanging="721"/>
        <w:jc w:val="both"/>
      </w:pPr>
      <w:r>
        <w:rPr/>
        <w:t>Okocha, E. C., Ibeh, C. C., Ele, P. U. &amp; Ibeh, N. C. (2005). The prevalence of malaria parasitaemia in</w:t>
      </w:r>
      <w:r>
        <w:rPr>
          <w:spacing w:val="-57"/>
        </w:rPr>
        <w:t> </w:t>
      </w:r>
      <w:r>
        <w:rPr/>
        <w:t>blood</w:t>
      </w:r>
      <w:r>
        <w:rPr>
          <w:spacing w:val="-1"/>
        </w:rPr>
        <w:t> </w:t>
      </w:r>
      <w:r>
        <w:rPr/>
        <w:t>donors 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Hospital.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Vector Borne</w:t>
      </w:r>
      <w:r>
        <w:rPr>
          <w:i/>
          <w:spacing w:val="-2"/>
        </w:rPr>
        <w:t> </w:t>
      </w:r>
      <w:r>
        <w:rPr>
          <w:i/>
        </w:rPr>
        <w:t>Diseases</w:t>
      </w:r>
      <w:r>
        <w:rPr/>
        <w:t>, 42,</w:t>
      </w:r>
      <w:r>
        <w:rPr>
          <w:spacing w:val="-1"/>
        </w:rPr>
        <w:t> </w:t>
      </w:r>
      <w:r>
        <w:rPr/>
        <w:t>21 -</w:t>
      </w:r>
      <w:r>
        <w:rPr>
          <w:spacing w:val="-2"/>
        </w:rPr>
        <w:t> </w:t>
      </w:r>
      <w:r>
        <w:rPr/>
        <w:t>24.</w:t>
      </w:r>
    </w:p>
    <w:p>
      <w:pPr>
        <w:pStyle w:val="BodyText"/>
        <w:spacing w:line="276" w:lineRule="auto" w:before="200"/>
        <w:ind w:left="1711" w:right="1255" w:hanging="721"/>
        <w:jc w:val="both"/>
      </w:pPr>
      <w:r>
        <w:rPr/>
        <w:t>Okonkwo,</w:t>
      </w:r>
      <w:r>
        <w:rPr>
          <w:spacing w:val="1"/>
        </w:rPr>
        <w:t> </w:t>
      </w:r>
      <w:r>
        <w:rPr/>
        <w:t>I.O.,</w:t>
      </w:r>
      <w:r>
        <w:rPr>
          <w:spacing w:val="57"/>
        </w:rPr>
        <w:t> </w:t>
      </w:r>
      <w:r>
        <w:rPr/>
        <w:t>Donbraye-Emmanuel,</w:t>
      </w:r>
      <w:r>
        <w:rPr>
          <w:spacing w:val="58"/>
        </w:rPr>
        <w:t> </w:t>
      </w:r>
      <w:r>
        <w:rPr/>
        <w:t>O.</w:t>
      </w:r>
      <w:r>
        <w:rPr>
          <w:spacing w:val="59"/>
        </w:rPr>
        <w:t> </w:t>
      </w:r>
      <w:r>
        <w:rPr/>
        <w:t>O.</w:t>
      </w:r>
      <w:r>
        <w:rPr>
          <w:spacing w:val="58"/>
        </w:rPr>
        <w:t> </w:t>
      </w:r>
      <w:r>
        <w:rPr/>
        <w:t>B.,</w:t>
      </w:r>
      <w:r>
        <w:rPr>
          <w:spacing w:val="58"/>
        </w:rPr>
        <w:t> </w:t>
      </w:r>
      <w:r>
        <w:rPr/>
        <w:t>Donbraye,</w:t>
      </w:r>
      <w:r>
        <w:rPr>
          <w:spacing w:val="58"/>
        </w:rPr>
        <w:t> </w:t>
      </w:r>
      <w:r>
        <w:rPr/>
        <w:t>E.,</w:t>
      </w:r>
      <w:r>
        <w:rPr>
          <w:spacing w:val="58"/>
        </w:rPr>
        <w:t> </w:t>
      </w:r>
      <w:r>
        <w:rPr/>
        <w:t>Abubakar,</w:t>
      </w:r>
      <w:r>
        <w:rPr>
          <w:spacing w:val="58"/>
        </w:rPr>
        <w:t> </w:t>
      </w:r>
      <w:r>
        <w:rPr/>
        <w:t>M.</w:t>
      </w:r>
      <w:r>
        <w:rPr>
          <w:spacing w:val="59"/>
        </w:rPr>
        <w:t> </w:t>
      </w:r>
      <w:r>
        <w:rPr/>
        <w:t>J.,</w:t>
      </w:r>
      <w:r>
        <w:rPr>
          <w:spacing w:val="57"/>
        </w:rPr>
        <w:t> </w:t>
      </w:r>
      <w:r>
        <w:rPr/>
        <w:t>Fowotade,</w:t>
      </w:r>
      <w:r>
        <w:rPr>
          <w:spacing w:val="59"/>
        </w:rPr>
        <w:t> </w:t>
      </w:r>
      <w:r>
        <w:rPr/>
        <w:t>A.,</w:t>
      </w:r>
      <w:r>
        <w:rPr>
          <w:spacing w:val="-58"/>
        </w:rPr>
        <w:t> </w:t>
      </w:r>
      <w:r>
        <w:rPr/>
        <w:t>Fadeyi, A., Babalola, E. T., Ojezele, M. O. &amp; Adeyi, A. O. (2010). Malaria parasitaemia</w:t>
      </w:r>
      <w:r>
        <w:rPr>
          <w:spacing w:val="1"/>
        </w:rPr>
        <w:t> </w:t>
      </w:r>
      <w:r>
        <w:rPr/>
        <w:t>among patients in Ibadan, Southwestern Nigeria. </w:t>
      </w:r>
      <w:r>
        <w:rPr>
          <w:i/>
        </w:rPr>
        <w:t>Journal of Applied Biosciences</w:t>
      </w:r>
      <w:r>
        <w:rPr/>
        <w:t>, 29, 1774 –</w:t>
      </w:r>
      <w:r>
        <w:rPr>
          <w:spacing w:val="1"/>
        </w:rPr>
        <w:t> </w:t>
      </w:r>
      <w:r>
        <w:rPr/>
        <w:t>1780.</w:t>
      </w:r>
    </w:p>
    <w:p>
      <w:pPr>
        <w:spacing w:before="200"/>
        <w:ind w:left="991" w:right="0" w:firstLine="0"/>
        <w:jc w:val="left"/>
        <w:rPr>
          <w:sz w:val="24"/>
        </w:rPr>
      </w:pPr>
      <w:r>
        <w:rPr>
          <w:sz w:val="24"/>
        </w:rPr>
        <w:t>Okonofua, F.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(2001). Malaria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pregnancy:</w:t>
      </w:r>
      <w:r>
        <w:rPr>
          <w:spacing w:val="-1"/>
          <w:sz w:val="24"/>
        </w:rPr>
        <w:t> </w:t>
      </w:r>
      <w:r>
        <w:rPr>
          <w:sz w:val="24"/>
        </w:rPr>
        <w:t>A Review:</w:t>
      </w:r>
      <w:r>
        <w:rPr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Resident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Doctor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5,</w:t>
      </w:r>
      <w:r>
        <w:rPr>
          <w:spacing w:val="-1"/>
          <w:sz w:val="24"/>
        </w:rPr>
        <w:t> </w:t>
      </w:r>
      <w:r>
        <w:rPr>
          <w:sz w:val="24"/>
        </w:rPr>
        <w:t>1-5.</w:t>
      </w:r>
    </w:p>
    <w:p>
      <w:pPr>
        <w:pStyle w:val="BodyText"/>
        <w:spacing w:before="9"/>
        <w:rPr>
          <w:sz w:val="20"/>
        </w:rPr>
      </w:pPr>
    </w:p>
    <w:p>
      <w:pPr>
        <w:spacing w:line="242" w:lineRule="auto" w:before="1"/>
        <w:ind w:left="1711" w:right="1261" w:hanging="721"/>
        <w:jc w:val="both"/>
        <w:rPr>
          <w:sz w:val="24"/>
        </w:rPr>
      </w:pPr>
      <w:r>
        <w:rPr>
          <w:sz w:val="24"/>
        </w:rPr>
        <w:t>Okwa, O. O. &amp; Adejoke C. I. (2010). The Malaria situation, perception of cause and treatment in a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-1"/>
          <w:sz w:val="24"/>
        </w:rPr>
        <w:t> </w:t>
      </w:r>
      <w:r>
        <w:rPr>
          <w:sz w:val="24"/>
        </w:rPr>
        <w:t>University. </w:t>
      </w:r>
      <w:r>
        <w:rPr>
          <w:i/>
          <w:sz w:val="24"/>
        </w:rPr>
        <w:t>Journal of 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 Sciences</w:t>
      </w:r>
      <w:r>
        <w:rPr>
          <w:sz w:val="24"/>
        </w:rPr>
        <w:t>, 1, 6, 213-222.</w:t>
      </w:r>
    </w:p>
    <w:p>
      <w:pPr>
        <w:pStyle w:val="BodyText"/>
        <w:spacing w:line="276" w:lineRule="auto" w:before="196"/>
        <w:ind w:left="1711" w:right="1257" w:hanging="721"/>
        <w:jc w:val="both"/>
      </w:pPr>
      <w:r>
        <w:rPr/>
        <w:t>Oladeinde, B. H., Omoregie, R., Osakue, E. O. &amp; Onaiwu, T. O. (2014). Asymptomatic Malaria</w:t>
      </w:r>
      <w:r>
        <w:rPr>
          <w:spacing w:val="1"/>
        </w:rPr>
        <w:t> </w:t>
      </w:r>
      <w:r>
        <w:rPr/>
        <w:t>among</w:t>
      </w:r>
      <w:r>
        <w:rPr>
          <w:spacing w:val="-1"/>
        </w:rPr>
        <w:t> </w:t>
      </w:r>
      <w:r>
        <w:rPr/>
        <w:t>Blood Donors in</w:t>
      </w:r>
      <w:r>
        <w:rPr>
          <w:spacing w:val="2"/>
        </w:rPr>
        <w:t> </w:t>
      </w:r>
      <w:r>
        <w:rPr/>
        <w:t>Benin City</w:t>
      </w:r>
      <w:r>
        <w:rPr>
          <w:spacing w:val="-5"/>
        </w:rPr>
        <w:t> </w:t>
      </w:r>
      <w:r>
        <w:rPr/>
        <w:t>Nigeria. </w:t>
      </w:r>
      <w:r>
        <w:rPr>
          <w:i/>
        </w:rPr>
        <w:t>Iranian</w:t>
      </w:r>
      <w:r>
        <w:rPr>
          <w:i/>
          <w:spacing w:val="-1"/>
        </w:rPr>
        <w:t> </w:t>
      </w:r>
      <w:r>
        <w:rPr>
          <w:i/>
        </w:rPr>
        <w:t>Journal Parasitology</w:t>
      </w:r>
      <w:r>
        <w:rPr/>
        <w:t>, 9, 415-422.</w:t>
      </w:r>
    </w:p>
    <w:p>
      <w:pPr>
        <w:pStyle w:val="BodyText"/>
        <w:spacing w:before="198"/>
        <w:ind w:left="1711" w:right="1253" w:hanging="721"/>
        <w:jc w:val="both"/>
      </w:pPr>
      <w:r>
        <w:rPr/>
        <w:t>Olasehinde, G. I.</w:t>
      </w:r>
      <w:r>
        <w:rPr>
          <w:spacing w:val="1"/>
        </w:rPr>
        <w:t> </w:t>
      </w:r>
      <w:r>
        <w:rPr/>
        <w:t>RI Diji-Geske, R. I., Fadina, I.,</w:t>
      </w:r>
      <w:r>
        <w:rPr>
          <w:spacing w:val="61"/>
        </w:rPr>
        <w:t> </w:t>
      </w:r>
      <w:r>
        <w:rPr/>
        <w:t>Arogundade, D.,</w:t>
      </w:r>
      <w:r>
        <w:rPr>
          <w:spacing w:val="61"/>
        </w:rPr>
        <w:t> </w:t>
      </w:r>
      <w:r>
        <w:rPr/>
        <w:t>Darby, P.,</w:t>
      </w:r>
      <w:r>
        <w:rPr>
          <w:spacing w:val="61"/>
        </w:rPr>
        <w:t> </w:t>
      </w:r>
      <w:r>
        <w:rPr/>
        <w:t>Adeleke, A.,</w:t>
      </w:r>
      <w:r>
        <w:rPr>
          <w:spacing w:val="1"/>
        </w:rPr>
        <w:t> </w:t>
      </w:r>
      <w:r>
        <w:rPr/>
        <w:t>Dokunmu,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Adebayo,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Oyelade,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Epidemiology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Plasmodium</w:t>
      </w:r>
      <w:r>
        <w:rPr>
          <w:spacing w:val="-57"/>
        </w:rPr>
        <w:t> </w:t>
      </w:r>
      <w:r>
        <w:rPr/>
        <w:t>falciparum infection and drug resistance markers in Ota Area, Southwestern Nigeria. </w:t>
      </w:r>
      <w:r>
        <w:rPr>
          <w:i/>
        </w:rPr>
        <w:t>Infection</w:t>
      </w:r>
      <w:r>
        <w:rPr>
          <w:i/>
          <w:spacing w:val="-57"/>
        </w:rPr>
        <w:t> </w:t>
      </w:r>
      <w:r>
        <w:rPr>
          <w:i/>
        </w:rPr>
        <w:t>and</w:t>
      </w:r>
      <w:r>
        <w:rPr>
          <w:i/>
          <w:spacing w:val="-2"/>
        </w:rPr>
        <w:t> </w:t>
      </w:r>
      <w:r>
        <w:rPr>
          <w:i/>
        </w:rPr>
        <w:t>Drug</w:t>
      </w:r>
      <w:r>
        <w:rPr>
          <w:i/>
          <w:spacing w:val="-1"/>
        </w:rPr>
        <w:t> </w:t>
      </w:r>
      <w:r>
        <w:rPr>
          <w:i/>
        </w:rPr>
        <w:t>Resistance</w:t>
      </w:r>
      <w:r>
        <w:rPr/>
        <w:t>, 12,</w:t>
      </w:r>
      <w:r>
        <w:rPr>
          <w:spacing w:val="2"/>
        </w:rPr>
        <w:t> </w:t>
      </w:r>
      <w:r>
        <w:rPr/>
        <w:t>1941–1949.</w:t>
      </w:r>
    </w:p>
    <w:p>
      <w:pPr>
        <w:spacing w:after="0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276" w:lineRule="auto" w:before="72"/>
        <w:ind w:left="1711" w:right="1257" w:hanging="721"/>
        <w:jc w:val="both"/>
      </w:pPr>
      <w:r>
        <w:rPr/>
        <w:t>Olupot</w:t>
      </w:r>
      <w:r>
        <w:rPr>
          <w:rFonts w:ascii="Cambria Math" w:hAnsi="Cambria Math"/>
        </w:rPr>
        <w:t>‑</w:t>
      </w:r>
      <w:r>
        <w:rPr/>
        <w:t>Olupot, P., Emma, I. E., Eregu, Ketty, N., Julie, I., Linda, A. &amp; Kathy, B. (2018). Neonatal</w:t>
      </w:r>
      <w:r>
        <w:rPr>
          <w:spacing w:val="1"/>
        </w:rPr>
        <w:t> </w:t>
      </w:r>
      <w:r>
        <w:rPr/>
        <w:t>and congenital malaria: a case series in malaria endemic eastern Uganda. </w:t>
      </w:r>
      <w:r>
        <w:rPr>
          <w:i/>
        </w:rPr>
        <w:t>Malaria Journal</w:t>
      </w:r>
      <w:r>
        <w:rPr/>
        <w:t>, 17,</w:t>
      </w:r>
      <w:r>
        <w:rPr>
          <w:spacing w:val="-57"/>
        </w:rPr>
        <w:t> </w:t>
      </w:r>
      <w:r>
        <w:rPr/>
        <w:t>171.</w:t>
      </w:r>
    </w:p>
    <w:p>
      <w:pPr>
        <w:spacing w:line="276" w:lineRule="auto" w:before="203"/>
        <w:ind w:left="1711" w:right="1256" w:hanging="721"/>
        <w:jc w:val="both"/>
        <w:rPr>
          <w:sz w:val="24"/>
        </w:rPr>
      </w:pPr>
      <w:r>
        <w:rPr>
          <w:sz w:val="24"/>
        </w:rPr>
        <w:t>Onyesome, I. &amp; Onyemakonor, N. (2011). Levels of parasitaemia and changes in some liver enzymes</w:t>
      </w:r>
      <w:r>
        <w:rPr>
          <w:spacing w:val="-57"/>
          <w:sz w:val="24"/>
        </w:rPr>
        <w:t> </w:t>
      </w:r>
      <w:r>
        <w:rPr>
          <w:sz w:val="24"/>
        </w:rPr>
        <w:t>among malarial infected patients in Edo-Delta region of Nigeria.</w:t>
      </w:r>
      <w:r>
        <w:rPr>
          <w:spacing w:val="60"/>
          <w:sz w:val="24"/>
        </w:rPr>
        <w:t> </w:t>
      </w:r>
      <w:r>
        <w:rPr>
          <w:i/>
          <w:sz w:val="24"/>
        </w:rPr>
        <w:t>Current Research Journals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Biomedical Sciences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3, 78-81.</w:t>
      </w:r>
    </w:p>
    <w:p>
      <w:pPr>
        <w:pStyle w:val="BodyText"/>
        <w:spacing w:before="198"/>
        <w:ind w:left="2162" w:right="1256" w:hanging="1172"/>
        <w:jc w:val="both"/>
      </w:pPr>
      <w:r>
        <w:rPr/>
        <w:t>Pam, V. A., Landan, S., Pam, D. D., Gullek, J. F., Okoro, J., Ogbu, K. I., Bot, C. J. &amp; Akinyer, A.O.</w:t>
      </w:r>
      <w:r>
        <w:rPr>
          <w:spacing w:val="1"/>
        </w:rPr>
        <w:t> </w:t>
      </w:r>
      <w:r>
        <w:rPr/>
        <w:t>(2015). The prevalence of malaria and typhoid co-infection in pregnant women attending</w:t>
      </w:r>
      <w:r>
        <w:rPr>
          <w:spacing w:val="1"/>
        </w:rPr>
        <w:t> </w:t>
      </w:r>
      <w:r>
        <w:rPr/>
        <w:t>antenatal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Wuse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Scientific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Veterinary</w:t>
      </w:r>
      <w:r>
        <w:rPr>
          <w:i/>
          <w:spacing w:val="1"/>
        </w:rPr>
        <w:t> </w:t>
      </w:r>
      <w:r>
        <w:rPr>
          <w:i/>
        </w:rPr>
        <w:t>Advances</w:t>
      </w:r>
      <w:r>
        <w:rPr/>
        <w:t>,</w:t>
      </w:r>
      <w:r>
        <w:rPr>
          <w:spacing w:val="-1"/>
        </w:rPr>
        <w:t> </w:t>
      </w:r>
      <w:r>
        <w:rPr/>
        <w:t>4, 39-50.</w:t>
      </w:r>
    </w:p>
    <w:p>
      <w:pPr>
        <w:pStyle w:val="BodyText"/>
        <w:spacing w:before="200"/>
        <w:ind w:left="1711" w:right="1257" w:hanging="721"/>
        <w:jc w:val="both"/>
      </w:pPr>
      <w:r>
        <w:rPr/>
        <w:t>Perrault, S. D., Hajek, J., Zhong, K., Owino,</w:t>
      </w:r>
      <w:r>
        <w:rPr>
          <w:spacing w:val="1"/>
        </w:rPr>
        <w:t> </w:t>
      </w:r>
      <w:r>
        <w:rPr/>
        <w:t>S. O., Sichangi, M.</w:t>
      </w:r>
      <w:r>
        <w:rPr>
          <w:spacing w:val="1"/>
        </w:rPr>
        <w:t> </w:t>
      </w:r>
      <w:r>
        <w:rPr/>
        <w:t>&amp; Smith, G. (2009). Human</w:t>
      </w:r>
      <w:r>
        <w:rPr>
          <w:spacing w:val="1"/>
        </w:rPr>
        <w:t> </w:t>
      </w:r>
      <w:r>
        <w:rPr/>
        <w:t>immunodeficiency virus co</w:t>
      </w:r>
      <w:r>
        <w:rPr>
          <w:rFonts w:ascii="Cambria Math" w:hAnsi="Cambria Math"/>
        </w:rPr>
        <w:t>‑</w:t>
      </w:r>
      <w:r>
        <w:rPr/>
        <w:t>infection increases placental parasite density and transplacental</w:t>
      </w:r>
      <w:r>
        <w:rPr>
          <w:spacing w:val="1"/>
        </w:rPr>
        <w:t> </w:t>
      </w:r>
      <w:r>
        <w:rPr/>
        <w:t>malaria transmission in Western Kenya. </w:t>
      </w:r>
      <w:r>
        <w:rPr>
          <w:i/>
        </w:rPr>
        <w:t>American Journal of Tropical Medicine and Hygiene</w:t>
      </w:r>
      <w:r>
        <w:rPr/>
        <w:t>,</w:t>
      </w:r>
      <w:r>
        <w:rPr>
          <w:spacing w:val="-57"/>
        </w:rPr>
        <w:t> </w:t>
      </w:r>
      <w:r>
        <w:rPr/>
        <w:t>80, 119–125.</w:t>
      </w:r>
    </w:p>
    <w:p>
      <w:pPr>
        <w:spacing w:line="242" w:lineRule="auto" w:before="201"/>
        <w:ind w:left="1711" w:right="1255" w:hanging="721"/>
        <w:jc w:val="both"/>
        <w:rPr>
          <w:sz w:val="24"/>
        </w:rPr>
      </w:pPr>
      <w:r>
        <w:rPr>
          <w:sz w:val="24"/>
        </w:rPr>
        <w:t>Philips, R.S. (2001). Current status of malaria and potential for control. </w:t>
      </w:r>
      <w:r>
        <w:rPr>
          <w:i/>
          <w:sz w:val="24"/>
        </w:rPr>
        <w:t>Clinical Microbiological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14, 208 -</w:t>
      </w:r>
      <w:r>
        <w:rPr>
          <w:spacing w:val="-1"/>
          <w:sz w:val="24"/>
        </w:rPr>
        <w:t> </w:t>
      </w:r>
      <w:r>
        <w:rPr>
          <w:sz w:val="24"/>
        </w:rPr>
        <w:t>226.</w:t>
      </w:r>
    </w:p>
    <w:p>
      <w:pPr>
        <w:pStyle w:val="BodyText"/>
        <w:spacing w:before="194"/>
        <w:ind w:left="1711" w:right="1254" w:hanging="721"/>
        <w:jc w:val="both"/>
      </w:pPr>
      <w:r>
        <w:rPr/>
        <w:t>Plebanski, M., Carolyn, M. H., Shahriar, B., Katie, L. F., Vasso, A., Robert, E. S. &amp; Adrian, V. S. H.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antigen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sporozoites</w:t>
      </w:r>
      <w:r>
        <w:rPr>
          <w:spacing w:val="61"/>
        </w:rPr>
        <w:t> </w:t>
      </w:r>
      <w:r>
        <w:rPr/>
        <w:t>by</w:t>
      </w:r>
      <w:r>
        <w:rPr>
          <w:spacing w:val="-57"/>
        </w:rPr>
        <w:t> </w:t>
      </w:r>
      <w:r>
        <w:rPr/>
        <w:t>professional antigen-presenting cells in the induction of CD8 T-cell responses.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Immunology</w:t>
      </w:r>
      <w:r>
        <w:rPr>
          <w:i/>
          <w:spacing w:val="-2"/>
        </w:rPr>
        <w:t> </w:t>
      </w:r>
      <w:r>
        <w:rPr>
          <w:i/>
        </w:rPr>
        <w:t>and Cell</w:t>
      </w:r>
      <w:r>
        <w:rPr>
          <w:i/>
          <w:spacing w:val="1"/>
        </w:rPr>
        <w:t> </w:t>
      </w:r>
      <w:r>
        <w:rPr>
          <w:i/>
        </w:rPr>
        <w:t>Biology</w:t>
      </w:r>
      <w:r>
        <w:rPr/>
        <w:t>, 83, 307-312.</w:t>
      </w:r>
    </w:p>
    <w:p>
      <w:pPr>
        <w:spacing w:line="240" w:lineRule="auto" w:before="199"/>
        <w:ind w:left="1711" w:right="1254" w:hanging="721"/>
        <w:jc w:val="both"/>
        <w:rPr>
          <w:sz w:val="24"/>
        </w:rPr>
      </w:pPr>
      <w:r>
        <w:rPr>
          <w:sz w:val="24"/>
        </w:rPr>
        <w:t>Renolds, J. M., El-Bissati, K., Brandenburg, J., Gunzi, A. &amp; Mamoun, C.B. (2007). Antimalarial</w:t>
      </w:r>
      <w:r>
        <w:rPr>
          <w:spacing w:val="1"/>
          <w:sz w:val="24"/>
        </w:rPr>
        <w:t> </w:t>
      </w:r>
      <w:r>
        <w:rPr>
          <w:sz w:val="24"/>
        </w:rPr>
        <w:t>activity of the anticancer and proteasome inhibitor bortezomib and its analog ZL3B. </w:t>
      </w:r>
      <w:r>
        <w:rPr>
          <w:i/>
          <w:sz w:val="24"/>
        </w:rPr>
        <w:t>Bayor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College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Pharmacology Journal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23, 7-13.</w:t>
      </w:r>
    </w:p>
    <w:p>
      <w:pPr>
        <w:spacing w:line="242" w:lineRule="auto" w:before="199"/>
        <w:ind w:left="1711" w:right="1258" w:hanging="721"/>
        <w:jc w:val="both"/>
        <w:rPr>
          <w:sz w:val="24"/>
        </w:rPr>
      </w:pPr>
      <w:r>
        <w:rPr>
          <w:sz w:val="24"/>
        </w:rPr>
        <w:t>Rogerson, S. J., Mwapasa, V. &amp; Meshnick, S. R. (2007). Malaria in pregnancy: linking immunity and</w:t>
      </w:r>
      <w:r>
        <w:rPr>
          <w:spacing w:val="-57"/>
          <w:sz w:val="24"/>
        </w:rPr>
        <w:t> </w:t>
      </w:r>
      <w:r>
        <w:rPr>
          <w:sz w:val="24"/>
        </w:rPr>
        <w:t>pathogenesis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prevention.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Hygiene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77,</w:t>
      </w:r>
      <w:r>
        <w:rPr>
          <w:spacing w:val="-1"/>
          <w:sz w:val="24"/>
        </w:rPr>
        <w:t> </w:t>
      </w:r>
      <w:r>
        <w:rPr>
          <w:sz w:val="24"/>
        </w:rPr>
        <w:t>14-22.</w:t>
      </w:r>
    </w:p>
    <w:p>
      <w:pPr>
        <w:spacing w:line="276" w:lineRule="auto" w:before="199"/>
        <w:ind w:left="1711" w:right="1254" w:hanging="721"/>
        <w:jc w:val="both"/>
        <w:rPr>
          <w:sz w:val="24"/>
        </w:rPr>
      </w:pPr>
      <w:r>
        <w:rPr>
          <w:sz w:val="24"/>
        </w:rPr>
        <w:t>Ross, A., Maire, N., Molineaux, L. &amp; Smith, T. (2006). An epidemiologic model of severe morbidity</w:t>
      </w:r>
      <w:r>
        <w:rPr>
          <w:spacing w:val="1"/>
          <w:sz w:val="24"/>
        </w:rPr>
        <w:t> </w:t>
      </w:r>
      <w:r>
        <w:rPr>
          <w:sz w:val="24"/>
        </w:rPr>
        <w:t>and mortality caused by Plasmodium falciparum. </w:t>
      </w:r>
      <w:r>
        <w:rPr>
          <w:i/>
          <w:sz w:val="24"/>
        </w:rPr>
        <w:t>American Journal of Tropical Medicine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Hygiene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75, 63–73.</w:t>
      </w:r>
    </w:p>
    <w:p>
      <w:pPr>
        <w:pStyle w:val="BodyText"/>
        <w:spacing w:line="242" w:lineRule="auto" w:before="197"/>
        <w:ind w:left="1711" w:right="1257" w:hanging="721"/>
        <w:jc w:val="both"/>
      </w:pPr>
      <w:r>
        <w:rPr/>
        <w:t>Rout, R., Dhangadamajhi, G., Mohapatra, B. N., Kar, S. K. &amp; Ranji, M. (2010). Genetic diversity of</w:t>
      </w:r>
      <w:r>
        <w:rPr>
          <w:spacing w:val="1"/>
        </w:rPr>
        <w:t> </w:t>
      </w:r>
      <w:r>
        <w:rPr/>
        <w:t>PfEMP1-DBL 1- alpha and its association with severe malaria in a hyperendemic state of</w:t>
      </w:r>
      <w:r>
        <w:rPr>
          <w:spacing w:val="1"/>
        </w:rPr>
        <w:t> </w:t>
      </w:r>
      <w:r>
        <w:rPr/>
        <w:t>India. </w:t>
      </w:r>
      <w:r>
        <w:rPr>
          <w:i/>
        </w:rPr>
        <w:t>Asian Pacific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Tropical Medicine</w:t>
      </w:r>
      <w:r>
        <w:rPr/>
        <w:t>, 3,</w:t>
      </w:r>
      <w:r>
        <w:rPr>
          <w:spacing w:val="-1"/>
        </w:rPr>
        <w:t> </w:t>
      </w:r>
      <w:r>
        <w:rPr/>
        <w:t>505-509.</w:t>
      </w:r>
    </w:p>
    <w:p>
      <w:pPr>
        <w:spacing w:line="240" w:lineRule="auto" w:before="192"/>
        <w:ind w:left="1711" w:right="1256" w:hanging="721"/>
        <w:jc w:val="both"/>
        <w:rPr>
          <w:sz w:val="24"/>
        </w:rPr>
      </w:pPr>
      <w:r>
        <w:rPr>
          <w:sz w:val="24"/>
        </w:rPr>
        <w:t>Rowe, J.A., Handel, I.G., Thera, M.A., Deans, A.M., Lyke, K. E. &amp; Kone, A. (2007). Blood group O</w:t>
      </w:r>
      <w:r>
        <w:rPr>
          <w:spacing w:val="1"/>
          <w:sz w:val="24"/>
        </w:rPr>
        <w:t> </w:t>
      </w:r>
      <w:r>
        <w:rPr>
          <w:sz w:val="24"/>
        </w:rPr>
        <w:t>protects against severe </w:t>
      </w:r>
      <w:r>
        <w:rPr>
          <w:i/>
          <w:sz w:val="24"/>
        </w:rPr>
        <w:t>Plasmodium falciparum </w:t>
      </w:r>
      <w:r>
        <w:rPr>
          <w:sz w:val="24"/>
        </w:rPr>
        <w:t>malaria through the mechanism of reduced</w:t>
      </w:r>
      <w:r>
        <w:rPr>
          <w:spacing w:val="1"/>
          <w:sz w:val="24"/>
        </w:rPr>
        <w:t> </w:t>
      </w:r>
      <w:r>
        <w:rPr>
          <w:sz w:val="24"/>
        </w:rPr>
        <w:t>rosetting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Proceedings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National Academy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USA</w:t>
      </w:r>
      <w:r>
        <w:rPr>
          <w:sz w:val="24"/>
        </w:rPr>
        <w:t>, 104, 17471-17476.</w:t>
      </w:r>
    </w:p>
    <w:p>
      <w:pPr>
        <w:pStyle w:val="BodyText"/>
        <w:spacing w:before="199"/>
        <w:ind w:left="1711" w:right="1254" w:hanging="721"/>
        <w:jc w:val="both"/>
      </w:pPr>
      <w:r>
        <w:rPr/>
        <w:t>Sam, W. S. O., Adekunle, N. O., Adeleke, M. A., Dedeke, G. A., Oke, O. A., Abimbola, W. A. &amp;</w:t>
      </w:r>
      <w:r>
        <w:rPr>
          <w:spacing w:val="1"/>
        </w:rPr>
        <w:t> </w:t>
      </w:r>
      <w:r>
        <w:rPr/>
        <w:t>Surakat,</w:t>
      </w:r>
      <w:r>
        <w:rPr>
          <w:spacing w:val="7"/>
        </w:rPr>
        <w:t> </w:t>
      </w:r>
      <w:r>
        <w:rPr/>
        <w:t>O.</w:t>
      </w:r>
      <w:r>
        <w:rPr>
          <w:spacing w:val="7"/>
        </w:rPr>
        <w:t> </w:t>
      </w:r>
      <w:r>
        <w:rPr/>
        <w:t>A.</w:t>
      </w:r>
      <w:r>
        <w:rPr>
          <w:spacing w:val="10"/>
        </w:rPr>
        <w:t> </w:t>
      </w:r>
      <w:r>
        <w:rPr/>
        <w:t>(2014).</w:t>
      </w:r>
      <w:r>
        <w:rPr>
          <w:spacing w:val="7"/>
        </w:rPr>
        <w:t> </w:t>
      </w:r>
      <w:r>
        <w:rPr/>
        <w:t>Epidemiological</w:t>
      </w:r>
      <w:r>
        <w:rPr>
          <w:spacing w:val="14"/>
        </w:rPr>
        <w:t> </w:t>
      </w:r>
      <w:r>
        <w:rPr/>
        <w:t>Factors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Prevalence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Malaria</w:t>
      </w:r>
      <w:r>
        <w:rPr>
          <w:spacing w:val="10"/>
        </w:rPr>
        <w:t> </w:t>
      </w:r>
      <w:r>
        <w:rPr/>
        <w:t>Parasites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Primary</w:t>
      </w:r>
    </w:p>
    <w:p>
      <w:pPr>
        <w:spacing w:after="0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spacing w:line="242" w:lineRule="auto" w:before="72"/>
        <w:ind w:left="1711" w:right="1251" w:firstLine="0"/>
        <w:jc w:val="left"/>
        <w:rPr>
          <w:sz w:val="24"/>
        </w:rPr>
      </w:pPr>
      <w:r>
        <w:rPr>
          <w:sz w:val="24"/>
        </w:rPr>
        <w:t>Health</w:t>
      </w:r>
      <w:r>
        <w:rPr>
          <w:spacing w:val="19"/>
          <w:sz w:val="24"/>
        </w:rPr>
        <w:t> </w:t>
      </w:r>
      <w:r>
        <w:rPr>
          <w:sz w:val="24"/>
        </w:rPr>
        <w:t>Facilities</w:t>
      </w:r>
      <w:r>
        <w:rPr>
          <w:spacing w:val="20"/>
          <w:sz w:val="24"/>
        </w:rPr>
        <w:t> </w:t>
      </w:r>
      <w:r>
        <w:rPr>
          <w:sz w:val="24"/>
        </w:rPr>
        <w:t>Attendees,</w:t>
      </w:r>
      <w:r>
        <w:rPr>
          <w:spacing w:val="19"/>
          <w:sz w:val="24"/>
        </w:rPr>
        <w:t> </w:t>
      </w:r>
      <w:r>
        <w:rPr>
          <w:sz w:val="24"/>
        </w:rPr>
        <w:t>Ogun</w:t>
      </w:r>
      <w:r>
        <w:rPr>
          <w:spacing w:val="20"/>
          <w:sz w:val="24"/>
        </w:rPr>
        <w:t> </w:t>
      </w:r>
      <w:r>
        <w:rPr>
          <w:sz w:val="24"/>
        </w:rPr>
        <w:t>State,</w:t>
      </w:r>
      <w:r>
        <w:rPr>
          <w:spacing w:val="19"/>
          <w:sz w:val="24"/>
        </w:rPr>
        <w:t> </w:t>
      </w:r>
      <w:r>
        <w:rPr>
          <w:sz w:val="24"/>
        </w:rPr>
        <w:t>Nigeria.</w:t>
      </w:r>
      <w:r>
        <w:rPr>
          <w:spacing w:val="2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Malaria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Chemotherapy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Elimination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3, 111-117.</w:t>
      </w:r>
    </w:p>
    <w:p>
      <w:pPr>
        <w:pStyle w:val="BodyText"/>
        <w:spacing w:line="276" w:lineRule="auto" w:before="196"/>
        <w:ind w:left="1711" w:right="1257" w:hanging="721"/>
        <w:jc w:val="both"/>
      </w:pPr>
      <w:r>
        <w:rPr/>
        <w:t>Sarah, J. H., Kevin, C. K. &amp; Conrad, L. W. (2011). Immunopathogenesis of fulciparum malaria:</w:t>
      </w:r>
      <w:r>
        <w:rPr>
          <w:spacing w:val="1"/>
        </w:rPr>
        <w:t> </w:t>
      </w:r>
      <w:r>
        <w:rPr/>
        <w:t>implications for adjunctive therapy in the management of severe and cerebral malaria. </w:t>
      </w:r>
      <w:r>
        <w:rPr>
          <w:i/>
        </w:rPr>
        <w:t>Expert</w:t>
      </w:r>
      <w:r>
        <w:rPr>
          <w:i/>
          <w:spacing w:val="1"/>
        </w:rPr>
        <w:t> </w:t>
      </w:r>
      <w:r>
        <w:rPr>
          <w:i/>
        </w:rPr>
        <w:t>Review</w:t>
      </w:r>
      <w:r>
        <w:rPr>
          <w:i/>
          <w:spacing w:val="-1"/>
        </w:rPr>
        <w:t> </w:t>
      </w:r>
      <w:r>
        <w:rPr>
          <w:i/>
        </w:rPr>
        <w:t>of Anti-infective</w:t>
      </w:r>
      <w:r>
        <w:rPr>
          <w:i/>
          <w:spacing w:val="1"/>
        </w:rPr>
        <w:t> </w:t>
      </w:r>
      <w:r>
        <w:rPr>
          <w:i/>
        </w:rPr>
        <w:t>Therapy</w:t>
      </w:r>
      <w:r>
        <w:rPr/>
        <w:t>, 9, 803-819.</w:t>
      </w:r>
    </w:p>
    <w:p>
      <w:pPr>
        <w:pStyle w:val="BodyText"/>
        <w:spacing w:line="276" w:lineRule="auto" w:before="200"/>
        <w:ind w:left="1711" w:right="1256" w:hanging="721"/>
        <w:jc w:val="both"/>
      </w:pPr>
      <w:r>
        <w:rPr/>
        <w:t>Sturm, A., Amino, R., Van de S., Regen, T., Retzlaff, S., Rennenberg, A., Krueger, A., Pollok, J. M.,</w:t>
      </w:r>
      <w:r>
        <w:rPr>
          <w:spacing w:val="1"/>
        </w:rPr>
        <w:t> </w:t>
      </w:r>
      <w:r>
        <w:rPr/>
        <w:t>Menard,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Heussler,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Manipulation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hepatocytes</w:t>
      </w:r>
      <w:r>
        <w:rPr>
          <w:spacing w:val="1"/>
        </w:rPr>
        <w:t> </w:t>
      </w:r>
      <w:r>
        <w:rPr/>
        <w:t>by the</w:t>
      </w:r>
      <w:r>
        <w:rPr>
          <w:spacing w:val="60"/>
        </w:rPr>
        <w:t> </w:t>
      </w:r>
      <w:r>
        <w:rPr/>
        <w:t>malaria</w:t>
      </w:r>
      <w:r>
        <w:rPr>
          <w:spacing w:val="1"/>
        </w:rPr>
        <w:t> </w:t>
      </w:r>
      <w:r>
        <w:rPr/>
        <w:t>parasite</w:t>
      </w:r>
      <w:r>
        <w:rPr>
          <w:spacing w:val="-2"/>
        </w:rPr>
        <w:t> </w:t>
      </w:r>
      <w:r>
        <w:rPr/>
        <w:t>for delivery</w:t>
      </w:r>
      <w:r>
        <w:rPr>
          <w:spacing w:val="-5"/>
        </w:rPr>
        <w:t> </w:t>
      </w:r>
      <w:r>
        <w:rPr/>
        <w:t>into</w:t>
      </w:r>
      <w:r>
        <w:rPr>
          <w:spacing w:val="2"/>
        </w:rPr>
        <w:t> </w:t>
      </w:r>
      <w:r>
        <w:rPr/>
        <w:t>liver sinusoids.</w:t>
      </w:r>
      <w:r>
        <w:rPr>
          <w:spacing w:val="3"/>
        </w:rPr>
        <w:t> </w:t>
      </w:r>
      <w:r>
        <w:rPr>
          <w:i/>
        </w:rPr>
        <w:t>Science</w:t>
      </w:r>
      <w:r>
        <w:rPr/>
        <w:t>,</w:t>
      </w:r>
      <w:r>
        <w:rPr>
          <w:spacing w:val="1"/>
        </w:rPr>
        <w:t> </w:t>
      </w:r>
      <w:r>
        <w:rPr/>
        <w:t>313, 1287-1290.</w:t>
      </w:r>
    </w:p>
    <w:p>
      <w:pPr>
        <w:spacing w:line="278" w:lineRule="auto" w:before="200"/>
        <w:ind w:left="1711" w:right="1255" w:hanging="721"/>
        <w:jc w:val="both"/>
        <w:rPr>
          <w:sz w:val="24"/>
        </w:rPr>
      </w:pPr>
      <w:r>
        <w:rPr>
          <w:sz w:val="24"/>
        </w:rPr>
        <w:t>Tangpukdee N, Duangdee C, Wilairatana P. &amp; Krudsood, S. (2009). Malaria Diagnosis: a brief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Korean journal of parasitology</w:t>
      </w:r>
      <w:r>
        <w:rPr>
          <w:sz w:val="24"/>
        </w:rPr>
        <w:t>, 47, 93-102.</w:t>
      </w:r>
    </w:p>
    <w:p>
      <w:pPr>
        <w:spacing w:line="240" w:lineRule="auto" w:before="193"/>
        <w:ind w:left="1711" w:right="1258" w:hanging="721"/>
        <w:jc w:val="both"/>
        <w:rPr>
          <w:sz w:val="24"/>
        </w:rPr>
      </w:pPr>
      <w:r>
        <w:rPr>
          <w:sz w:val="24"/>
        </w:rPr>
        <w:t>Tangpukdee, N., Wai, K. M., Muangnoicharoen, S., Kano, S., Phophak, N. &amp; Tiemprasert, J. (2010).</w:t>
      </w:r>
      <w:r>
        <w:rPr>
          <w:spacing w:val="1"/>
          <w:sz w:val="24"/>
        </w:rPr>
        <w:t> </w:t>
      </w:r>
      <w:r>
        <w:rPr>
          <w:sz w:val="24"/>
        </w:rPr>
        <w:t>Indicators of fatal outcome in severe </w:t>
      </w:r>
      <w:r>
        <w:rPr>
          <w:i/>
          <w:sz w:val="24"/>
        </w:rPr>
        <w:t>Plasmodium falciparum </w:t>
      </w:r>
      <w:r>
        <w:rPr>
          <w:sz w:val="24"/>
        </w:rPr>
        <w:t>malaria: a study in a tertiary-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hospital in Thailand.</w:t>
      </w:r>
      <w:r>
        <w:rPr>
          <w:spacing w:val="2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Pacific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3, 855-859.</w:t>
      </w:r>
    </w:p>
    <w:p>
      <w:pPr>
        <w:pStyle w:val="BodyText"/>
        <w:spacing w:line="276" w:lineRule="auto" w:before="204"/>
        <w:ind w:left="1711" w:right="1258" w:hanging="721"/>
        <w:jc w:val="both"/>
      </w:pPr>
      <w:r>
        <w:rPr/>
        <w:t>Tela, I. A., Modibbo, M. H., Adamu, L. H. &amp; Taura, M. G. (2015). Prevalence Of Malaria Infection</w:t>
      </w:r>
      <w:r>
        <w:rPr>
          <w:spacing w:val="1"/>
        </w:rPr>
        <w:t> </w:t>
      </w:r>
      <w:r>
        <w:rPr/>
        <w:t>Among</w:t>
      </w:r>
      <w:r>
        <w:rPr>
          <w:spacing w:val="-4"/>
        </w:rPr>
        <w:t> </w:t>
      </w:r>
      <w:r>
        <w:rPr/>
        <w:t>ABO Blood</w:t>
      </w:r>
      <w:r>
        <w:rPr>
          <w:spacing w:val="-2"/>
        </w:rPr>
        <w:t> </w:t>
      </w:r>
      <w:r>
        <w:rPr/>
        <w:t>Groups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Jama’are,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/>
        <w:t>1,</w:t>
      </w:r>
      <w:r>
        <w:rPr>
          <w:spacing w:val="-1"/>
        </w:rPr>
        <w:t> </w:t>
      </w:r>
      <w:r>
        <w:rPr/>
        <w:t>255-262.</w:t>
      </w:r>
    </w:p>
    <w:p>
      <w:pPr>
        <w:spacing w:line="240" w:lineRule="auto" w:before="196"/>
        <w:ind w:left="1711" w:right="1254" w:hanging="721"/>
        <w:jc w:val="both"/>
        <w:rPr>
          <w:sz w:val="24"/>
        </w:rPr>
      </w:pPr>
      <w:r>
        <w:rPr>
          <w:sz w:val="24"/>
        </w:rPr>
        <w:t>Tewodros, Z., Abraham, D. &amp; Berhanu, E. (2011). Association of ABO blood group and Plasmodium</w:t>
      </w:r>
      <w:r>
        <w:rPr>
          <w:spacing w:val="-57"/>
          <w:sz w:val="24"/>
        </w:rPr>
        <w:t> </w:t>
      </w:r>
      <w:r>
        <w:rPr>
          <w:sz w:val="24"/>
        </w:rPr>
        <w:t>falciparum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Dore</w:t>
      </w:r>
      <w:r>
        <w:rPr>
          <w:spacing w:val="1"/>
          <w:sz w:val="24"/>
        </w:rPr>
        <w:t> </w:t>
      </w:r>
      <w:r>
        <w:rPr>
          <w:sz w:val="24"/>
        </w:rPr>
        <w:t>Bafeno</w:t>
      </w:r>
      <w:r>
        <w:rPr>
          <w:spacing w:val="1"/>
          <w:sz w:val="24"/>
        </w:rPr>
        <w:t> </w:t>
      </w:r>
      <w:r>
        <w:rPr>
          <w:sz w:val="24"/>
        </w:rPr>
        <w:t>Area,</w:t>
      </w:r>
      <w:r>
        <w:rPr>
          <w:spacing w:val="1"/>
          <w:sz w:val="24"/>
        </w:rPr>
        <w:t> </w:t>
      </w:r>
      <w:r>
        <w:rPr>
          <w:sz w:val="24"/>
        </w:rPr>
        <w:t>Southern</w:t>
      </w:r>
      <w:r>
        <w:rPr>
          <w:spacing w:val="1"/>
          <w:sz w:val="24"/>
        </w:rPr>
        <w:t> </w:t>
      </w:r>
      <w:r>
        <w:rPr>
          <w:sz w:val="24"/>
        </w:rPr>
        <w:t>Ethiopia.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Pacific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Biomedicine, </w:t>
      </w:r>
      <w:r>
        <w:rPr>
          <w:sz w:val="24"/>
        </w:rPr>
        <w:t>1, 289-294</w:t>
      </w:r>
    </w:p>
    <w:p>
      <w:pPr>
        <w:spacing w:line="276" w:lineRule="auto" w:before="204"/>
        <w:ind w:left="1711" w:right="1253" w:hanging="721"/>
        <w:jc w:val="both"/>
        <w:rPr>
          <w:sz w:val="24"/>
        </w:rPr>
      </w:pPr>
      <w:r>
        <w:rPr>
          <w:sz w:val="24"/>
        </w:rPr>
        <w:t>Tusting, L. S., Bousema, T., Smith, D. L. &amp; Drakeley, C. (2014) Measuring changes in </w:t>
      </w:r>
      <w:r>
        <w:rPr>
          <w:i/>
          <w:sz w:val="24"/>
        </w:rPr>
        <w:t>Plasmodium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falciparum </w:t>
      </w:r>
      <w:r>
        <w:rPr>
          <w:sz w:val="24"/>
        </w:rPr>
        <w:t>transmission: precision, accuracy and costs of metrics. </w:t>
      </w:r>
      <w:r>
        <w:rPr>
          <w:i/>
          <w:sz w:val="24"/>
        </w:rPr>
        <w:t>Advances </w:t>
      </w:r>
      <w:r>
        <w:rPr>
          <w:sz w:val="24"/>
        </w:rPr>
        <w:t>in </w:t>
      </w:r>
      <w:r>
        <w:rPr>
          <w:i/>
          <w:sz w:val="24"/>
        </w:rPr>
        <w:t>parasitology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84,</w:t>
      </w:r>
      <w:r>
        <w:rPr>
          <w:spacing w:val="-1"/>
          <w:sz w:val="24"/>
        </w:rPr>
        <w:t> </w:t>
      </w:r>
      <w:r>
        <w:rPr>
          <w:sz w:val="24"/>
        </w:rPr>
        <w:t>151-208.</w:t>
      </w:r>
    </w:p>
    <w:p>
      <w:pPr>
        <w:spacing w:line="242" w:lineRule="auto" w:before="198"/>
        <w:ind w:left="1711" w:right="1251" w:hanging="721"/>
        <w:jc w:val="both"/>
        <w:rPr>
          <w:sz w:val="24"/>
        </w:rPr>
      </w:pPr>
      <w:r>
        <w:rPr>
          <w:sz w:val="24"/>
        </w:rPr>
        <w:t>Tuteja, R. (2007). Malaria - an overview. </w:t>
      </w:r>
      <w:r>
        <w:rPr>
          <w:i/>
          <w:sz w:val="24"/>
        </w:rPr>
        <w:t>The Federation of European Biochemical Societies Journal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274, 4670–4679.</w:t>
      </w:r>
    </w:p>
    <w:p>
      <w:pPr>
        <w:pStyle w:val="BodyText"/>
        <w:spacing w:before="193"/>
        <w:ind w:left="2162" w:right="1257" w:hanging="1172"/>
        <w:jc w:val="both"/>
      </w:pPr>
      <w:r>
        <w:rPr/>
        <w:t>Ughasoro, M. D., Okafor, H. U. &amp; Okoli, C. C. (2013).</w:t>
      </w:r>
      <w:r>
        <w:rPr>
          <w:spacing w:val="1"/>
        </w:rPr>
        <w:t> </w:t>
      </w:r>
      <w:r>
        <w:rPr/>
        <w:t>Malaria diagnosis and treatment amongst</w:t>
      </w:r>
      <w:r>
        <w:rPr>
          <w:spacing w:val="1"/>
        </w:rPr>
        <w:t> </w:t>
      </w:r>
      <w:r>
        <w:rPr/>
        <w:t>health workers in University of Nigeria Teaching Hospital Enugu, Nigeria, Nigerian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Clinical Practice</w:t>
      </w:r>
      <w:r>
        <w:rPr/>
        <w:t>, 16, 329 –333.</w:t>
      </w:r>
    </w:p>
    <w:p>
      <w:pPr>
        <w:pStyle w:val="BodyText"/>
        <w:spacing w:line="242" w:lineRule="auto" w:before="200"/>
        <w:ind w:left="1711" w:right="1257" w:hanging="721"/>
        <w:jc w:val="both"/>
      </w:pPr>
      <w:r>
        <w:rPr/>
        <w:t>Umma, I. A., Robinson, W. D., Jamilu, F. A. &amp; Gwarzo, G. D. (2017).</w:t>
      </w:r>
      <w:r>
        <w:rPr>
          <w:spacing w:val="1"/>
        </w:rPr>
        <w:t> </w:t>
      </w:r>
      <w:r>
        <w:rPr/>
        <w:t>Prevalence of malaria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febrile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malnutrition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Northwestern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Nigerian Journal</w:t>
      </w:r>
      <w:r>
        <w:rPr>
          <w:i/>
          <w:spacing w:val="1"/>
        </w:rPr>
        <w:t> </w:t>
      </w:r>
      <w:r>
        <w:rPr>
          <w:i/>
        </w:rPr>
        <w:t>of Basic</w:t>
      </w:r>
      <w:r>
        <w:rPr>
          <w:i/>
          <w:spacing w:val="-2"/>
        </w:rPr>
        <w:t> </w:t>
      </w:r>
      <w:r>
        <w:rPr>
          <w:i/>
        </w:rPr>
        <w:t>and Clinical Sciences, </w:t>
      </w:r>
      <w:r>
        <w:rPr/>
        <w:t>14,</w:t>
      </w:r>
      <w:r>
        <w:rPr>
          <w:spacing w:val="-1"/>
        </w:rPr>
        <w:t> </w:t>
      </w:r>
      <w:r>
        <w:rPr/>
        <w:t>113-116.</w:t>
      </w:r>
    </w:p>
    <w:p>
      <w:pPr>
        <w:pStyle w:val="BodyText"/>
        <w:spacing w:line="242" w:lineRule="auto" w:before="194"/>
        <w:ind w:left="1711" w:right="1260" w:hanging="721"/>
        <w:jc w:val="both"/>
      </w:pPr>
      <w:r>
        <w:rPr/>
        <w:t>Uneke,</w:t>
      </w:r>
      <w:r>
        <w:rPr>
          <w:spacing w:val="13"/>
        </w:rPr>
        <w:t> </w:t>
      </w:r>
      <w:r>
        <w:rPr/>
        <w:t>C.</w:t>
      </w:r>
      <w:r>
        <w:rPr>
          <w:spacing w:val="14"/>
        </w:rPr>
        <w:t> </w:t>
      </w:r>
      <w:r>
        <w:rPr/>
        <w:t>J.,</w:t>
      </w:r>
      <w:r>
        <w:rPr>
          <w:spacing w:val="14"/>
        </w:rPr>
        <w:t> </w:t>
      </w:r>
      <w:r>
        <w:rPr/>
        <w:t>Ogbu,</w:t>
      </w:r>
      <w:r>
        <w:rPr>
          <w:spacing w:val="16"/>
        </w:rPr>
        <w:t> </w:t>
      </w:r>
      <w:r>
        <w:rPr/>
        <w:t>O.</w:t>
      </w:r>
      <w:r>
        <w:rPr>
          <w:spacing w:val="16"/>
        </w:rPr>
        <w:t> </w:t>
      </w:r>
      <w:r>
        <w:rPr/>
        <w:t>&amp;</w:t>
      </w:r>
      <w:r>
        <w:rPr>
          <w:spacing w:val="12"/>
        </w:rPr>
        <w:t> </w:t>
      </w:r>
      <w:r>
        <w:rPr/>
        <w:t>Nwojiji,</w:t>
      </w:r>
      <w:r>
        <w:rPr>
          <w:spacing w:val="14"/>
        </w:rPr>
        <w:t> </w:t>
      </w:r>
      <w:r>
        <w:rPr/>
        <w:t>V.</w:t>
      </w:r>
      <w:r>
        <w:rPr>
          <w:spacing w:val="13"/>
        </w:rPr>
        <w:t> </w:t>
      </w:r>
      <w:r>
        <w:rPr/>
        <w:t>(2006).</w:t>
      </w:r>
      <w:r>
        <w:rPr>
          <w:spacing w:val="16"/>
        </w:rPr>
        <w:t> </w:t>
      </w:r>
      <w:r>
        <w:rPr/>
        <w:t>Potential</w:t>
      </w:r>
      <w:r>
        <w:rPr>
          <w:spacing w:val="14"/>
        </w:rPr>
        <w:t> </w:t>
      </w:r>
      <w:r>
        <w:rPr/>
        <w:t>risk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induced</w:t>
      </w:r>
      <w:r>
        <w:rPr>
          <w:spacing w:val="16"/>
        </w:rPr>
        <w:t> </w:t>
      </w:r>
      <w:r>
        <w:rPr/>
        <w:t>malaria</w:t>
      </w:r>
      <w:r>
        <w:rPr>
          <w:spacing w:val="12"/>
        </w:rPr>
        <w:t> </w:t>
      </w:r>
      <w:r>
        <w:rPr/>
        <w:t>by</w:t>
      </w:r>
      <w:r>
        <w:rPr>
          <w:spacing w:val="11"/>
        </w:rPr>
        <w:t> </w:t>
      </w:r>
      <w:r>
        <w:rPr/>
        <w:t>blood</w:t>
      </w:r>
      <w:r>
        <w:rPr>
          <w:spacing w:val="14"/>
        </w:rPr>
        <w:t> </w:t>
      </w:r>
      <w:r>
        <w:rPr/>
        <w:t>transfusion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South-eastern Nigeria.</w:t>
      </w:r>
      <w:r>
        <w:rPr>
          <w:spacing w:val="3"/>
        </w:rPr>
        <w:t> </w:t>
      </w:r>
      <w:r>
        <w:rPr>
          <w:i/>
        </w:rPr>
        <w:t>Mcgill Journal of</w:t>
      </w:r>
      <w:r>
        <w:rPr>
          <w:i/>
          <w:spacing w:val="-1"/>
        </w:rPr>
        <w:t> </w:t>
      </w:r>
      <w:r>
        <w:rPr>
          <w:i/>
        </w:rPr>
        <w:t>Medicine, </w:t>
      </w:r>
      <w:r>
        <w:rPr/>
        <w:t>9, 8-13.</w:t>
      </w:r>
    </w:p>
    <w:p>
      <w:pPr>
        <w:spacing w:line="276" w:lineRule="auto" w:before="196"/>
        <w:ind w:left="1711" w:right="1255" w:hanging="721"/>
        <w:jc w:val="both"/>
        <w:rPr>
          <w:sz w:val="24"/>
        </w:rPr>
      </w:pPr>
      <w:r>
        <w:rPr>
          <w:sz w:val="24"/>
        </w:rPr>
        <w:t>Uneke, C. J. (2011). Congenital malaria: An Overview. </w:t>
      </w:r>
      <w:r>
        <w:rPr>
          <w:i/>
          <w:sz w:val="24"/>
        </w:rPr>
        <w:t>Tanzania Journal of Health Research</w:t>
      </w:r>
      <w:r>
        <w:rPr>
          <w:sz w:val="24"/>
        </w:rPr>
        <w:t>, 13, 1-</w:t>
      </w:r>
      <w:r>
        <w:rPr>
          <w:spacing w:val="1"/>
          <w:sz w:val="24"/>
        </w:rPr>
        <w:t> </w:t>
      </w:r>
      <w:r>
        <w:rPr>
          <w:sz w:val="24"/>
        </w:rPr>
        <w:t>18.</w:t>
      </w:r>
    </w:p>
    <w:p>
      <w:pPr>
        <w:pStyle w:val="BodyText"/>
        <w:spacing w:line="276" w:lineRule="auto" w:before="200"/>
        <w:ind w:left="1711" w:right="1257" w:hanging="721"/>
        <w:jc w:val="both"/>
      </w:pPr>
      <w:r>
        <w:rPr/>
        <w:t>Valea, I.,</w:t>
      </w:r>
      <w:r>
        <w:rPr>
          <w:spacing w:val="61"/>
        </w:rPr>
        <w:t> </w:t>
      </w:r>
      <w:r>
        <w:rPr/>
        <w:t>Halidou T.,   Maxime, K. D., Lieven, H., Hermann,   S., Jean-Bosco, O., Robert, T. G.,</w:t>
      </w:r>
      <w:r>
        <w:rPr>
          <w:spacing w:val="1"/>
        </w:rPr>
        <w:t> </w:t>
      </w:r>
      <w:r>
        <w:rPr/>
        <w:t>Jean,</w:t>
      </w:r>
      <w:r>
        <w:rPr>
          <w:spacing w:val="-1"/>
        </w:rPr>
        <w:t> </w:t>
      </w:r>
      <w:r>
        <w:rPr/>
        <w:t>Pierre, v.</w:t>
      </w:r>
      <w:r>
        <w:rPr>
          <w:spacing w:val="2"/>
        </w:rPr>
        <w:t> </w:t>
      </w:r>
      <w:r>
        <w:rPr/>
        <w:t>G.,  Patrick, K.</w:t>
      </w:r>
      <w:r>
        <w:rPr>
          <w:spacing w:val="4"/>
        </w:rPr>
        <w:t> </w:t>
      </w:r>
      <w:r>
        <w:rPr/>
        <w:t>&amp;</w:t>
      </w:r>
      <w:r>
        <w:rPr>
          <w:spacing w:val="-2"/>
        </w:rPr>
        <w:t> </w:t>
      </w:r>
      <w:r>
        <w:rPr/>
        <w:t>Umberto, A.</w:t>
      </w:r>
      <w:r>
        <w:rPr>
          <w:spacing w:val="2"/>
        </w:rPr>
        <w:t> </w:t>
      </w:r>
      <w:r>
        <w:rPr/>
        <w:t>(2012). An analysis of timing</w:t>
      </w:r>
      <w:r>
        <w:rPr>
          <w:spacing w:val="-1"/>
        </w:rPr>
        <w:t> </w:t>
      </w:r>
      <w:r>
        <w:rPr/>
        <w:t>and frequency</w:t>
      </w:r>
      <w:r>
        <w:rPr>
          <w:spacing w:val="-5"/>
        </w:rPr>
        <w:t> </w:t>
      </w:r>
      <w:r>
        <w:rPr/>
        <w:t>of</w:t>
      </w:r>
    </w:p>
    <w:p>
      <w:pPr>
        <w:spacing w:after="0" w:line="276" w:lineRule="auto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spacing w:line="276" w:lineRule="auto" w:before="74"/>
        <w:ind w:left="1711" w:right="1260"/>
      </w:pPr>
      <w:r>
        <w:rPr/>
        <w:t>malaria</w:t>
      </w:r>
      <w:r>
        <w:rPr>
          <w:spacing w:val="26"/>
        </w:rPr>
        <w:t> </w:t>
      </w:r>
      <w:r>
        <w:rPr/>
        <w:t>infection</w:t>
      </w:r>
      <w:r>
        <w:rPr>
          <w:spacing w:val="28"/>
        </w:rPr>
        <w:t> </w:t>
      </w:r>
      <w:r>
        <w:rPr/>
        <w:t>during</w:t>
      </w:r>
      <w:r>
        <w:rPr>
          <w:spacing w:val="30"/>
        </w:rPr>
        <w:t> </w:t>
      </w:r>
      <w:r>
        <w:rPr/>
        <w:t>pregnancy</w:t>
      </w:r>
      <w:r>
        <w:rPr>
          <w:spacing w:val="22"/>
        </w:rPr>
        <w:t> </w:t>
      </w:r>
      <w:r>
        <w:rPr/>
        <w:t>in</w:t>
      </w:r>
      <w:r>
        <w:rPr>
          <w:spacing w:val="31"/>
        </w:rPr>
        <w:t> </w:t>
      </w:r>
      <w:r>
        <w:rPr/>
        <w:t>relation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risk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low</w:t>
      </w:r>
      <w:r>
        <w:rPr>
          <w:spacing w:val="29"/>
        </w:rPr>
        <w:t> </w:t>
      </w:r>
      <w:r>
        <w:rPr/>
        <w:t>birth</w:t>
      </w:r>
      <w:r>
        <w:rPr>
          <w:spacing w:val="31"/>
        </w:rPr>
        <w:t> </w:t>
      </w:r>
      <w:r>
        <w:rPr/>
        <w:t>weight,</w:t>
      </w:r>
      <w:r>
        <w:rPr>
          <w:spacing w:val="31"/>
        </w:rPr>
        <w:t> </w:t>
      </w:r>
      <w:r>
        <w:rPr/>
        <w:t>anaemia</w:t>
      </w:r>
      <w:r>
        <w:rPr>
          <w:spacing w:val="29"/>
        </w:rPr>
        <w:t> </w:t>
      </w:r>
      <w:r>
        <w:rPr/>
        <w:t>and</w:t>
      </w:r>
      <w:r>
        <w:rPr>
          <w:spacing w:val="-57"/>
        </w:rPr>
        <w:t> </w:t>
      </w:r>
      <w:r>
        <w:rPr/>
        <w:t>perinatal</w:t>
      </w:r>
      <w:r>
        <w:rPr>
          <w:spacing w:val="-1"/>
        </w:rPr>
        <w:t> </w:t>
      </w:r>
      <w:r>
        <w:rPr/>
        <w:t>mortality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Burkina Faso.</w:t>
      </w:r>
      <w:r>
        <w:rPr>
          <w:spacing w:val="1"/>
        </w:rPr>
        <w:t> </w:t>
      </w:r>
      <w:r>
        <w:rPr>
          <w:i/>
        </w:rPr>
        <w:t>Malaria Journal</w:t>
      </w:r>
      <w:r>
        <w:rPr/>
        <w:t>, 11, 71.</w:t>
      </w:r>
    </w:p>
    <w:p>
      <w:pPr>
        <w:pStyle w:val="BodyText"/>
        <w:spacing w:before="198"/>
        <w:ind w:left="1711" w:right="1254" w:hanging="721"/>
        <w:jc w:val="both"/>
      </w:pPr>
      <w:r>
        <w:rPr/>
        <w:t>Van der Heyde,</w:t>
      </w:r>
      <w:r>
        <w:rPr>
          <w:spacing w:val="1"/>
        </w:rPr>
        <w:t> </w:t>
      </w:r>
      <w:r>
        <w:rPr/>
        <w:t>H. C.,</w:t>
      </w:r>
      <w:r>
        <w:rPr>
          <w:spacing w:val="1"/>
        </w:rPr>
        <w:t> </w:t>
      </w:r>
      <w:r>
        <w:rPr/>
        <w:t>Nolan, J., Combes, V., Gramaglia.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&amp; Grau, G. E.</w:t>
      </w:r>
      <w:r>
        <w:rPr>
          <w:spacing w:val="1"/>
        </w:rPr>
        <w:t> </w:t>
      </w:r>
      <w:r>
        <w:rPr/>
        <w:t>(2006). A unified</w:t>
      </w:r>
      <w:r>
        <w:rPr>
          <w:spacing w:val="1"/>
        </w:rPr>
        <w:t> </w:t>
      </w:r>
      <w:r>
        <w:rPr/>
        <w:t>hypothesis for the genesis of cerebral malaria: sequestration, inflammation and hemostasis</w:t>
      </w:r>
      <w:r>
        <w:rPr>
          <w:spacing w:val="1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 microcirculatory</w:t>
      </w:r>
      <w:r>
        <w:rPr>
          <w:spacing w:val="-5"/>
        </w:rPr>
        <w:t> </w:t>
      </w:r>
      <w:r>
        <w:rPr/>
        <w:t>dysfunction.</w:t>
      </w:r>
      <w:r>
        <w:rPr>
          <w:spacing w:val="2"/>
        </w:rPr>
        <w:t> </w:t>
      </w:r>
      <w:r>
        <w:rPr>
          <w:i/>
        </w:rPr>
        <w:t>Trends in Parasitology,</w:t>
      </w:r>
      <w:r>
        <w:rPr>
          <w:i/>
          <w:spacing w:val="-1"/>
        </w:rPr>
        <w:t> </w:t>
      </w:r>
      <w:r>
        <w:rPr/>
        <w:t>22, 503-508.</w:t>
      </w:r>
    </w:p>
    <w:p>
      <w:pPr>
        <w:spacing w:line="240" w:lineRule="auto" w:before="200"/>
        <w:ind w:left="1711" w:right="1254" w:hanging="721"/>
        <w:jc w:val="both"/>
        <w:rPr>
          <w:sz w:val="24"/>
        </w:rPr>
      </w:pPr>
      <w:r>
        <w:rPr>
          <w:sz w:val="24"/>
        </w:rPr>
        <w:t>Vanhauwere,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Maradit,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Kerr,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marketing</w:t>
      </w:r>
      <w:r>
        <w:rPr>
          <w:spacing w:val="1"/>
          <w:sz w:val="24"/>
        </w:rPr>
        <w:t> </w:t>
      </w:r>
      <w:r>
        <w:rPr>
          <w:sz w:val="24"/>
        </w:rPr>
        <w:t>surveillance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prophylactic</w:t>
      </w:r>
      <w:r>
        <w:rPr>
          <w:spacing w:val="1"/>
          <w:sz w:val="24"/>
        </w:rPr>
        <w:t> </w:t>
      </w:r>
      <w:r>
        <w:rPr>
          <w:sz w:val="24"/>
        </w:rPr>
        <w:t>mefloquine use in pregnancy. </w:t>
      </w:r>
      <w:r>
        <w:rPr>
          <w:i/>
          <w:sz w:val="24"/>
        </w:rPr>
        <w:t>American Journal of Tropical Medicine and Hygiene</w:t>
      </w:r>
      <w:r>
        <w:rPr>
          <w:sz w:val="24"/>
        </w:rPr>
        <w:t>, 19, 17-</w:t>
      </w:r>
      <w:r>
        <w:rPr>
          <w:spacing w:val="1"/>
          <w:sz w:val="24"/>
        </w:rPr>
        <w:t> </w:t>
      </w:r>
      <w:r>
        <w:rPr>
          <w:sz w:val="24"/>
        </w:rPr>
        <w:t>21.</w:t>
      </w:r>
    </w:p>
    <w:p>
      <w:pPr>
        <w:pStyle w:val="BodyText"/>
        <w:spacing w:line="278" w:lineRule="auto" w:before="201"/>
        <w:ind w:left="1711" w:right="1253" w:hanging="721"/>
        <w:jc w:val="both"/>
      </w:pPr>
      <w:r>
        <w:rPr/>
        <w:t>Verra, F., Andrea, A., Elisa, M., Giovanni, Giorli, Francesca, P. &amp; Zeno, B. (2018). A systematic</w:t>
      </w:r>
      <w:r>
        <w:rPr>
          <w:spacing w:val="1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 transfusion-transmitted</w:t>
      </w:r>
      <w:r>
        <w:rPr>
          <w:spacing w:val="-1"/>
        </w:rPr>
        <w:t> </w:t>
      </w:r>
      <w:r>
        <w:rPr/>
        <w:t>malaria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non-endemic</w:t>
      </w:r>
      <w:r>
        <w:rPr>
          <w:spacing w:val="-1"/>
        </w:rPr>
        <w:t> </w:t>
      </w:r>
      <w:r>
        <w:rPr/>
        <w:t>areas.</w:t>
      </w:r>
      <w:r>
        <w:rPr>
          <w:spacing w:val="-1"/>
        </w:rPr>
        <w:t> </w:t>
      </w:r>
      <w:r>
        <w:rPr>
          <w:i/>
        </w:rPr>
        <w:t>Malaria Journal</w:t>
      </w:r>
      <w:r>
        <w:rPr/>
        <w:t>,</w:t>
      </w:r>
      <w:r>
        <w:rPr>
          <w:spacing w:val="-1"/>
        </w:rPr>
        <w:t> </w:t>
      </w:r>
      <w:r>
        <w:rPr/>
        <w:t>17, 36-40.</w:t>
      </w:r>
    </w:p>
    <w:p>
      <w:pPr>
        <w:pStyle w:val="BodyText"/>
        <w:spacing w:line="242" w:lineRule="auto" w:before="194"/>
        <w:ind w:left="1711" w:right="1257" w:hanging="721"/>
        <w:jc w:val="both"/>
      </w:pPr>
      <w:r>
        <w:rPr/>
        <w:t>White, M. T., Conteh, L., Cibulskis, R. &amp; Ghani, A.C. (2011). Cost and cost-effectiveness of malaria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interventions – a systematic</w:t>
      </w:r>
      <w:r>
        <w:rPr>
          <w:spacing w:val="-1"/>
        </w:rPr>
        <w:t> </w:t>
      </w:r>
      <w:r>
        <w:rPr/>
        <w:t>review.</w:t>
      </w:r>
      <w:r>
        <w:rPr>
          <w:spacing w:val="3"/>
        </w:rPr>
        <w:t> </w:t>
      </w:r>
      <w:r>
        <w:rPr>
          <w:i/>
        </w:rPr>
        <w:t>Malaria Journal</w:t>
      </w:r>
      <w:r>
        <w:rPr/>
        <w:t>,</w:t>
      </w:r>
      <w:r>
        <w:rPr>
          <w:spacing w:val="-1"/>
        </w:rPr>
        <w:t> </w:t>
      </w:r>
      <w:r>
        <w:rPr/>
        <w:t>10, 337-350.</w:t>
      </w:r>
    </w:p>
    <w:p>
      <w:pPr>
        <w:spacing w:before="198"/>
        <w:ind w:left="991" w:right="0" w:firstLine="0"/>
        <w:jc w:val="left"/>
        <w:rPr>
          <w:sz w:val="24"/>
        </w:rPr>
      </w:pPr>
      <w:r>
        <w:rPr>
          <w:sz w:val="24"/>
        </w:rPr>
        <w:t>White,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(2018)</w:t>
      </w:r>
      <w:r>
        <w:rPr>
          <w:spacing w:val="-1"/>
          <w:sz w:val="24"/>
        </w:rPr>
        <w:t> </w:t>
      </w:r>
      <w:r>
        <w:rPr>
          <w:sz w:val="24"/>
        </w:rPr>
        <w:t>Anaemia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malaria.</w:t>
      </w:r>
      <w:r>
        <w:rPr>
          <w:spacing w:val="1"/>
          <w:sz w:val="24"/>
        </w:rPr>
        <w:t> </w:t>
      </w:r>
      <w:r>
        <w:rPr>
          <w:i/>
          <w:sz w:val="24"/>
        </w:rPr>
        <w:t>Malaria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17,</w:t>
      </w:r>
      <w:r>
        <w:rPr>
          <w:spacing w:val="-1"/>
          <w:sz w:val="24"/>
        </w:rPr>
        <w:t> </w:t>
      </w:r>
      <w:r>
        <w:rPr>
          <w:sz w:val="24"/>
        </w:rPr>
        <w:t>371.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711" w:right="1256" w:hanging="721"/>
        <w:jc w:val="both"/>
      </w:pPr>
      <w:r>
        <w:rPr/>
        <w:t>White,</w:t>
      </w:r>
      <w:r>
        <w:rPr>
          <w:spacing w:val="42"/>
        </w:rPr>
        <w:t> </w:t>
      </w:r>
      <w:r>
        <w:rPr/>
        <w:t>N.</w:t>
      </w:r>
      <w:r>
        <w:rPr>
          <w:spacing w:val="39"/>
        </w:rPr>
        <w:t> </w:t>
      </w:r>
      <w:r>
        <w:rPr/>
        <w:t>J.,</w:t>
      </w:r>
      <w:r>
        <w:rPr>
          <w:spacing w:val="39"/>
        </w:rPr>
        <w:t> </w:t>
      </w:r>
      <w:r>
        <w:rPr/>
        <w:t>Pukrittayakamee,</w:t>
      </w:r>
      <w:r>
        <w:rPr>
          <w:spacing w:val="42"/>
        </w:rPr>
        <w:t> </w:t>
      </w:r>
      <w:r>
        <w:rPr/>
        <w:t>S.,</w:t>
      </w:r>
      <w:r>
        <w:rPr>
          <w:spacing w:val="41"/>
        </w:rPr>
        <w:t> </w:t>
      </w:r>
      <w:r>
        <w:rPr/>
        <w:t>Hien,</w:t>
      </w:r>
      <w:r>
        <w:rPr>
          <w:spacing w:val="42"/>
        </w:rPr>
        <w:t> </w:t>
      </w:r>
      <w:r>
        <w:rPr/>
        <w:t>T.</w:t>
      </w:r>
      <w:r>
        <w:rPr>
          <w:spacing w:val="43"/>
        </w:rPr>
        <w:t> </w:t>
      </w:r>
      <w:r>
        <w:rPr/>
        <w:t>T.,</w:t>
      </w:r>
      <w:r>
        <w:rPr>
          <w:spacing w:val="39"/>
        </w:rPr>
        <w:t> </w:t>
      </w:r>
      <w:r>
        <w:rPr/>
        <w:t>Faiz,</w:t>
      </w:r>
      <w:r>
        <w:rPr>
          <w:spacing w:val="42"/>
        </w:rPr>
        <w:t> </w:t>
      </w:r>
      <w:r>
        <w:rPr/>
        <w:t>M.</w:t>
      </w:r>
      <w:r>
        <w:rPr>
          <w:spacing w:val="42"/>
        </w:rPr>
        <w:t> </w:t>
      </w:r>
      <w:r>
        <w:rPr/>
        <w:t>A.,</w:t>
      </w:r>
      <w:r>
        <w:rPr>
          <w:spacing w:val="41"/>
        </w:rPr>
        <w:t> </w:t>
      </w:r>
      <w:r>
        <w:rPr/>
        <w:t>Mokuolu,</w:t>
      </w:r>
      <w:r>
        <w:rPr>
          <w:spacing w:val="37"/>
        </w:rPr>
        <w:t> </w:t>
      </w:r>
      <w:r>
        <w:rPr/>
        <w:t>O.</w:t>
      </w:r>
      <w:r>
        <w:rPr>
          <w:spacing w:val="42"/>
        </w:rPr>
        <w:t> </w:t>
      </w:r>
      <w:r>
        <w:rPr/>
        <w:t>A.</w:t>
      </w:r>
      <w:r>
        <w:rPr>
          <w:spacing w:val="41"/>
        </w:rPr>
        <w:t> </w:t>
      </w:r>
      <w:r>
        <w:rPr/>
        <w:t>&amp;</w:t>
      </w:r>
      <w:r>
        <w:rPr>
          <w:spacing w:val="41"/>
        </w:rPr>
        <w:t> </w:t>
      </w:r>
      <w:r>
        <w:rPr/>
        <w:t>Dondorp,</w:t>
      </w:r>
      <w:r>
        <w:rPr>
          <w:spacing w:val="42"/>
        </w:rPr>
        <w:t> </w:t>
      </w:r>
      <w:r>
        <w:rPr/>
        <w:t>A.</w:t>
      </w:r>
      <w:r>
        <w:rPr>
          <w:spacing w:val="42"/>
        </w:rPr>
        <w:t> </w:t>
      </w:r>
      <w:r>
        <w:rPr/>
        <w:t>M.</w:t>
      </w:r>
      <w:r>
        <w:rPr>
          <w:spacing w:val="-57"/>
        </w:rPr>
        <w:t> </w:t>
      </w:r>
      <w:r>
        <w:rPr/>
        <w:t>(2014).</w:t>
      </w:r>
      <w:r>
        <w:rPr>
          <w:spacing w:val="-2"/>
        </w:rPr>
        <w:t> </w:t>
      </w:r>
      <w:r>
        <w:rPr/>
        <w:t>Malaria. </w:t>
      </w:r>
      <w:r>
        <w:rPr>
          <w:i/>
        </w:rPr>
        <w:t>Lancet</w:t>
      </w:r>
      <w:r>
        <w:rPr>
          <w:i/>
          <w:spacing w:val="2"/>
        </w:rPr>
        <w:t> </w:t>
      </w:r>
      <w:r>
        <w:rPr>
          <w:i/>
        </w:rPr>
        <w:t>(London, England), </w:t>
      </w:r>
      <w:r>
        <w:rPr/>
        <w:t>383,</w:t>
      </w:r>
      <w:r>
        <w:rPr>
          <w:spacing w:val="2"/>
        </w:rPr>
        <w:t> </w:t>
      </w:r>
      <w:r>
        <w:rPr/>
        <w:t>723-35.</w:t>
      </w:r>
    </w:p>
    <w:p>
      <w:pPr>
        <w:pStyle w:val="BodyText"/>
        <w:spacing w:line="242" w:lineRule="auto" w:before="198"/>
        <w:ind w:left="1711" w:right="1267" w:hanging="721"/>
        <w:jc w:val="both"/>
      </w:pPr>
      <w:r>
        <w:rPr>
          <w:spacing w:val="9"/>
        </w:rPr>
        <w:t>WHO</w:t>
      </w:r>
      <w:r>
        <w:rPr>
          <w:spacing w:val="10"/>
        </w:rPr>
        <w:t> </w:t>
      </w:r>
      <w:r>
        <w:rPr>
          <w:spacing w:val="11"/>
        </w:rPr>
        <w:t>(2015).</w:t>
      </w:r>
      <w:r>
        <w:rPr>
          <w:spacing w:val="12"/>
        </w:rPr>
        <w:t> Guidelines</w:t>
      </w:r>
      <w:r>
        <w:rPr>
          <w:spacing w:val="13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9"/>
        </w:rPr>
        <w:t>the</w:t>
      </w:r>
      <w:r>
        <w:rPr>
          <w:spacing w:val="10"/>
        </w:rPr>
        <w:t> </w:t>
      </w:r>
      <w:r>
        <w:rPr>
          <w:spacing w:val="12"/>
        </w:rPr>
        <w:t>treatment</w:t>
      </w:r>
      <w:r>
        <w:rPr>
          <w:spacing w:val="13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11"/>
        </w:rPr>
        <w:t>malaria.</w:t>
      </w:r>
      <w:r>
        <w:rPr>
          <w:spacing w:val="12"/>
        </w:rPr>
        <w:t> </w:t>
      </w:r>
      <w:r>
        <w:rPr>
          <w:spacing w:val="9"/>
        </w:rPr>
        <w:t>WHO</w:t>
      </w:r>
      <w:r>
        <w:rPr>
          <w:spacing w:val="10"/>
        </w:rPr>
        <w:t> </w:t>
      </w:r>
      <w:r>
        <w:rPr>
          <w:spacing w:val="11"/>
        </w:rPr>
        <w:t>library</w:t>
      </w:r>
      <w:r>
        <w:rPr>
          <w:spacing w:val="12"/>
        </w:rPr>
        <w:t> </w:t>
      </w:r>
      <w:r>
        <w:rPr>
          <w:spacing w:val="13"/>
        </w:rPr>
        <w:t>cataloguing-in-</w:t>
      </w:r>
      <w:r>
        <w:rPr>
          <w:spacing w:val="14"/>
        </w:rPr>
        <w:t> </w:t>
      </w:r>
      <w:r>
        <w:rPr>
          <w:spacing w:val="12"/>
        </w:rPr>
        <w:t>publication</w:t>
      </w:r>
      <w:r>
        <w:rPr>
          <w:spacing w:val="29"/>
        </w:rPr>
        <w:t> </w:t>
      </w:r>
      <w:r>
        <w:rPr>
          <w:spacing w:val="10"/>
        </w:rPr>
        <w:t>data.</w:t>
      </w:r>
      <w:r>
        <w:rPr>
          <w:spacing w:val="26"/>
        </w:rPr>
        <w:t> </w:t>
      </w:r>
      <w:r>
        <w:rPr>
          <w:spacing w:val="10"/>
        </w:rPr>
        <w:t>3</w:t>
      </w:r>
      <w:r>
        <w:rPr>
          <w:spacing w:val="10"/>
          <w:vertAlign w:val="superscript"/>
        </w:rPr>
        <w:t>rd</w:t>
      </w:r>
      <w:r>
        <w:rPr>
          <w:spacing w:val="29"/>
          <w:vertAlign w:val="baseline"/>
        </w:rPr>
        <w:t> </w:t>
      </w:r>
      <w:r>
        <w:rPr>
          <w:spacing w:val="11"/>
          <w:vertAlign w:val="baseline"/>
        </w:rPr>
        <w:t>Edition.</w:t>
      </w:r>
      <w:r>
        <w:rPr>
          <w:spacing w:val="30"/>
          <w:vertAlign w:val="baseline"/>
        </w:rPr>
        <w:t> </w:t>
      </w:r>
      <w:r>
        <w:rPr>
          <w:vertAlign w:val="baseline"/>
        </w:rPr>
        <w:t>ISBN</w:t>
      </w:r>
      <w:r>
        <w:rPr>
          <w:spacing w:val="28"/>
          <w:vertAlign w:val="baseline"/>
        </w:rPr>
        <w:t> </w:t>
      </w:r>
      <w:r>
        <w:rPr>
          <w:spacing w:val="13"/>
          <w:vertAlign w:val="baseline"/>
        </w:rPr>
        <w:t>9789241549127.</w:t>
      </w:r>
    </w:p>
    <w:p>
      <w:pPr>
        <w:pStyle w:val="BodyText"/>
        <w:spacing w:line="242" w:lineRule="auto" w:before="194"/>
        <w:ind w:left="1711" w:right="1256" w:hanging="721"/>
        <w:jc w:val="both"/>
      </w:pPr>
      <w:r>
        <w:rPr/>
        <w:t>Winau, F., Guido, H., Ralf, W., Stephan, W., Cecile, C., Peter, A. S., Robert, L. M., Roland, S. L.,</w:t>
      </w:r>
      <w:r>
        <w:rPr>
          <w:spacing w:val="1"/>
        </w:rPr>
        <w:t> </w:t>
      </w:r>
      <w:r>
        <w:rPr/>
        <w:t>Axel, M. G. &amp; Stefan, H. E. k. (2007). Ito cells are liver-resident antigen-presenting cells for</w:t>
      </w:r>
      <w:r>
        <w:rPr>
          <w:spacing w:val="1"/>
        </w:rPr>
        <w:t> </w:t>
      </w:r>
      <w:r>
        <w:rPr/>
        <w:t>activating</w:t>
      </w:r>
      <w:r>
        <w:rPr>
          <w:spacing w:val="-4"/>
        </w:rPr>
        <w:t> </w:t>
      </w:r>
      <w:r>
        <w:rPr/>
        <w:t>T</w:t>
      </w:r>
      <w:r>
        <w:rPr>
          <w:spacing w:val="2"/>
        </w:rPr>
        <w:t> </w:t>
      </w:r>
      <w:r>
        <w:rPr/>
        <w:t>cell responses.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Immunity</w:t>
      </w:r>
      <w:r>
        <w:rPr/>
        <w:t>,</w:t>
      </w:r>
      <w:r>
        <w:rPr>
          <w:spacing w:val="2"/>
        </w:rPr>
        <w:t> </w:t>
      </w:r>
      <w:r>
        <w:rPr/>
        <w:t>26, 117-29.</w:t>
      </w:r>
    </w:p>
    <w:p>
      <w:pPr>
        <w:pStyle w:val="BodyText"/>
        <w:spacing w:before="196"/>
        <w:ind w:left="991"/>
      </w:pPr>
      <w:r>
        <w:rPr/>
        <w:t>World</w:t>
      </w:r>
      <w:r>
        <w:rPr>
          <w:spacing w:val="31"/>
        </w:rPr>
        <w:t> </w:t>
      </w:r>
      <w:r>
        <w:rPr/>
        <w:t>Health</w:t>
      </w:r>
      <w:r>
        <w:rPr>
          <w:spacing w:val="31"/>
        </w:rPr>
        <w:t> </w:t>
      </w:r>
      <w:r>
        <w:rPr/>
        <w:t>Organization</w:t>
      </w:r>
      <w:r>
        <w:rPr>
          <w:spacing w:val="31"/>
        </w:rPr>
        <w:t> </w:t>
      </w:r>
      <w:r>
        <w:rPr/>
        <w:t>(2019).</w:t>
      </w:r>
      <w:r>
        <w:rPr>
          <w:spacing w:val="31"/>
        </w:rPr>
        <w:t> </w:t>
      </w:r>
      <w:r>
        <w:rPr/>
        <w:t>World</w:t>
      </w:r>
      <w:r>
        <w:rPr>
          <w:spacing w:val="31"/>
        </w:rPr>
        <w:t> </w:t>
      </w:r>
      <w:r>
        <w:rPr/>
        <w:t>malaria</w:t>
      </w:r>
      <w:r>
        <w:rPr>
          <w:spacing w:val="30"/>
        </w:rPr>
        <w:t> </w:t>
      </w:r>
      <w:r>
        <w:rPr/>
        <w:t>report</w:t>
      </w:r>
      <w:r>
        <w:rPr>
          <w:spacing w:val="32"/>
        </w:rPr>
        <w:t> </w:t>
      </w:r>
      <w:r>
        <w:rPr/>
        <w:t>2019.</w:t>
      </w:r>
      <w:r>
        <w:rPr>
          <w:spacing w:val="31"/>
        </w:rPr>
        <w:t> </w:t>
      </w:r>
      <w:r>
        <w:rPr/>
        <w:t>Geneva:.</w:t>
      </w:r>
      <w:r>
        <w:rPr>
          <w:spacing w:val="34"/>
        </w:rPr>
        <w:t> </w:t>
      </w:r>
      <w:r>
        <w:rPr/>
        <w:t>Licence:</w:t>
      </w:r>
      <w:r>
        <w:rPr>
          <w:spacing w:val="31"/>
        </w:rPr>
        <w:t> </w:t>
      </w:r>
      <w:r>
        <w:rPr/>
        <w:t>CC</w:t>
      </w:r>
      <w:r>
        <w:rPr>
          <w:spacing w:val="32"/>
        </w:rPr>
        <w:t> </w:t>
      </w:r>
      <w:r>
        <w:rPr/>
        <w:t>BY-NC-SA</w:t>
      </w:r>
    </w:p>
    <w:p>
      <w:pPr>
        <w:pStyle w:val="BodyText"/>
        <w:spacing w:before="41"/>
        <w:ind w:left="1711"/>
      </w:pPr>
      <w:r>
        <w:rPr/>
        <w:t>3.0</w:t>
      </w:r>
      <w:r>
        <w:rPr>
          <w:spacing w:val="-1"/>
        </w:rPr>
        <w:t> </w:t>
      </w:r>
      <w:r>
        <w:rPr/>
        <w:t>IGO.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1711" w:right="1254" w:hanging="721"/>
        <w:jc w:val="both"/>
      </w:pPr>
      <w:r>
        <w:rPr/>
        <w:t>Wu,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Lotus,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L. H., Hannah,</w:t>
      </w:r>
      <w:r>
        <w:rPr>
          <w:spacing w:val="1"/>
        </w:rPr>
        <w:t> </w:t>
      </w:r>
      <w:r>
        <w:rPr/>
        <w:t>S., Patrick, G. T. W.,</w:t>
      </w:r>
      <w:r>
        <w:rPr>
          <w:spacing w:val="1"/>
        </w:rPr>
        <w:t> </w:t>
      </w:r>
      <w:r>
        <w:rPr/>
        <w:t>Azra,</w:t>
      </w:r>
      <w:r>
        <w:rPr>
          <w:spacing w:val="1"/>
        </w:rPr>
        <w:t> </w:t>
      </w:r>
      <w:r>
        <w:rPr/>
        <w:t>C. G., Chris, J. D. &amp;</w:t>
      </w:r>
      <w:r>
        <w:rPr>
          <w:spacing w:val="1"/>
        </w:rPr>
        <w:t> </w:t>
      </w:r>
      <w:r>
        <w:rPr/>
        <w:t>Lucy, C.</w:t>
      </w:r>
      <w:r>
        <w:rPr>
          <w:spacing w:val="60"/>
        </w:rPr>
        <w:t> </w:t>
      </w:r>
      <w:r>
        <w:rPr/>
        <w:t>O.</w:t>
      </w:r>
      <w:r>
        <w:rPr>
          <w:spacing w:val="1"/>
        </w:rPr>
        <w:t> </w:t>
      </w:r>
      <w:r>
        <w:rPr/>
        <w:t>(2015). Comparison of diagnostics for the detection of asymptomatic </w:t>
      </w:r>
      <w:r>
        <w:rPr>
          <w:i/>
        </w:rPr>
        <w:t>Plasmodium falciparum</w:t>
      </w:r>
      <w:r>
        <w:rPr>
          <w:i/>
          <w:spacing w:val="1"/>
        </w:rPr>
        <w:t> </w:t>
      </w:r>
      <w:r>
        <w:rPr/>
        <w:t>infections</w:t>
      </w:r>
      <w:r>
        <w:rPr>
          <w:spacing w:val="-1"/>
        </w:rPr>
        <w:t> </w:t>
      </w:r>
      <w:r>
        <w:rPr/>
        <w:t>to inform control and</w:t>
      </w:r>
      <w:r>
        <w:rPr>
          <w:spacing w:val="-1"/>
        </w:rPr>
        <w:t> </w:t>
      </w:r>
      <w:r>
        <w:rPr/>
        <w:t>elimination strategies.</w:t>
      </w:r>
      <w:r>
        <w:rPr>
          <w:spacing w:val="2"/>
        </w:rPr>
        <w:t> </w:t>
      </w:r>
      <w:r>
        <w:rPr>
          <w:i/>
        </w:rPr>
        <w:t>Nature</w:t>
      </w:r>
      <w:r>
        <w:rPr/>
        <w:t>, 3,</w:t>
      </w:r>
      <w:r>
        <w:rPr>
          <w:spacing w:val="-1"/>
        </w:rPr>
        <w:t> </w:t>
      </w:r>
      <w:r>
        <w:rPr/>
        <w:t>86-93.</w:t>
      </w:r>
    </w:p>
    <w:p>
      <w:pPr>
        <w:spacing w:after="0"/>
        <w:jc w:val="both"/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89"/>
        <w:ind w:left="991" w:right="0" w:firstLine="0"/>
        <w:jc w:val="both"/>
        <w:rPr>
          <w:b/>
          <w:sz w:val="24"/>
        </w:rPr>
      </w:pPr>
      <w:r>
        <w:rPr>
          <w:b/>
          <w:sz w:val="28"/>
        </w:rPr>
        <w:t>APPENDIX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QUESTIONNAIRE</w:t>
      </w:r>
    </w:p>
    <w:p>
      <w:pPr>
        <w:pStyle w:val="BodyText"/>
        <w:spacing w:before="242"/>
        <w:ind w:left="991" w:right="1254"/>
        <w:jc w:val="both"/>
      </w:pPr>
      <w:r>
        <w:rPr/>
        <w:t>Introduction: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Ajanya,</w:t>
      </w:r>
      <w:r>
        <w:rPr>
          <w:spacing w:val="1"/>
        </w:rPr>
        <w:t> </w:t>
      </w:r>
      <w:r>
        <w:rPr/>
        <w:t>Benjamin</w:t>
      </w:r>
      <w:r>
        <w:rPr>
          <w:spacing w:val="1"/>
        </w:rPr>
        <w:t> </w:t>
      </w:r>
      <w:r>
        <w:rPr/>
        <w:t>Unekwuojo,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Tech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Microbiology,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Minna.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haematological profile of women and children infected with malaria parasite in Bosso and Paikoro</w:t>
      </w:r>
      <w:r>
        <w:rPr>
          <w:spacing w:val="1"/>
        </w:rPr>
        <w:t> </w:t>
      </w:r>
      <w:r>
        <w:rPr/>
        <w:t>communities</w:t>
      </w:r>
      <w:r>
        <w:rPr>
          <w:spacing w:val="-1"/>
        </w:rPr>
        <w:t> </w:t>
      </w:r>
      <w:r>
        <w:rPr/>
        <w:t>in Niger State.</w:t>
      </w:r>
    </w:p>
    <w:p>
      <w:pPr>
        <w:pStyle w:val="BodyText"/>
        <w:spacing w:before="199"/>
        <w:ind w:left="991" w:right="1253"/>
        <w:jc w:val="both"/>
      </w:pPr>
      <w:r>
        <w:rPr/>
        <w:t>Purpose of the research: The research will help in ascertaining the current prevalence of malaria in the</w:t>
      </w:r>
      <w:r>
        <w:rPr>
          <w:spacing w:val="-57"/>
        </w:rPr>
        <w:t> </w:t>
      </w:r>
      <w:r>
        <w:rPr/>
        <w:t>study area and will also help in malaria control program to better understand the informational needs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on malaria</w:t>
      </w:r>
      <w:r>
        <w:rPr>
          <w:spacing w:val="-2"/>
        </w:rPr>
        <w:t> </w:t>
      </w:r>
      <w:r>
        <w:rPr/>
        <w:t>issues.</w:t>
      </w:r>
    </w:p>
    <w:p>
      <w:pPr>
        <w:pStyle w:val="BodyText"/>
        <w:ind w:left="991" w:right="1262"/>
        <w:jc w:val="both"/>
      </w:pPr>
      <w:r>
        <w:rPr/>
        <w:t>Procedure: If you agree with the purpose of the research, I will ask you a few questions about your</w:t>
      </w:r>
      <w:r>
        <w:rPr>
          <w:spacing w:val="1"/>
        </w:rPr>
        <w:t> </w:t>
      </w:r>
      <w:r>
        <w:rPr/>
        <w:t>knowledge and attitude in relation to malaria diagnosis and treatment. The questioning will last</w:t>
      </w:r>
      <w:r>
        <w:rPr>
          <w:spacing w:val="1"/>
        </w:rPr>
        <w:t> </w:t>
      </w:r>
      <w:r>
        <w:rPr/>
        <w:t>approximately</w:t>
      </w:r>
      <w:r>
        <w:rPr>
          <w:spacing w:val="-5"/>
        </w:rPr>
        <w:t> </w:t>
      </w:r>
      <w:r>
        <w:rPr/>
        <w:t>10-15 minutes.</w:t>
      </w:r>
    </w:p>
    <w:p>
      <w:pPr>
        <w:pStyle w:val="BodyText"/>
        <w:ind w:left="991" w:right="1252"/>
        <w:jc w:val="both"/>
      </w:pPr>
      <w:r>
        <w:rPr/>
        <w:t>Benefits: There are no direct benefits for you being part of this research. However, your contribution</w:t>
      </w:r>
      <w:r>
        <w:rPr>
          <w:spacing w:val="1"/>
        </w:rPr>
        <w:t> </w:t>
      </w:r>
      <w:r>
        <w:rPr/>
        <w:t>will help immensely to a better malaria control program in the community. You are free not to</w:t>
      </w:r>
      <w:r>
        <w:rPr>
          <w:spacing w:val="1"/>
        </w:rPr>
        <w:t> </w:t>
      </w:r>
      <w:r>
        <w:rPr/>
        <w:t>participate in this research or not to answer any question you feel uncomfortable with. Should you</w:t>
      </w:r>
      <w:r>
        <w:rPr>
          <w:spacing w:val="1"/>
        </w:rPr>
        <w:t> </w:t>
      </w:r>
      <w:r>
        <w:rPr/>
        <w:t>agree to be part of the research, feel free to interrupt the interview process at any time. Confidentiality</w:t>
      </w:r>
      <w:r>
        <w:rPr>
          <w:spacing w:val="-57"/>
        </w:rPr>
        <w:t> </w:t>
      </w:r>
      <w:r>
        <w:rPr/>
        <w:t>is guaranteed, your name will not appear in any oral or written report of this study. There are no</w:t>
      </w:r>
      <w:r>
        <w:rPr>
          <w:spacing w:val="1"/>
        </w:rPr>
        <w:t> </w:t>
      </w:r>
      <w:r>
        <w:rPr/>
        <w:t>wrong or right answers. Your openness and honest opinions are extremely important. In case you do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understand a</w:t>
      </w:r>
      <w:r>
        <w:rPr>
          <w:spacing w:val="-2"/>
        </w:rPr>
        <w:t> </w:t>
      </w:r>
      <w:r>
        <w:rPr/>
        <w:t>question or issue,</w:t>
      </w:r>
      <w:r>
        <w:rPr>
          <w:spacing w:val="-1"/>
        </w:rPr>
        <w:t> </w:t>
      </w:r>
      <w:r>
        <w:rPr/>
        <w:t>please</w:t>
      </w:r>
      <w:r>
        <w:rPr>
          <w:spacing w:val="1"/>
        </w:rPr>
        <w:t> </w:t>
      </w:r>
      <w:r>
        <w:rPr/>
        <w:t>ask me</w:t>
      </w:r>
      <w:r>
        <w:rPr>
          <w:spacing w:val="1"/>
        </w:rPr>
        <w:t> </w:t>
      </w:r>
      <w:r>
        <w:rPr/>
        <w:t>to repeat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clarify.</w:t>
      </w:r>
    </w:p>
    <w:p>
      <w:pPr>
        <w:pStyle w:val="BodyText"/>
        <w:spacing w:before="1"/>
        <w:ind w:left="991"/>
        <w:jc w:val="both"/>
      </w:pPr>
      <w:r>
        <w:rPr/>
        <w:t>Would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participate</w:t>
      </w:r>
      <w:r>
        <w:rPr>
          <w:spacing w:val="-2"/>
        </w:rPr>
        <w:t> </w:t>
      </w:r>
      <w:r>
        <w:rPr/>
        <w:t>in this</w:t>
      </w:r>
      <w:r>
        <w:rPr>
          <w:spacing w:val="-1"/>
        </w:rPr>
        <w:t> </w:t>
      </w:r>
      <w:r>
        <w:rPr/>
        <w:t>study?  </w:t>
      </w:r>
      <w:r>
        <w:rPr>
          <w:spacing w:val="1"/>
        </w:rPr>
        <w:t> </w:t>
      </w:r>
      <w:r>
        <w:rPr/>
        <w:t>Yes (</w:t>
      </w:r>
      <w:r>
        <w:rPr>
          <w:spacing w:val="58"/>
        </w:rPr>
        <w:t> </w:t>
      </w:r>
      <w:r>
        <w:rPr/>
        <w:t>)</w:t>
      </w:r>
      <w:r>
        <w:rPr>
          <w:spacing w:val="116"/>
        </w:rPr>
        <w:t> </w:t>
      </w:r>
      <w:r>
        <w:rPr/>
        <w:t>No (</w:t>
      </w:r>
      <w:r>
        <w:rPr>
          <w:spacing w:val="57"/>
        </w:rPr>
        <w:t> </w:t>
      </w:r>
      <w:r>
        <w:rPr/>
        <w:t>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line="274" w:lineRule="exact" w:before="0"/>
        <w:jc w:val="left"/>
      </w:pPr>
      <w:r>
        <w:rPr/>
        <w:t>Section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line="274" w:lineRule="exact"/>
        <w:ind w:left="991"/>
      </w:pPr>
      <w:r>
        <w:rPr/>
        <w:t>Demographical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tabs>
          <w:tab w:pos="2981" w:val="left" w:leader="none"/>
          <w:tab w:pos="5803" w:val="left" w:leader="none"/>
          <w:tab w:pos="7002" w:val="left" w:leader="none"/>
          <w:tab w:pos="8204" w:val="left" w:leader="none"/>
          <w:tab w:pos="9402" w:val="left" w:leader="none"/>
        </w:tabs>
        <w:ind w:left="991"/>
      </w:pPr>
      <w:r>
        <w:rPr/>
        <w:t>1.</w:t>
      </w:r>
      <w:r>
        <w:rPr>
          <w:spacing w:val="-1"/>
        </w:rPr>
        <w:t> </w:t>
      </w:r>
      <w:r>
        <w:rPr/>
        <w:t>Age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years</w:t>
        <w:tab/>
        <w:t>0-3 (</w:t>
      </w:r>
      <w:r>
        <w:rPr>
          <w:spacing w:val="60"/>
        </w:rPr>
        <w:t> </w:t>
      </w:r>
      <w:r>
        <w:rPr/>
        <w:t>) 4-13 (</w:t>
      </w:r>
      <w:r>
        <w:rPr>
          <w:spacing w:val="59"/>
        </w:rPr>
        <w:t> </w:t>
      </w:r>
      <w:r>
        <w:rPr/>
        <w:t>)</w:t>
      </w:r>
      <w:r>
        <w:rPr>
          <w:spacing w:val="120"/>
        </w:rPr>
        <w:t> </w:t>
      </w:r>
      <w:r>
        <w:rPr/>
        <w:t>14-24 (</w:t>
      </w:r>
      <w:r>
        <w:rPr>
          <w:spacing w:val="59"/>
        </w:rPr>
        <w:t> </w:t>
      </w:r>
      <w:r>
        <w:rPr/>
        <w:t>)</w:t>
        <w:tab/>
        <w:t>25-35 (</w:t>
      </w:r>
      <w:r>
        <w:rPr>
          <w:spacing w:val="58"/>
        </w:rPr>
        <w:t> </w:t>
      </w:r>
      <w:r>
        <w:rPr/>
        <w:t>)</w:t>
        <w:tab/>
        <w:t>36-50</w:t>
      </w:r>
      <w:r>
        <w:rPr>
          <w:spacing w:val="2"/>
        </w:rPr>
        <w:t> </w:t>
      </w:r>
      <w:r>
        <w:rPr/>
        <w:t>(</w:t>
      </w:r>
      <w:r>
        <w:rPr>
          <w:spacing w:val="59"/>
        </w:rPr>
        <w:t> </w:t>
      </w:r>
      <w:r>
        <w:rPr/>
        <w:t>)</w:t>
        <w:tab/>
        <w:t>51-60 (</w:t>
      </w:r>
      <w:r>
        <w:rPr>
          <w:spacing w:val="59"/>
        </w:rPr>
        <w:t> </w:t>
      </w:r>
      <w:r>
        <w:rPr/>
        <w:t>)</w:t>
        <w:tab/>
        <w:t>&gt;</w:t>
      </w:r>
      <w:r>
        <w:rPr>
          <w:spacing w:val="-1"/>
        </w:rPr>
        <w:t> </w:t>
      </w:r>
      <w:r>
        <w:rPr/>
        <w:t>60</w:t>
      </w:r>
      <w:r>
        <w:rPr>
          <w:spacing w:val="2"/>
        </w:rPr>
        <w:t> </w:t>
      </w:r>
      <w:r>
        <w:rPr/>
        <w:t>(</w:t>
      </w:r>
      <w:r>
        <w:rPr>
          <w:spacing w:val="1"/>
        </w:rPr>
        <w:t> </w:t>
      </w:r>
      <w:r>
        <w:rPr/>
        <w:t>)</w:t>
      </w:r>
    </w:p>
    <w:p>
      <w:pPr>
        <w:pStyle w:val="ListParagraph"/>
        <w:numPr>
          <w:ilvl w:val="0"/>
          <w:numId w:val="14"/>
        </w:numPr>
        <w:tabs>
          <w:tab w:pos="1232" w:val="left" w:leader="none"/>
          <w:tab w:pos="3143" w:val="left" w:leader="none"/>
          <w:tab w:pos="4396" w:val="left" w:leader="none"/>
          <w:tab w:pos="5750" w:val="left" w:leader="none"/>
        </w:tabs>
        <w:spacing w:line="240" w:lineRule="auto" w:before="0" w:after="0"/>
        <w:ind w:left="1231" w:right="0" w:hanging="241"/>
        <w:jc w:val="left"/>
        <w:rPr>
          <w:sz w:val="24"/>
        </w:rPr>
      </w:pP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status</w:t>
        <w:tab/>
        <w:t>Single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59"/>
          <w:sz w:val="24"/>
        </w:rPr>
        <w:t> </w:t>
      </w:r>
      <w:r>
        <w:rPr>
          <w:sz w:val="24"/>
        </w:rPr>
        <w:t>)</w:t>
        <w:tab/>
        <w:t>Married (  )</w:t>
        <w:tab/>
        <w:t>Divorced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sz w:val="24"/>
        </w:rPr>
        <w:t>)</w:t>
      </w:r>
      <w:r>
        <w:rPr>
          <w:spacing w:val="119"/>
          <w:sz w:val="24"/>
        </w:rPr>
        <w:t> </w:t>
      </w:r>
      <w:r>
        <w:rPr>
          <w:sz w:val="24"/>
        </w:rPr>
        <w:t>Widowed</w:t>
      </w:r>
      <w:r>
        <w:rPr>
          <w:spacing w:val="2"/>
          <w:sz w:val="24"/>
        </w:rPr>
        <w:t> </w:t>
      </w:r>
      <w:r>
        <w:rPr>
          <w:sz w:val="24"/>
        </w:rPr>
        <w:t>(</w:t>
      </w:r>
      <w:r>
        <w:rPr>
          <w:spacing w:val="59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0"/>
          <w:numId w:val="14"/>
        </w:numPr>
        <w:tabs>
          <w:tab w:pos="1234" w:val="left" w:leader="none"/>
          <w:tab w:pos="3729" w:val="left" w:leader="none"/>
          <w:tab w:pos="4827" w:val="left" w:leader="none"/>
          <w:tab w:pos="6182" w:val="left" w:leader="none"/>
          <w:tab w:pos="7772" w:val="left" w:leader="none"/>
        </w:tabs>
        <w:spacing w:line="240" w:lineRule="auto" w:before="1" w:after="0"/>
        <w:ind w:left="1233" w:right="0" w:hanging="243"/>
        <w:jc w:val="left"/>
        <w:rPr>
          <w:sz w:val="24"/>
        </w:rPr>
      </w:pP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Education</w:t>
        <w:tab/>
        <w:t>None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60"/>
          <w:sz w:val="24"/>
        </w:rPr>
        <w:t> </w:t>
      </w:r>
      <w:r>
        <w:rPr>
          <w:sz w:val="24"/>
        </w:rPr>
        <w:t>)</w:t>
        <w:tab/>
        <w:t>Primary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61"/>
          <w:sz w:val="24"/>
        </w:rPr>
        <w:t> </w:t>
      </w:r>
      <w:r>
        <w:rPr>
          <w:sz w:val="24"/>
        </w:rPr>
        <w:t>)</w:t>
        <w:tab/>
        <w:t>Secondary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spacing w:val="60"/>
          <w:sz w:val="24"/>
        </w:rPr>
        <w:t> </w:t>
      </w:r>
      <w:r>
        <w:rPr>
          <w:sz w:val="24"/>
        </w:rPr>
        <w:t>)</w:t>
        <w:tab/>
        <w:t>Tertiary</w:t>
      </w:r>
      <w:r>
        <w:rPr>
          <w:spacing w:val="-4"/>
          <w:sz w:val="24"/>
        </w:rPr>
        <w:t> </w:t>
      </w:r>
      <w:r>
        <w:rPr>
          <w:sz w:val="24"/>
        </w:rPr>
        <w:t>(</w:t>
      </w:r>
      <w:r>
        <w:rPr>
          <w:spacing w:val="2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0"/>
          <w:numId w:val="14"/>
        </w:numPr>
        <w:tabs>
          <w:tab w:pos="1232" w:val="left" w:leader="none"/>
          <w:tab w:pos="3836" w:val="left" w:leader="none"/>
          <w:tab w:pos="5175" w:val="left" w:leader="none"/>
          <w:tab w:pos="6507" w:val="left" w:leader="none"/>
        </w:tabs>
        <w:spacing w:line="240" w:lineRule="auto" w:before="0" w:after="0"/>
        <w:ind w:left="3871" w:right="2980" w:hanging="2881"/>
        <w:jc w:val="left"/>
        <w:rPr>
          <w:sz w:val="24"/>
        </w:rPr>
      </w:pPr>
      <w:r>
        <w:rPr>
          <w:sz w:val="24"/>
        </w:rPr>
        <w:t>Occupation</w:t>
        <w:tab/>
        <w:t>Trader (</w:t>
      </w:r>
      <w:r>
        <w:rPr>
          <w:spacing w:val="59"/>
          <w:sz w:val="24"/>
        </w:rPr>
        <w:t> </w:t>
      </w:r>
      <w:r>
        <w:rPr>
          <w:sz w:val="24"/>
        </w:rPr>
        <w:t>)</w:t>
        <w:tab/>
        <w:t>Farmer (</w:t>
      </w:r>
      <w:r>
        <w:rPr>
          <w:spacing w:val="59"/>
          <w:sz w:val="24"/>
        </w:rPr>
        <w:t> </w:t>
      </w:r>
      <w:r>
        <w:rPr>
          <w:sz w:val="24"/>
        </w:rPr>
        <w:t>)</w:t>
        <w:tab/>
        <w:t>Civil servant (</w:t>
      </w:r>
      <w:r>
        <w:rPr>
          <w:spacing w:val="1"/>
          <w:sz w:val="24"/>
        </w:rPr>
        <w:t> </w:t>
      </w:r>
      <w:r>
        <w:rPr>
          <w:sz w:val="24"/>
        </w:rPr>
        <w:t>) Unskilled</w:t>
      </w:r>
      <w:r>
        <w:rPr>
          <w:spacing w:val="-57"/>
          <w:sz w:val="24"/>
        </w:rPr>
        <w:t> </w:t>
      </w:r>
      <w:r>
        <w:rPr>
          <w:sz w:val="24"/>
        </w:rPr>
        <w:t>labourer (  )</w:t>
      </w:r>
      <w:r>
        <w:rPr>
          <w:spacing w:val="-2"/>
          <w:sz w:val="24"/>
        </w:rPr>
        <w:t> </w:t>
      </w:r>
      <w:r>
        <w:rPr>
          <w:sz w:val="24"/>
        </w:rPr>
        <w:t>Pensioner (</w:t>
      </w:r>
      <w:r>
        <w:rPr>
          <w:spacing w:val="58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0"/>
          <w:numId w:val="14"/>
        </w:numPr>
        <w:tabs>
          <w:tab w:pos="1232" w:val="left" w:leader="none"/>
          <w:tab w:pos="4352" w:val="left" w:leader="none"/>
        </w:tabs>
        <w:spacing w:line="240" w:lineRule="auto" w:before="0" w:after="0"/>
        <w:ind w:left="1231" w:right="0" w:hanging="241"/>
        <w:jc w:val="left"/>
        <w:rPr>
          <w:sz w:val="24"/>
        </w:rPr>
      </w:pPr>
      <w:r>
        <w:rPr>
          <w:sz w:val="24"/>
        </w:rPr>
        <w:t>Primagravidae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spacing w:val="59"/>
          <w:sz w:val="24"/>
        </w:rPr>
        <w:t> </w:t>
      </w:r>
      <w:r>
        <w:rPr>
          <w:sz w:val="24"/>
        </w:rPr>
        <w:t>)</w:t>
        <w:tab/>
        <w:t>Multigravidae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58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0"/>
          <w:numId w:val="14"/>
        </w:numPr>
        <w:tabs>
          <w:tab w:pos="1232" w:val="left" w:leader="none"/>
          <w:tab w:pos="4592" w:val="left" w:leader="none"/>
          <w:tab w:pos="6440" w:val="left" w:leader="none"/>
        </w:tabs>
        <w:spacing w:line="240" w:lineRule="auto" w:before="0" w:after="0"/>
        <w:ind w:left="1231" w:right="0" w:hanging="241"/>
        <w:jc w:val="left"/>
        <w:rPr>
          <w:sz w:val="24"/>
        </w:rPr>
      </w:pPr>
      <w:r>
        <w:rPr>
          <w:sz w:val="24"/>
        </w:rPr>
        <w:t>Trimester</w:t>
        <w:tab/>
        <w:t>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   (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)</w:t>
      </w:r>
      <w:r>
        <w:rPr>
          <w:spacing w:val="119"/>
          <w:sz w:val="24"/>
          <w:vertAlign w:val="baseline"/>
        </w:rPr>
        <w:t> </w:t>
      </w:r>
      <w:r>
        <w:rPr>
          <w:sz w:val="24"/>
          <w:vertAlign w:val="baseline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 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spacing w:val="61"/>
          <w:sz w:val="24"/>
          <w:vertAlign w:val="baseline"/>
        </w:rPr>
        <w:t> </w:t>
      </w:r>
      <w:r>
        <w:rPr>
          <w:sz w:val="24"/>
          <w:vertAlign w:val="baseline"/>
        </w:rPr>
        <w:t>)</w:t>
        <w:tab/>
        <w:t>3</w:t>
      </w:r>
      <w:r>
        <w:rPr>
          <w:sz w:val="24"/>
          <w:vertAlign w:val="superscript"/>
        </w:rPr>
        <w:t>rd</w:t>
      </w:r>
      <w:r>
        <w:rPr>
          <w:spacing w:val="62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)</w:t>
      </w:r>
    </w:p>
    <w:p>
      <w:pPr>
        <w:pStyle w:val="Heading1"/>
        <w:spacing w:line="274" w:lineRule="exact" w:before="4"/>
        <w:jc w:val="left"/>
      </w:pPr>
      <w:r>
        <w:rPr/>
        <w:t>Section</w:t>
      </w:r>
      <w:r>
        <w:rPr>
          <w:spacing w:val="-1"/>
        </w:rPr>
        <w:t> </w:t>
      </w:r>
      <w:r>
        <w:rPr/>
        <w:t>2</w:t>
      </w:r>
    </w:p>
    <w:p>
      <w:pPr>
        <w:pStyle w:val="ListParagraph"/>
        <w:numPr>
          <w:ilvl w:val="0"/>
          <w:numId w:val="14"/>
        </w:numPr>
        <w:tabs>
          <w:tab w:pos="1232" w:val="left" w:leader="none"/>
          <w:tab w:pos="5561" w:val="left" w:leader="none"/>
        </w:tabs>
        <w:spacing w:line="274" w:lineRule="exact" w:before="0" w:after="0"/>
        <w:ind w:left="1231" w:right="0" w:hanging="241"/>
        <w:jc w:val="left"/>
        <w:rPr>
          <w:sz w:val="24"/>
        </w:rPr>
      </w:pP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know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malaria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transmitted?</w:t>
        <w:tab/>
        <w:t>Yes (  )</w:t>
      </w:r>
      <w:r>
        <w:rPr>
          <w:spacing w:val="59"/>
          <w:sz w:val="24"/>
        </w:rPr>
        <w:t> </w:t>
      </w:r>
      <w:r>
        <w:rPr>
          <w:sz w:val="24"/>
        </w:rPr>
        <w:t>No (</w:t>
      </w:r>
      <w:r>
        <w:rPr>
          <w:spacing w:val="57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0"/>
          <w:numId w:val="14"/>
        </w:numPr>
        <w:tabs>
          <w:tab w:pos="1232" w:val="left" w:leader="none"/>
        </w:tabs>
        <w:spacing w:line="240" w:lineRule="auto" w:before="0" w:after="0"/>
        <w:ind w:left="1231" w:right="0" w:hanging="241"/>
        <w:jc w:val="left"/>
        <w:rPr>
          <w:sz w:val="24"/>
        </w:rPr>
      </w:pPr>
      <w:r>
        <w:rPr>
          <w:sz w:val="24"/>
        </w:rPr>
        <w:t>Have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been treated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malaria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recent past?</w:t>
      </w:r>
      <w:r>
        <w:rPr>
          <w:spacing w:val="2"/>
          <w:sz w:val="24"/>
        </w:rPr>
        <w:t> </w:t>
      </w: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59"/>
          <w:sz w:val="24"/>
        </w:rPr>
        <w:t> </w:t>
      </w:r>
      <w:r>
        <w:rPr>
          <w:sz w:val="24"/>
        </w:rPr>
        <w:t>)</w:t>
      </w:r>
      <w:r>
        <w:rPr>
          <w:spacing w:val="57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57"/>
          <w:sz w:val="24"/>
        </w:rPr>
        <w:t> </w:t>
      </w:r>
      <w:r>
        <w:rPr>
          <w:sz w:val="24"/>
        </w:rPr>
        <w:t>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500" w:bottom="1200" w:left="0" w:right="180"/>
        </w:sectPr>
      </w:pPr>
    </w:p>
    <w:p>
      <w:pPr>
        <w:pStyle w:val="ListParagraph"/>
        <w:numPr>
          <w:ilvl w:val="0"/>
          <w:numId w:val="14"/>
        </w:numPr>
        <w:tabs>
          <w:tab w:pos="1243" w:val="left" w:leader="none"/>
        </w:tabs>
        <w:spacing w:line="240" w:lineRule="auto" w:before="72" w:after="0"/>
        <w:ind w:left="991" w:right="1265" w:firstLine="0"/>
        <w:jc w:val="both"/>
        <w:rPr>
          <w:sz w:val="24"/>
        </w:rPr>
      </w:pPr>
      <w:r>
        <w:rPr>
          <w:sz w:val="24"/>
        </w:rPr>
        <w:t>Which are the common signs and symptoms of malaria? Headache (</w:t>
      </w:r>
      <w:r>
        <w:rPr>
          <w:spacing w:val="1"/>
          <w:sz w:val="24"/>
        </w:rPr>
        <w:t> </w:t>
      </w:r>
      <w:r>
        <w:rPr>
          <w:sz w:val="24"/>
        </w:rPr>
        <w:t>)</w:t>
      </w:r>
      <w:r>
        <w:rPr>
          <w:spacing w:val="61"/>
          <w:sz w:val="24"/>
        </w:rPr>
        <w:t> </w:t>
      </w:r>
      <w:r>
        <w:rPr>
          <w:sz w:val="24"/>
        </w:rPr>
        <w:t>Fever (</w:t>
      </w:r>
      <w:r>
        <w:rPr>
          <w:spacing w:val="60"/>
          <w:sz w:val="24"/>
        </w:rPr>
        <w:t> </w:t>
      </w:r>
      <w:r>
        <w:rPr>
          <w:sz w:val="24"/>
        </w:rPr>
        <w:t>)</w:t>
      </w:r>
      <w:r>
        <w:rPr>
          <w:spacing w:val="61"/>
          <w:sz w:val="24"/>
        </w:rPr>
        <w:t> </w:t>
      </w:r>
      <w:r>
        <w:rPr>
          <w:sz w:val="24"/>
        </w:rPr>
        <w:t>Chill and</w:t>
      </w:r>
      <w:r>
        <w:rPr>
          <w:spacing w:val="1"/>
          <w:sz w:val="24"/>
        </w:rPr>
        <w:t> </w:t>
      </w:r>
      <w:r>
        <w:rPr>
          <w:sz w:val="24"/>
        </w:rPr>
        <w:t>shivering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63"/>
          <w:sz w:val="24"/>
        </w:rPr>
        <w:t> </w:t>
      </w:r>
      <w:r>
        <w:rPr>
          <w:sz w:val="24"/>
        </w:rPr>
        <w:t>)     </w:t>
      </w:r>
      <w:r>
        <w:rPr>
          <w:spacing w:val="11"/>
          <w:sz w:val="24"/>
        </w:rPr>
        <w:t> </w:t>
      </w:r>
      <w:r>
        <w:rPr>
          <w:sz w:val="24"/>
        </w:rPr>
        <w:t>Body</w:t>
      </w:r>
      <w:r>
        <w:rPr>
          <w:spacing w:val="-3"/>
          <w:sz w:val="24"/>
        </w:rPr>
        <w:t> </w:t>
      </w:r>
      <w:r>
        <w:rPr>
          <w:sz w:val="24"/>
        </w:rPr>
        <w:t>pains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63"/>
          <w:sz w:val="24"/>
        </w:rPr>
        <w:t> </w:t>
      </w:r>
      <w:r>
        <w:rPr>
          <w:sz w:val="24"/>
        </w:rPr>
        <w:t>)    </w:t>
      </w:r>
      <w:r>
        <w:rPr>
          <w:spacing w:val="9"/>
          <w:sz w:val="24"/>
        </w:rPr>
        <w:t> </w:t>
      </w:r>
      <w:r>
        <w:rPr>
          <w:sz w:val="24"/>
        </w:rPr>
        <w:t>Loss</w:t>
      </w:r>
      <w:r>
        <w:rPr>
          <w:spacing w:val="2"/>
          <w:sz w:val="24"/>
        </w:rPr>
        <w:t> </w:t>
      </w:r>
      <w:r>
        <w:rPr>
          <w:sz w:val="24"/>
        </w:rPr>
        <w:t>of appetite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sz w:val="24"/>
        </w:rPr>
        <w:t>)    </w:t>
      </w:r>
      <w:r>
        <w:rPr>
          <w:spacing w:val="9"/>
          <w:sz w:val="24"/>
        </w:rPr>
        <w:t> </w:t>
      </w:r>
      <w:r>
        <w:rPr>
          <w:sz w:val="24"/>
        </w:rPr>
        <w:t>Vomiting (</w:t>
      </w:r>
      <w:r>
        <w:rPr>
          <w:spacing w:val="62"/>
          <w:sz w:val="24"/>
        </w:rPr>
        <w:t> </w:t>
      </w:r>
      <w:r>
        <w:rPr>
          <w:sz w:val="24"/>
        </w:rPr>
        <w:t>)        </w:t>
      </w:r>
      <w:r>
        <w:rPr>
          <w:spacing w:val="15"/>
          <w:sz w:val="24"/>
        </w:rPr>
        <w:t> </w:t>
      </w:r>
      <w:r>
        <w:rPr>
          <w:sz w:val="24"/>
        </w:rPr>
        <w:t>Weakness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63"/>
          <w:sz w:val="24"/>
        </w:rPr>
        <w:t> </w:t>
      </w:r>
      <w:r>
        <w:rPr>
          <w:sz w:val="24"/>
        </w:rPr>
        <w:t>)   </w:t>
      </w:r>
      <w:r>
        <w:rPr>
          <w:spacing w:val="6"/>
          <w:sz w:val="24"/>
        </w:rPr>
        <w:t> </w:t>
      </w:r>
      <w:r>
        <w:rPr>
          <w:sz w:val="24"/>
        </w:rPr>
        <w:t>Dizziness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r>
        <w:rPr>
          <w:spacing w:val="59"/>
          <w:sz w:val="24"/>
        </w:rPr>
        <w:t> </w:t>
      </w:r>
      <w:r>
        <w:rPr>
          <w:sz w:val="24"/>
        </w:rPr>
        <w:t>)</w:t>
      </w:r>
      <w:r>
        <w:rPr>
          <w:spacing w:val="60"/>
          <w:sz w:val="24"/>
        </w:rPr>
        <w:t> </w:t>
      </w:r>
      <w:r>
        <w:rPr>
          <w:sz w:val="24"/>
        </w:rPr>
        <w:t>Don’t know (</w:t>
      </w:r>
      <w:r>
        <w:rPr>
          <w:spacing w:val="1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0"/>
          <w:numId w:val="14"/>
        </w:numPr>
        <w:tabs>
          <w:tab w:pos="1352" w:val="left" w:leader="none"/>
        </w:tabs>
        <w:spacing w:line="240" w:lineRule="auto" w:before="0" w:after="0"/>
        <w:ind w:left="991" w:right="1261" w:firstLine="0"/>
        <w:jc w:val="both"/>
        <w:rPr>
          <w:sz w:val="24"/>
        </w:rPr>
      </w:pPr>
      <w:r>
        <w:rPr>
          <w:sz w:val="24"/>
        </w:rPr>
        <w:t>How important will you rate going for laboratory test before treatment of malaria? Very important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r>
        <w:rPr>
          <w:spacing w:val="59"/>
          <w:sz w:val="24"/>
        </w:rPr>
        <w:t> </w:t>
      </w:r>
      <w:r>
        <w:rPr>
          <w:sz w:val="24"/>
        </w:rPr>
        <w:t>)</w:t>
      </w:r>
      <w:r>
        <w:rPr>
          <w:spacing w:val="59"/>
          <w:sz w:val="24"/>
        </w:rPr>
        <w:t> </w:t>
      </w:r>
      <w:r>
        <w:rPr>
          <w:sz w:val="24"/>
        </w:rPr>
        <w:t>Barely</w:t>
      </w:r>
      <w:r>
        <w:rPr>
          <w:spacing w:val="-5"/>
          <w:sz w:val="24"/>
        </w:rPr>
        <w:t> </w:t>
      </w:r>
      <w:r>
        <w:rPr>
          <w:sz w:val="24"/>
        </w:rPr>
        <w:t>important (</w:t>
      </w:r>
      <w:r>
        <w:rPr>
          <w:spacing w:val="1"/>
          <w:sz w:val="24"/>
        </w:rPr>
        <w:t> </w:t>
      </w:r>
      <w:r>
        <w:rPr>
          <w:sz w:val="24"/>
        </w:rPr>
        <w:t>)</w:t>
      </w:r>
      <w:r>
        <w:rPr>
          <w:spacing w:val="59"/>
          <w:sz w:val="24"/>
        </w:rPr>
        <w:t> </w:t>
      </w:r>
      <w:r>
        <w:rPr>
          <w:sz w:val="24"/>
        </w:rPr>
        <w:t>Not important (</w:t>
      </w:r>
      <w:r>
        <w:rPr>
          <w:spacing w:val="60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0"/>
          <w:numId w:val="14"/>
        </w:numPr>
        <w:tabs>
          <w:tab w:pos="1361" w:val="left" w:leader="none"/>
        </w:tabs>
        <w:spacing w:line="240" w:lineRule="auto" w:before="0" w:after="0"/>
        <w:ind w:left="991" w:right="1254" w:firstLine="0"/>
        <w:jc w:val="both"/>
        <w:rPr>
          <w:sz w:val="24"/>
        </w:rPr>
      </w:pPr>
      <w:r>
        <w:rPr>
          <w:sz w:val="24"/>
        </w:rPr>
        <w:t>Do you know any of these control strategies? Use of insecticide treated nets (</w:t>
      </w:r>
      <w:r>
        <w:rPr>
          <w:spacing w:val="1"/>
          <w:sz w:val="24"/>
        </w:rPr>
        <w:t> 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Indoor residual</w:t>
      </w:r>
      <w:r>
        <w:rPr>
          <w:spacing w:val="1"/>
          <w:sz w:val="24"/>
        </w:rPr>
        <w:t> </w:t>
      </w:r>
      <w:r>
        <w:rPr>
          <w:sz w:val="24"/>
        </w:rPr>
        <w:t>spraying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Intermittent</w:t>
      </w:r>
      <w:r>
        <w:rPr>
          <w:spacing w:val="1"/>
          <w:sz w:val="24"/>
        </w:rPr>
        <w:t> </w:t>
      </w:r>
      <w:r>
        <w:rPr>
          <w:sz w:val="24"/>
        </w:rPr>
        <w:t>preventive treatment</w:t>
      </w:r>
      <w:r>
        <w:rPr>
          <w:spacing w:val="60"/>
          <w:sz w:val="24"/>
        </w:rPr>
        <w:t> </w:t>
      </w:r>
      <w:r>
        <w:rPr>
          <w:sz w:val="24"/>
        </w:rPr>
        <w:t>of malaria in</w:t>
      </w:r>
      <w:r>
        <w:rPr>
          <w:spacing w:val="60"/>
          <w:sz w:val="24"/>
        </w:rPr>
        <w:t> </w:t>
      </w:r>
      <w:r>
        <w:rPr>
          <w:sz w:val="24"/>
        </w:rPr>
        <w:t>pregnancy (</w:t>
      </w:r>
      <w:r>
        <w:rPr>
          <w:spacing w:val="61"/>
          <w:sz w:val="24"/>
        </w:rPr>
        <w:t> </w:t>
      </w:r>
      <w:r>
        <w:rPr>
          <w:sz w:val="24"/>
        </w:rPr>
        <w:t>)</w:t>
      </w:r>
      <w:r>
        <w:rPr>
          <w:spacing w:val="61"/>
          <w:sz w:val="24"/>
        </w:rPr>
        <w:t> </w:t>
      </w:r>
      <w:r>
        <w:rPr>
          <w:sz w:val="24"/>
        </w:rPr>
        <w:t>Larval</w:t>
      </w:r>
      <w:r>
        <w:rPr>
          <w:spacing w:val="60"/>
          <w:sz w:val="24"/>
        </w:rPr>
        <w:t> </w:t>
      </w:r>
      <w:r>
        <w:rPr>
          <w:sz w:val="24"/>
        </w:rPr>
        <w:t>source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2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4"/>
        </w:rPr>
      </w:pPr>
    </w:p>
    <w:p>
      <w:pPr>
        <w:pStyle w:val="Heading1"/>
        <w:spacing w:before="1"/>
        <w:jc w:val="left"/>
      </w:pPr>
      <w:r>
        <w:rPr/>
        <w:t>APPENDIX</w:t>
      </w:r>
      <w:r>
        <w:rPr>
          <w:spacing w:val="-2"/>
        </w:rPr>
        <w:t> </w:t>
      </w:r>
      <w:r>
        <w:rPr/>
        <w:t>II:</w:t>
      </w:r>
      <w:r>
        <w:rPr>
          <w:spacing w:val="-1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 Malaria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RDT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1"/>
        <w:rPr>
          <w:b/>
          <w:sz w:val="21"/>
        </w:rPr>
      </w:pPr>
    </w:p>
    <w:tbl>
      <w:tblPr>
        <w:tblW w:w="0" w:type="auto"/>
        <w:jc w:val="left"/>
        <w:tblInd w:w="8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2532"/>
        <w:gridCol w:w="2963"/>
        <w:gridCol w:w="1766"/>
      </w:tblGrid>
      <w:tr>
        <w:trPr>
          <w:trHeight w:val="550" w:hRule="atLeast"/>
        </w:trPr>
        <w:tc>
          <w:tcPr>
            <w:tcW w:w="139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LGA</w:t>
            </w:r>
          </w:p>
        </w:tc>
        <w:tc>
          <w:tcPr>
            <w:tcW w:w="253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7" w:lineRule="exact"/>
              <w:ind w:left="53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samples</w:t>
            </w:r>
          </w:p>
        </w:tc>
        <w:tc>
          <w:tcPr>
            <w:tcW w:w="296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7" w:lineRule="exact"/>
              <w:ind w:left="12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positive samples</w:t>
            </w:r>
          </w:p>
        </w:tc>
        <w:tc>
          <w:tcPr>
            <w:tcW w:w="176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Prevalence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274" w:hRule="atLeast"/>
        </w:trPr>
        <w:tc>
          <w:tcPr>
            <w:tcW w:w="139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Bosso</w:t>
            </w:r>
          </w:p>
        </w:tc>
        <w:tc>
          <w:tcPr>
            <w:tcW w:w="253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55" w:lineRule="exact"/>
              <w:ind w:left="53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9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55" w:lineRule="exact"/>
              <w:ind w:left="12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7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55" w:lineRule="exact"/>
              <w:ind w:left="139"/>
              <w:rPr>
                <w:sz w:val="24"/>
              </w:rPr>
            </w:pPr>
            <w:r>
              <w:rPr>
                <w:sz w:val="24"/>
              </w:rPr>
              <w:t>48.0</w:t>
            </w:r>
          </w:p>
        </w:tc>
      </w:tr>
      <w:tr>
        <w:trPr>
          <w:trHeight w:val="276" w:hRule="atLeast"/>
        </w:trPr>
        <w:tc>
          <w:tcPr>
            <w:tcW w:w="1392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Paikoro</w:t>
            </w:r>
          </w:p>
        </w:tc>
        <w:tc>
          <w:tcPr>
            <w:tcW w:w="2532" w:type="dxa"/>
          </w:tcPr>
          <w:p>
            <w:pPr>
              <w:pStyle w:val="TableParagraph"/>
              <w:spacing w:line="256" w:lineRule="exact"/>
              <w:ind w:left="53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963" w:type="dxa"/>
          </w:tcPr>
          <w:p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766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rPr>
          <w:trHeight w:val="280" w:hRule="atLeast"/>
        </w:trPr>
        <w:tc>
          <w:tcPr>
            <w:tcW w:w="139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53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0" w:lineRule="exact"/>
              <w:ind w:left="530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96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0" w:lineRule="exact"/>
              <w:ind w:left="125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76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49.0</w:t>
            </w:r>
          </w:p>
        </w:tc>
      </w:tr>
    </w:tbl>
    <w:p>
      <w:pPr>
        <w:spacing w:after="0" w:line="260" w:lineRule="exact"/>
        <w:rPr>
          <w:sz w:val="24"/>
        </w:rPr>
        <w:sectPr>
          <w:pgSz w:w="12240" w:h="15840"/>
          <w:pgMar w:header="0" w:footer="935" w:top="1360" w:bottom="1200" w:left="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tabs>
          <w:tab w:pos="9732" w:val="left" w:leader="none"/>
        </w:tabs>
        <w:spacing w:before="90"/>
        <w:ind w:left="991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Sensitivity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pattern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rapid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diagnostic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detecting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malarial</w:t>
        <w:tab/>
        <w:t>parasites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8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2"/>
        <w:gridCol w:w="1956"/>
        <w:gridCol w:w="1266"/>
        <w:gridCol w:w="2908"/>
      </w:tblGrid>
      <w:tr>
        <w:trPr>
          <w:trHeight w:val="518" w:hRule="atLeast"/>
        </w:trPr>
        <w:tc>
          <w:tcPr>
            <w:tcW w:w="2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19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05"/>
              <w:rPr>
                <w:sz w:val="24"/>
              </w:rPr>
            </w:pPr>
            <w:r>
              <w:rPr>
                <w:sz w:val="24"/>
              </w:rPr>
              <w:t>MICROSCOPY</w:t>
            </w:r>
          </w:p>
        </w:tc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55"/>
              <w:rPr>
                <w:sz w:val="24"/>
              </w:rPr>
            </w:pPr>
            <w:r>
              <w:rPr>
                <w:sz w:val="24"/>
              </w:rPr>
              <w:t>Kappa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396" w:hRule="atLeast"/>
        </w:trPr>
        <w:tc>
          <w:tcPr>
            <w:tcW w:w="271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05"/>
              <w:rPr>
                <w:sz w:val="24"/>
              </w:rPr>
            </w:pPr>
            <w:r>
              <w:rPr>
                <w:sz w:val="24"/>
              </w:rPr>
              <w:t>Negative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2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9" w:right="-29"/>
              <w:rPr>
                <w:sz w:val="24"/>
              </w:rPr>
            </w:pPr>
            <w:r>
              <w:rPr>
                <w:sz w:val="24"/>
              </w:rPr>
              <w:t>Positive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9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2712" w:type="dxa"/>
          </w:tcPr>
          <w:p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RDT</w:t>
            </w:r>
          </w:p>
        </w:tc>
        <w:tc>
          <w:tcPr>
            <w:tcW w:w="19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2712" w:type="dxa"/>
          </w:tcPr>
          <w:p>
            <w:pPr>
              <w:pStyle w:val="TableParagraph"/>
              <w:spacing w:before="115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  <w:tc>
          <w:tcPr>
            <w:tcW w:w="1956" w:type="dxa"/>
          </w:tcPr>
          <w:p>
            <w:pPr>
              <w:pStyle w:val="TableParagraph"/>
              <w:spacing w:before="115"/>
              <w:ind w:left="3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(31.3)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5"/>
              <w:ind w:left="89"/>
              <w:rPr>
                <w:sz w:val="24"/>
              </w:rPr>
            </w:pPr>
            <w:r>
              <w:rPr>
                <w:sz w:val="24"/>
              </w:rPr>
              <w:t>12(37.5)</w:t>
            </w:r>
          </w:p>
        </w:tc>
        <w:tc>
          <w:tcPr>
            <w:tcW w:w="2908" w:type="dxa"/>
          </w:tcPr>
          <w:p>
            <w:pPr>
              <w:pStyle w:val="TableParagraph"/>
              <w:spacing w:before="115"/>
              <w:ind w:left="355"/>
              <w:rPr>
                <w:sz w:val="24"/>
              </w:rPr>
            </w:pPr>
            <w:r>
              <w:rPr>
                <w:sz w:val="24"/>
              </w:rPr>
              <w:t>0.363</w:t>
            </w:r>
          </w:p>
        </w:tc>
      </w:tr>
      <w:tr>
        <w:trPr>
          <w:trHeight w:val="518" w:hRule="atLeast"/>
        </w:trPr>
        <w:tc>
          <w:tcPr>
            <w:tcW w:w="2712" w:type="dxa"/>
          </w:tcPr>
          <w:p>
            <w:pPr>
              <w:pStyle w:val="TableParagraph"/>
              <w:spacing w:before="116"/>
              <w:ind w:right="393"/>
              <w:jc w:val="right"/>
              <w:rPr>
                <w:sz w:val="24"/>
              </w:rPr>
            </w:pPr>
            <w:r>
              <w:rPr>
                <w:sz w:val="24"/>
              </w:rPr>
              <w:t>Positive</w:t>
            </w:r>
          </w:p>
        </w:tc>
        <w:tc>
          <w:tcPr>
            <w:tcW w:w="1956" w:type="dxa"/>
          </w:tcPr>
          <w:p>
            <w:pPr>
              <w:pStyle w:val="TableParagraph"/>
              <w:spacing w:before="116"/>
              <w:ind w:left="30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(0.0)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6"/>
              <w:ind w:left="89"/>
              <w:rPr>
                <w:sz w:val="24"/>
              </w:rPr>
            </w:pPr>
            <w:r>
              <w:rPr>
                <w:sz w:val="24"/>
              </w:rPr>
              <w:t>10(31.3)</w:t>
            </w:r>
          </w:p>
        </w:tc>
        <w:tc>
          <w:tcPr>
            <w:tcW w:w="29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7" w:hRule="atLeast"/>
        </w:trPr>
        <w:tc>
          <w:tcPr>
            <w:tcW w:w="2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3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(31.3)</w:t>
            </w:r>
          </w:p>
        </w:tc>
        <w:tc>
          <w:tcPr>
            <w:tcW w:w="12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89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(68.7)</w:t>
            </w:r>
          </w:p>
        </w:tc>
        <w:tc>
          <w:tcPr>
            <w:tcW w:w="29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278" w:lineRule="auto"/>
        <w:ind w:left="991" w:right="1963"/>
      </w:pPr>
      <w:r>
        <w:rPr/>
        <w:t>The</w:t>
      </w:r>
      <w:r>
        <w:rPr>
          <w:spacing w:val="-3"/>
        </w:rPr>
        <w:t> </w:t>
      </w:r>
      <w:r>
        <w:rPr/>
        <w:t>Kappa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(0.363)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level of agreement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 there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 fair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agreement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RDT</w:t>
      </w:r>
      <w:r>
        <w:rPr>
          <w:spacing w:val="1"/>
        </w:rPr>
        <w:t> </w:t>
      </w:r>
      <w:r>
        <w:rPr/>
        <w:t>and microscopy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diagnosis of malaria infection.</w:t>
      </w:r>
    </w:p>
    <w:p>
      <w:pPr>
        <w:pStyle w:val="Heading1"/>
        <w:spacing w:before="194"/>
        <w:jc w:val="left"/>
      </w:pPr>
      <w:r>
        <w:rPr/>
        <w:t>Results</w:t>
      </w:r>
      <w:r>
        <w:rPr>
          <w:spacing w:val="-2"/>
        </w:rPr>
        <w:t> </w:t>
      </w:r>
      <w:r>
        <w:rPr/>
        <w:t>interpretation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Kappa</w:t>
      </w:r>
      <w:r>
        <w:rPr>
          <w:spacing w:val="-1"/>
        </w:rPr>
        <w:t> </w:t>
      </w:r>
      <w:r>
        <w:rPr/>
        <w:t>values: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8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0"/>
        <w:gridCol w:w="3914"/>
      </w:tblGrid>
      <w:tr>
        <w:trPr>
          <w:trHeight w:val="550" w:hRule="atLeast"/>
        </w:trPr>
        <w:tc>
          <w:tcPr>
            <w:tcW w:w="251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Kappa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391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7" w:lineRule="exact"/>
              <w:ind w:left="1042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agreement</w:t>
            </w:r>
          </w:p>
        </w:tc>
      </w:tr>
      <w:tr>
        <w:trPr>
          <w:trHeight w:val="1659" w:hRule="atLeast"/>
        </w:trPr>
        <w:tc>
          <w:tcPr>
            <w:tcW w:w="251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&lt;0.01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0.01-0.2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0.21-0.40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0.41-0.60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0.61-0.75</w:t>
            </w:r>
          </w:p>
          <w:p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0.76-1.0</w:t>
            </w:r>
          </w:p>
        </w:tc>
        <w:tc>
          <w:tcPr>
            <w:tcW w:w="391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042" w:right="1940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Fair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</w:t>
            </w:r>
          </w:p>
          <w:p>
            <w:pPr>
              <w:pStyle w:val="TableParagraph"/>
              <w:spacing w:line="270" w:lineRule="atLeast"/>
              <w:ind w:left="1042" w:right="1434"/>
              <w:rPr>
                <w:sz w:val="24"/>
              </w:rPr>
            </w:pPr>
            <w:r>
              <w:rPr>
                <w:sz w:val="24"/>
              </w:rPr>
              <w:t>Substantial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Almost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perfect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before="90"/>
        <w:ind w:left="991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IV: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Prevalence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malaria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regards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pregnant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women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population</w:t>
      </w:r>
    </w:p>
    <w:p>
      <w:pPr>
        <w:pStyle w:val="BodyText"/>
        <w:rPr>
          <w:b/>
          <w:sz w:val="23"/>
        </w:rPr>
      </w:pPr>
    </w:p>
    <w:tbl>
      <w:tblPr>
        <w:tblW w:w="0" w:type="auto"/>
        <w:jc w:val="left"/>
        <w:tblInd w:w="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0"/>
        <w:gridCol w:w="1408"/>
        <w:gridCol w:w="1180"/>
        <w:gridCol w:w="1647"/>
        <w:gridCol w:w="1467"/>
      </w:tblGrid>
      <w:tr>
        <w:trPr>
          <w:trHeight w:val="828" w:hRule="atLeast"/>
        </w:trPr>
        <w:tc>
          <w:tcPr>
            <w:tcW w:w="278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40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278" w:right="119"/>
              <w:rPr>
                <w:sz w:val="24"/>
              </w:rPr>
            </w:pPr>
            <w:r>
              <w:rPr>
                <w:sz w:val="24"/>
              </w:rPr>
              <w:t>Num.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Tested(%)</w:t>
            </w:r>
          </w:p>
        </w:tc>
        <w:tc>
          <w:tcPr>
            <w:tcW w:w="118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32" w:right="468"/>
              <w:rPr>
                <w:sz w:val="24"/>
              </w:rPr>
            </w:pPr>
            <w:r>
              <w:rPr>
                <w:sz w:val="24"/>
              </w:rPr>
              <w:t>Num.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tested</w:t>
            </w:r>
          </w:p>
          <w:p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positive</w:t>
            </w:r>
          </w:p>
        </w:tc>
        <w:tc>
          <w:tcPr>
            <w:tcW w:w="164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285" w:right="299"/>
              <w:rPr>
                <w:sz w:val="24"/>
              </w:rPr>
            </w:pPr>
            <w:r>
              <w:rPr>
                <w:spacing w:val="-1"/>
                <w:sz w:val="24"/>
              </w:rPr>
              <w:t>Prevalence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46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308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284" w:hRule="atLeast"/>
        </w:trPr>
        <w:tc>
          <w:tcPr>
            <w:tcW w:w="2780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795" w:val="left" w:leader="none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Trimester</w:t>
              <w:tab/>
              <w:t>First</w:t>
            </w:r>
          </w:p>
        </w:tc>
        <w:tc>
          <w:tcPr>
            <w:tcW w:w="140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4" w:lineRule="exact"/>
              <w:ind w:left="278"/>
              <w:rPr>
                <w:sz w:val="24"/>
              </w:rPr>
            </w:pPr>
            <w:r>
              <w:rPr>
                <w:sz w:val="24"/>
              </w:rPr>
              <w:t>35(29.6)</w:t>
            </w:r>
          </w:p>
        </w:tc>
        <w:tc>
          <w:tcPr>
            <w:tcW w:w="11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4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4" w:lineRule="exact"/>
              <w:ind w:left="285"/>
              <w:rPr>
                <w:sz w:val="24"/>
              </w:rPr>
            </w:pPr>
            <w:r>
              <w:rPr>
                <w:sz w:val="24"/>
              </w:rPr>
              <w:t>48.6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4" w:lineRule="exact"/>
              <w:ind w:left="308"/>
              <w:rPr>
                <w:sz w:val="24"/>
              </w:rPr>
            </w:pPr>
            <w:r>
              <w:rPr>
                <w:sz w:val="24"/>
              </w:rPr>
              <w:t>0.875</w:t>
            </w:r>
          </w:p>
        </w:tc>
      </w:tr>
      <w:tr>
        <w:trPr>
          <w:trHeight w:val="298" w:hRule="atLeast"/>
        </w:trPr>
        <w:tc>
          <w:tcPr>
            <w:tcW w:w="2780" w:type="dxa"/>
          </w:tcPr>
          <w:p>
            <w:pPr>
              <w:pStyle w:val="TableParagraph"/>
              <w:spacing w:line="272" w:lineRule="exact" w:before="7"/>
              <w:ind w:left="1795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408" w:type="dxa"/>
          </w:tcPr>
          <w:p>
            <w:pPr>
              <w:pStyle w:val="TableParagraph"/>
              <w:spacing w:line="272" w:lineRule="exact" w:before="7"/>
              <w:ind w:left="278"/>
              <w:rPr>
                <w:sz w:val="24"/>
              </w:rPr>
            </w:pPr>
            <w:r>
              <w:rPr>
                <w:sz w:val="24"/>
              </w:rPr>
              <w:t>48(40.6)</w:t>
            </w:r>
          </w:p>
        </w:tc>
        <w:tc>
          <w:tcPr>
            <w:tcW w:w="1180" w:type="dxa"/>
          </w:tcPr>
          <w:p>
            <w:pPr>
              <w:pStyle w:val="TableParagraph"/>
              <w:spacing w:line="272" w:lineRule="exact" w:before="7"/>
              <w:ind w:left="13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47" w:type="dxa"/>
          </w:tcPr>
          <w:p>
            <w:pPr>
              <w:pStyle w:val="TableParagraph"/>
              <w:spacing w:line="272" w:lineRule="exact" w:before="7"/>
              <w:ind w:left="285"/>
              <w:rPr>
                <w:sz w:val="24"/>
              </w:rPr>
            </w:pPr>
            <w:r>
              <w:rPr>
                <w:sz w:val="24"/>
              </w:rPr>
              <w:t>44.0</w:t>
            </w:r>
          </w:p>
        </w:tc>
        <w:tc>
          <w:tcPr>
            <w:tcW w:w="14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4" w:hRule="atLeast"/>
        </w:trPr>
        <w:tc>
          <w:tcPr>
            <w:tcW w:w="2780" w:type="dxa"/>
          </w:tcPr>
          <w:p>
            <w:pPr>
              <w:pStyle w:val="TableParagraph"/>
              <w:spacing w:before="5"/>
              <w:ind w:left="1795"/>
              <w:rPr>
                <w:sz w:val="24"/>
              </w:rPr>
            </w:pPr>
            <w:r>
              <w:rPr>
                <w:sz w:val="24"/>
              </w:rPr>
              <w:t>Third</w:t>
            </w:r>
          </w:p>
        </w:tc>
        <w:tc>
          <w:tcPr>
            <w:tcW w:w="1408" w:type="dxa"/>
          </w:tcPr>
          <w:p>
            <w:pPr>
              <w:pStyle w:val="TableParagraph"/>
              <w:spacing w:before="5"/>
              <w:ind w:left="278"/>
              <w:rPr>
                <w:sz w:val="24"/>
              </w:rPr>
            </w:pPr>
            <w:r>
              <w:rPr>
                <w:sz w:val="24"/>
              </w:rPr>
              <w:t>35(29.6)</w:t>
            </w:r>
          </w:p>
        </w:tc>
        <w:tc>
          <w:tcPr>
            <w:tcW w:w="1180" w:type="dxa"/>
          </w:tcPr>
          <w:p>
            <w:pPr>
              <w:pStyle w:val="TableParagraph"/>
              <w:spacing w:before="5"/>
              <w:ind w:left="13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47" w:type="dxa"/>
          </w:tcPr>
          <w:p>
            <w:pPr>
              <w:pStyle w:val="TableParagraph"/>
              <w:spacing w:before="5"/>
              <w:ind w:left="285"/>
              <w:rPr>
                <w:sz w:val="24"/>
              </w:rPr>
            </w:pPr>
            <w:r>
              <w:rPr>
                <w:sz w:val="24"/>
              </w:rPr>
              <w:t>48.6</w:t>
            </w:r>
          </w:p>
        </w:tc>
        <w:tc>
          <w:tcPr>
            <w:tcW w:w="14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278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Pregnant</w:t>
            </w:r>
          </w:p>
        </w:tc>
        <w:tc>
          <w:tcPr>
            <w:tcW w:w="1408" w:type="dxa"/>
          </w:tcPr>
          <w:p>
            <w:pPr>
              <w:pStyle w:val="TableParagraph"/>
              <w:spacing w:before="133"/>
              <w:ind w:left="278"/>
              <w:rPr>
                <w:sz w:val="24"/>
              </w:rPr>
            </w:pPr>
            <w:r>
              <w:rPr>
                <w:sz w:val="24"/>
              </w:rPr>
              <w:t>218(43.6)</w:t>
            </w:r>
          </w:p>
        </w:tc>
        <w:tc>
          <w:tcPr>
            <w:tcW w:w="1180" w:type="dxa"/>
          </w:tcPr>
          <w:p>
            <w:pPr>
              <w:pStyle w:val="TableParagraph"/>
              <w:spacing w:before="133"/>
              <w:ind w:left="132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647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33.9</w:t>
            </w:r>
          </w:p>
        </w:tc>
        <w:tc>
          <w:tcPr>
            <w:tcW w:w="14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278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Children</w:t>
            </w:r>
          </w:p>
        </w:tc>
        <w:tc>
          <w:tcPr>
            <w:tcW w:w="1408" w:type="dxa"/>
          </w:tcPr>
          <w:p>
            <w:pPr>
              <w:pStyle w:val="TableParagraph"/>
              <w:spacing w:before="133"/>
              <w:ind w:left="278"/>
              <w:rPr>
                <w:sz w:val="24"/>
              </w:rPr>
            </w:pPr>
            <w:r>
              <w:rPr>
                <w:sz w:val="24"/>
              </w:rPr>
              <w:t>164(32.8)</w:t>
            </w:r>
          </w:p>
        </w:tc>
        <w:tc>
          <w:tcPr>
            <w:tcW w:w="1180" w:type="dxa"/>
          </w:tcPr>
          <w:p>
            <w:pPr>
              <w:pStyle w:val="TableParagraph"/>
              <w:spacing w:before="133"/>
              <w:ind w:left="132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647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70.7</w:t>
            </w:r>
          </w:p>
        </w:tc>
        <w:tc>
          <w:tcPr>
            <w:tcW w:w="1467" w:type="dxa"/>
          </w:tcPr>
          <w:p>
            <w:pPr>
              <w:pStyle w:val="TableParagraph"/>
              <w:spacing w:before="133"/>
              <w:ind w:left="308"/>
              <w:rPr>
                <w:sz w:val="24"/>
              </w:rPr>
            </w:pPr>
            <w:r>
              <w:rPr>
                <w:sz w:val="24"/>
              </w:rPr>
              <w:t>0.046</w:t>
            </w:r>
          </w:p>
        </w:tc>
      </w:tr>
      <w:tr>
        <w:trPr>
          <w:trHeight w:val="684" w:hRule="atLeast"/>
        </w:trPr>
        <w:tc>
          <w:tcPr>
            <w:tcW w:w="2780" w:type="dxa"/>
          </w:tcPr>
          <w:p>
            <w:pPr>
              <w:pStyle w:val="TableParagraph"/>
              <w:spacing w:line="270" w:lineRule="atLeast" w:before="113"/>
              <w:ind w:left="108" w:right="1806"/>
              <w:rPr>
                <w:sz w:val="24"/>
              </w:rPr>
            </w:pPr>
            <w:r>
              <w:rPr>
                <w:spacing w:val="-1"/>
                <w:sz w:val="24"/>
              </w:rPr>
              <w:t>Pregnant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Women</w:t>
            </w:r>
          </w:p>
        </w:tc>
        <w:tc>
          <w:tcPr>
            <w:tcW w:w="140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118(23.6)</w:t>
            </w:r>
          </w:p>
        </w:tc>
        <w:tc>
          <w:tcPr>
            <w:tcW w:w="1180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647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285"/>
              <w:rPr>
                <w:sz w:val="24"/>
              </w:rPr>
            </w:pPr>
            <w:r>
              <w:rPr>
                <w:sz w:val="24"/>
              </w:rPr>
              <w:t>46.6</w:t>
            </w:r>
          </w:p>
        </w:tc>
        <w:tc>
          <w:tcPr>
            <w:tcW w:w="146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43.440002pt;margin-top:14.173961pt;width:424.77402pt;height:2.16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991"/>
      </w:pPr>
      <w:r>
        <w:rPr/>
        <w:t>The</w:t>
      </w:r>
      <w:r>
        <w:rPr>
          <w:spacing w:val="-3"/>
        </w:rPr>
        <w:t> </w:t>
      </w:r>
      <w:r>
        <w:rPr/>
        <w:t>subject, trimester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not a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risk</w:t>
      </w:r>
      <w:r>
        <w:rPr>
          <w:spacing w:val="-1"/>
        </w:rPr>
        <w:t> </w:t>
      </w:r>
      <w:r>
        <w:rPr/>
        <w:t>factor influencing</w:t>
      </w:r>
      <w:r>
        <w:rPr>
          <w:spacing w:val="-4"/>
        </w:rPr>
        <w:t> </w:t>
      </w:r>
      <w:r>
        <w:rPr/>
        <w:t>malaria</w:t>
      </w:r>
      <w:r>
        <w:rPr>
          <w:spacing w:val="-2"/>
        </w:rPr>
        <w:t> </w:t>
      </w:r>
      <w:r>
        <w:rPr/>
        <w:t>infection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r>
        <w:rPr/>
        <w:t>P&gt;0.05.</w:t>
      </w:r>
    </w:p>
    <w:p>
      <w:pPr>
        <w:pStyle w:val="BodyText"/>
        <w:ind w:left="991"/>
      </w:pPr>
      <w:r>
        <w:rPr/>
        <w:t>At</w:t>
      </w:r>
      <w:r>
        <w:rPr>
          <w:spacing w:val="-1"/>
        </w:rPr>
        <w:t> </w:t>
      </w:r>
      <w:r>
        <w:rPr/>
        <w:t>p&lt;0.05,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specific class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</w:t>
      </w:r>
      <w:r>
        <w:rPr>
          <w:spacing w:val="-1"/>
        </w:rPr>
        <w:t> </w:t>
      </w:r>
      <w:r>
        <w:rPr/>
        <w:t>show</w:t>
      </w:r>
      <w:r>
        <w:rPr>
          <w:spacing w:val="-1"/>
        </w:rPr>
        <w:t> </w:t>
      </w:r>
      <w:r>
        <w:rPr/>
        <w:t>significant risk</w:t>
      </w:r>
      <w:r>
        <w:rPr>
          <w:spacing w:val="-1"/>
        </w:rPr>
        <w:t> </w:t>
      </w:r>
      <w:r>
        <w:rPr/>
        <w:t>factor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malaria infection</w:t>
      </w:r>
    </w:p>
    <w:p>
      <w:pPr>
        <w:spacing w:after="0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0"/>
        <w:ind w:left="991"/>
      </w:pPr>
      <w:r>
        <w:rPr/>
        <w:pict>
          <v:shape style="position:absolute;margin-left:15.75pt;margin-top:123.353119pt;width:24.75pt;height:103.5pt;mso-position-horizontal-relative:page;mso-position-vertical-relative:paragraph;z-index:15736320" type="#_x0000_t202" filled="false" stroked="true" strokeweight=".75pt" strokecolor="#000000">
            <v:textbox inset="0,0,0,0" style="layout-flow:vertical">
              <w:txbxContent>
                <w:p>
                  <w:pPr>
                    <w:spacing w:before="146"/>
                    <w:ind w:left="73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%</w:t>
                  </w:r>
                  <w:r>
                    <w:rPr>
                      <w:rFonts w:asci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PREVALENCE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</w:rPr>
        <w:t>APPENDIX</w:t>
      </w:r>
      <w:r>
        <w:rPr>
          <w:b/>
          <w:spacing w:val="-2"/>
        </w:rPr>
        <w:t> </w:t>
      </w:r>
      <w:r>
        <w:rPr>
          <w:b/>
        </w:rPr>
        <w:t>V:</w:t>
      </w:r>
      <w:r>
        <w:rPr>
          <w:b/>
          <w:spacing w:val="-2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malarial</w:t>
      </w:r>
      <w:r>
        <w:rPr>
          <w:spacing w:val="-1"/>
        </w:rPr>
        <w:t> </w:t>
      </w:r>
      <w:r>
        <w:rPr/>
        <w:t>parasite</w:t>
      </w:r>
      <w:r>
        <w:rPr>
          <w:spacing w:val="-2"/>
        </w:rPr>
        <w:t> </w:t>
      </w:r>
      <w:r>
        <w:rPr/>
        <w:t>among</w:t>
      </w:r>
      <w:r>
        <w:rPr>
          <w:spacing w:val="-3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50.639999pt;margin-top:13.808066pt;width:432.75pt;height:250.45pt;mso-position-horizontal-relative:page;mso-position-vertical-relative:paragraph;z-index:-15721472;mso-wrap-distance-left:0;mso-wrap-distance-right:0" coordorigin="1013,276" coordsize="8655,5009">
            <v:shape style="position:absolute;left:1792;top:1684;width:6281;height:3195" coordorigin="1793,1685" coordsize="6281,3195" path="m2131,2381l1793,2381,1793,4879,2131,4879,2131,2381xm2981,1894l2642,1894,2642,4879,2981,4879,2981,1894xm3830,2057l3490,2057,3490,4879,3830,4879,3830,2057xm4678,1745l4339,1745,4339,4879,4678,4879,4678,1745xm5527,1685l5186,1685,5186,4879,5527,4879,5527,1685xm6374,1841l6036,1841,6036,4879,6374,4879,6374,1841xm7224,4157l6886,4157,6886,4879,7224,4879,7224,4157xm8074,3125l7733,3125,7733,4879,8074,4879,8074,3125xe" filled="true" fillcolor="#4f81bc" stroked="false">
              <v:path arrowok="t"/>
              <v:fill type="solid"/>
            </v:shape>
            <v:shape style="position:absolute;left:1476;top:1116;width:6852;height:3828" coordorigin="1476,1116" coordsize="6852,3828" path="m1538,4879l1538,1116m1476,4879l1538,4879m1476,4462l1538,4462m1476,4044l1538,4044m1476,3627l1538,3627m1476,3209l1538,3209m1476,2789l1538,2789m1476,2371l1538,2371m1476,1954l1538,1954m1476,1536l1538,1536m1476,1116l1538,1116m1538,4879l8328,4879m1538,4879l1538,4944m2388,4879l2388,4944m3235,4879l3235,4944m4085,4879l4085,4944m4932,4879l4932,4944m5782,4879l5782,4944m6629,4879l6629,4944m7478,4879l7478,4944m8328,4879l8328,4944e" filled="false" stroked="true" strokeweight=".72pt" strokecolor="#858585">
              <v:path arrowok="t"/>
              <v:stroke dashstyle="solid"/>
            </v:shape>
            <v:rect style="position:absolute;left:8407;top:2726;width:111;height:108" filled="true" fillcolor="#4f81bc" stroked="false">
              <v:fill type="solid"/>
            </v:rect>
            <v:rect style="position:absolute;left:1020;top:283;width:8640;height:4995" filled="false" stroked="true" strokeweight=".72pt" strokecolor="#858585">
              <v:stroke dashstyle="solid"/>
            </v:rect>
            <v:shape style="position:absolute;left:1150;top:1025;width:222;height:187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>
                    <w:pPr>
                      <w:spacing w:before="17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before="17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before="17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40" w:lineRule="exact" w:before="17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8566;top:2688;width:91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Prevalence</w:t>
                    </w:r>
                  </w:p>
                </w:txbxContent>
              </v:textbox>
              <w10:wrap type="none"/>
            </v:shape>
            <v:shape style="position:absolute;left:1150;top:3116;width:223;height:187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40</w:t>
                    </w:r>
                  </w:p>
                  <w:p>
                    <w:pPr>
                      <w:spacing w:before="17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before="17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before="17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exact" w:before="17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855;top:5049;width:23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A+</w:t>
                    </w:r>
                  </w:p>
                </w:txbxContent>
              </v:textbox>
              <w10:wrap type="none"/>
            </v:shape>
            <v:shape style="position:absolute;left:2723;top:5049;width:1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A-</w:t>
                    </w:r>
                  </w:p>
                </w:txbxContent>
              </v:textbox>
              <w10:wrap type="none"/>
            </v:shape>
            <v:shape style="position:absolute;left:3556;top:5049;width:2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B+</w:t>
                    </w:r>
                  </w:p>
                </w:txbxContent>
              </v:textbox>
              <w10:wrap type="none"/>
            </v:shape>
            <v:shape style="position:absolute;left:4424;top:5049;width:1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B-</w:t>
                    </w:r>
                  </w:p>
                </w:txbxContent>
              </v:textbox>
              <w10:wrap type="none"/>
            </v:shape>
            <v:shape style="position:absolute;left:5196;top:5049;width:34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AB+</w:t>
                    </w:r>
                  </w:p>
                </w:txbxContent>
              </v:textbox>
              <w10:wrap type="none"/>
            </v:shape>
            <v:shape style="position:absolute;left:6063;top:5049;width:30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AB-</w:t>
                    </w:r>
                  </w:p>
                </w:txbxContent>
              </v:textbox>
              <w10:wrap type="none"/>
            </v:shape>
            <v:shape style="position:absolute;left:6939;top:5049;width:25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O+</w:t>
                    </w:r>
                  </w:p>
                </w:txbxContent>
              </v:textbox>
              <w10:wrap type="none"/>
            </v:shape>
            <v:shape style="position:absolute;left:7807;top:5049;width:21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210"/>
        <w:ind w:left="1117" w:right="1381"/>
        <w:jc w:val="center"/>
      </w:pPr>
      <w:r>
        <w:rPr/>
        <w:t>Blood</w:t>
      </w:r>
      <w:r>
        <w:rPr>
          <w:spacing w:val="-1"/>
        </w:rPr>
        <w:t> </w:t>
      </w:r>
      <w:r>
        <w:rPr/>
        <w:t>groups</w:t>
      </w:r>
    </w:p>
    <w:p>
      <w:pPr>
        <w:spacing w:after="0"/>
        <w:jc w:val="center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991"/>
      </w:pPr>
      <w:r>
        <w:rPr/>
        <w:pict>
          <v:shape style="position:absolute;margin-left:9.75pt;margin-top:118.803131pt;width:24.75pt;height:103.5pt;mso-position-horizontal-relative:page;mso-position-vertical-relative:paragraph;z-index:15737344" type="#_x0000_t202" filled="false" stroked="true" strokeweight=".75pt" strokecolor="#000000">
            <v:textbox inset="0,0,0,0" style="layout-flow:vertical">
              <w:txbxContent>
                <w:p>
                  <w:pPr>
                    <w:spacing w:before="146"/>
                    <w:ind w:left="72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%</w:t>
                  </w:r>
                  <w:r>
                    <w:rPr>
                      <w:rFonts w:asci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PREVALENCE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</w:rPr>
        <w:t>APPENDIX</w:t>
      </w:r>
      <w:r>
        <w:rPr>
          <w:b/>
          <w:spacing w:val="-3"/>
        </w:rPr>
        <w:t> </w:t>
      </w:r>
      <w:r>
        <w:rPr>
          <w:b/>
        </w:rPr>
        <w:t>VI:</w:t>
      </w:r>
      <w:r>
        <w:rPr>
          <w:b/>
          <w:spacing w:val="-2"/>
        </w:rPr>
        <w:t> </w:t>
      </w:r>
      <w:r>
        <w:rPr/>
        <w:t>Prevalence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regards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genotype</w:t>
      </w: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50.639999pt;margin-top:13.80875pt;width:432.75pt;height:252.75pt;mso-position-horizontal-relative:page;mso-position-vertical-relative:paragraph;z-index:-15720448;mso-wrap-distance-left:0;mso-wrap-distance-right:0" coordorigin="1013,276" coordsize="8655,5055">
            <v:shape style="position:absolute;left:1934;top:2083;width:4486;height:2840" coordorigin="1934,2083" coordsize="4486,2840" path="m2462,2083l1934,2083,1934,4923,2462,4923,2462,2083xm3780,2196l3254,2196,3254,4923,3780,4923,3780,2196xm5100,3994l4572,3994,4572,4923,5100,4923,5100,3994xm6420,3058l5892,3058,5892,4923,6420,4923,6420,3058xe" filled="true" fillcolor="#4f81bc" stroked="false">
              <v:path arrowok="t"/>
              <v:fill type="solid"/>
            </v:shape>
            <v:shape style="position:absolute;left:1476;top:1564;width:5340;height:3420" coordorigin="1476,1565" coordsize="5340,3420" path="m1538,4923l1538,1565m1476,4923l1538,4923m1476,4363l1538,4363m1476,3802l1538,3802m1476,3243l1538,3243m1476,2683l1538,2683m1476,2124l1538,2124m1476,1565l1538,1565m1538,4923l6816,4923m1538,4923l1538,4985m2858,4923l2858,4985m4176,4923l4176,4985m5496,4923l5496,4985m6816,4923l6816,4985e" filled="false" stroked="true" strokeweight=".72pt" strokecolor="#858585">
              <v:path arrowok="t"/>
              <v:stroke dashstyle="solid"/>
            </v:shape>
            <v:rect style="position:absolute;left:7135;top:2628;width:111;height:108" filled="true" fillcolor="#4f81bc" stroked="false">
              <v:fill type="solid"/>
            </v:rect>
            <v:rect style="position:absolute;left:1020;top:283;width:8640;height:5040" filled="false" stroked="true" strokeweight=".72pt" strokecolor="#858585">
              <v:stroke dashstyle="solid"/>
            </v:rect>
            <v:shape style="position:absolute;left:1150;top:1472;width:222;height:131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7294;top:2590;width:2183;height:44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Prevalence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malaria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with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regards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to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Genotype</w:t>
                    </w:r>
                  </w:p>
                </w:txbxContent>
              </v:textbox>
              <w10:wrap type="none"/>
            </v:shape>
            <v:shape style="position:absolute;left:1150;top:3151;width:223;height:187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60;top:5090;width:5048;height:200" type="#_x0000_t202" filled="false" stroked="false">
              <v:textbox inset="0,0,0,0">
                <w:txbxContent>
                  <w:p>
                    <w:pPr>
                      <w:tabs>
                        <w:tab w:pos="1331" w:val="left" w:leader="none"/>
                        <w:tab w:pos="2662" w:val="left" w:leader="none"/>
                        <w:tab w:pos="3962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Genotype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AA</w:t>
                      <w:tab/>
                      <w:t>Genotype AS</w:t>
                      <w:tab/>
                      <w:t>Genotype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SS</w:t>
                      <w:tab/>
                      <w:t>Genotype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210"/>
        <w:ind w:left="3992"/>
      </w:pPr>
      <w:r>
        <w:rPr/>
        <w:t>Genotype</w:t>
      </w:r>
    </w:p>
    <w:p>
      <w:pPr>
        <w:spacing w:after="0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91"/>
      </w:pPr>
      <w:r>
        <w:rPr/>
        <w:pict>
          <v:shape style="position:absolute;margin-left:21.75pt;margin-top:120.233116pt;width:24.75pt;height:103.5pt;mso-position-horizontal-relative:page;mso-position-vertical-relative:paragraph;z-index:15738368" type="#_x0000_t202" filled="false" stroked="true" strokeweight=".75pt" strokecolor="#000000">
            <v:textbox inset="0,0,0,0" style="layout-flow:vertical">
              <w:txbxContent>
                <w:p>
                  <w:pPr>
                    <w:spacing w:before="146"/>
                    <w:ind w:left="73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%</w:t>
                  </w:r>
                  <w:r>
                    <w:rPr>
                      <w:rFonts w:asci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PREVALENCE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</w:rPr>
        <w:t>APPENDIX</w:t>
      </w:r>
      <w:r>
        <w:rPr>
          <w:b/>
          <w:spacing w:val="-2"/>
        </w:rPr>
        <w:t> </w:t>
      </w:r>
      <w:r>
        <w:rPr>
          <w:b/>
        </w:rPr>
        <w:t>VII:</w:t>
      </w:r>
      <w:r>
        <w:rPr>
          <w:b/>
          <w:spacing w:val="-2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malaria with</w:t>
      </w:r>
      <w:r>
        <w:rPr>
          <w:spacing w:val="-1"/>
        </w:rPr>
        <w:t> </w:t>
      </w:r>
      <w:r>
        <w:rPr/>
        <w:t>regards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haemoglobin</w:t>
      </w:r>
      <w:r>
        <w:rPr>
          <w:spacing w:val="-1"/>
        </w:rPr>
        <w:t> </w:t>
      </w:r>
      <w:r>
        <w:rPr/>
        <w:t>concentration</w:t>
      </w:r>
    </w:p>
    <w:p>
      <w:pPr>
        <w:pStyle w:val="BodyText"/>
        <w:spacing w:before="10"/>
        <w:rPr>
          <w:sz w:val="23"/>
        </w:rPr>
      </w:pPr>
      <w:r>
        <w:rPr/>
        <w:pict>
          <v:group style="position:absolute;margin-left:50.639999pt;margin-top:15.713877pt;width:432.75pt;height:252.75pt;mso-position-horizontal-relative:page;mso-position-vertical-relative:paragraph;z-index:-15719424;mso-wrap-distance-left:0;mso-wrap-distance-right:0" coordorigin="1013,314" coordsize="8655,5055">
            <v:shape style="position:absolute;left:1994;top:1641;width:5175;height:3075" coordorigin="1994,1641" coordsize="5175,3075" path="m2604,1641l1994,1641,1994,4716,2604,4716,2604,1641xm4126,2481l3516,2481,3516,4716,4126,4716,4126,2481xm5647,1893l5038,1893,5038,4716,5647,4716,5647,1893xm7169,2045l6559,2045,6559,4716,7169,4716,7169,2045xe" filled="true" fillcolor="#8063a1" stroked="false">
              <v:path arrowok="t"/>
              <v:fill type="solid"/>
            </v:shape>
            <v:shape style="position:absolute;left:1476;top:1363;width:6149;height:3418" coordorigin="1476,1363" coordsize="6149,3418" path="m1538,4716l1538,1363m1476,4716l1538,4716m1476,4157l1538,4157m1476,3597l1538,3597m1476,3041l1538,3041m1476,2481l1538,2481m1476,1922l1538,1922m1476,1363l1538,1363m1538,4716l7625,4716m1538,4716l1538,4781m3060,4716l3060,4781m4582,4716l4582,4781m6103,4716l6103,4781m7625,4716l7625,4781e" filled="false" stroked="true" strokeweight=".72pt" strokecolor="#858585">
              <v:path arrowok="t"/>
              <v:stroke dashstyle="solid"/>
            </v:shape>
            <v:rect style="position:absolute;left:7531;top:3194;width:111;height:111" filled="true" fillcolor="#8063a1" stroked="false">
              <v:fill type="solid"/>
            </v:rect>
            <v:rect style="position:absolute;left:1020;top:321;width:8640;height:5040" filled="false" stroked="true" strokeweight=".72pt" strokecolor="#858585">
              <v:stroke dashstyle="solid"/>
            </v:rect>
            <v:shape style="position:absolute;left:1150;top:1270;width:222;height:243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691;top:3158;width:17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Prevalence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Malaria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with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regards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to…</w:t>
                    </w:r>
                  </w:p>
                </w:txbxContent>
              </v:textbox>
              <w10:wrap type="none"/>
            </v:shape>
            <v:shape style="position:absolute;left:1150;top:4066;width:223;height:75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42;top:4885;width:428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Severe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Anaemia</w:t>
                    </w:r>
                    <w:r>
                      <w:rPr>
                        <w:rFonts w:ascii="Calibri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Moderate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Anaemia  </w:t>
                    </w:r>
                    <w:r>
                      <w:rPr>
                        <w:rFonts w:ascii="Calibri"/>
                        <w:spacing w:val="2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Mild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Anaemia</w:t>
                    </w:r>
                  </w:p>
                </w:txbxContent>
              </v:textbox>
              <w10:wrap type="none"/>
            </v:shape>
            <v:shape style="position:absolute;left:6311;top:4885;width:11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Non-Anaemic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1116" w:right="1381"/>
        <w:jc w:val="center"/>
      </w:pPr>
      <w:r>
        <w:rPr/>
        <w:t>Haemoglobin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spacing w:before="233"/>
        <w:ind w:left="720" w:right="1256"/>
      </w:pPr>
      <w:r>
        <w:rPr>
          <w:b/>
        </w:rPr>
        <w:t>Legend:</w:t>
      </w:r>
      <w:r>
        <w:rPr>
          <w:b/>
          <w:spacing w:val="15"/>
        </w:rPr>
        <w:t> </w:t>
      </w:r>
      <w:r>
        <w:rPr/>
        <w:t>Severe</w:t>
      </w:r>
      <w:r>
        <w:rPr>
          <w:spacing w:val="14"/>
        </w:rPr>
        <w:t> </w:t>
      </w:r>
      <w:r>
        <w:rPr/>
        <w:t>anaemia;</w:t>
      </w:r>
      <w:r>
        <w:rPr>
          <w:spacing w:val="16"/>
        </w:rPr>
        <w:t> </w:t>
      </w:r>
      <w:r>
        <w:rPr/>
        <w:t>HB≤</w:t>
      </w:r>
      <w:r>
        <w:rPr>
          <w:spacing w:val="16"/>
        </w:rPr>
        <w:t> </w:t>
      </w:r>
      <w:r>
        <w:rPr/>
        <w:t>5g/dL,</w:t>
      </w:r>
      <w:r>
        <w:rPr>
          <w:spacing w:val="15"/>
        </w:rPr>
        <w:t> </w:t>
      </w:r>
      <w:r>
        <w:rPr/>
        <w:t>Moderate</w:t>
      </w:r>
      <w:r>
        <w:rPr>
          <w:spacing w:val="16"/>
        </w:rPr>
        <w:t> </w:t>
      </w:r>
      <w:r>
        <w:rPr/>
        <w:t>anaemia;</w:t>
      </w:r>
      <w:r>
        <w:rPr>
          <w:spacing w:val="16"/>
        </w:rPr>
        <w:t> </w:t>
      </w:r>
      <w:r>
        <w:rPr/>
        <w:t>HB&gt;5-8g/dL,</w:t>
      </w:r>
      <w:r>
        <w:rPr>
          <w:spacing w:val="15"/>
        </w:rPr>
        <w:t> </w:t>
      </w:r>
      <w:r>
        <w:rPr/>
        <w:t>Mild</w:t>
      </w:r>
      <w:r>
        <w:rPr>
          <w:spacing w:val="15"/>
        </w:rPr>
        <w:t> </w:t>
      </w:r>
      <w:r>
        <w:rPr/>
        <w:t>anaemia;</w:t>
      </w:r>
      <w:r>
        <w:rPr>
          <w:spacing w:val="16"/>
        </w:rPr>
        <w:t> </w:t>
      </w:r>
      <w:r>
        <w:rPr/>
        <w:t>HB&gt;8-11g/dL,</w:t>
      </w:r>
      <w:r>
        <w:rPr>
          <w:spacing w:val="-57"/>
        </w:rPr>
        <w:t> </w:t>
      </w:r>
      <w:r>
        <w:rPr/>
        <w:t>Non-anaemic;</w:t>
      </w:r>
      <w:r>
        <w:rPr>
          <w:spacing w:val="-1"/>
        </w:rPr>
        <w:t> </w:t>
      </w:r>
      <w:r>
        <w:rPr/>
        <w:t>HB&gt;11</w:t>
      </w:r>
    </w:p>
    <w:p>
      <w:pPr>
        <w:spacing w:after="0"/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3.6pt;margin-top:348.189972pt;width:611.050pt;height:371.25pt;mso-position-horizontal-relative:page;mso-position-vertical-relative:page;z-index:15739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3"/>
                    <w:gridCol w:w="970"/>
                    <w:gridCol w:w="767"/>
                    <w:gridCol w:w="928"/>
                    <w:gridCol w:w="566"/>
                    <w:gridCol w:w="627"/>
                    <w:gridCol w:w="627"/>
                    <w:gridCol w:w="746"/>
                    <w:gridCol w:w="839"/>
                    <w:gridCol w:w="1162"/>
                    <w:gridCol w:w="735"/>
                    <w:gridCol w:w="756"/>
                    <w:gridCol w:w="1094"/>
                    <w:gridCol w:w="1563"/>
                  </w:tblGrid>
                  <w:tr>
                    <w:trPr>
                      <w:trHeight w:val="445" w:hRule="atLeast"/>
                    </w:trPr>
                    <w:tc>
                      <w:tcPr>
                        <w:tcW w:w="833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ind w:left="260" w:right="117" w:firstLine="42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atient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</w:t>
                        </w:r>
                      </w:p>
                    </w:tc>
                    <w:tc>
                      <w:tcPr>
                        <w:tcW w:w="970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Genotype</w:t>
                        </w:r>
                      </w:p>
                    </w:tc>
                    <w:tc>
                      <w:tcPr>
                        <w:tcW w:w="767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ind w:left="139" w:right="1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Blood</w:t>
                        </w:r>
                        <w:r>
                          <w:rPr>
                            <w:spacing w:val="-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</w:t>
                        </w:r>
                      </w:p>
                    </w:tc>
                    <w:tc>
                      <w:tcPr>
                        <w:tcW w:w="928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11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HB(g/dL)</w:t>
                        </w:r>
                      </w:p>
                    </w:tc>
                    <w:tc>
                      <w:tcPr>
                        <w:tcW w:w="566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ind w:left="107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PCV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(%)</w:t>
                        </w:r>
                      </w:p>
                    </w:tc>
                    <w:tc>
                      <w:tcPr>
                        <w:tcW w:w="627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ind w:left="108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MCV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(fL)</w:t>
                        </w:r>
                      </w:p>
                    </w:tc>
                    <w:tc>
                      <w:tcPr>
                        <w:tcW w:w="627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MCH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(pg)</w:t>
                        </w:r>
                      </w:p>
                    </w:tc>
                    <w:tc>
                      <w:tcPr>
                        <w:tcW w:w="746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MCHC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(g/dL)</w:t>
                        </w:r>
                      </w:p>
                    </w:tc>
                    <w:tc>
                      <w:tcPr>
                        <w:tcW w:w="839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ind w:left="110" w:right="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RBC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(10</w:t>
                        </w:r>
                        <w:r>
                          <w:rPr>
                            <w:sz w:val="18"/>
                            <w:vertAlign w:val="superscript"/>
                          </w:rPr>
                          <w:t>6</w:t>
                        </w:r>
                        <w:r>
                          <w:rPr>
                            <w:sz w:val="18"/>
                            <w:vertAlign w:val="baseline"/>
                          </w:rPr>
                          <w:t>/µL)</w:t>
                        </w:r>
                      </w:p>
                    </w:tc>
                    <w:tc>
                      <w:tcPr>
                        <w:tcW w:w="1162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ind w:left="111" w:right="1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PLC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(1000/mm</w:t>
                        </w:r>
                        <w:r>
                          <w:rPr>
                            <w:sz w:val="18"/>
                            <w:vertAlign w:val="superscript"/>
                          </w:rPr>
                          <w:t>3</w:t>
                        </w:r>
                        <w:r>
                          <w:rPr>
                            <w:sz w:val="18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735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ind w:left="111" w:right="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TWBC</w:t>
                        </w:r>
                        <w:r>
                          <w:rPr>
                            <w:spacing w:val="-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(/L)</w:t>
                        </w:r>
                      </w:p>
                    </w:tc>
                    <w:tc>
                      <w:tcPr>
                        <w:tcW w:w="756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ind w:left="113" w:right="87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RDWC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(fL)</w:t>
                        </w:r>
                      </w:p>
                    </w:tc>
                    <w:tc>
                      <w:tcPr>
                        <w:tcW w:w="1094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ind w:left="113" w:righ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Eosinophils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(%)</w:t>
                        </w:r>
                      </w:p>
                    </w:tc>
                    <w:tc>
                      <w:tcPr>
                        <w:tcW w:w="1563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3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Neutrophils(%)</w:t>
                        </w: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833" w:type="dxa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M1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86</w:t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4.1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9.3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13.8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563" w:type="dxa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M4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11.4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61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15.1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319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5.3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255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14.4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49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319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14.1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77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14.1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319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9.1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3.1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243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45.1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319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3.2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143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49.2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85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1"/>
                          <w:ind w:lef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J10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1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1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B-ve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1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10.1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1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1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1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1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1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2.3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1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164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1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1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37.3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1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1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J7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B-Ve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70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204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57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J11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12.2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59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118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39.2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J16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15.5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62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2.2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162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33.1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J30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11.3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61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2.3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167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33.2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58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J39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15.7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46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69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2.1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121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5.2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32.3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58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J48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10.7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182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32.1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93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12.1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190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3.4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37.8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368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36.6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SS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1.8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16.5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39.1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M17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13.8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76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2.9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214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34.1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58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M25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9.5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62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12.1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148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1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M44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1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1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1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16.2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1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48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1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1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1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1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1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110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1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4.4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1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1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1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M50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AB+ve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2.8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362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52"/>
                          <w:ind w:left="327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before="52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10.4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54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2.1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274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34.7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5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69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327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1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13.7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2.6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388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5.4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36.2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3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after="59"/>
        <w:jc w:val="left"/>
      </w:pPr>
      <w:r>
        <w:rPr/>
        <w:t>APPENDIX</w:t>
      </w:r>
      <w:r>
        <w:rPr>
          <w:spacing w:val="-4"/>
        </w:rPr>
        <w:t> </w:t>
      </w:r>
      <w:r>
        <w:rPr/>
        <w:t>VIII:</w:t>
      </w:r>
      <w:r>
        <w:rPr>
          <w:spacing w:val="-2"/>
        </w:rPr>
        <w:t> </w:t>
      </w:r>
      <w:r>
        <w:rPr/>
        <w:t>Heamatological</w:t>
      </w:r>
      <w:r>
        <w:rPr>
          <w:spacing w:val="-2"/>
        </w:rPr>
        <w:t> </w:t>
      </w:r>
      <w:r>
        <w:rPr/>
        <w:t>parameters of</w:t>
      </w:r>
      <w:r>
        <w:rPr>
          <w:spacing w:val="-1"/>
        </w:rPr>
        <w:t> </w:t>
      </w:r>
      <w:r>
        <w:rPr/>
        <w:t>sampled</w:t>
      </w:r>
      <w:r>
        <w:rPr>
          <w:spacing w:val="-2"/>
        </w:rPr>
        <w:t> </w:t>
      </w:r>
      <w:r>
        <w:rPr/>
        <w:t>population</w:t>
      </w:r>
    </w:p>
    <w:p>
      <w:pPr>
        <w:pStyle w:val="BodyText"/>
        <w:spacing w:line="149" w:lineRule="exact"/>
        <w:ind w:left="-8"/>
        <w:rPr>
          <w:sz w:val="14"/>
        </w:rPr>
      </w:pPr>
      <w:r>
        <w:rPr>
          <w:position w:val="-2"/>
          <w:sz w:val="14"/>
        </w:rPr>
        <w:pict>
          <v:group style="width:586.5pt;height:7.45pt;mso-position-horizontal-relative:char;mso-position-vertical-relative:line" coordorigin="0,0" coordsize="11730,149">
            <v:line style="position:absolute" from="8,8" to="11723,141" stroked="true" strokeweight=".75pt" strokecolor="#000000">
              <v:stroke dashstyle="solid"/>
            </v:line>
          </v:group>
        </w:pict>
      </w:r>
      <w:r>
        <w:rPr>
          <w:position w:val="-2"/>
          <w:sz w:val="14"/>
        </w:rPr>
      </w:r>
    </w:p>
    <w:p>
      <w:pPr>
        <w:spacing w:after="0" w:line="149" w:lineRule="exact"/>
        <w:rPr>
          <w:sz w:val="14"/>
        </w:rPr>
        <w:sectPr>
          <w:pgSz w:w="12240" w:h="15840"/>
          <w:pgMar w:header="0" w:footer="935" w:top="1500" w:bottom="1200" w:left="0" w:right="1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shape style="position:absolute;margin-left:-8.568999pt;margin-top:77.799980pt;width:599.35pt;height:632.050pt;mso-position-horizontal-relative:page;mso-position-vertical-relative:page;z-index:15739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1"/>
                    <w:gridCol w:w="761"/>
                    <w:gridCol w:w="1184"/>
                    <w:gridCol w:w="792"/>
                    <w:gridCol w:w="619"/>
                    <w:gridCol w:w="627"/>
                    <w:gridCol w:w="641"/>
                    <w:gridCol w:w="815"/>
                    <w:gridCol w:w="976"/>
                    <w:gridCol w:w="927"/>
                    <w:gridCol w:w="744"/>
                    <w:gridCol w:w="992"/>
                    <w:gridCol w:w="1214"/>
                    <w:gridCol w:w="958"/>
                  </w:tblGrid>
                  <w:tr>
                    <w:trPr>
                      <w:trHeight w:val="25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10.1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4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171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38.1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5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10.3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2.4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186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37.4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72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11.9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81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2.8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30.6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55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1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1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1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1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1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1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58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1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1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1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1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184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1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1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36.2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1"/>
                          <w:ind w:right="5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1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9.5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55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2.8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166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49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11.6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207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6.6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32.8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16.6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48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84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258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4.9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61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398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2.1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30.9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58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214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35.5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13.8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78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2.8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284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9.9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37.8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9.7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1.8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61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11.3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2.1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345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36.4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12.6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166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33.5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12.6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3.6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305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8.8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36.6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9.9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70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2.6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146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28.9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1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1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1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1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10.1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1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1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1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1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1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1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214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1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1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36.5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1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1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10.8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2.6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121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35.1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8.8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116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29.6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77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12.1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214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7.8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34.4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W1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11.3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114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35.6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W3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O-ve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7.8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56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1.8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78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36.1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W15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12.7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2.8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252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9.4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30.4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W17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12.1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361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8.9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36.6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W25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SS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6.8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94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11.8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40.1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W30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2.6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6.3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29.8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55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W40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11.9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58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211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35.4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1"/>
                          <w:ind w:left="2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K2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1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1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1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10.1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1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1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1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1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1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2.7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1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214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1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7.9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1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34.4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1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1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K5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15.6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46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78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2.9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301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39.1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55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K11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13.6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83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3.4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406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8.7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389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K16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55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235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5.4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37.5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58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K36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11.6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2.6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183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35.3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K49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12.5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58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215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37.8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K39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13.5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268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5.4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32.1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72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6.8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34.5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59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12.1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17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3.6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3.1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168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39.1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2.1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198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4.6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84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SS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6.2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2.1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46.1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2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2.6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85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2"/>
                          <w:ind w:right="4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78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51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43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51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1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before="51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9.5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51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1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51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51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1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3.1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51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213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1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51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38.8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51"/>
                          <w:ind w:right="5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before="51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58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SS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B+ve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4.1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206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210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2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4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1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118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2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29.4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4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38.6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5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2240" w:h="15840"/>
          <w:pgMar w:header="0" w:footer="935" w:top="1500" w:bottom="1120" w:left="0" w:right="180"/>
        </w:sectPr>
      </w:pPr>
    </w:p>
    <w:p>
      <w:pPr>
        <w:pStyle w:val="BodyText"/>
        <w:spacing w:before="10"/>
        <w:rPr>
          <w:b/>
          <w:sz w:val="4"/>
        </w:rPr>
      </w:pPr>
    </w:p>
    <w:tbl>
      <w:tblPr>
        <w:tblW w:w="0" w:type="auto"/>
        <w:jc w:val="lef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"/>
        <w:gridCol w:w="857"/>
        <w:gridCol w:w="1185"/>
        <w:gridCol w:w="816"/>
        <w:gridCol w:w="597"/>
        <w:gridCol w:w="628"/>
        <w:gridCol w:w="688"/>
        <w:gridCol w:w="771"/>
        <w:gridCol w:w="978"/>
        <w:gridCol w:w="974"/>
        <w:gridCol w:w="702"/>
        <w:gridCol w:w="994"/>
        <w:gridCol w:w="1218"/>
        <w:gridCol w:w="761"/>
      </w:tblGrid>
      <w:tr>
        <w:trPr>
          <w:trHeight w:val="259" w:hRule="atLeast"/>
        </w:trPr>
        <w:tc>
          <w:tcPr>
            <w:tcW w:w="463" w:type="dxa"/>
          </w:tcPr>
          <w:p>
            <w:pPr>
              <w:pStyle w:val="TableParagraph"/>
              <w:spacing w:line="199" w:lineRule="exact"/>
              <w:ind w:left="43"/>
              <w:rPr>
                <w:sz w:val="18"/>
              </w:rPr>
            </w:pPr>
            <w:r>
              <w:rPr>
                <w:spacing w:val="-2"/>
                <w:sz w:val="18"/>
              </w:rPr>
              <w:t>1</w:t>
            </w:r>
          </w:p>
        </w:tc>
        <w:tc>
          <w:tcPr>
            <w:tcW w:w="857" w:type="dxa"/>
          </w:tcPr>
          <w:p>
            <w:pPr>
              <w:pStyle w:val="TableParagraph"/>
              <w:spacing w:line="199" w:lineRule="exact"/>
              <w:ind w:left="238"/>
              <w:rPr>
                <w:sz w:val="18"/>
              </w:rPr>
            </w:pPr>
            <w:r>
              <w:rPr>
                <w:sz w:val="18"/>
              </w:rPr>
              <w:t>AA</w:t>
            </w:r>
          </w:p>
        </w:tc>
        <w:tc>
          <w:tcPr>
            <w:tcW w:w="1185" w:type="dxa"/>
          </w:tcPr>
          <w:p>
            <w:pPr>
              <w:pStyle w:val="TableParagraph"/>
              <w:spacing w:line="199" w:lineRule="exact"/>
              <w:ind w:left="358"/>
              <w:rPr>
                <w:sz w:val="18"/>
              </w:rPr>
            </w:pPr>
            <w:r>
              <w:rPr>
                <w:sz w:val="18"/>
              </w:rPr>
              <w:t>A+VE</w:t>
            </w:r>
          </w:p>
        </w:tc>
        <w:tc>
          <w:tcPr>
            <w:tcW w:w="816" w:type="dxa"/>
          </w:tcPr>
          <w:p>
            <w:pPr>
              <w:pStyle w:val="TableParagraph"/>
              <w:spacing w:line="199" w:lineRule="exact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16.2</w:t>
            </w:r>
          </w:p>
        </w:tc>
        <w:tc>
          <w:tcPr>
            <w:tcW w:w="597" w:type="dxa"/>
          </w:tcPr>
          <w:p>
            <w:pPr>
              <w:pStyle w:val="TableParagraph"/>
              <w:spacing w:line="199" w:lineRule="exact"/>
              <w:ind w:left="173" w:right="203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628" w:type="dxa"/>
          </w:tcPr>
          <w:p>
            <w:pPr>
              <w:pStyle w:val="TableParagraph"/>
              <w:spacing w:line="199" w:lineRule="exact"/>
              <w:ind w:left="203" w:right="204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688" w:type="dxa"/>
          </w:tcPr>
          <w:p>
            <w:pPr>
              <w:pStyle w:val="TableParagraph"/>
              <w:spacing w:line="199" w:lineRule="exact"/>
              <w:ind w:left="204" w:right="264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71" w:type="dxa"/>
          </w:tcPr>
          <w:p>
            <w:pPr>
              <w:pStyle w:val="TableParagraph"/>
              <w:spacing w:line="199" w:lineRule="exact"/>
              <w:ind w:left="262" w:right="288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978" w:type="dxa"/>
          </w:tcPr>
          <w:p>
            <w:pPr>
              <w:pStyle w:val="TableParagraph"/>
              <w:spacing w:line="199" w:lineRule="exact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3.7</w:t>
            </w:r>
          </w:p>
        </w:tc>
        <w:tc>
          <w:tcPr>
            <w:tcW w:w="974" w:type="dxa"/>
          </w:tcPr>
          <w:p>
            <w:pPr>
              <w:pStyle w:val="TableParagraph"/>
              <w:spacing w:line="199" w:lineRule="exact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702" w:type="dxa"/>
          </w:tcPr>
          <w:p>
            <w:pPr>
              <w:pStyle w:val="TableParagraph"/>
              <w:spacing w:line="199" w:lineRule="exact"/>
              <w:ind w:left="231" w:right="206"/>
              <w:jc w:val="center"/>
              <w:rPr>
                <w:sz w:val="18"/>
              </w:rPr>
            </w:pPr>
            <w:r>
              <w:rPr>
                <w:sz w:val="18"/>
              </w:rPr>
              <w:t>8.1</w:t>
            </w:r>
          </w:p>
        </w:tc>
        <w:tc>
          <w:tcPr>
            <w:tcW w:w="994" w:type="dxa"/>
          </w:tcPr>
          <w:p>
            <w:pPr>
              <w:pStyle w:val="TableParagraph"/>
              <w:spacing w:line="199" w:lineRule="exact"/>
              <w:ind w:left="215"/>
              <w:rPr>
                <w:sz w:val="18"/>
              </w:rPr>
            </w:pPr>
            <w:r>
              <w:rPr>
                <w:sz w:val="18"/>
              </w:rPr>
              <w:t>32.4</w:t>
            </w:r>
          </w:p>
        </w:tc>
        <w:tc>
          <w:tcPr>
            <w:tcW w:w="1218" w:type="dxa"/>
          </w:tcPr>
          <w:p>
            <w:pPr>
              <w:pStyle w:val="TableParagraph"/>
              <w:spacing w:line="199" w:lineRule="exact"/>
              <w:ind w:right="586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61" w:type="dxa"/>
          </w:tcPr>
          <w:p>
            <w:pPr>
              <w:pStyle w:val="TableParagraph"/>
              <w:spacing w:line="199" w:lineRule="exact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</w:tr>
      <w:tr>
        <w:trPr>
          <w:trHeight w:val="319" w:hRule="atLeast"/>
        </w:trPr>
        <w:tc>
          <w:tcPr>
            <w:tcW w:w="463" w:type="dxa"/>
          </w:tcPr>
          <w:p>
            <w:pPr>
              <w:pStyle w:val="TableParagraph"/>
              <w:spacing w:before="52"/>
              <w:ind w:left="4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57" w:type="dxa"/>
          </w:tcPr>
          <w:p>
            <w:pPr>
              <w:pStyle w:val="TableParagraph"/>
              <w:spacing w:before="52"/>
              <w:ind w:left="238"/>
              <w:rPr>
                <w:sz w:val="18"/>
              </w:rPr>
            </w:pPr>
            <w:r>
              <w:rPr>
                <w:sz w:val="18"/>
              </w:rPr>
              <w:t>AA</w:t>
            </w:r>
          </w:p>
        </w:tc>
        <w:tc>
          <w:tcPr>
            <w:tcW w:w="1185" w:type="dxa"/>
          </w:tcPr>
          <w:p>
            <w:pPr>
              <w:pStyle w:val="TableParagraph"/>
              <w:spacing w:before="52"/>
              <w:ind w:left="358"/>
              <w:rPr>
                <w:sz w:val="18"/>
              </w:rPr>
            </w:pPr>
            <w:r>
              <w:rPr>
                <w:sz w:val="18"/>
              </w:rPr>
              <w:t>O+ve</w:t>
            </w:r>
          </w:p>
        </w:tc>
        <w:tc>
          <w:tcPr>
            <w:tcW w:w="816" w:type="dxa"/>
          </w:tcPr>
          <w:p>
            <w:pPr>
              <w:pStyle w:val="TableParagraph"/>
              <w:spacing w:before="52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14.3</w:t>
            </w:r>
          </w:p>
        </w:tc>
        <w:tc>
          <w:tcPr>
            <w:tcW w:w="597" w:type="dxa"/>
          </w:tcPr>
          <w:p>
            <w:pPr>
              <w:pStyle w:val="TableParagraph"/>
              <w:spacing w:before="52"/>
              <w:ind w:left="173" w:right="203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28" w:type="dxa"/>
          </w:tcPr>
          <w:p>
            <w:pPr>
              <w:pStyle w:val="TableParagraph"/>
              <w:spacing w:before="52"/>
              <w:ind w:left="203" w:right="204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688" w:type="dxa"/>
          </w:tcPr>
          <w:p>
            <w:pPr>
              <w:pStyle w:val="TableParagraph"/>
              <w:spacing w:before="52"/>
              <w:ind w:left="204" w:right="264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71" w:type="dxa"/>
          </w:tcPr>
          <w:p>
            <w:pPr>
              <w:pStyle w:val="TableParagraph"/>
              <w:spacing w:before="52"/>
              <w:ind w:left="262" w:right="288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978" w:type="dxa"/>
          </w:tcPr>
          <w:p>
            <w:pPr>
              <w:pStyle w:val="TableParagraph"/>
              <w:spacing w:before="52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3.7</w:t>
            </w:r>
          </w:p>
        </w:tc>
        <w:tc>
          <w:tcPr>
            <w:tcW w:w="974" w:type="dxa"/>
          </w:tcPr>
          <w:p>
            <w:pPr>
              <w:pStyle w:val="TableParagraph"/>
              <w:spacing w:before="52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348</w:t>
            </w:r>
          </w:p>
        </w:tc>
        <w:tc>
          <w:tcPr>
            <w:tcW w:w="702" w:type="dxa"/>
          </w:tcPr>
          <w:p>
            <w:pPr>
              <w:pStyle w:val="TableParagraph"/>
              <w:spacing w:before="52"/>
              <w:ind w:left="231" w:right="206"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</w:tc>
        <w:tc>
          <w:tcPr>
            <w:tcW w:w="994" w:type="dxa"/>
          </w:tcPr>
          <w:p>
            <w:pPr>
              <w:pStyle w:val="TableParagraph"/>
              <w:spacing w:before="52"/>
              <w:ind w:left="215"/>
              <w:rPr>
                <w:sz w:val="18"/>
              </w:rPr>
            </w:pPr>
            <w:r>
              <w:rPr>
                <w:sz w:val="18"/>
              </w:rPr>
              <w:t>36.6</w:t>
            </w:r>
          </w:p>
        </w:tc>
        <w:tc>
          <w:tcPr>
            <w:tcW w:w="1218" w:type="dxa"/>
          </w:tcPr>
          <w:p>
            <w:pPr>
              <w:pStyle w:val="TableParagraph"/>
              <w:spacing w:before="52"/>
              <w:ind w:right="586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61" w:type="dxa"/>
          </w:tcPr>
          <w:p>
            <w:pPr>
              <w:pStyle w:val="TableParagraph"/>
              <w:spacing w:before="52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</w:tr>
      <w:tr>
        <w:trPr>
          <w:trHeight w:val="318" w:hRule="atLeast"/>
        </w:trPr>
        <w:tc>
          <w:tcPr>
            <w:tcW w:w="463" w:type="dxa"/>
          </w:tcPr>
          <w:p>
            <w:pPr>
              <w:pStyle w:val="TableParagraph"/>
              <w:spacing w:before="52"/>
              <w:ind w:left="43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57" w:type="dxa"/>
          </w:tcPr>
          <w:p>
            <w:pPr>
              <w:pStyle w:val="TableParagraph"/>
              <w:spacing w:before="52"/>
              <w:ind w:left="238"/>
              <w:rPr>
                <w:sz w:val="18"/>
              </w:rPr>
            </w:pPr>
            <w:r>
              <w:rPr>
                <w:sz w:val="18"/>
              </w:rPr>
              <w:t>AA</w:t>
            </w:r>
          </w:p>
        </w:tc>
        <w:tc>
          <w:tcPr>
            <w:tcW w:w="1185" w:type="dxa"/>
          </w:tcPr>
          <w:p>
            <w:pPr>
              <w:pStyle w:val="TableParagraph"/>
              <w:spacing w:before="52"/>
              <w:ind w:left="358"/>
              <w:rPr>
                <w:sz w:val="18"/>
              </w:rPr>
            </w:pPr>
            <w:r>
              <w:rPr>
                <w:sz w:val="18"/>
              </w:rPr>
              <w:t>O+ve</w:t>
            </w:r>
          </w:p>
        </w:tc>
        <w:tc>
          <w:tcPr>
            <w:tcW w:w="816" w:type="dxa"/>
          </w:tcPr>
          <w:p>
            <w:pPr>
              <w:pStyle w:val="TableParagraph"/>
              <w:spacing w:before="52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97" w:type="dxa"/>
          </w:tcPr>
          <w:p>
            <w:pPr>
              <w:pStyle w:val="TableParagraph"/>
              <w:spacing w:before="52"/>
              <w:ind w:left="173" w:right="203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28" w:type="dxa"/>
          </w:tcPr>
          <w:p>
            <w:pPr>
              <w:pStyle w:val="TableParagraph"/>
              <w:spacing w:before="52"/>
              <w:ind w:left="203" w:right="204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688" w:type="dxa"/>
          </w:tcPr>
          <w:p>
            <w:pPr>
              <w:pStyle w:val="TableParagraph"/>
              <w:spacing w:before="52"/>
              <w:ind w:left="204" w:right="264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71" w:type="dxa"/>
          </w:tcPr>
          <w:p>
            <w:pPr>
              <w:pStyle w:val="TableParagraph"/>
              <w:spacing w:before="52"/>
              <w:ind w:left="262" w:right="288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978" w:type="dxa"/>
          </w:tcPr>
          <w:p>
            <w:pPr>
              <w:pStyle w:val="TableParagraph"/>
              <w:spacing w:before="52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2.9</w:t>
            </w:r>
          </w:p>
        </w:tc>
        <w:tc>
          <w:tcPr>
            <w:tcW w:w="974" w:type="dxa"/>
          </w:tcPr>
          <w:p>
            <w:pPr>
              <w:pStyle w:val="TableParagraph"/>
              <w:spacing w:before="52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702" w:type="dxa"/>
          </w:tcPr>
          <w:p>
            <w:pPr>
              <w:pStyle w:val="TableParagraph"/>
              <w:spacing w:before="52"/>
              <w:ind w:left="231" w:right="206"/>
              <w:jc w:val="center"/>
              <w:rPr>
                <w:sz w:val="18"/>
              </w:rPr>
            </w:pPr>
            <w:r>
              <w:rPr>
                <w:sz w:val="18"/>
              </w:rPr>
              <w:t>3.6</w:t>
            </w:r>
          </w:p>
        </w:tc>
        <w:tc>
          <w:tcPr>
            <w:tcW w:w="994" w:type="dxa"/>
          </w:tcPr>
          <w:p>
            <w:pPr>
              <w:pStyle w:val="TableParagraph"/>
              <w:spacing w:before="52"/>
              <w:ind w:left="215"/>
              <w:rPr>
                <w:sz w:val="18"/>
              </w:rPr>
            </w:pPr>
            <w:r>
              <w:rPr>
                <w:sz w:val="18"/>
              </w:rPr>
              <w:t>36.1</w:t>
            </w:r>
          </w:p>
        </w:tc>
        <w:tc>
          <w:tcPr>
            <w:tcW w:w="1218" w:type="dxa"/>
          </w:tcPr>
          <w:p>
            <w:pPr>
              <w:pStyle w:val="TableParagraph"/>
              <w:spacing w:before="52"/>
              <w:ind w:right="58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61" w:type="dxa"/>
          </w:tcPr>
          <w:p>
            <w:pPr>
              <w:pStyle w:val="TableParagraph"/>
              <w:spacing w:before="52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</w:tr>
      <w:tr>
        <w:trPr>
          <w:trHeight w:val="317" w:hRule="atLeast"/>
        </w:trPr>
        <w:tc>
          <w:tcPr>
            <w:tcW w:w="463" w:type="dxa"/>
          </w:tcPr>
          <w:p>
            <w:pPr>
              <w:pStyle w:val="TableParagraph"/>
              <w:spacing w:before="51"/>
              <w:ind w:left="43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57" w:type="dxa"/>
          </w:tcPr>
          <w:p>
            <w:pPr>
              <w:pStyle w:val="TableParagraph"/>
              <w:spacing w:before="51"/>
              <w:ind w:left="238"/>
              <w:rPr>
                <w:sz w:val="18"/>
              </w:rPr>
            </w:pPr>
            <w:r>
              <w:rPr>
                <w:sz w:val="18"/>
              </w:rPr>
              <w:t>AS</w:t>
            </w:r>
          </w:p>
        </w:tc>
        <w:tc>
          <w:tcPr>
            <w:tcW w:w="1185" w:type="dxa"/>
          </w:tcPr>
          <w:p>
            <w:pPr>
              <w:pStyle w:val="TableParagraph"/>
              <w:spacing w:before="51"/>
              <w:ind w:left="358"/>
              <w:rPr>
                <w:sz w:val="18"/>
              </w:rPr>
            </w:pPr>
            <w:r>
              <w:rPr>
                <w:sz w:val="18"/>
              </w:rPr>
              <w:t>O+ve</w:t>
            </w:r>
          </w:p>
        </w:tc>
        <w:tc>
          <w:tcPr>
            <w:tcW w:w="816" w:type="dxa"/>
          </w:tcPr>
          <w:p>
            <w:pPr>
              <w:pStyle w:val="TableParagraph"/>
              <w:spacing w:before="51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10.5</w:t>
            </w:r>
          </w:p>
        </w:tc>
        <w:tc>
          <w:tcPr>
            <w:tcW w:w="597" w:type="dxa"/>
          </w:tcPr>
          <w:p>
            <w:pPr>
              <w:pStyle w:val="TableParagraph"/>
              <w:spacing w:before="51"/>
              <w:ind w:left="173" w:right="203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28" w:type="dxa"/>
          </w:tcPr>
          <w:p>
            <w:pPr>
              <w:pStyle w:val="TableParagraph"/>
              <w:spacing w:before="51"/>
              <w:ind w:left="203" w:right="204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688" w:type="dxa"/>
          </w:tcPr>
          <w:p>
            <w:pPr>
              <w:pStyle w:val="TableParagraph"/>
              <w:spacing w:before="51"/>
              <w:ind w:left="204" w:right="264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71" w:type="dxa"/>
          </w:tcPr>
          <w:p>
            <w:pPr>
              <w:pStyle w:val="TableParagraph"/>
              <w:spacing w:before="51"/>
              <w:ind w:left="262" w:right="288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78" w:type="dxa"/>
          </w:tcPr>
          <w:p>
            <w:pPr>
              <w:pStyle w:val="TableParagraph"/>
              <w:spacing w:before="51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  <w:tc>
          <w:tcPr>
            <w:tcW w:w="974" w:type="dxa"/>
          </w:tcPr>
          <w:p>
            <w:pPr>
              <w:pStyle w:val="TableParagraph"/>
              <w:spacing w:before="51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702" w:type="dxa"/>
          </w:tcPr>
          <w:p>
            <w:pPr>
              <w:pStyle w:val="TableParagraph"/>
              <w:spacing w:before="51"/>
              <w:ind w:left="231" w:right="206"/>
              <w:jc w:val="center"/>
              <w:rPr>
                <w:sz w:val="18"/>
              </w:rPr>
            </w:pPr>
            <w:r>
              <w:rPr>
                <w:sz w:val="18"/>
              </w:rPr>
              <w:t>8.5</w:t>
            </w:r>
          </w:p>
        </w:tc>
        <w:tc>
          <w:tcPr>
            <w:tcW w:w="994" w:type="dxa"/>
          </w:tcPr>
          <w:p>
            <w:pPr>
              <w:pStyle w:val="TableParagraph"/>
              <w:spacing w:before="51"/>
              <w:ind w:left="215"/>
              <w:rPr>
                <w:sz w:val="18"/>
              </w:rPr>
            </w:pPr>
            <w:r>
              <w:rPr>
                <w:sz w:val="18"/>
              </w:rPr>
              <w:t>33.6</w:t>
            </w:r>
          </w:p>
        </w:tc>
        <w:tc>
          <w:tcPr>
            <w:tcW w:w="1218" w:type="dxa"/>
          </w:tcPr>
          <w:p>
            <w:pPr>
              <w:pStyle w:val="TableParagraph"/>
              <w:spacing w:before="51"/>
              <w:ind w:right="58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1" w:type="dxa"/>
          </w:tcPr>
          <w:p>
            <w:pPr>
              <w:pStyle w:val="TableParagraph"/>
              <w:spacing w:before="5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>
        <w:trPr>
          <w:trHeight w:val="319" w:hRule="atLeast"/>
        </w:trPr>
        <w:tc>
          <w:tcPr>
            <w:tcW w:w="463" w:type="dxa"/>
          </w:tcPr>
          <w:p>
            <w:pPr>
              <w:pStyle w:val="TableParagraph"/>
              <w:spacing w:before="52"/>
              <w:ind w:left="43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57" w:type="dxa"/>
          </w:tcPr>
          <w:p>
            <w:pPr>
              <w:pStyle w:val="TableParagraph"/>
              <w:spacing w:before="52"/>
              <w:ind w:left="238"/>
              <w:rPr>
                <w:sz w:val="18"/>
              </w:rPr>
            </w:pPr>
            <w:r>
              <w:rPr>
                <w:sz w:val="18"/>
              </w:rPr>
              <w:t>AA</w:t>
            </w:r>
          </w:p>
        </w:tc>
        <w:tc>
          <w:tcPr>
            <w:tcW w:w="1185" w:type="dxa"/>
          </w:tcPr>
          <w:p>
            <w:pPr>
              <w:pStyle w:val="TableParagraph"/>
              <w:spacing w:before="52"/>
              <w:ind w:left="358"/>
              <w:rPr>
                <w:sz w:val="18"/>
              </w:rPr>
            </w:pPr>
            <w:r>
              <w:rPr>
                <w:sz w:val="18"/>
              </w:rPr>
              <w:t>AB+ve</w:t>
            </w:r>
          </w:p>
        </w:tc>
        <w:tc>
          <w:tcPr>
            <w:tcW w:w="816" w:type="dxa"/>
          </w:tcPr>
          <w:p>
            <w:pPr>
              <w:pStyle w:val="TableParagraph"/>
              <w:spacing w:before="52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10.6</w:t>
            </w:r>
          </w:p>
        </w:tc>
        <w:tc>
          <w:tcPr>
            <w:tcW w:w="597" w:type="dxa"/>
          </w:tcPr>
          <w:p>
            <w:pPr>
              <w:pStyle w:val="TableParagraph"/>
              <w:spacing w:before="52"/>
              <w:ind w:left="173" w:right="203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28" w:type="dxa"/>
          </w:tcPr>
          <w:p>
            <w:pPr>
              <w:pStyle w:val="TableParagraph"/>
              <w:spacing w:before="52"/>
              <w:ind w:left="203" w:right="204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688" w:type="dxa"/>
          </w:tcPr>
          <w:p>
            <w:pPr>
              <w:pStyle w:val="TableParagraph"/>
              <w:spacing w:before="52"/>
              <w:ind w:left="204" w:right="264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71" w:type="dxa"/>
          </w:tcPr>
          <w:p>
            <w:pPr>
              <w:pStyle w:val="TableParagraph"/>
              <w:spacing w:before="52"/>
              <w:ind w:left="262" w:right="288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78" w:type="dxa"/>
          </w:tcPr>
          <w:p>
            <w:pPr>
              <w:pStyle w:val="TableParagraph"/>
              <w:spacing w:before="52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2.6</w:t>
            </w:r>
          </w:p>
        </w:tc>
        <w:tc>
          <w:tcPr>
            <w:tcW w:w="974" w:type="dxa"/>
          </w:tcPr>
          <w:p>
            <w:pPr>
              <w:pStyle w:val="TableParagraph"/>
              <w:spacing w:before="52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702" w:type="dxa"/>
          </w:tcPr>
          <w:p>
            <w:pPr>
              <w:pStyle w:val="TableParagraph"/>
              <w:spacing w:before="52"/>
              <w:ind w:left="231" w:right="206"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</w:tc>
        <w:tc>
          <w:tcPr>
            <w:tcW w:w="994" w:type="dxa"/>
          </w:tcPr>
          <w:p>
            <w:pPr>
              <w:pStyle w:val="TableParagraph"/>
              <w:spacing w:before="52"/>
              <w:ind w:left="215"/>
              <w:rPr>
                <w:sz w:val="18"/>
              </w:rPr>
            </w:pPr>
            <w:r>
              <w:rPr>
                <w:sz w:val="18"/>
              </w:rPr>
              <w:t>33.6</w:t>
            </w:r>
          </w:p>
        </w:tc>
        <w:tc>
          <w:tcPr>
            <w:tcW w:w="1218" w:type="dxa"/>
          </w:tcPr>
          <w:p>
            <w:pPr>
              <w:pStyle w:val="TableParagraph"/>
              <w:spacing w:before="52"/>
              <w:ind w:right="58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61" w:type="dxa"/>
          </w:tcPr>
          <w:p>
            <w:pPr>
              <w:pStyle w:val="TableParagraph"/>
              <w:spacing w:before="52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>
        <w:trPr>
          <w:trHeight w:val="335" w:hRule="atLeast"/>
        </w:trPr>
        <w:tc>
          <w:tcPr>
            <w:tcW w:w="46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43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85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238"/>
              <w:rPr>
                <w:sz w:val="18"/>
              </w:rPr>
            </w:pPr>
            <w:r>
              <w:rPr>
                <w:sz w:val="18"/>
              </w:rPr>
              <w:t>AA</w:t>
            </w:r>
          </w:p>
        </w:tc>
        <w:tc>
          <w:tcPr>
            <w:tcW w:w="118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358"/>
              <w:rPr>
                <w:sz w:val="18"/>
              </w:rPr>
            </w:pPr>
            <w:r>
              <w:rPr>
                <w:sz w:val="18"/>
              </w:rPr>
              <w:t>A+VE</w:t>
            </w:r>
          </w:p>
        </w:tc>
        <w:tc>
          <w:tcPr>
            <w:tcW w:w="81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9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173" w:right="203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2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203" w:right="204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68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204" w:right="264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262" w:right="288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97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right="448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70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231" w:right="206"/>
              <w:jc w:val="center"/>
              <w:rPr>
                <w:sz w:val="18"/>
              </w:rPr>
            </w:pPr>
            <w:r>
              <w:rPr>
                <w:sz w:val="18"/>
              </w:rPr>
              <w:t>5.5</w:t>
            </w:r>
          </w:p>
        </w:tc>
        <w:tc>
          <w:tcPr>
            <w:tcW w:w="99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215"/>
              <w:rPr>
                <w:sz w:val="18"/>
              </w:rPr>
            </w:pPr>
            <w:r>
              <w:rPr>
                <w:sz w:val="18"/>
              </w:rPr>
              <w:t>34.1</w:t>
            </w:r>
          </w:p>
        </w:tc>
        <w:tc>
          <w:tcPr>
            <w:tcW w:w="12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right="582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6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</w:tbl>
    <w:p>
      <w:pPr>
        <w:pStyle w:val="BodyText"/>
        <w:spacing w:before="7"/>
        <w:rPr>
          <w:b/>
          <w:sz w:val="6"/>
        </w:rPr>
      </w:pPr>
    </w:p>
    <w:p>
      <w:pPr>
        <w:spacing w:before="91"/>
        <w:ind w:left="991" w:right="1251" w:firstLine="0"/>
        <w:jc w:val="both"/>
        <w:rPr>
          <w:sz w:val="22"/>
        </w:rPr>
      </w:pPr>
      <w:r>
        <w:rPr>
          <w:sz w:val="22"/>
        </w:rPr>
        <w:t>HB;</w:t>
      </w:r>
      <w:r>
        <w:rPr>
          <w:spacing w:val="1"/>
          <w:sz w:val="22"/>
        </w:rPr>
        <w:t> </w:t>
      </w:r>
      <w:r>
        <w:rPr>
          <w:sz w:val="22"/>
        </w:rPr>
        <w:t>Haemoglogin,</w:t>
      </w:r>
      <w:r>
        <w:rPr>
          <w:spacing w:val="1"/>
          <w:sz w:val="22"/>
        </w:rPr>
        <w:t> </w:t>
      </w:r>
      <w:r>
        <w:rPr>
          <w:sz w:val="22"/>
        </w:rPr>
        <w:t>PCV;</w:t>
      </w:r>
      <w:r>
        <w:rPr>
          <w:spacing w:val="1"/>
          <w:sz w:val="22"/>
        </w:rPr>
        <w:t> </w:t>
      </w:r>
      <w:r>
        <w:rPr>
          <w:sz w:val="22"/>
        </w:rPr>
        <w:t>Packed</w:t>
      </w:r>
      <w:r>
        <w:rPr>
          <w:spacing w:val="1"/>
          <w:sz w:val="22"/>
        </w:rPr>
        <w:t> </w:t>
      </w:r>
      <w:r>
        <w:rPr>
          <w:sz w:val="22"/>
        </w:rPr>
        <w:t>Cell</w:t>
      </w:r>
      <w:r>
        <w:rPr>
          <w:spacing w:val="1"/>
          <w:sz w:val="22"/>
        </w:rPr>
        <w:t> </w:t>
      </w:r>
      <w:r>
        <w:rPr>
          <w:sz w:val="22"/>
        </w:rPr>
        <w:t>Volume,</w:t>
      </w:r>
      <w:r>
        <w:rPr>
          <w:spacing w:val="1"/>
          <w:sz w:val="22"/>
        </w:rPr>
        <w:t> </w:t>
      </w:r>
      <w:r>
        <w:rPr>
          <w:sz w:val="22"/>
        </w:rPr>
        <w:t>MCV;</w:t>
      </w:r>
      <w:r>
        <w:rPr>
          <w:spacing w:val="1"/>
          <w:sz w:val="22"/>
        </w:rPr>
        <w:t> </w:t>
      </w:r>
      <w:r>
        <w:rPr>
          <w:sz w:val="22"/>
        </w:rPr>
        <w:t>Mean</w:t>
      </w:r>
      <w:r>
        <w:rPr>
          <w:spacing w:val="1"/>
          <w:sz w:val="22"/>
        </w:rPr>
        <w:t> </w:t>
      </w:r>
      <w:r>
        <w:rPr>
          <w:sz w:val="22"/>
        </w:rPr>
        <w:t>Cell</w:t>
      </w:r>
      <w:r>
        <w:rPr>
          <w:spacing w:val="1"/>
          <w:sz w:val="22"/>
        </w:rPr>
        <w:t> </w:t>
      </w:r>
      <w:r>
        <w:rPr>
          <w:sz w:val="22"/>
        </w:rPr>
        <w:t>Volume,</w:t>
      </w:r>
      <w:r>
        <w:rPr>
          <w:spacing w:val="1"/>
          <w:sz w:val="22"/>
        </w:rPr>
        <w:t> </w:t>
      </w:r>
      <w:r>
        <w:rPr>
          <w:sz w:val="22"/>
        </w:rPr>
        <w:t>MCH;</w:t>
      </w:r>
      <w:r>
        <w:rPr>
          <w:spacing w:val="1"/>
          <w:sz w:val="22"/>
        </w:rPr>
        <w:t> </w:t>
      </w:r>
      <w:r>
        <w:rPr>
          <w:sz w:val="22"/>
        </w:rPr>
        <w:t>Mean</w:t>
      </w:r>
      <w:r>
        <w:rPr>
          <w:spacing w:val="1"/>
          <w:sz w:val="22"/>
        </w:rPr>
        <w:t> </w:t>
      </w:r>
      <w:r>
        <w:rPr>
          <w:sz w:val="22"/>
        </w:rPr>
        <w:t>Corpusscular</w:t>
      </w:r>
      <w:r>
        <w:rPr>
          <w:spacing w:val="1"/>
          <w:sz w:val="22"/>
        </w:rPr>
        <w:t> </w:t>
      </w:r>
      <w:r>
        <w:rPr>
          <w:sz w:val="22"/>
        </w:rPr>
        <w:t>haemoglobin, MCHC; Mean Cell Haemoglobin Concentration, RBC; Red Blood Cell, PLC; Platelet Count,</w:t>
      </w:r>
      <w:r>
        <w:rPr>
          <w:spacing w:val="1"/>
          <w:sz w:val="22"/>
        </w:rPr>
        <w:t> </w:t>
      </w:r>
      <w:r>
        <w:rPr>
          <w:sz w:val="22"/>
        </w:rPr>
        <w:t>TWBC;</w:t>
      </w:r>
      <w:r>
        <w:rPr>
          <w:spacing w:val="-3"/>
          <w:sz w:val="22"/>
        </w:rPr>
        <w:t> </w:t>
      </w:r>
      <w:r>
        <w:rPr>
          <w:sz w:val="22"/>
        </w:rPr>
        <w:t>Total</w:t>
      </w:r>
      <w:r>
        <w:rPr>
          <w:spacing w:val="-2"/>
          <w:sz w:val="22"/>
        </w:rPr>
        <w:t> </w:t>
      </w:r>
      <w:r>
        <w:rPr>
          <w:sz w:val="22"/>
        </w:rPr>
        <w:t>White</w:t>
      </w:r>
      <w:r>
        <w:rPr>
          <w:spacing w:val="-2"/>
          <w:sz w:val="22"/>
        </w:rPr>
        <w:t> </w:t>
      </w:r>
      <w:r>
        <w:rPr>
          <w:sz w:val="22"/>
        </w:rPr>
        <w:t>Blood</w:t>
      </w:r>
      <w:r>
        <w:rPr>
          <w:spacing w:val="-3"/>
          <w:sz w:val="22"/>
        </w:rPr>
        <w:t> </w:t>
      </w:r>
      <w:r>
        <w:rPr>
          <w:sz w:val="22"/>
        </w:rPr>
        <w:t>Count, RDWC;</w:t>
      </w:r>
      <w:r>
        <w:rPr>
          <w:spacing w:val="1"/>
          <w:sz w:val="22"/>
        </w:rPr>
        <w:t> </w:t>
      </w:r>
      <w:r>
        <w:rPr>
          <w:sz w:val="22"/>
        </w:rPr>
        <w:t>Red blood</w:t>
      </w:r>
      <w:r>
        <w:rPr>
          <w:spacing w:val="-3"/>
          <w:sz w:val="22"/>
        </w:rPr>
        <w:t> </w:t>
      </w:r>
      <w:r>
        <w:rPr>
          <w:sz w:val="22"/>
        </w:rPr>
        <w:t>Cell</w:t>
      </w:r>
      <w:r>
        <w:rPr>
          <w:spacing w:val="1"/>
          <w:sz w:val="22"/>
        </w:rPr>
        <w:t> </w:t>
      </w:r>
      <w:r>
        <w:rPr>
          <w:sz w:val="22"/>
        </w:rPr>
        <w:t>Distribution</w:t>
      </w:r>
      <w:r>
        <w:rPr>
          <w:spacing w:val="-3"/>
          <w:sz w:val="22"/>
        </w:rPr>
        <w:t> </w:t>
      </w:r>
      <w:r>
        <w:rPr>
          <w:sz w:val="22"/>
        </w:rPr>
        <w:t>Width.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spacing w:before="0" w:after="16"/>
      </w:pPr>
      <w:r>
        <w:rPr/>
        <w:t>APPENDIX</w:t>
      </w:r>
      <w:r>
        <w:rPr>
          <w:spacing w:val="-1"/>
        </w:rPr>
        <w:t> </w:t>
      </w:r>
      <w:r>
        <w:rPr/>
        <w:t>IX:</w:t>
      </w:r>
      <w:r>
        <w:rPr>
          <w:spacing w:val="-2"/>
        </w:rPr>
        <w:t> </w:t>
      </w:r>
      <w:r>
        <w:rPr/>
        <w:t>Haematological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some</w:t>
      </w:r>
      <w:r>
        <w:rPr>
          <w:spacing w:val="-3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basis of genotype</w:t>
      </w:r>
    </w:p>
    <w:p>
      <w:pPr>
        <w:pStyle w:val="BodyText"/>
        <w:spacing w:line="91" w:lineRule="exact"/>
        <w:ind w:left="637"/>
        <w:rPr>
          <w:sz w:val="9"/>
        </w:rPr>
      </w:pPr>
      <w:r>
        <w:rPr>
          <w:position w:val="-1"/>
          <w:sz w:val="9"/>
        </w:rPr>
        <w:pict>
          <v:group style="width:480pt;height:4.5pt;mso-position-horizontal-relative:char;mso-position-vertical-relative:line" coordorigin="0,0" coordsize="9600,90">
            <v:line style="position:absolute" from="8,83" to="9593,8" stroked="true" strokeweight=".75pt" strokecolor="#000000">
              <v:stroke dashstyle="solid"/>
            </v:line>
          </v:group>
        </w:pict>
      </w:r>
      <w:r>
        <w:rPr>
          <w:position w:val="-1"/>
          <w:sz w:val="9"/>
        </w:rPr>
      </w:r>
    </w:p>
    <w:p>
      <w:pPr>
        <w:pStyle w:val="BodyText"/>
        <w:spacing w:before="4"/>
        <w:rPr>
          <w:b/>
          <w:sz w:val="15"/>
        </w:rPr>
      </w:pPr>
    </w:p>
    <w:tbl>
      <w:tblPr>
        <w:tblW w:w="0" w:type="auto"/>
        <w:jc w:val="left"/>
        <w:tblInd w:w="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4"/>
        <w:gridCol w:w="809"/>
        <w:gridCol w:w="777"/>
        <w:gridCol w:w="1300"/>
        <w:gridCol w:w="1181"/>
        <w:gridCol w:w="555"/>
        <w:gridCol w:w="593"/>
        <w:gridCol w:w="845"/>
        <w:gridCol w:w="2490"/>
      </w:tblGrid>
      <w:tr>
        <w:trPr>
          <w:trHeight w:val="482" w:hRule="atLeast"/>
        </w:trPr>
        <w:tc>
          <w:tcPr>
            <w:tcW w:w="11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ind w:left="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Patient's</w:t>
            </w:r>
          </w:p>
          <w:p>
            <w:pPr>
              <w:pStyle w:val="TableParagraph"/>
              <w:spacing w:line="223" w:lineRule="exact"/>
              <w:ind w:left="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ID</w:t>
            </w:r>
          </w:p>
        </w:tc>
        <w:tc>
          <w:tcPr>
            <w:tcW w:w="8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23" w:lineRule="exact"/>
              <w:ind w:left="2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Age</w:t>
            </w:r>
          </w:p>
        </w:tc>
        <w:tc>
          <w:tcPr>
            <w:tcW w:w="7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23" w:lineRule="exact"/>
              <w:ind w:left="25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Sex</w:t>
            </w:r>
          </w:p>
        </w:tc>
        <w:tc>
          <w:tcPr>
            <w:tcW w:w="13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23" w:lineRule="exact"/>
              <w:ind w:left="5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RDT</w:t>
            </w:r>
          </w:p>
        </w:tc>
        <w:tc>
          <w:tcPr>
            <w:tcW w:w="11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23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Genotype</w:t>
            </w:r>
          </w:p>
        </w:tc>
        <w:tc>
          <w:tcPr>
            <w:tcW w:w="5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23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HB</w:t>
            </w:r>
          </w:p>
        </w:tc>
        <w:tc>
          <w:tcPr>
            <w:tcW w:w="5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23" w:lineRule="exact"/>
              <w:ind w:right="18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PCV</w:t>
            </w:r>
          </w:p>
        </w:tc>
        <w:tc>
          <w:tcPr>
            <w:tcW w:w="8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23" w:lineRule="exact"/>
              <w:ind w:right="1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TWBC</w:t>
            </w:r>
          </w:p>
        </w:tc>
        <w:tc>
          <w:tcPr>
            <w:tcW w:w="24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23" w:lineRule="exact"/>
              <w:ind w:right="145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Eosinophil</w:t>
            </w:r>
          </w:p>
        </w:tc>
      </w:tr>
      <w:tr>
        <w:trPr>
          <w:trHeight w:val="686" w:hRule="atLeast"/>
        </w:trPr>
        <w:tc>
          <w:tcPr>
            <w:tcW w:w="11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MI</w:t>
            </w:r>
          </w:p>
        </w:tc>
        <w:tc>
          <w:tcPr>
            <w:tcW w:w="8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  <w:tc>
          <w:tcPr>
            <w:tcW w:w="7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19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11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1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5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10.5</w:t>
            </w:r>
          </w:p>
        </w:tc>
        <w:tc>
          <w:tcPr>
            <w:tcW w:w="5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18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</w:t>
            </w:r>
          </w:p>
        </w:tc>
        <w:tc>
          <w:tcPr>
            <w:tcW w:w="8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9.3</w:t>
            </w:r>
          </w:p>
        </w:tc>
        <w:tc>
          <w:tcPr>
            <w:tcW w:w="24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141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</w:tr>
      <w:tr>
        <w:trPr>
          <w:trHeight w:val="537" w:hRule="atLeast"/>
        </w:trPr>
        <w:tc>
          <w:tcPr>
            <w:tcW w:w="1154" w:type="dxa"/>
          </w:tcPr>
          <w:p>
            <w:pPr>
              <w:pStyle w:val="TableParagraph"/>
              <w:spacing w:before="114"/>
              <w:ind w:left="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M4</w:t>
            </w:r>
          </w:p>
        </w:tc>
        <w:tc>
          <w:tcPr>
            <w:tcW w:w="809" w:type="dxa"/>
          </w:tcPr>
          <w:p>
            <w:pPr>
              <w:pStyle w:val="TableParagraph"/>
              <w:spacing w:before="114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777" w:type="dxa"/>
          </w:tcPr>
          <w:p>
            <w:pPr>
              <w:pStyle w:val="TableParagraph"/>
              <w:spacing w:before="114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0" w:type="dxa"/>
          </w:tcPr>
          <w:p>
            <w:pPr>
              <w:pStyle w:val="TableParagraph"/>
              <w:spacing w:before="114"/>
              <w:ind w:left="3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4"/>
              <w:ind w:right="1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555" w:type="dxa"/>
          </w:tcPr>
          <w:p>
            <w:pPr>
              <w:pStyle w:val="TableParagraph"/>
              <w:spacing w:before="114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11.4</w:t>
            </w:r>
          </w:p>
        </w:tc>
        <w:tc>
          <w:tcPr>
            <w:tcW w:w="593" w:type="dxa"/>
          </w:tcPr>
          <w:p>
            <w:pPr>
              <w:pStyle w:val="TableParagraph"/>
              <w:spacing w:before="114"/>
              <w:ind w:right="18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</w:t>
            </w:r>
          </w:p>
        </w:tc>
        <w:tc>
          <w:tcPr>
            <w:tcW w:w="845" w:type="dxa"/>
          </w:tcPr>
          <w:p>
            <w:pPr>
              <w:pStyle w:val="TableParagraph"/>
              <w:spacing w:before="114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5.1</w:t>
            </w:r>
          </w:p>
        </w:tc>
        <w:tc>
          <w:tcPr>
            <w:tcW w:w="2490" w:type="dxa"/>
          </w:tcPr>
          <w:p>
            <w:pPr>
              <w:pStyle w:val="TableParagraph"/>
              <w:spacing w:before="114"/>
              <w:ind w:right="141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</w:tr>
      <w:tr>
        <w:trPr>
          <w:trHeight w:val="537" w:hRule="atLeast"/>
        </w:trPr>
        <w:tc>
          <w:tcPr>
            <w:tcW w:w="1154" w:type="dxa"/>
          </w:tcPr>
          <w:p>
            <w:pPr>
              <w:pStyle w:val="TableParagraph"/>
              <w:spacing w:before="114"/>
              <w:ind w:left="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B2</w:t>
            </w:r>
          </w:p>
        </w:tc>
        <w:tc>
          <w:tcPr>
            <w:tcW w:w="809" w:type="dxa"/>
          </w:tcPr>
          <w:p>
            <w:pPr>
              <w:pStyle w:val="TableParagraph"/>
              <w:spacing w:before="114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  <w:tc>
          <w:tcPr>
            <w:tcW w:w="777" w:type="dxa"/>
          </w:tcPr>
          <w:p>
            <w:pPr>
              <w:pStyle w:val="TableParagraph"/>
              <w:spacing w:before="114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0" w:type="dxa"/>
          </w:tcPr>
          <w:p>
            <w:pPr>
              <w:pStyle w:val="TableParagraph"/>
              <w:spacing w:before="114"/>
              <w:ind w:left="3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4"/>
              <w:ind w:right="1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555" w:type="dxa"/>
          </w:tcPr>
          <w:p>
            <w:pPr>
              <w:pStyle w:val="TableParagraph"/>
              <w:spacing w:before="114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593" w:type="dxa"/>
          </w:tcPr>
          <w:p>
            <w:pPr>
              <w:pStyle w:val="TableParagraph"/>
              <w:spacing w:before="114"/>
              <w:ind w:right="18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45" w:type="dxa"/>
          </w:tcPr>
          <w:p>
            <w:pPr>
              <w:pStyle w:val="TableParagraph"/>
              <w:spacing w:before="114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2490" w:type="dxa"/>
          </w:tcPr>
          <w:p>
            <w:pPr>
              <w:pStyle w:val="TableParagraph"/>
              <w:spacing w:before="114"/>
              <w:ind w:right="141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537" w:hRule="atLeast"/>
        </w:trPr>
        <w:tc>
          <w:tcPr>
            <w:tcW w:w="1154" w:type="dxa"/>
          </w:tcPr>
          <w:p>
            <w:pPr>
              <w:pStyle w:val="TableParagraph"/>
              <w:spacing w:before="114"/>
              <w:ind w:left="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B8</w:t>
            </w:r>
          </w:p>
        </w:tc>
        <w:tc>
          <w:tcPr>
            <w:tcW w:w="809" w:type="dxa"/>
          </w:tcPr>
          <w:p>
            <w:pPr>
              <w:pStyle w:val="TableParagraph"/>
              <w:spacing w:before="114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777" w:type="dxa"/>
          </w:tcPr>
          <w:p>
            <w:pPr>
              <w:pStyle w:val="TableParagraph"/>
              <w:spacing w:before="114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0" w:type="dxa"/>
          </w:tcPr>
          <w:p>
            <w:pPr>
              <w:pStyle w:val="TableParagraph"/>
              <w:spacing w:before="114"/>
              <w:ind w:left="3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4"/>
              <w:ind w:right="1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555" w:type="dxa"/>
          </w:tcPr>
          <w:p>
            <w:pPr>
              <w:pStyle w:val="TableParagraph"/>
              <w:spacing w:before="114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593" w:type="dxa"/>
          </w:tcPr>
          <w:p>
            <w:pPr>
              <w:pStyle w:val="TableParagraph"/>
              <w:spacing w:before="114"/>
              <w:ind w:right="18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845" w:type="dxa"/>
          </w:tcPr>
          <w:p>
            <w:pPr>
              <w:pStyle w:val="TableParagraph"/>
              <w:spacing w:before="114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</w:t>
            </w:r>
          </w:p>
        </w:tc>
        <w:tc>
          <w:tcPr>
            <w:tcW w:w="2490" w:type="dxa"/>
          </w:tcPr>
          <w:p>
            <w:pPr>
              <w:pStyle w:val="TableParagraph"/>
              <w:spacing w:before="114"/>
              <w:ind w:right="141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536" w:hRule="atLeast"/>
        </w:trPr>
        <w:tc>
          <w:tcPr>
            <w:tcW w:w="1154" w:type="dxa"/>
          </w:tcPr>
          <w:p>
            <w:pPr>
              <w:pStyle w:val="TableParagraph"/>
              <w:spacing w:before="114"/>
              <w:ind w:left="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BJ10</w:t>
            </w:r>
          </w:p>
        </w:tc>
        <w:tc>
          <w:tcPr>
            <w:tcW w:w="809" w:type="dxa"/>
          </w:tcPr>
          <w:p>
            <w:pPr>
              <w:pStyle w:val="TableParagraph"/>
              <w:spacing w:before="114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777" w:type="dxa"/>
          </w:tcPr>
          <w:p>
            <w:pPr>
              <w:pStyle w:val="TableParagraph"/>
              <w:spacing w:before="114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0" w:type="dxa"/>
          </w:tcPr>
          <w:p>
            <w:pPr>
              <w:pStyle w:val="TableParagraph"/>
              <w:spacing w:before="114"/>
              <w:ind w:left="3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4"/>
              <w:ind w:right="1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555" w:type="dxa"/>
          </w:tcPr>
          <w:p>
            <w:pPr>
              <w:pStyle w:val="TableParagraph"/>
              <w:spacing w:before="114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10.1</w:t>
            </w:r>
          </w:p>
        </w:tc>
        <w:tc>
          <w:tcPr>
            <w:tcW w:w="593" w:type="dxa"/>
          </w:tcPr>
          <w:p>
            <w:pPr>
              <w:pStyle w:val="TableParagraph"/>
              <w:spacing w:before="114"/>
              <w:ind w:right="18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845" w:type="dxa"/>
          </w:tcPr>
          <w:p>
            <w:pPr>
              <w:pStyle w:val="TableParagraph"/>
              <w:spacing w:before="114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</w:t>
            </w:r>
          </w:p>
        </w:tc>
        <w:tc>
          <w:tcPr>
            <w:tcW w:w="2490" w:type="dxa"/>
          </w:tcPr>
          <w:p>
            <w:pPr>
              <w:pStyle w:val="TableParagraph"/>
              <w:spacing w:before="114"/>
              <w:ind w:right="141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</w:t>
            </w:r>
          </w:p>
        </w:tc>
      </w:tr>
      <w:tr>
        <w:trPr>
          <w:trHeight w:val="536" w:hRule="atLeast"/>
        </w:trPr>
        <w:tc>
          <w:tcPr>
            <w:tcW w:w="1154" w:type="dxa"/>
          </w:tcPr>
          <w:p>
            <w:pPr>
              <w:pStyle w:val="TableParagraph"/>
              <w:spacing w:before="113"/>
              <w:ind w:left="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BJ7</w:t>
            </w:r>
          </w:p>
        </w:tc>
        <w:tc>
          <w:tcPr>
            <w:tcW w:w="809" w:type="dxa"/>
          </w:tcPr>
          <w:p>
            <w:pPr>
              <w:pStyle w:val="TableParagraph"/>
              <w:spacing w:before="113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777" w:type="dxa"/>
          </w:tcPr>
          <w:p>
            <w:pPr>
              <w:pStyle w:val="TableParagraph"/>
              <w:spacing w:before="113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0" w:type="dxa"/>
          </w:tcPr>
          <w:p>
            <w:pPr>
              <w:pStyle w:val="TableParagraph"/>
              <w:spacing w:before="113"/>
              <w:ind w:left="3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3"/>
              <w:ind w:right="1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555" w:type="dxa"/>
          </w:tcPr>
          <w:p>
            <w:pPr>
              <w:pStyle w:val="TableParagraph"/>
              <w:spacing w:before="113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10.2</w:t>
            </w:r>
          </w:p>
        </w:tc>
        <w:tc>
          <w:tcPr>
            <w:tcW w:w="593" w:type="dxa"/>
          </w:tcPr>
          <w:p>
            <w:pPr>
              <w:pStyle w:val="TableParagraph"/>
              <w:spacing w:before="113"/>
              <w:ind w:right="18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845" w:type="dxa"/>
          </w:tcPr>
          <w:p>
            <w:pPr>
              <w:pStyle w:val="TableParagraph"/>
              <w:spacing w:before="113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2490" w:type="dxa"/>
          </w:tcPr>
          <w:p>
            <w:pPr>
              <w:pStyle w:val="TableParagraph"/>
              <w:spacing w:before="113"/>
              <w:ind w:right="141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</w:t>
            </w:r>
          </w:p>
        </w:tc>
      </w:tr>
      <w:tr>
        <w:trPr>
          <w:trHeight w:val="537" w:hRule="atLeast"/>
        </w:trPr>
        <w:tc>
          <w:tcPr>
            <w:tcW w:w="1154" w:type="dxa"/>
          </w:tcPr>
          <w:p>
            <w:pPr>
              <w:pStyle w:val="TableParagraph"/>
              <w:spacing w:before="115"/>
              <w:ind w:left="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BJ16</w:t>
            </w:r>
          </w:p>
        </w:tc>
        <w:tc>
          <w:tcPr>
            <w:tcW w:w="809" w:type="dxa"/>
          </w:tcPr>
          <w:p>
            <w:pPr>
              <w:pStyle w:val="TableParagraph"/>
              <w:spacing w:before="115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777" w:type="dxa"/>
          </w:tcPr>
          <w:p>
            <w:pPr>
              <w:pStyle w:val="TableParagraph"/>
              <w:spacing w:before="115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0" w:type="dxa"/>
          </w:tcPr>
          <w:p>
            <w:pPr>
              <w:pStyle w:val="TableParagraph"/>
              <w:spacing w:before="115"/>
              <w:ind w:right="19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5"/>
              <w:ind w:right="1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555" w:type="dxa"/>
          </w:tcPr>
          <w:p>
            <w:pPr>
              <w:pStyle w:val="TableParagraph"/>
              <w:spacing w:before="115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15.5</w:t>
            </w:r>
          </w:p>
        </w:tc>
        <w:tc>
          <w:tcPr>
            <w:tcW w:w="593" w:type="dxa"/>
          </w:tcPr>
          <w:p>
            <w:pPr>
              <w:pStyle w:val="TableParagraph"/>
              <w:spacing w:before="115"/>
              <w:ind w:right="18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845" w:type="dxa"/>
          </w:tcPr>
          <w:p>
            <w:pPr>
              <w:pStyle w:val="TableParagraph"/>
              <w:spacing w:before="115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5.1</w:t>
            </w:r>
          </w:p>
        </w:tc>
        <w:tc>
          <w:tcPr>
            <w:tcW w:w="2490" w:type="dxa"/>
          </w:tcPr>
          <w:p>
            <w:pPr>
              <w:pStyle w:val="TableParagraph"/>
              <w:spacing w:before="115"/>
              <w:ind w:right="141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</w:tr>
      <w:tr>
        <w:trPr>
          <w:trHeight w:val="537" w:hRule="atLeast"/>
        </w:trPr>
        <w:tc>
          <w:tcPr>
            <w:tcW w:w="1154" w:type="dxa"/>
          </w:tcPr>
          <w:p>
            <w:pPr>
              <w:pStyle w:val="TableParagraph"/>
              <w:spacing w:before="114"/>
              <w:ind w:left="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BJ39</w:t>
            </w:r>
          </w:p>
        </w:tc>
        <w:tc>
          <w:tcPr>
            <w:tcW w:w="809" w:type="dxa"/>
          </w:tcPr>
          <w:p>
            <w:pPr>
              <w:pStyle w:val="TableParagraph"/>
              <w:spacing w:before="114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777" w:type="dxa"/>
          </w:tcPr>
          <w:p>
            <w:pPr>
              <w:pStyle w:val="TableParagraph"/>
              <w:spacing w:before="114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300" w:type="dxa"/>
          </w:tcPr>
          <w:p>
            <w:pPr>
              <w:pStyle w:val="TableParagraph"/>
              <w:spacing w:before="114"/>
              <w:ind w:left="3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4"/>
              <w:ind w:right="1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555" w:type="dxa"/>
          </w:tcPr>
          <w:p>
            <w:pPr>
              <w:pStyle w:val="TableParagraph"/>
              <w:spacing w:before="114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15.7</w:t>
            </w:r>
          </w:p>
        </w:tc>
        <w:tc>
          <w:tcPr>
            <w:tcW w:w="593" w:type="dxa"/>
          </w:tcPr>
          <w:p>
            <w:pPr>
              <w:pStyle w:val="TableParagraph"/>
              <w:spacing w:before="114"/>
              <w:ind w:right="18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46</w:t>
            </w:r>
          </w:p>
        </w:tc>
        <w:tc>
          <w:tcPr>
            <w:tcW w:w="845" w:type="dxa"/>
          </w:tcPr>
          <w:p>
            <w:pPr>
              <w:pStyle w:val="TableParagraph"/>
              <w:spacing w:before="114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5.2</w:t>
            </w:r>
          </w:p>
        </w:tc>
        <w:tc>
          <w:tcPr>
            <w:tcW w:w="2490" w:type="dxa"/>
          </w:tcPr>
          <w:p>
            <w:pPr>
              <w:pStyle w:val="TableParagraph"/>
              <w:spacing w:before="114"/>
              <w:ind w:right="141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</w:tr>
      <w:tr>
        <w:trPr>
          <w:trHeight w:val="537" w:hRule="atLeast"/>
        </w:trPr>
        <w:tc>
          <w:tcPr>
            <w:tcW w:w="1154" w:type="dxa"/>
          </w:tcPr>
          <w:p>
            <w:pPr>
              <w:pStyle w:val="TableParagraph"/>
              <w:spacing w:before="114"/>
              <w:ind w:left="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BJ48</w:t>
            </w:r>
          </w:p>
        </w:tc>
        <w:tc>
          <w:tcPr>
            <w:tcW w:w="809" w:type="dxa"/>
          </w:tcPr>
          <w:p>
            <w:pPr>
              <w:pStyle w:val="TableParagraph"/>
              <w:spacing w:before="114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37</w:t>
            </w:r>
          </w:p>
        </w:tc>
        <w:tc>
          <w:tcPr>
            <w:tcW w:w="777" w:type="dxa"/>
          </w:tcPr>
          <w:p>
            <w:pPr>
              <w:pStyle w:val="TableParagraph"/>
              <w:spacing w:before="114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0" w:type="dxa"/>
          </w:tcPr>
          <w:p>
            <w:pPr>
              <w:pStyle w:val="TableParagraph"/>
              <w:spacing w:before="114"/>
              <w:ind w:right="19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4"/>
              <w:ind w:right="1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555" w:type="dxa"/>
          </w:tcPr>
          <w:p>
            <w:pPr>
              <w:pStyle w:val="TableParagraph"/>
              <w:spacing w:before="114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10.7</w:t>
            </w:r>
          </w:p>
        </w:tc>
        <w:tc>
          <w:tcPr>
            <w:tcW w:w="593" w:type="dxa"/>
          </w:tcPr>
          <w:p>
            <w:pPr>
              <w:pStyle w:val="TableParagraph"/>
              <w:spacing w:before="114"/>
              <w:ind w:right="18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</w:t>
            </w:r>
          </w:p>
        </w:tc>
        <w:tc>
          <w:tcPr>
            <w:tcW w:w="845" w:type="dxa"/>
          </w:tcPr>
          <w:p>
            <w:pPr>
              <w:pStyle w:val="TableParagraph"/>
              <w:spacing w:before="114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5.1</w:t>
            </w:r>
          </w:p>
        </w:tc>
        <w:tc>
          <w:tcPr>
            <w:tcW w:w="2490" w:type="dxa"/>
          </w:tcPr>
          <w:p>
            <w:pPr>
              <w:pStyle w:val="TableParagraph"/>
              <w:spacing w:before="114"/>
              <w:ind w:right="141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536" w:hRule="atLeast"/>
        </w:trPr>
        <w:tc>
          <w:tcPr>
            <w:tcW w:w="1154" w:type="dxa"/>
          </w:tcPr>
          <w:p>
            <w:pPr>
              <w:pStyle w:val="TableParagraph"/>
              <w:spacing w:before="114"/>
              <w:ind w:left="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B30</w:t>
            </w:r>
          </w:p>
        </w:tc>
        <w:tc>
          <w:tcPr>
            <w:tcW w:w="809" w:type="dxa"/>
          </w:tcPr>
          <w:p>
            <w:pPr>
              <w:pStyle w:val="TableParagraph"/>
              <w:spacing w:before="114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77" w:type="dxa"/>
          </w:tcPr>
          <w:p>
            <w:pPr>
              <w:pStyle w:val="TableParagraph"/>
              <w:spacing w:before="114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0" w:type="dxa"/>
          </w:tcPr>
          <w:p>
            <w:pPr>
              <w:pStyle w:val="TableParagraph"/>
              <w:spacing w:before="114"/>
              <w:ind w:left="3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4"/>
              <w:ind w:right="1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555" w:type="dxa"/>
          </w:tcPr>
          <w:p>
            <w:pPr>
              <w:pStyle w:val="TableParagraph"/>
              <w:spacing w:before="114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12.1</w:t>
            </w:r>
          </w:p>
        </w:tc>
        <w:tc>
          <w:tcPr>
            <w:tcW w:w="593" w:type="dxa"/>
          </w:tcPr>
          <w:p>
            <w:pPr>
              <w:pStyle w:val="TableParagraph"/>
              <w:spacing w:before="114"/>
              <w:ind w:right="18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845" w:type="dxa"/>
          </w:tcPr>
          <w:p>
            <w:pPr>
              <w:pStyle w:val="TableParagraph"/>
              <w:spacing w:before="114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3.4</w:t>
            </w:r>
          </w:p>
        </w:tc>
        <w:tc>
          <w:tcPr>
            <w:tcW w:w="2490" w:type="dxa"/>
          </w:tcPr>
          <w:p>
            <w:pPr>
              <w:pStyle w:val="TableParagraph"/>
              <w:spacing w:before="114"/>
              <w:ind w:right="141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</w:tr>
      <w:tr>
        <w:trPr>
          <w:trHeight w:val="417" w:hRule="atLeast"/>
        </w:trPr>
        <w:tc>
          <w:tcPr>
            <w:tcW w:w="1154" w:type="dxa"/>
          </w:tcPr>
          <w:p>
            <w:pPr>
              <w:pStyle w:val="TableParagraph"/>
              <w:spacing w:before="113"/>
              <w:ind w:left="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M17</w:t>
            </w:r>
          </w:p>
        </w:tc>
        <w:tc>
          <w:tcPr>
            <w:tcW w:w="809" w:type="dxa"/>
          </w:tcPr>
          <w:p>
            <w:pPr>
              <w:pStyle w:val="TableParagraph"/>
              <w:spacing w:before="113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777" w:type="dxa"/>
          </w:tcPr>
          <w:p>
            <w:pPr>
              <w:pStyle w:val="TableParagraph"/>
              <w:spacing w:before="113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300" w:type="dxa"/>
          </w:tcPr>
          <w:p>
            <w:pPr>
              <w:pStyle w:val="TableParagraph"/>
              <w:spacing w:before="113"/>
              <w:ind w:left="2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3"/>
              <w:ind w:right="1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555" w:type="dxa"/>
          </w:tcPr>
          <w:p>
            <w:pPr>
              <w:pStyle w:val="TableParagraph"/>
              <w:spacing w:before="113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13.8</w:t>
            </w:r>
          </w:p>
        </w:tc>
        <w:tc>
          <w:tcPr>
            <w:tcW w:w="593" w:type="dxa"/>
          </w:tcPr>
          <w:p>
            <w:pPr>
              <w:pStyle w:val="TableParagraph"/>
              <w:spacing w:before="113"/>
              <w:ind w:right="18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845" w:type="dxa"/>
          </w:tcPr>
          <w:p>
            <w:pPr>
              <w:pStyle w:val="TableParagraph"/>
              <w:spacing w:before="113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10.1</w:t>
            </w:r>
          </w:p>
        </w:tc>
        <w:tc>
          <w:tcPr>
            <w:tcW w:w="2490" w:type="dxa"/>
          </w:tcPr>
          <w:p>
            <w:pPr>
              <w:pStyle w:val="TableParagraph"/>
              <w:spacing w:before="113"/>
              <w:ind w:right="141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1154" w:type="dxa"/>
          </w:tcPr>
          <w:p>
            <w:pPr>
              <w:pStyle w:val="TableParagraph"/>
              <w:spacing w:line="240" w:lineRule="exact"/>
              <w:ind w:left="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M44</w:t>
            </w:r>
          </w:p>
        </w:tc>
        <w:tc>
          <w:tcPr>
            <w:tcW w:w="809" w:type="dxa"/>
          </w:tcPr>
          <w:p>
            <w:pPr>
              <w:pStyle w:val="TableParagraph"/>
              <w:spacing w:line="240" w:lineRule="exact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line="240" w:lineRule="exact"/>
              <w:ind w:left="2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1181" w:type="dxa"/>
          </w:tcPr>
          <w:p>
            <w:pPr>
              <w:pStyle w:val="TableParagraph"/>
              <w:spacing w:line="240" w:lineRule="exact"/>
              <w:ind w:right="1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555" w:type="dxa"/>
          </w:tcPr>
          <w:p>
            <w:pPr>
              <w:pStyle w:val="TableParagraph"/>
              <w:spacing w:line="240" w:lineRule="exact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16.2</w:t>
            </w:r>
          </w:p>
        </w:tc>
        <w:tc>
          <w:tcPr>
            <w:tcW w:w="593" w:type="dxa"/>
          </w:tcPr>
          <w:p>
            <w:pPr>
              <w:pStyle w:val="TableParagraph"/>
              <w:spacing w:line="240" w:lineRule="exact"/>
              <w:ind w:right="18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exact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4.4</w:t>
            </w:r>
          </w:p>
        </w:tc>
        <w:tc>
          <w:tcPr>
            <w:tcW w:w="2490" w:type="dxa"/>
          </w:tcPr>
          <w:p>
            <w:pPr>
              <w:pStyle w:val="TableParagraph"/>
              <w:spacing w:line="240" w:lineRule="exact"/>
              <w:ind w:right="141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</w:tr>
    </w:tbl>
    <w:p>
      <w:pPr>
        <w:spacing w:after="0" w:line="240" w:lineRule="exact"/>
        <w:jc w:val="right"/>
        <w:rPr>
          <w:rFonts w:ascii="Calibri"/>
          <w:sz w:val="22"/>
        </w:rPr>
        <w:sectPr>
          <w:pgSz w:w="12240" w:h="15840"/>
          <w:pgMar w:header="0" w:footer="935" w:top="1500" w:bottom="1120" w:left="0" w:right="180"/>
        </w:sectPr>
      </w:pPr>
    </w:p>
    <w:tbl>
      <w:tblPr>
        <w:tblW w:w="0" w:type="auto"/>
        <w:jc w:val="left"/>
        <w:tblInd w:w="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1126"/>
        <w:gridCol w:w="768"/>
        <w:gridCol w:w="1397"/>
        <w:gridCol w:w="990"/>
        <w:gridCol w:w="658"/>
        <w:gridCol w:w="653"/>
        <w:gridCol w:w="1089"/>
        <w:gridCol w:w="944"/>
      </w:tblGrid>
      <w:tr>
        <w:trPr>
          <w:trHeight w:val="394" w:hRule="atLeast"/>
        </w:trPr>
        <w:tc>
          <w:tcPr>
            <w:tcW w:w="9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225" w:lineRule="exact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964" w:type="dxa"/>
          </w:tcPr>
          <w:p>
            <w:pPr>
              <w:pStyle w:val="TableParagraph"/>
              <w:spacing w:before="130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G1</w:t>
            </w:r>
          </w:p>
        </w:tc>
        <w:tc>
          <w:tcPr>
            <w:tcW w:w="1126" w:type="dxa"/>
          </w:tcPr>
          <w:p>
            <w:pPr>
              <w:pStyle w:val="TableParagraph"/>
              <w:spacing w:before="130"/>
              <w:ind w:right="1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768" w:type="dxa"/>
          </w:tcPr>
          <w:p>
            <w:pPr>
              <w:pStyle w:val="TableParagraph"/>
              <w:spacing w:before="130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0"/>
              <w:ind w:left="2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before="130"/>
              <w:ind w:right="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before="130"/>
              <w:ind w:right="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10.4</w:t>
            </w:r>
          </w:p>
        </w:tc>
        <w:tc>
          <w:tcPr>
            <w:tcW w:w="653" w:type="dxa"/>
          </w:tcPr>
          <w:p>
            <w:pPr>
              <w:pStyle w:val="TableParagraph"/>
              <w:spacing w:before="130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31</w:t>
            </w:r>
          </w:p>
        </w:tc>
        <w:tc>
          <w:tcPr>
            <w:tcW w:w="1089" w:type="dxa"/>
          </w:tcPr>
          <w:p>
            <w:pPr>
              <w:pStyle w:val="TableParagraph"/>
              <w:spacing w:before="130"/>
              <w:ind w:right="4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44" w:type="dxa"/>
          </w:tcPr>
          <w:p>
            <w:pPr>
              <w:pStyle w:val="TableParagraph"/>
              <w:spacing w:before="130"/>
              <w:ind w:right="1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</w:tr>
      <w:tr>
        <w:trPr>
          <w:trHeight w:val="536" w:hRule="atLeast"/>
        </w:trPr>
        <w:tc>
          <w:tcPr>
            <w:tcW w:w="964" w:type="dxa"/>
          </w:tcPr>
          <w:p>
            <w:pPr>
              <w:pStyle w:val="TableParagraph"/>
              <w:spacing w:before="114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G6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4"/>
              <w:ind w:right="1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</w:t>
            </w:r>
          </w:p>
        </w:tc>
        <w:tc>
          <w:tcPr>
            <w:tcW w:w="768" w:type="dxa"/>
          </w:tcPr>
          <w:p>
            <w:pPr>
              <w:pStyle w:val="TableParagraph"/>
              <w:spacing w:before="114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before="114"/>
              <w:ind w:left="2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before="114"/>
              <w:ind w:right="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before="114"/>
              <w:ind w:right="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13.7</w:t>
            </w:r>
          </w:p>
        </w:tc>
        <w:tc>
          <w:tcPr>
            <w:tcW w:w="653" w:type="dxa"/>
          </w:tcPr>
          <w:p>
            <w:pPr>
              <w:pStyle w:val="TableParagraph"/>
              <w:spacing w:before="114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4"/>
              <w:ind w:right="4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</w:t>
            </w:r>
          </w:p>
        </w:tc>
        <w:tc>
          <w:tcPr>
            <w:tcW w:w="944" w:type="dxa"/>
          </w:tcPr>
          <w:p>
            <w:pPr>
              <w:pStyle w:val="TableParagraph"/>
              <w:spacing w:before="114"/>
              <w:ind w:right="19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536" w:hRule="atLeast"/>
        </w:trPr>
        <w:tc>
          <w:tcPr>
            <w:tcW w:w="964" w:type="dxa"/>
          </w:tcPr>
          <w:p>
            <w:pPr>
              <w:pStyle w:val="TableParagraph"/>
              <w:spacing w:before="113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G24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3"/>
              <w:ind w:right="1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768" w:type="dxa"/>
          </w:tcPr>
          <w:p>
            <w:pPr>
              <w:pStyle w:val="TableParagraph"/>
              <w:spacing w:before="113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before="113"/>
              <w:ind w:right="3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90" w:type="dxa"/>
          </w:tcPr>
          <w:p>
            <w:pPr>
              <w:pStyle w:val="TableParagraph"/>
              <w:spacing w:before="113"/>
              <w:ind w:right="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before="113"/>
              <w:ind w:right="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10.3</w:t>
            </w:r>
          </w:p>
        </w:tc>
        <w:tc>
          <w:tcPr>
            <w:tcW w:w="653" w:type="dxa"/>
          </w:tcPr>
          <w:p>
            <w:pPr>
              <w:pStyle w:val="TableParagraph"/>
              <w:spacing w:before="113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right="4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9.1</w:t>
            </w:r>
          </w:p>
        </w:tc>
        <w:tc>
          <w:tcPr>
            <w:tcW w:w="944" w:type="dxa"/>
          </w:tcPr>
          <w:p>
            <w:pPr>
              <w:pStyle w:val="TableParagraph"/>
              <w:spacing w:before="113"/>
              <w:ind w:right="1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537" w:hRule="atLeast"/>
        </w:trPr>
        <w:tc>
          <w:tcPr>
            <w:tcW w:w="964" w:type="dxa"/>
          </w:tcPr>
          <w:p>
            <w:pPr>
              <w:pStyle w:val="TableParagraph"/>
              <w:spacing w:before="114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G39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4"/>
              <w:ind w:right="1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768" w:type="dxa"/>
          </w:tcPr>
          <w:p>
            <w:pPr>
              <w:pStyle w:val="TableParagraph"/>
              <w:spacing w:before="114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397" w:type="dxa"/>
          </w:tcPr>
          <w:p>
            <w:pPr>
              <w:pStyle w:val="TableParagraph"/>
              <w:spacing w:before="114"/>
              <w:ind w:left="2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before="114"/>
              <w:ind w:right="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before="114"/>
              <w:ind w:right="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9.8</w:t>
            </w:r>
          </w:p>
        </w:tc>
        <w:tc>
          <w:tcPr>
            <w:tcW w:w="653" w:type="dxa"/>
          </w:tcPr>
          <w:p>
            <w:pPr>
              <w:pStyle w:val="TableParagraph"/>
              <w:spacing w:before="114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4"/>
              <w:ind w:right="4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4.1</w:t>
            </w:r>
          </w:p>
        </w:tc>
        <w:tc>
          <w:tcPr>
            <w:tcW w:w="944" w:type="dxa"/>
          </w:tcPr>
          <w:p>
            <w:pPr>
              <w:pStyle w:val="TableParagraph"/>
              <w:spacing w:before="114"/>
              <w:ind w:right="19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537" w:hRule="atLeast"/>
        </w:trPr>
        <w:tc>
          <w:tcPr>
            <w:tcW w:w="964" w:type="dxa"/>
          </w:tcPr>
          <w:p>
            <w:pPr>
              <w:pStyle w:val="TableParagraph"/>
              <w:spacing w:before="114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G40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4"/>
              <w:ind w:right="1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768" w:type="dxa"/>
          </w:tcPr>
          <w:p>
            <w:pPr>
              <w:pStyle w:val="TableParagraph"/>
              <w:spacing w:before="114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before="114"/>
              <w:ind w:left="2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before="114"/>
              <w:ind w:right="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before="114"/>
              <w:ind w:right="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9.5</w:t>
            </w:r>
          </w:p>
        </w:tc>
        <w:tc>
          <w:tcPr>
            <w:tcW w:w="653" w:type="dxa"/>
          </w:tcPr>
          <w:p>
            <w:pPr>
              <w:pStyle w:val="TableParagraph"/>
              <w:spacing w:before="114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4"/>
              <w:ind w:left="26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10.1</w:t>
            </w:r>
          </w:p>
        </w:tc>
        <w:tc>
          <w:tcPr>
            <w:tcW w:w="944" w:type="dxa"/>
          </w:tcPr>
          <w:p>
            <w:pPr>
              <w:pStyle w:val="TableParagraph"/>
              <w:spacing w:before="114"/>
              <w:ind w:right="1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537" w:hRule="atLeast"/>
        </w:trPr>
        <w:tc>
          <w:tcPr>
            <w:tcW w:w="964" w:type="dxa"/>
          </w:tcPr>
          <w:p>
            <w:pPr>
              <w:pStyle w:val="TableParagraph"/>
              <w:spacing w:before="114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S1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4"/>
              <w:ind w:right="8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9Months</w:t>
            </w:r>
          </w:p>
        </w:tc>
        <w:tc>
          <w:tcPr>
            <w:tcW w:w="768" w:type="dxa"/>
          </w:tcPr>
          <w:p>
            <w:pPr>
              <w:pStyle w:val="TableParagraph"/>
              <w:spacing w:before="114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397" w:type="dxa"/>
          </w:tcPr>
          <w:p>
            <w:pPr>
              <w:pStyle w:val="TableParagraph"/>
              <w:spacing w:before="114"/>
              <w:ind w:left="2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before="114"/>
              <w:ind w:right="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before="114"/>
              <w:ind w:right="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16.6</w:t>
            </w:r>
          </w:p>
        </w:tc>
        <w:tc>
          <w:tcPr>
            <w:tcW w:w="653" w:type="dxa"/>
          </w:tcPr>
          <w:p>
            <w:pPr>
              <w:pStyle w:val="TableParagraph"/>
              <w:spacing w:before="114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4"/>
              <w:ind w:right="4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4.9</w:t>
            </w:r>
          </w:p>
        </w:tc>
        <w:tc>
          <w:tcPr>
            <w:tcW w:w="944" w:type="dxa"/>
          </w:tcPr>
          <w:p>
            <w:pPr>
              <w:pStyle w:val="TableParagraph"/>
              <w:spacing w:before="114"/>
              <w:ind w:right="1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</w:tr>
      <w:tr>
        <w:trPr>
          <w:trHeight w:val="536" w:hRule="atLeast"/>
        </w:trPr>
        <w:tc>
          <w:tcPr>
            <w:tcW w:w="964" w:type="dxa"/>
          </w:tcPr>
          <w:p>
            <w:pPr>
              <w:pStyle w:val="TableParagraph"/>
              <w:spacing w:before="115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S20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5"/>
              <w:ind w:right="1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68" w:type="dxa"/>
          </w:tcPr>
          <w:p>
            <w:pPr>
              <w:pStyle w:val="TableParagraph"/>
              <w:spacing w:before="115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397" w:type="dxa"/>
          </w:tcPr>
          <w:p>
            <w:pPr>
              <w:pStyle w:val="TableParagraph"/>
              <w:spacing w:before="115"/>
              <w:ind w:right="3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90" w:type="dxa"/>
          </w:tcPr>
          <w:p>
            <w:pPr>
              <w:pStyle w:val="TableParagraph"/>
              <w:spacing w:before="115"/>
              <w:ind w:right="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before="115"/>
              <w:ind w:right="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13.8</w:t>
            </w:r>
          </w:p>
        </w:tc>
        <w:tc>
          <w:tcPr>
            <w:tcW w:w="653" w:type="dxa"/>
          </w:tcPr>
          <w:p>
            <w:pPr>
              <w:pStyle w:val="TableParagraph"/>
              <w:spacing w:before="115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5"/>
              <w:ind w:right="4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9.9</w:t>
            </w:r>
          </w:p>
        </w:tc>
        <w:tc>
          <w:tcPr>
            <w:tcW w:w="944" w:type="dxa"/>
          </w:tcPr>
          <w:p>
            <w:pPr>
              <w:pStyle w:val="TableParagraph"/>
              <w:spacing w:before="115"/>
              <w:ind w:right="1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</w:tr>
      <w:tr>
        <w:trPr>
          <w:trHeight w:val="536" w:hRule="atLeast"/>
        </w:trPr>
        <w:tc>
          <w:tcPr>
            <w:tcW w:w="964" w:type="dxa"/>
          </w:tcPr>
          <w:p>
            <w:pPr>
              <w:pStyle w:val="TableParagraph"/>
              <w:spacing w:before="113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P3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3"/>
              <w:ind w:right="1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68" w:type="dxa"/>
          </w:tcPr>
          <w:p>
            <w:pPr>
              <w:pStyle w:val="TableParagraph"/>
              <w:spacing w:before="113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before="113"/>
              <w:ind w:left="2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before="113"/>
              <w:ind w:right="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before="113"/>
              <w:ind w:right="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12.6</w:t>
            </w:r>
          </w:p>
        </w:tc>
        <w:tc>
          <w:tcPr>
            <w:tcW w:w="653" w:type="dxa"/>
          </w:tcPr>
          <w:p>
            <w:pPr>
              <w:pStyle w:val="TableParagraph"/>
              <w:spacing w:before="113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right="4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8.8</w:t>
            </w:r>
          </w:p>
        </w:tc>
        <w:tc>
          <w:tcPr>
            <w:tcW w:w="944" w:type="dxa"/>
          </w:tcPr>
          <w:p>
            <w:pPr>
              <w:pStyle w:val="TableParagraph"/>
              <w:spacing w:before="113"/>
              <w:ind w:right="1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418" w:hRule="atLeast"/>
        </w:trPr>
        <w:tc>
          <w:tcPr>
            <w:tcW w:w="964" w:type="dxa"/>
          </w:tcPr>
          <w:p>
            <w:pPr>
              <w:pStyle w:val="TableParagraph"/>
              <w:spacing w:before="114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P25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4"/>
              <w:ind w:right="1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768" w:type="dxa"/>
          </w:tcPr>
          <w:p>
            <w:pPr>
              <w:pStyle w:val="TableParagraph"/>
              <w:spacing w:before="114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before="114"/>
              <w:ind w:left="2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before="114"/>
              <w:ind w:right="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before="114"/>
              <w:ind w:right="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10.8</w:t>
            </w:r>
          </w:p>
        </w:tc>
        <w:tc>
          <w:tcPr>
            <w:tcW w:w="653" w:type="dxa"/>
          </w:tcPr>
          <w:p>
            <w:pPr>
              <w:pStyle w:val="TableParagraph"/>
              <w:spacing w:before="114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4"/>
              <w:ind w:right="4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4.1</w:t>
            </w:r>
          </w:p>
        </w:tc>
        <w:tc>
          <w:tcPr>
            <w:tcW w:w="944" w:type="dxa"/>
          </w:tcPr>
          <w:p>
            <w:pPr>
              <w:pStyle w:val="TableParagraph"/>
              <w:spacing w:before="114"/>
              <w:ind w:right="1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964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P39</w:t>
            </w:r>
          </w:p>
        </w:tc>
        <w:tc>
          <w:tcPr>
            <w:tcW w:w="1126" w:type="dxa"/>
          </w:tcPr>
          <w:p>
            <w:pPr>
              <w:pStyle w:val="TableParagraph"/>
              <w:spacing w:line="264" w:lineRule="exact"/>
              <w:ind w:right="1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768" w:type="dxa"/>
          </w:tcPr>
          <w:p>
            <w:pPr>
              <w:pStyle w:val="TableParagraph"/>
              <w:spacing w:line="264" w:lineRule="exact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64" w:lineRule="exact"/>
              <w:ind w:left="2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64" w:lineRule="exact"/>
              <w:ind w:right="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line="264" w:lineRule="exact"/>
              <w:ind w:right="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8.8</w:t>
            </w:r>
          </w:p>
        </w:tc>
        <w:tc>
          <w:tcPr>
            <w:tcW w:w="653" w:type="dxa"/>
          </w:tcPr>
          <w:p>
            <w:pPr>
              <w:pStyle w:val="TableParagraph"/>
              <w:spacing w:line="264" w:lineRule="exact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right="4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</w:t>
            </w:r>
          </w:p>
        </w:tc>
        <w:tc>
          <w:tcPr>
            <w:tcW w:w="944" w:type="dxa"/>
          </w:tcPr>
          <w:p>
            <w:pPr>
              <w:pStyle w:val="TableParagraph"/>
              <w:spacing w:line="264" w:lineRule="exact"/>
              <w:ind w:right="1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418" w:hRule="atLeast"/>
        </w:trPr>
        <w:tc>
          <w:tcPr>
            <w:tcW w:w="964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P50</w:t>
            </w:r>
          </w:p>
        </w:tc>
        <w:tc>
          <w:tcPr>
            <w:tcW w:w="1126" w:type="dxa"/>
          </w:tcPr>
          <w:p>
            <w:pPr>
              <w:pStyle w:val="TableParagraph"/>
              <w:spacing w:line="264" w:lineRule="exact"/>
              <w:ind w:right="1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768" w:type="dxa"/>
          </w:tcPr>
          <w:p>
            <w:pPr>
              <w:pStyle w:val="TableParagraph"/>
              <w:spacing w:line="264" w:lineRule="exact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64" w:lineRule="exact"/>
              <w:ind w:right="3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64" w:lineRule="exact"/>
              <w:ind w:right="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line="264" w:lineRule="exact"/>
              <w:ind w:right="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2.1</w:t>
            </w:r>
          </w:p>
        </w:tc>
        <w:tc>
          <w:tcPr>
            <w:tcW w:w="653" w:type="dxa"/>
          </w:tcPr>
          <w:p>
            <w:pPr>
              <w:pStyle w:val="TableParagraph"/>
              <w:spacing w:line="264" w:lineRule="exact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right="4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7.8</w:t>
            </w:r>
          </w:p>
        </w:tc>
        <w:tc>
          <w:tcPr>
            <w:tcW w:w="944" w:type="dxa"/>
          </w:tcPr>
          <w:p>
            <w:pPr>
              <w:pStyle w:val="TableParagraph"/>
              <w:spacing w:line="264" w:lineRule="exact"/>
              <w:ind w:right="19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537" w:hRule="atLeast"/>
        </w:trPr>
        <w:tc>
          <w:tcPr>
            <w:tcW w:w="964" w:type="dxa"/>
          </w:tcPr>
          <w:p>
            <w:pPr>
              <w:pStyle w:val="TableParagraph"/>
              <w:spacing w:before="114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KW3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4"/>
              <w:ind w:right="1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  <w:tc>
          <w:tcPr>
            <w:tcW w:w="768" w:type="dxa"/>
          </w:tcPr>
          <w:p>
            <w:pPr>
              <w:pStyle w:val="TableParagraph"/>
              <w:spacing w:before="114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before="114"/>
              <w:ind w:left="2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before="114"/>
              <w:ind w:right="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before="114"/>
              <w:ind w:right="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7.8</w:t>
            </w:r>
          </w:p>
        </w:tc>
        <w:tc>
          <w:tcPr>
            <w:tcW w:w="653" w:type="dxa"/>
          </w:tcPr>
          <w:p>
            <w:pPr>
              <w:pStyle w:val="TableParagraph"/>
              <w:spacing w:before="114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4"/>
              <w:ind w:right="4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9.6</w:t>
            </w:r>
          </w:p>
        </w:tc>
        <w:tc>
          <w:tcPr>
            <w:tcW w:w="944" w:type="dxa"/>
          </w:tcPr>
          <w:p>
            <w:pPr>
              <w:pStyle w:val="TableParagraph"/>
              <w:spacing w:before="114"/>
              <w:ind w:right="1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537" w:hRule="atLeast"/>
        </w:trPr>
        <w:tc>
          <w:tcPr>
            <w:tcW w:w="964" w:type="dxa"/>
          </w:tcPr>
          <w:p>
            <w:pPr>
              <w:pStyle w:val="TableParagraph"/>
              <w:spacing w:before="114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KW15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4"/>
              <w:ind w:right="1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  <w:tc>
          <w:tcPr>
            <w:tcW w:w="768" w:type="dxa"/>
          </w:tcPr>
          <w:p>
            <w:pPr>
              <w:pStyle w:val="TableParagraph"/>
              <w:spacing w:before="114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before="114"/>
              <w:ind w:left="2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before="114"/>
              <w:ind w:right="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before="114"/>
              <w:ind w:right="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12.7</w:t>
            </w:r>
          </w:p>
        </w:tc>
        <w:tc>
          <w:tcPr>
            <w:tcW w:w="653" w:type="dxa"/>
          </w:tcPr>
          <w:p>
            <w:pPr>
              <w:pStyle w:val="TableParagraph"/>
              <w:spacing w:before="114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4"/>
              <w:ind w:right="4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9.4</w:t>
            </w:r>
          </w:p>
        </w:tc>
        <w:tc>
          <w:tcPr>
            <w:tcW w:w="944" w:type="dxa"/>
          </w:tcPr>
          <w:p>
            <w:pPr>
              <w:pStyle w:val="TableParagraph"/>
              <w:spacing w:before="114"/>
              <w:ind w:right="1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536" w:hRule="atLeast"/>
        </w:trPr>
        <w:tc>
          <w:tcPr>
            <w:tcW w:w="964" w:type="dxa"/>
          </w:tcPr>
          <w:p>
            <w:pPr>
              <w:pStyle w:val="TableParagraph"/>
              <w:spacing w:before="114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KW17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4"/>
              <w:ind w:right="1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68" w:type="dxa"/>
          </w:tcPr>
          <w:p>
            <w:pPr>
              <w:pStyle w:val="TableParagraph"/>
              <w:spacing w:before="114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before="114"/>
              <w:ind w:left="2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before="114"/>
              <w:ind w:right="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before="114"/>
              <w:ind w:right="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12.1</w:t>
            </w:r>
          </w:p>
        </w:tc>
        <w:tc>
          <w:tcPr>
            <w:tcW w:w="653" w:type="dxa"/>
          </w:tcPr>
          <w:p>
            <w:pPr>
              <w:pStyle w:val="TableParagraph"/>
              <w:spacing w:before="114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4"/>
              <w:ind w:right="4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8.9</w:t>
            </w:r>
          </w:p>
        </w:tc>
        <w:tc>
          <w:tcPr>
            <w:tcW w:w="944" w:type="dxa"/>
          </w:tcPr>
          <w:p>
            <w:pPr>
              <w:pStyle w:val="TableParagraph"/>
              <w:spacing w:before="114"/>
              <w:ind w:right="1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536" w:hRule="atLeast"/>
        </w:trPr>
        <w:tc>
          <w:tcPr>
            <w:tcW w:w="964" w:type="dxa"/>
          </w:tcPr>
          <w:p>
            <w:pPr>
              <w:pStyle w:val="TableParagraph"/>
              <w:spacing w:before="113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KK5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3"/>
              <w:ind w:right="8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6Months</w:t>
            </w:r>
          </w:p>
        </w:tc>
        <w:tc>
          <w:tcPr>
            <w:tcW w:w="768" w:type="dxa"/>
          </w:tcPr>
          <w:p>
            <w:pPr>
              <w:pStyle w:val="TableParagraph"/>
              <w:spacing w:before="113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397" w:type="dxa"/>
          </w:tcPr>
          <w:p>
            <w:pPr>
              <w:pStyle w:val="TableParagraph"/>
              <w:spacing w:before="113"/>
              <w:ind w:left="2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before="113"/>
              <w:ind w:right="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before="113"/>
              <w:ind w:right="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15.6</w:t>
            </w:r>
          </w:p>
        </w:tc>
        <w:tc>
          <w:tcPr>
            <w:tcW w:w="653" w:type="dxa"/>
          </w:tcPr>
          <w:p>
            <w:pPr>
              <w:pStyle w:val="TableParagraph"/>
              <w:spacing w:before="113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46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26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16.1</w:t>
            </w:r>
          </w:p>
        </w:tc>
        <w:tc>
          <w:tcPr>
            <w:tcW w:w="944" w:type="dxa"/>
          </w:tcPr>
          <w:p>
            <w:pPr>
              <w:pStyle w:val="TableParagraph"/>
              <w:spacing w:before="113"/>
              <w:ind w:right="1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418" w:hRule="atLeast"/>
        </w:trPr>
        <w:tc>
          <w:tcPr>
            <w:tcW w:w="964" w:type="dxa"/>
          </w:tcPr>
          <w:p>
            <w:pPr>
              <w:pStyle w:val="TableParagraph"/>
              <w:spacing w:before="114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KK11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4"/>
              <w:ind w:right="1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68" w:type="dxa"/>
          </w:tcPr>
          <w:p>
            <w:pPr>
              <w:pStyle w:val="TableParagraph"/>
              <w:spacing w:before="114"/>
              <w:ind w:left="8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397" w:type="dxa"/>
          </w:tcPr>
          <w:p>
            <w:pPr>
              <w:pStyle w:val="TableParagraph"/>
              <w:spacing w:before="114"/>
              <w:ind w:right="3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90" w:type="dxa"/>
          </w:tcPr>
          <w:p>
            <w:pPr>
              <w:pStyle w:val="TableParagraph"/>
              <w:spacing w:before="114"/>
              <w:ind w:right="1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before="114"/>
              <w:ind w:right="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13.6</w:t>
            </w:r>
          </w:p>
        </w:tc>
        <w:tc>
          <w:tcPr>
            <w:tcW w:w="653" w:type="dxa"/>
          </w:tcPr>
          <w:p>
            <w:pPr>
              <w:pStyle w:val="TableParagraph"/>
              <w:spacing w:before="114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4"/>
              <w:ind w:right="4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8.7</w:t>
            </w:r>
          </w:p>
        </w:tc>
        <w:tc>
          <w:tcPr>
            <w:tcW w:w="944" w:type="dxa"/>
          </w:tcPr>
          <w:p>
            <w:pPr>
              <w:pStyle w:val="TableParagraph"/>
              <w:spacing w:before="114"/>
              <w:ind w:right="1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964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KK49</w:t>
            </w:r>
          </w:p>
        </w:tc>
        <w:tc>
          <w:tcPr>
            <w:tcW w:w="1126" w:type="dxa"/>
          </w:tcPr>
          <w:p>
            <w:pPr>
              <w:pStyle w:val="TableParagraph"/>
              <w:spacing w:line="264" w:lineRule="exact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768" w:type="dxa"/>
          </w:tcPr>
          <w:p>
            <w:pPr>
              <w:pStyle w:val="TableParagraph"/>
              <w:spacing w:line="264" w:lineRule="exact"/>
              <w:ind w:right="1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64" w:lineRule="exact"/>
              <w:ind w:lef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64" w:lineRule="exact"/>
              <w:ind w:left="4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line="264" w:lineRule="exact"/>
              <w:ind w:left="1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12.5</w:t>
            </w:r>
          </w:p>
        </w:tc>
        <w:tc>
          <w:tcPr>
            <w:tcW w:w="653" w:type="dxa"/>
          </w:tcPr>
          <w:p>
            <w:pPr>
              <w:pStyle w:val="TableParagraph"/>
              <w:spacing w:line="264" w:lineRule="exact"/>
              <w:ind w:lef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37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44" w:type="dxa"/>
          </w:tcPr>
          <w:p>
            <w:pPr>
              <w:pStyle w:val="TableParagraph"/>
              <w:spacing w:line="264" w:lineRule="exact"/>
              <w:ind w:right="2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964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KK39</w:t>
            </w:r>
          </w:p>
        </w:tc>
        <w:tc>
          <w:tcPr>
            <w:tcW w:w="1126" w:type="dxa"/>
          </w:tcPr>
          <w:p>
            <w:pPr>
              <w:pStyle w:val="TableParagraph"/>
              <w:spacing w:line="264" w:lineRule="exact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  <w:tc>
          <w:tcPr>
            <w:tcW w:w="768" w:type="dxa"/>
          </w:tcPr>
          <w:p>
            <w:pPr>
              <w:pStyle w:val="TableParagraph"/>
              <w:spacing w:line="264" w:lineRule="exact"/>
              <w:ind w:right="1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64" w:lineRule="exact"/>
              <w:ind w:lef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64" w:lineRule="exact"/>
              <w:ind w:left="4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line="264" w:lineRule="exact"/>
              <w:ind w:left="1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13.5</w:t>
            </w:r>
          </w:p>
        </w:tc>
        <w:tc>
          <w:tcPr>
            <w:tcW w:w="653" w:type="dxa"/>
          </w:tcPr>
          <w:p>
            <w:pPr>
              <w:pStyle w:val="TableParagraph"/>
              <w:spacing w:line="264" w:lineRule="exact"/>
              <w:ind w:lef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</w:t>
            </w:r>
          </w:p>
        </w:tc>
        <w:tc>
          <w:tcPr>
            <w:tcW w:w="944" w:type="dxa"/>
          </w:tcPr>
          <w:p>
            <w:pPr>
              <w:pStyle w:val="TableParagraph"/>
              <w:spacing w:line="264" w:lineRule="exact"/>
              <w:ind w:right="2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964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C3</w:t>
            </w:r>
          </w:p>
        </w:tc>
        <w:tc>
          <w:tcPr>
            <w:tcW w:w="1126" w:type="dxa"/>
          </w:tcPr>
          <w:p>
            <w:pPr>
              <w:pStyle w:val="TableParagraph"/>
              <w:spacing w:line="264" w:lineRule="exact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</w:t>
            </w:r>
          </w:p>
        </w:tc>
        <w:tc>
          <w:tcPr>
            <w:tcW w:w="768" w:type="dxa"/>
          </w:tcPr>
          <w:p>
            <w:pPr>
              <w:pStyle w:val="TableParagraph"/>
              <w:spacing w:line="264" w:lineRule="exact"/>
              <w:ind w:right="1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64" w:lineRule="exact"/>
              <w:ind w:lef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64" w:lineRule="exact"/>
              <w:ind w:left="4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line="264" w:lineRule="exact"/>
              <w:ind w:left="2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6.8</w:t>
            </w:r>
          </w:p>
        </w:tc>
        <w:tc>
          <w:tcPr>
            <w:tcW w:w="653" w:type="dxa"/>
          </w:tcPr>
          <w:p>
            <w:pPr>
              <w:pStyle w:val="TableParagraph"/>
              <w:spacing w:line="264" w:lineRule="exact"/>
              <w:ind w:lef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4.1</w:t>
            </w:r>
          </w:p>
        </w:tc>
        <w:tc>
          <w:tcPr>
            <w:tcW w:w="944" w:type="dxa"/>
          </w:tcPr>
          <w:p>
            <w:pPr>
              <w:pStyle w:val="TableParagraph"/>
              <w:spacing w:line="264" w:lineRule="exact"/>
              <w:ind w:left="4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</w:tr>
      <w:tr>
        <w:trPr>
          <w:trHeight w:val="299" w:hRule="atLeast"/>
        </w:trPr>
        <w:tc>
          <w:tcPr>
            <w:tcW w:w="964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C10</w:t>
            </w:r>
          </w:p>
        </w:tc>
        <w:tc>
          <w:tcPr>
            <w:tcW w:w="1126" w:type="dxa"/>
          </w:tcPr>
          <w:p>
            <w:pPr>
              <w:pStyle w:val="TableParagraph"/>
              <w:spacing w:line="264" w:lineRule="exact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768" w:type="dxa"/>
          </w:tcPr>
          <w:p>
            <w:pPr>
              <w:pStyle w:val="TableParagraph"/>
              <w:spacing w:line="264" w:lineRule="exact"/>
              <w:ind w:right="1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64" w:lineRule="exact"/>
              <w:ind w:lef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64" w:lineRule="exact"/>
              <w:ind w:left="4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line="264" w:lineRule="exact"/>
              <w:ind w:left="1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12.1</w:t>
            </w:r>
          </w:p>
        </w:tc>
        <w:tc>
          <w:tcPr>
            <w:tcW w:w="653" w:type="dxa"/>
          </w:tcPr>
          <w:p>
            <w:pPr>
              <w:pStyle w:val="TableParagraph"/>
              <w:spacing w:line="264" w:lineRule="exact"/>
              <w:ind w:lef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</w:t>
            </w:r>
          </w:p>
        </w:tc>
        <w:tc>
          <w:tcPr>
            <w:tcW w:w="944" w:type="dxa"/>
          </w:tcPr>
          <w:p>
            <w:pPr>
              <w:pStyle w:val="TableParagraph"/>
              <w:spacing w:line="264" w:lineRule="exact"/>
              <w:ind w:right="2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964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C31</w:t>
            </w:r>
          </w:p>
        </w:tc>
        <w:tc>
          <w:tcPr>
            <w:tcW w:w="1126" w:type="dxa"/>
          </w:tcPr>
          <w:p>
            <w:pPr>
              <w:pStyle w:val="TableParagraph"/>
              <w:spacing w:line="264" w:lineRule="exact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</w:t>
            </w:r>
          </w:p>
        </w:tc>
        <w:tc>
          <w:tcPr>
            <w:tcW w:w="768" w:type="dxa"/>
          </w:tcPr>
          <w:p>
            <w:pPr>
              <w:pStyle w:val="TableParagraph"/>
              <w:spacing w:line="264" w:lineRule="exact"/>
              <w:ind w:right="1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64" w:lineRule="exact"/>
              <w:ind w:lef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64" w:lineRule="exact"/>
              <w:ind w:left="4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line="264" w:lineRule="exact"/>
              <w:ind w:left="2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9.8</w:t>
            </w:r>
          </w:p>
        </w:tc>
        <w:tc>
          <w:tcPr>
            <w:tcW w:w="653" w:type="dxa"/>
          </w:tcPr>
          <w:p>
            <w:pPr>
              <w:pStyle w:val="TableParagraph"/>
              <w:spacing w:line="264" w:lineRule="exact"/>
              <w:ind w:lef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</w:t>
            </w:r>
          </w:p>
        </w:tc>
        <w:tc>
          <w:tcPr>
            <w:tcW w:w="944" w:type="dxa"/>
          </w:tcPr>
          <w:p>
            <w:pPr>
              <w:pStyle w:val="TableParagraph"/>
              <w:spacing w:line="264" w:lineRule="exact"/>
              <w:ind w:right="2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964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C43</w:t>
            </w:r>
          </w:p>
        </w:tc>
        <w:tc>
          <w:tcPr>
            <w:tcW w:w="1126" w:type="dxa"/>
          </w:tcPr>
          <w:p>
            <w:pPr>
              <w:pStyle w:val="TableParagraph"/>
              <w:spacing w:line="264" w:lineRule="exact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  <w:tc>
          <w:tcPr>
            <w:tcW w:w="768" w:type="dxa"/>
          </w:tcPr>
          <w:p>
            <w:pPr>
              <w:pStyle w:val="TableParagraph"/>
              <w:spacing w:line="264" w:lineRule="exact"/>
              <w:ind w:right="1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64" w:lineRule="exact"/>
              <w:ind w:lef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64" w:lineRule="exact"/>
              <w:ind w:left="4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line="264" w:lineRule="exact"/>
              <w:ind w:left="2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9.5</w:t>
            </w:r>
          </w:p>
        </w:tc>
        <w:tc>
          <w:tcPr>
            <w:tcW w:w="653" w:type="dxa"/>
          </w:tcPr>
          <w:p>
            <w:pPr>
              <w:pStyle w:val="TableParagraph"/>
              <w:spacing w:line="264" w:lineRule="exact"/>
              <w:ind w:lef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44" w:type="dxa"/>
          </w:tcPr>
          <w:p>
            <w:pPr>
              <w:pStyle w:val="TableParagraph"/>
              <w:spacing w:line="264" w:lineRule="exact"/>
              <w:ind w:left="4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300" w:hRule="atLeast"/>
        </w:trPr>
        <w:tc>
          <w:tcPr>
            <w:tcW w:w="964" w:type="dxa"/>
          </w:tcPr>
          <w:p>
            <w:pPr>
              <w:pStyle w:val="TableParagraph"/>
              <w:spacing w:line="265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T1</w:t>
            </w:r>
          </w:p>
        </w:tc>
        <w:tc>
          <w:tcPr>
            <w:tcW w:w="1126" w:type="dxa"/>
          </w:tcPr>
          <w:p>
            <w:pPr>
              <w:pStyle w:val="TableParagraph"/>
              <w:spacing w:line="265" w:lineRule="exact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768" w:type="dxa"/>
          </w:tcPr>
          <w:p>
            <w:pPr>
              <w:pStyle w:val="TableParagraph"/>
              <w:spacing w:line="265" w:lineRule="exact"/>
              <w:ind w:right="1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65" w:lineRule="exact"/>
              <w:ind w:lef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65" w:lineRule="exact"/>
              <w:ind w:left="4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line="265" w:lineRule="exact"/>
              <w:ind w:left="1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16.2</w:t>
            </w:r>
          </w:p>
        </w:tc>
        <w:tc>
          <w:tcPr>
            <w:tcW w:w="653" w:type="dxa"/>
          </w:tcPr>
          <w:p>
            <w:pPr>
              <w:pStyle w:val="TableParagraph"/>
              <w:spacing w:line="265" w:lineRule="exact"/>
              <w:ind w:lef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</w:t>
            </w:r>
          </w:p>
        </w:tc>
        <w:tc>
          <w:tcPr>
            <w:tcW w:w="1089" w:type="dxa"/>
          </w:tcPr>
          <w:p>
            <w:pPr>
              <w:pStyle w:val="TableParagraph"/>
              <w:spacing w:line="265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8.1</w:t>
            </w:r>
          </w:p>
        </w:tc>
        <w:tc>
          <w:tcPr>
            <w:tcW w:w="944" w:type="dxa"/>
          </w:tcPr>
          <w:p>
            <w:pPr>
              <w:pStyle w:val="TableParagraph"/>
              <w:spacing w:line="265" w:lineRule="exact"/>
              <w:ind w:right="2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964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T11</w:t>
            </w:r>
          </w:p>
        </w:tc>
        <w:tc>
          <w:tcPr>
            <w:tcW w:w="1126" w:type="dxa"/>
          </w:tcPr>
          <w:p>
            <w:pPr>
              <w:pStyle w:val="TableParagraph"/>
              <w:spacing w:line="264" w:lineRule="exact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</w:t>
            </w:r>
          </w:p>
        </w:tc>
        <w:tc>
          <w:tcPr>
            <w:tcW w:w="768" w:type="dxa"/>
          </w:tcPr>
          <w:p>
            <w:pPr>
              <w:pStyle w:val="TableParagraph"/>
              <w:spacing w:line="264" w:lineRule="exact"/>
              <w:ind w:right="1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64" w:lineRule="exact"/>
              <w:ind w:lef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64" w:lineRule="exact"/>
              <w:ind w:left="4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line="264" w:lineRule="exact"/>
              <w:ind w:left="1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14.3</w:t>
            </w:r>
          </w:p>
        </w:tc>
        <w:tc>
          <w:tcPr>
            <w:tcW w:w="653" w:type="dxa"/>
          </w:tcPr>
          <w:p>
            <w:pPr>
              <w:pStyle w:val="TableParagraph"/>
              <w:spacing w:line="264" w:lineRule="exact"/>
              <w:ind w:lef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6.8</w:t>
            </w:r>
          </w:p>
        </w:tc>
        <w:tc>
          <w:tcPr>
            <w:tcW w:w="944" w:type="dxa"/>
          </w:tcPr>
          <w:p>
            <w:pPr>
              <w:pStyle w:val="TableParagraph"/>
              <w:spacing w:line="264" w:lineRule="exact"/>
              <w:ind w:right="2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964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T29</w:t>
            </w:r>
          </w:p>
        </w:tc>
        <w:tc>
          <w:tcPr>
            <w:tcW w:w="1126" w:type="dxa"/>
          </w:tcPr>
          <w:p>
            <w:pPr>
              <w:pStyle w:val="TableParagraph"/>
              <w:spacing w:line="264" w:lineRule="exact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768" w:type="dxa"/>
          </w:tcPr>
          <w:p>
            <w:pPr>
              <w:pStyle w:val="TableParagraph"/>
              <w:spacing w:line="264" w:lineRule="exact"/>
              <w:ind w:right="1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64" w:lineRule="exact"/>
              <w:ind w:lef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64" w:lineRule="exact"/>
              <w:ind w:left="4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line="264" w:lineRule="exact"/>
              <w:ind w:left="2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653" w:type="dxa"/>
          </w:tcPr>
          <w:p>
            <w:pPr>
              <w:pStyle w:val="TableParagraph"/>
              <w:spacing w:line="264" w:lineRule="exact"/>
              <w:ind w:lef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3.6</w:t>
            </w:r>
          </w:p>
        </w:tc>
        <w:tc>
          <w:tcPr>
            <w:tcW w:w="944" w:type="dxa"/>
          </w:tcPr>
          <w:p>
            <w:pPr>
              <w:pStyle w:val="TableParagraph"/>
              <w:spacing w:line="264" w:lineRule="exact"/>
              <w:ind w:left="4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300" w:hRule="atLeast"/>
        </w:trPr>
        <w:tc>
          <w:tcPr>
            <w:tcW w:w="964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T47</w:t>
            </w:r>
          </w:p>
        </w:tc>
        <w:tc>
          <w:tcPr>
            <w:tcW w:w="1126" w:type="dxa"/>
          </w:tcPr>
          <w:p>
            <w:pPr>
              <w:pStyle w:val="TableParagraph"/>
              <w:spacing w:line="264" w:lineRule="exact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768" w:type="dxa"/>
          </w:tcPr>
          <w:p>
            <w:pPr>
              <w:pStyle w:val="TableParagraph"/>
              <w:spacing w:line="264" w:lineRule="exact"/>
              <w:ind w:right="1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64" w:lineRule="exact"/>
              <w:ind w:lef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64" w:lineRule="exact"/>
              <w:ind w:left="4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AA</w:t>
            </w:r>
          </w:p>
        </w:tc>
        <w:tc>
          <w:tcPr>
            <w:tcW w:w="658" w:type="dxa"/>
          </w:tcPr>
          <w:p>
            <w:pPr>
              <w:pStyle w:val="TableParagraph"/>
              <w:spacing w:line="264" w:lineRule="exact"/>
              <w:ind w:left="2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653" w:type="dxa"/>
          </w:tcPr>
          <w:p>
            <w:pPr>
              <w:pStyle w:val="TableParagraph"/>
              <w:spacing w:line="264" w:lineRule="exact"/>
              <w:ind w:lef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5.5</w:t>
            </w:r>
          </w:p>
        </w:tc>
        <w:tc>
          <w:tcPr>
            <w:tcW w:w="944" w:type="dxa"/>
          </w:tcPr>
          <w:p>
            <w:pPr>
              <w:pStyle w:val="TableParagraph"/>
              <w:spacing w:line="264" w:lineRule="exact"/>
              <w:ind w:right="2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964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B4</w:t>
            </w:r>
          </w:p>
        </w:tc>
        <w:tc>
          <w:tcPr>
            <w:tcW w:w="1126" w:type="dxa"/>
          </w:tcPr>
          <w:p>
            <w:pPr>
              <w:pStyle w:val="TableParagraph"/>
              <w:spacing w:line="264" w:lineRule="exact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</w:t>
            </w:r>
          </w:p>
        </w:tc>
        <w:tc>
          <w:tcPr>
            <w:tcW w:w="768" w:type="dxa"/>
          </w:tcPr>
          <w:p>
            <w:pPr>
              <w:pStyle w:val="TableParagraph"/>
              <w:spacing w:line="264" w:lineRule="exact"/>
              <w:ind w:right="1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64" w:lineRule="exact"/>
              <w:ind w:lef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64" w:lineRule="exact"/>
              <w:ind w:left="4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658" w:type="dxa"/>
          </w:tcPr>
          <w:p>
            <w:pPr>
              <w:pStyle w:val="TableParagraph"/>
              <w:spacing w:line="264" w:lineRule="exact"/>
              <w:ind w:left="1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14.1</w:t>
            </w:r>
          </w:p>
        </w:tc>
        <w:tc>
          <w:tcPr>
            <w:tcW w:w="653" w:type="dxa"/>
          </w:tcPr>
          <w:p>
            <w:pPr>
              <w:pStyle w:val="TableParagraph"/>
              <w:spacing w:line="264" w:lineRule="exact"/>
              <w:ind w:lef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</w:t>
            </w:r>
          </w:p>
        </w:tc>
        <w:tc>
          <w:tcPr>
            <w:tcW w:w="944" w:type="dxa"/>
          </w:tcPr>
          <w:p>
            <w:pPr>
              <w:pStyle w:val="TableParagraph"/>
              <w:spacing w:line="264" w:lineRule="exact"/>
              <w:ind w:right="2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964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B7</w:t>
            </w:r>
          </w:p>
        </w:tc>
        <w:tc>
          <w:tcPr>
            <w:tcW w:w="1126" w:type="dxa"/>
          </w:tcPr>
          <w:p>
            <w:pPr>
              <w:pStyle w:val="TableParagraph"/>
              <w:spacing w:line="264" w:lineRule="exact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768" w:type="dxa"/>
          </w:tcPr>
          <w:p>
            <w:pPr>
              <w:pStyle w:val="TableParagraph"/>
              <w:spacing w:line="264" w:lineRule="exact"/>
              <w:ind w:right="1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64" w:lineRule="exact"/>
              <w:ind w:lef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64" w:lineRule="exact"/>
              <w:ind w:left="4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658" w:type="dxa"/>
          </w:tcPr>
          <w:p>
            <w:pPr>
              <w:pStyle w:val="TableParagraph"/>
              <w:spacing w:line="264" w:lineRule="exact"/>
              <w:ind w:left="2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9.1</w:t>
            </w:r>
          </w:p>
        </w:tc>
        <w:tc>
          <w:tcPr>
            <w:tcW w:w="653" w:type="dxa"/>
          </w:tcPr>
          <w:p>
            <w:pPr>
              <w:pStyle w:val="TableParagraph"/>
              <w:spacing w:line="264" w:lineRule="exact"/>
              <w:ind w:lef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44" w:type="dxa"/>
          </w:tcPr>
          <w:p>
            <w:pPr>
              <w:pStyle w:val="TableParagraph"/>
              <w:spacing w:line="264" w:lineRule="exact"/>
              <w:ind w:right="2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299" w:hRule="atLeast"/>
        </w:trPr>
        <w:tc>
          <w:tcPr>
            <w:tcW w:w="964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BJ11</w:t>
            </w:r>
          </w:p>
        </w:tc>
        <w:tc>
          <w:tcPr>
            <w:tcW w:w="1126" w:type="dxa"/>
          </w:tcPr>
          <w:p>
            <w:pPr>
              <w:pStyle w:val="TableParagraph"/>
              <w:spacing w:line="264" w:lineRule="exact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768" w:type="dxa"/>
          </w:tcPr>
          <w:p>
            <w:pPr>
              <w:pStyle w:val="TableParagraph"/>
              <w:spacing w:line="264" w:lineRule="exact"/>
              <w:ind w:right="1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64" w:lineRule="exact"/>
              <w:ind w:lef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64" w:lineRule="exact"/>
              <w:ind w:left="4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658" w:type="dxa"/>
          </w:tcPr>
          <w:p>
            <w:pPr>
              <w:pStyle w:val="TableParagraph"/>
              <w:spacing w:line="264" w:lineRule="exact"/>
              <w:ind w:left="1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12.2</w:t>
            </w:r>
          </w:p>
        </w:tc>
        <w:tc>
          <w:tcPr>
            <w:tcW w:w="653" w:type="dxa"/>
          </w:tcPr>
          <w:p>
            <w:pPr>
              <w:pStyle w:val="TableParagraph"/>
              <w:spacing w:line="264" w:lineRule="exact"/>
              <w:ind w:lef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9.1</w:t>
            </w:r>
          </w:p>
        </w:tc>
        <w:tc>
          <w:tcPr>
            <w:tcW w:w="944" w:type="dxa"/>
          </w:tcPr>
          <w:p>
            <w:pPr>
              <w:pStyle w:val="TableParagraph"/>
              <w:spacing w:line="264" w:lineRule="exact"/>
              <w:ind w:left="4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</w:t>
            </w:r>
          </w:p>
        </w:tc>
      </w:tr>
      <w:tr>
        <w:trPr>
          <w:trHeight w:val="299" w:hRule="atLeast"/>
        </w:trPr>
        <w:tc>
          <w:tcPr>
            <w:tcW w:w="964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M25</w:t>
            </w:r>
          </w:p>
        </w:tc>
        <w:tc>
          <w:tcPr>
            <w:tcW w:w="1126" w:type="dxa"/>
          </w:tcPr>
          <w:p>
            <w:pPr>
              <w:pStyle w:val="TableParagraph"/>
              <w:spacing w:line="264" w:lineRule="exact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</w:t>
            </w:r>
          </w:p>
        </w:tc>
        <w:tc>
          <w:tcPr>
            <w:tcW w:w="768" w:type="dxa"/>
          </w:tcPr>
          <w:p>
            <w:pPr>
              <w:pStyle w:val="TableParagraph"/>
              <w:spacing w:line="264" w:lineRule="exact"/>
              <w:ind w:right="1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64" w:lineRule="exact"/>
              <w:ind w:lef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64" w:lineRule="exact"/>
              <w:ind w:left="4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658" w:type="dxa"/>
          </w:tcPr>
          <w:p>
            <w:pPr>
              <w:pStyle w:val="TableParagraph"/>
              <w:spacing w:line="264" w:lineRule="exact"/>
              <w:ind w:left="2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9.5</w:t>
            </w:r>
          </w:p>
        </w:tc>
        <w:tc>
          <w:tcPr>
            <w:tcW w:w="653" w:type="dxa"/>
          </w:tcPr>
          <w:p>
            <w:pPr>
              <w:pStyle w:val="TableParagraph"/>
              <w:spacing w:line="264" w:lineRule="exact"/>
              <w:ind w:lef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44" w:type="dxa"/>
          </w:tcPr>
          <w:p>
            <w:pPr>
              <w:pStyle w:val="TableParagraph"/>
              <w:spacing w:line="264" w:lineRule="exact"/>
              <w:ind w:right="2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260" w:hRule="atLeast"/>
        </w:trPr>
        <w:tc>
          <w:tcPr>
            <w:tcW w:w="964" w:type="dxa"/>
          </w:tcPr>
          <w:p>
            <w:pPr>
              <w:pStyle w:val="TableParagraph"/>
              <w:spacing w:line="240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M50</w:t>
            </w:r>
          </w:p>
        </w:tc>
        <w:tc>
          <w:tcPr>
            <w:tcW w:w="1126" w:type="dxa"/>
          </w:tcPr>
          <w:p>
            <w:pPr>
              <w:pStyle w:val="TableParagraph"/>
              <w:spacing w:line="240" w:lineRule="exact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line="240" w:lineRule="exact"/>
              <w:ind w:right="1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97" w:type="dxa"/>
          </w:tcPr>
          <w:p>
            <w:pPr>
              <w:pStyle w:val="TableParagraph"/>
              <w:spacing w:line="240" w:lineRule="exact"/>
              <w:ind w:lef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exact"/>
              <w:ind w:left="4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658" w:type="dxa"/>
          </w:tcPr>
          <w:p>
            <w:pPr>
              <w:pStyle w:val="TableParagraph"/>
              <w:spacing w:line="240" w:lineRule="exact"/>
              <w:ind w:left="2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653" w:type="dxa"/>
          </w:tcPr>
          <w:p>
            <w:pPr>
              <w:pStyle w:val="TableParagraph"/>
              <w:spacing w:line="240" w:lineRule="exact"/>
              <w:ind w:left="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  <w:tc>
          <w:tcPr>
            <w:tcW w:w="1089" w:type="dxa"/>
          </w:tcPr>
          <w:p>
            <w:pPr>
              <w:pStyle w:val="TableParagraph"/>
              <w:spacing w:line="240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5.1</w:t>
            </w:r>
          </w:p>
        </w:tc>
        <w:tc>
          <w:tcPr>
            <w:tcW w:w="944" w:type="dxa"/>
          </w:tcPr>
          <w:p>
            <w:pPr>
              <w:pStyle w:val="TableParagraph"/>
              <w:spacing w:line="240" w:lineRule="exact"/>
              <w:ind w:right="2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</w:tbl>
    <w:p>
      <w:pPr>
        <w:spacing w:after="0" w:line="240" w:lineRule="exact"/>
        <w:jc w:val="right"/>
        <w:rPr>
          <w:rFonts w:ascii="Calibri"/>
          <w:sz w:val="22"/>
        </w:rPr>
        <w:sectPr>
          <w:pgSz w:w="12240" w:h="15840"/>
          <w:pgMar w:header="0" w:footer="935" w:top="1480" w:bottom="1120" w:left="0" w:right="180"/>
        </w:sectPr>
      </w:pP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1"/>
        <w:gridCol w:w="835"/>
        <w:gridCol w:w="874"/>
        <w:gridCol w:w="1304"/>
        <w:gridCol w:w="930"/>
        <w:gridCol w:w="772"/>
        <w:gridCol w:w="609"/>
        <w:gridCol w:w="1133"/>
        <w:gridCol w:w="1335"/>
      </w:tblGrid>
      <w:tr>
        <w:trPr>
          <w:trHeight w:val="260" w:hRule="atLeast"/>
        </w:trPr>
        <w:tc>
          <w:tcPr>
            <w:tcW w:w="1271" w:type="dxa"/>
          </w:tcPr>
          <w:p>
            <w:pPr>
              <w:pStyle w:val="TableParagraph"/>
              <w:spacing w:line="225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G30</w:t>
            </w:r>
          </w:p>
        </w:tc>
        <w:tc>
          <w:tcPr>
            <w:tcW w:w="835" w:type="dxa"/>
          </w:tcPr>
          <w:p>
            <w:pPr>
              <w:pStyle w:val="TableParagraph"/>
              <w:spacing w:line="225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874" w:type="dxa"/>
          </w:tcPr>
          <w:p>
            <w:pPr>
              <w:pStyle w:val="TableParagraph"/>
              <w:spacing w:line="225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304" w:type="dxa"/>
          </w:tcPr>
          <w:p>
            <w:pPr>
              <w:pStyle w:val="TableParagraph"/>
              <w:spacing w:line="225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25" w:lineRule="exact"/>
              <w:ind w:left="44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772" w:type="dxa"/>
          </w:tcPr>
          <w:p>
            <w:pPr>
              <w:pStyle w:val="TableParagraph"/>
              <w:spacing w:line="225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11.9</w:t>
            </w:r>
          </w:p>
        </w:tc>
        <w:tc>
          <w:tcPr>
            <w:tcW w:w="609" w:type="dxa"/>
          </w:tcPr>
          <w:p>
            <w:pPr>
              <w:pStyle w:val="TableParagraph"/>
              <w:spacing w:line="225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8.1</w:t>
            </w:r>
          </w:p>
        </w:tc>
        <w:tc>
          <w:tcPr>
            <w:tcW w:w="1335" w:type="dxa"/>
          </w:tcPr>
          <w:p>
            <w:pPr>
              <w:pStyle w:val="TableParagraph"/>
              <w:spacing w:line="225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S3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44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S17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44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9.8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8.1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S25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31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44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9.7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5.1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S30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44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P25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44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12.6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37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P7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44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9.9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KW1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44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KW40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11.9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KK2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10.1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7.9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KK16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9.8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5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KK36</w:t>
            </w:r>
          </w:p>
        </w:tc>
        <w:tc>
          <w:tcPr>
            <w:tcW w:w="835" w:type="dxa"/>
          </w:tcPr>
          <w:p>
            <w:pPr>
              <w:pStyle w:val="TableParagraph"/>
              <w:spacing w:line="265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874" w:type="dxa"/>
          </w:tcPr>
          <w:p>
            <w:pPr>
              <w:pStyle w:val="TableParagraph"/>
              <w:spacing w:line="265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5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5" w:lineRule="exact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772" w:type="dxa"/>
          </w:tcPr>
          <w:p>
            <w:pPr>
              <w:pStyle w:val="TableParagraph"/>
              <w:spacing w:line="265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11.6</w:t>
            </w:r>
          </w:p>
        </w:tc>
        <w:tc>
          <w:tcPr>
            <w:tcW w:w="609" w:type="dxa"/>
          </w:tcPr>
          <w:p>
            <w:pPr>
              <w:pStyle w:val="TableParagraph"/>
              <w:spacing w:line="265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1133" w:type="dxa"/>
          </w:tcPr>
          <w:p>
            <w:pPr>
              <w:pStyle w:val="TableParagraph"/>
              <w:spacing w:line="265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</w:t>
            </w:r>
          </w:p>
        </w:tc>
        <w:tc>
          <w:tcPr>
            <w:tcW w:w="1335" w:type="dxa"/>
          </w:tcPr>
          <w:p>
            <w:pPr>
              <w:pStyle w:val="TableParagraph"/>
              <w:spacing w:line="265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C18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4.6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T32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10.5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31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8.5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T40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10.6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6.8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</w:tr>
      <w:tr>
        <w:trPr>
          <w:trHeight w:val="418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BJ30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418" w:hRule="atLeast"/>
        </w:trPr>
        <w:tc>
          <w:tcPr>
            <w:tcW w:w="1271" w:type="dxa"/>
          </w:tcPr>
          <w:p>
            <w:pPr>
              <w:pStyle w:val="TableParagraph"/>
              <w:spacing w:before="114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B33</w:t>
            </w:r>
          </w:p>
        </w:tc>
        <w:tc>
          <w:tcPr>
            <w:tcW w:w="835" w:type="dxa"/>
          </w:tcPr>
          <w:p>
            <w:pPr>
              <w:pStyle w:val="TableParagraph"/>
              <w:spacing w:before="114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874" w:type="dxa"/>
          </w:tcPr>
          <w:p>
            <w:pPr>
              <w:pStyle w:val="TableParagraph"/>
              <w:spacing w:before="114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304" w:type="dxa"/>
          </w:tcPr>
          <w:p>
            <w:pPr>
              <w:pStyle w:val="TableParagraph"/>
              <w:spacing w:before="114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30" w:type="dxa"/>
          </w:tcPr>
          <w:p>
            <w:pPr>
              <w:pStyle w:val="TableParagraph"/>
              <w:spacing w:before="114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</w:t>
            </w:r>
          </w:p>
        </w:tc>
        <w:tc>
          <w:tcPr>
            <w:tcW w:w="772" w:type="dxa"/>
          </w:tcPr>
          <w:p>
            <w:pPr>
              <w:pStyle w:val="TableParagraph"/>
              <w:spacing w:before="114"/>
              <w:ind w:right="11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609" w:type="dxa"/>
          </w:tcPr>
          <w:p>
            <w:pPr>
              <w:pStyle w:val="TableParagraph"/>
              <w:spacing w:before="114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4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1335" w:type="dxa"/>
          </w:tcPr>
          <w:p>
            <w:pPr>
              <w:pStyle w:val="TableParagraph"/>
              <w:spacing w:before="114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G22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10.1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G49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11.6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6.6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P16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10.1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KW30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6.3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B40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SS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5.1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16.5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KW25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SS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6.8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11.8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71" w:type="dxa"/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C24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874" w:type="dxa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930" w:type="dxa"/>
          </w:tcPr>
          <w:p>
            <w:pPr>
              <w:pStyle w:val="TableParagraph"/>
              <w:spacing w:line="264" w:lineRule="exact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SS</w:t>
            </w:r>
          </w:p>
        </w:tc>
        <w:tc>
          <w:tcPr>
            <w:tcW w:w="772" w:type="dxa"/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6.2</w:t>
            </w:r>
          </w:p>
        </w:tc>
        <w:tc>
          <w:tcPr>
            <w:tcW w:w="609" w:type="dxa"/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1133" w:type="dxa"/>
          </w:tcPr>
          <w:p>
            <w:pPr>
              <w:pStyle w:val="TableParagraph"/>
              <w:spacing w:line="264" w:lineRule="exact"/>
              <w:ind w:right="47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15.1</w:t>
            </w:r>
          </w:p>
        </w:tc>
        <w:tc>
          <w:tcPr>
            <w:tcW w:w="1335" w:type="dxa"/>
          </w:tcPr>
          <w:p>
            <w:pPr>
              <w:pStyle w:val="TableParagraph"/>
              <w:spacing w:line="264" w:lineRule="exact"/>
              <w:ind w:right="6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287" w:hRule="atLeast"/>
        </w:trPr>
        <w:tc>
          <w:tcPr>
            <w:tcW w:w="12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4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C50</w:t>
            </w:r>
          </w:p>
        </w:tc>
        <w:tc>
          <w:tcPr>
            <w:tcW w:w="83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87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0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4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93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4" w:lineRule="exact"/>
              <w:ind w:left="3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SS</w:t>
            </w:r>
          </w:p>
        </w:tc>
        <w:tc>
          <w:tcPr>
            <w:tcW w:w="77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4" w:lineRule="exact"/>
              <w:ind w:right="1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4.1</w:t>
            </w:r>
          </w:p>
        </w:tc>
        <w:tc>
          <w:tcPr>
            <w:tcW w:w="60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4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11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4" w:lineRule="exact"/>
              <w:ind w:right="47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29.4</w:t>
            </w:r>
          </w:p>
        </w:tc>
        <w:tc>
          <w:tcPr>
            <w:tcW w:w="133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4" w:lineRule="exact"/>
              <w:ind w:right="63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</w:tbl>
    <w:p>
      <w:pPr>
        <w:pStyle w:val="BodyText"/>
        <w:spacing w:before="1"/>
        <w:rPr>
          <w:b/>
          <w:sz w:val="11"/>
        </w:rPr>
      </w:pPr>
    </w:p>
    <w:p>
      <w:pPr>
        <w:pStyle w:val="BodyText"/>
        <w:spacing w:before="90"/>
        <w:ind w:left="991" w:right="8714"/>
      </w:pPr>
      <w:r>
        <w:rPr/>
        <w:t>AC: Sickle cell carrier</w:t>
      </w:r>
      <w:r>
        <w:rPr>
          <w:spacing w:val="1"/>
        </w:rPr>
        <w:t> </w:t>
      </w:r>
      <w:r>
        <w:rPr/>
        <w:t>AS: Sickle cell carrier</w:t>
      </w:r>
      <w:r>
        <w:rPr>
          <w:spacing w:val="1"/>
        </w:rPr>
        <w:t> </w:t>
      </w:r>
      <w:r>
        <w:rPr/>
        <w:t>SS:</w:t>
      </w:r>
      <w:r>
        <w:rPr>
          <w:spacing w:val="-5"/>
        </w:rPr>
        <w:t> </w:t>
      </w:r>
      <w:r>
        <w:rPr/>
        <w:t>Complete</w:t>
      </w:r>
      <w:r>
        <w:rPr>
          <w:spacing w:val="-6"/>
        </w:rPr>
        <w:t> </w:t>
      </w:r>
      <w:r>
        <w:rPr/>
        <w:t>sickle</w:t>
      </w:r>
      <w:r>
        <w:rPr>
          <w:spacing w:val="-7"/>
        </w:rPr>
        <w:t> </w:t>
      </w:r>
      <w:r>
        <w:rPr/>
        <w:t>cell</w:t>
      </w:r>
      <w:r>
        <w:rPr>
          <w:spacing w:val="-57"/>
        </w:rPr>
        <w:t> </w:t>
      </w:r>
      <w:r>
        <w:rPr/>
        <w:t>F:</w:t>
      </w:r>
      <w:r>
        <w:rPr>
          <w:spacing w:val="-1"/>
        </w:rPr>
        <w:t> </w:t>
      </w:r>
      <w:r>
        <w:rPr/>
        <w:t>Female</w:t>
      </w:r>
    </w:p>
    <w:p>
      <w:pPr>
        <w:pStyle w:val="BodyText"/>
        <w:spacing w:before="3"/>
        <w:ind w:left="991"/>
      </w:pPr>
      <w:r>
        <w:rPr/>
        <w:t>M:</w:t>
      </w:r>
      <w:r>
        <w:rPr>
          <w:spacing w:val="-1"/>
        </w:rPr>
        <w:t> </w:t>
      </w:r>
      <w:r>
        <w:rPr/>
        <w:t>Male</w:t>
      </w:r>
      <w:r>
        <w:rPr>
          <w:spacing w:val="-2"/>
        </w:rPr>
        <w:t> </w:t>
      </w:r>
      <w:r>
        <w:rPr/>
        <w:t>children</w:t>
      </w:r>
    </w:p>
    <w:p>
      <w:pPr>
        <w:spacing w:after="0"/>
        <w:sectPr>
          <w:pgSz w:w="12240" w:h="15840"/>
          <w:pgMar w:header="0" w:footer="935" w:top="1500" w:bottom="112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jc w:val="left"/>
      </w:pPr>
      <w:r>
        <w:rPr/>
        <w:t>APPENDIX</w:t>
      </w:r>
      <w:r>
        <w:rPr>
          <w:spacing w:val="47"/>
        </w:rPr>
        <w:t> </w:t>
      </w:r>
      <w:r>
        <w:rPr/>
        <w:t>X:</w:t>
      </w:r>
      <w:r>
        <w:rPr>
          <w:spacing w:val="104"/>
        </w:rPr>
        <w:t> </w:t>
      </w:r>
      <w:r>
        <w:rPr/>
        <w:t>Hematological</w:t>
      </w:r>
      <w:r>
        <w:rPr>
          <w:spacing w:val="105"/>
        </w:rPr>
        <w:t> </w:t>
      </w:r>
      <w:r>
        <w:rPr/>
        <w:t>Parameters</w:t>
      </w:r>
      <w:r>
        <w:rPr>
          <w:spacing w:val="106"/>
        </w:rPr>
        <w:t> </w:t>
      </w:r>
      <w:r>
        <w:rPr/>
        <w:t>of</w:t>
      </w:r>
      <w:r>
        <w:rPr>
          <w:spacing w:val="107"/>
        </w:rPr>
        <w:t> </w:t>
      </w:r>
      <w:r>
        <w:rPr/>
        <w:t>Some</w:t>
      </w:r>
      <w:r>
        <w:rPr>
          <w:spacing w:val="104"/>
        </w:rPr>
        <w:t> </w:t>
      </w:r>
      <w:r>
        <w:rPr/>
        <w:t>Participants</w:t>
      </w:r>
      <w:r>
        <w:rPr>
          <w:spacing w:val="105"/>
        </w:rPr>
        <w:t> </w:t>
      </w:r>
      <w:r>
        <w:rPr/>
        <w:t>on</w:t>
      </w:r>
      <w:r>
        <w:rPr>
          <w:spacing w:val="111"/>
        </w:rPr>
        <w:t> </w:t>
      </w:r>
      <w:r>
        <w:rPr/>
        <w:t>the</w:t>
      </w:r>
      <w:r>
        <w:rPr>
          <w:spacing w:val="102"/>
        </w:rPr>
        <w:t> </w:t>
      </w:r>
      <w:r>
        <w:rPr/>
        <w:t>basis</w:t>
      </w:r>
      <w:r>
        <w:rPr>
          <w:spacing w:val="106"/>
        </w:rPr>
        <w:t> </w:t>
      </w:r>
      <w:r>
        <w:rPr/>
        <w:t>of</w:t>
      </w:r>
      <w:r>
        <w:rPr>
          <w:spacing w:val="107"/>
        </w:rPr>
        <w:t> </w:t>
      </w:r>
      <w:r>
        <w:rPr/>
        <w:t>ABO</w:t>
      </w:r>
    </w:p>
    <w:p>
      <w:pPr>
        <w:tabs>
          <w:tab w:pos="3458" w:val="left" w:leader="none"/>
          <w:tab w:pos="10417" w:val="left" w:leader="none"/>
        </w:tabs>
        <w:spacing w:before="43"/>
        <w:ind w:left="65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 </w:t>
        <w:tab/>
      </w:r>
      <w:r>
        <w:rPr>
          <w:b/>
          <w:sz w:val="24"/>
          <w:u w:val="thick"/>
        </w:rPr>
        <w:t>blood group</w:t>
        <w:tab/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4"/>
        <w:gridCol w:w="1164"/>
        <w:gridCol w:w="920"/>
        <w:gridCol w:w="1282"/>
        <w:gridCol w:w="848"/>
        <w:gridCol w:w="712"/>
        <w:gridCol w:w="580"/>
        <w:gridCol w:w="778"/>
        <w:gridCol w:w="2270"/>
      </w:tblGrid>
      <w:tr>
        <w:trPr>
          <w:trHeight w:val="505" w:hRule="atLeast"/>
        </w:trPr>
        <w:tc>
          <w:tcPr>
            <w:tcW w:w="11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Patient's</w:t>
            </w:r>
          </w:p>
          <w:p>
            <w:pPr>
              <w:pStyle w:val="TableParagraph"/>
              <w:spacing w:line="260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ID</w:t>
            </w:r>
          </w:p>
        </w:tc>
        <w:tc>
          <w:tcPr>
            <w:tcW w:w="11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60" w:lineRule="exact" w:before="1"/>
              <w:ind w:right="2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Age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60" w:lineRule="exact" w:before="1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Sex</w:t>
            </w: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60" w:lineRule="exact" w:before="1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RDT</w:t>
            </w:r>
          </w:p>
        </w:tc>
        <w:tc>
          <w:tcPr>
            <w:tcW w:w="8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Blood</w:t>
            </w:r>
          </w:p>
          <w:p>
            <w:pPr>
              <w:pStyle w:val="TableParagraph"/>
              <w:spacing w:line="260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group</w:t>
            </w:r>
          </w:p>
        </w:tc>
        <w:tc>
          <w:tcPr>
            <w:tcW w:w="7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60" w:lineRule="exact" w:before="1"/>
              <w:ind w:right="1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HB</w:t>
            </w:r>
          </w:p>
        </w:tc>
        <w:tc>
          <w:tcPr>
            <w:tcW w:w="5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60" w:lineRule="exact" w:before="1"/>
              <w:ind w:right="1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PCV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60" w:lineRule="exact" w:before="1"/>
              <w:ind w:right="12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TWBC</w:t>
            </w:r>
          </w:p>
        </w:tc>
        <w:tc>
          <w:tcPr>
            <w:tcW w:w="22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60" w:lineRule="exact" w:before="1"/>
              <w:ind w:right="11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Eosinophils</w:t>
            </w:r>
          </w:p>
        </w:tc>
      </w:tr>
      <w:tr>
        <w:trPr>
          <w:trHeight w:val="309" w:hRule="atLeast"/>
        </w:trPr>
        <w:tc>
          <w:tcPr>
            <w:tcW w:w="11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M1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ind w:right="2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ind w:right="41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2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10.5</w:t>
            </w:r>
          </w:p>
        </w:tc>
        <w:tc>
          <w:tcPr>
            <w:tcW w:w="5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</w:t>
            </w:r>
          </w:p>
        </w:tc>
        <w:tc>
          <w:tcPr>
            <w:tcW w:w="7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9.3</w:t>
            </w:r>
          </w:p>
        </w:tc>
        <w:tc>
          <w:tcPr>
            <w:tcW w:w="22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ind w:right="11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1124" w:type="dxa"/>
          </w:tcPr>
          <w:p>
            <w:pPr>
              <w:pStyle w:val="TableParagraph"/>
              <w:spacing w:line="264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B4</w:t>
            </w:r>
          </w:p>
        </w:tc>
        <w:tc>
          <w:tcPr>
            <w:tcW w:w="1164" w:type="dxa"/>
          </w:tcPr>
          <w:p>
            <w:pPr>
              <w:pStyle w:val="TableParagraph"/>
              <w:spacing w:line="264" w:lineRule="exact"/>
              <w:ind w:right="2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</w:t>
            </w:r>
          </w:p>
        </w:tc>
        <w:tc>
          <w:tcPr>
            <w:tcW w:w="920" w:type="dxa"/>
          </w:tcPr>
          <w:p>
            <w:pPr>
              <w:pStyle w:val="TableParagraph"/>
              <w:spacing w:line="264" w:lineRule="exact"/>
              <w:ind w:right="41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14.1</w:t>
            </w:r>
          </w:p>
        </w:tc>
        <w:tc>
          <w:tcPr>
            <w:tcW w:w="580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</w:t>
            </w:r>
          </w:p>
        </w:tc>
        <w:tc>
          <w:tcPr>
            <w:tcW w:w="77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</w:t>
            </w:r>
          </w:p>
        </w:tc>
        <w:tc>
          <w:tcPr>
            <w:tcW w:w="2270" w:type="dxa"/>
          </w:tcPr>
          <w:p>
            <w:pPr>
              <w:pStyle w:val="TableParagraph"/>
              <w:spacing w:line="264" w:lineRule="exact"/>
              <w:ind w:right="11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1124" w:type="dxa"/>
          </w:tcPr>
          <w:p>
            <w:pPr>
              <w:pStyle w:val="TableParagraph"/>
              <w:spacing w:line="264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B8</w:t>
            </w:r>
          </w:p>
        </w:tc>
        <w:tc>
          <w:tcPr>
            <w:tcW w:w="1164" w:type="dxa"/>
          </w:tcPr>
          <w:p>
            <w:pPr>
              <w:pStyle w:val="TableParagraph"/>
              <w:spacing w:line="264" w:lineRule="exact"/>
              <w:ind w:right="2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920" w:type="dxa"/>
          </w:tcPr>
          <w:p>
            <w:pPr>
              <w:pStyle w:val="TableParagraph"/>
              <w:spacing w:line="264" w:lineRule="exact"/>
              <w:ind w:right="41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580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77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</w:t>
            </w:r>
          </w:p>
        </w:tc>
        <w:tc>
          <w:tcPr>
            <w:tcW w:w="2270" w:type="dxa"/>
          </w:tcPr>
          <w:p>
            <w:pPr>
              <w:pStyle w:val="TableParagraph"/>
              <w:spacing w:line="264" w:lineRule="exact"/>
              <w:ind w:right="11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124" w:type="dxa"/>
          </w:tcPr>
          <w:p>
            <w:pPr>
              <w:pStyle w:val="TableParagraph"/>
              <w:spacing w:line="264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BJ39</w:t>
            </w:r>
          </w:p>
        </w:tc>
        <w:tc>
          <w:tcPr>
            <w:tcW w:w="1164" w:type="dxa"/>
          </w:tcPr>
          <w:p>
            <w:pPr>
              <w:pStyle w:val="TableParagraph"/>
              <w:spacing w:line="264" w:lineRule="exact"/>
              <w:ind w:right="24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20" w:type="dxa"/>
          </w:tcPr>
          <w:p>
            <w:pPr>
              <w:pStyle w:val="TableParagraph"/>
              <w:spacing w:line="264" w:lineRule="exact"/>
              <w:ind w:right="3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15.7</w:t>
            </w:r>
          </w:p>
        </w:tc>
        <w:tc>
          <w:tcPr>
            <w:tcW w:w="580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46</w:t>
            </w:r>
          </w:p>
        </w:tc>
        <w:tc>
          <w:tcPr>
            <w:tcW w:w="77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5.2</w:t>
            </w:r>
          </w:p>
        </w:tc>
        <w:tc>
          <w:tcPr>
            <w:tcW w:w="2270" w:type="dxa"/>
          </w:tcPr>
          <w:p>
            <w:pPr>
              <w:pStyle w:val="TableParagraph"/>
              <w:spacing w:line="264" w:lineRule="exact"/>
              <w:ind w:right="114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</w:tr>
      <w:tr>
        <w:trPr>
          <w:trHeight w:val="300" w:hRule="atLeast"/>
        </w:trPr>
        <w:tc>
          <w:tcPr>
            <w:tcW w:w="1124" w:type="dxa"/>
          </w:tcPr>
          <w:p>
            <w:pPr>
              <w:pStyle w:val="TableParagraph"/>
              <w:spacing w:line="264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B30</w:t>
            </w:r>
          </w:p>
        </w:tc>
        <w:tc>
          <w:tcPr>
            <w:tcW w:w="1164" w:type="dxa"/>
          </w:tcPr>
          <w:p>
            <w:pPr>
              <w:pStyle w:val="TableParagraph"/>
              <w:spacing w:line="264" w:lineRule="exact"/>
              <w:ind w:right="24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20" w:type="dxa"/>
          </w:tcPr>
          <w:p>
            <w:pPr>
              <w:pStyle w:val="TableParagraph"/>
              <w:spacing w:line="264" w:lineRule="exact"/>
              <w:ind w:right="46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12.1</w:t>
            </w:r>
          </w:p>
        </w:tc>
        <w:tc>
          <w:tcPr>
            <w:tcW w:w="580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77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3.4</w:t>
            </w:r>
          </w:p>
        </w:tc>
        <w:tc>
          <w:tcPr>
            <w:tcW w:w="2270" w:type="dxa"/>
          </w:tcPr>
          <w:p>
            <w:pPr>
              <w:pStyle w:val="TableParagraph"/>
              <w:spacing w:line="264" w:lineRule="exact"/>
              <w:ind w:right="114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1124" w:type="dxa"/>
          </w:tcPr>
          <w:p>
            <w:pPr>
              <w:pStyle w:val="TableParagraph"/>
              <w:spacing w:line="264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B33</w:t>
            </w:r>
          </w:p>
        </w:tc>
        <w:tc>
          <w:tcPr>
            <w:tcW w:w="1164" w:type="dxa"/>
          </w:tcPr>
          <w:p>
            <w:pPr>
              <w:pStyle w:val="TableParagraph"/>
              <w:spacing w:line="264" w:lineRule="exact"/>
              <w:ind w:right="24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line="264" w:lineRule="exact"/>
              <w:ind w:left="30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580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77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2270" w:type="dxa"/>
          </w:tcPr>
          <w:p>
            <w:pPr>
              <w:pStyle w:val="TableParagraph"/>
              <w:spacing w:line="264" w:lineRule="exact"/>
              <w:ind w:right="11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</w:tr>
      <w:tr>
        <w:trPr>
          <w:trHeight w:val="300" w:hRule="atLeast"/>
        </w:trPr>
        <w:tc>
          <w:tcPr>
            <w:tcW w:w="1124" w:type="dxa"/>
          </w:tcPr>
          <w:p>
            <w:pPr>
              <w:pStyle w:val="TableParagraph"/>
              <w:spacing w:line="264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B40</w:t>
            </w:r>
          </w:p>
        </w:tc>
        <w:tc>
          <w:tcPr>
            <w:tcW w:w="1164" w:type="dxa"/>
          </w:tcPr>
          <w:p>
            <w:pPr>
              <w:pStyle w:val="TableParagraph"/>
              <w:spacing w:line="264" w:lineRule="exact"/>
              <w:ind w:right="2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920" w:type="dxa"/>
          </w:tcPr>
          <w:p>
            <w:pPr>
              <w:pStyle w:val="TableParagraph"/>
              <w:spacing w:line="264" w:lineRule="exact"/>
              <w:ind w:left="30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5.1</w:t>
            </w:r>
          </w:p>
        </w:tc>
        <w:tc>
          <w:tcPr>
            <w:tcW w:w="580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77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16.5</w:t>
            </w:r>
          </w:p>
        </w:tc>
        <w:tc>
          <w:tcPr>
            <w:tcW w:w="2270" w:type="dxa"/>
          </w:tcPr>
          <w:p>
            <w:pPr>
              <w:pStyle w:val="TableParagraph"/>
              <w:spacing w:line="264" w:lineRule="exact"/>
              <w:ind w:right="11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124" w:type="dxa"/>
          </w:tcPr>
          <w:p>
            <w:pPr>
              <w:pStyle w:val="TableParagraph"/>
              <w:spacing w:line="264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M17</w:t>
            </w:r>
          </w:p>
        </w:tc>
        <w:tc>
          <w:tcPr>
            <w:tcW w:w="1164" w:type="dxa"/>
          </w:tcPr>
          <w:p>
            <w:pPr>
              <w:pStyle w:val="TableParagraph"/>
              <w:spacing w:line="264" w:lineRule="exact"/>
              <w:ind w:right="24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20" w:type="dxa"/>
          </w:tcPr>
          <w:p>
            <w:pPr>
              <w:pStyle w:val="TableParagraph"/>
              <w:spacing w:line="264" w:lineRule="exact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13.8</w:t>
            </w:r>
          </w:p>
        </w:tc>
        <w:tc>
          <w:tcPr>
            <w:tcW w:w="580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77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10.1</w:t>
            </w:r>
          </w:p>
        </w:tc>
        <w:tc>
          <w:tcPr>
            <w:tcW w:w="2270" w:type="dxa"/>
          </w:tcPr>
          <w:p>
            <w:pPr>
              <w:pStyle w:val="TableParagraph"/>
              <w:spacing w:line="264" w:lineRule="exact"/>
              <w:ind w:right="11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1124" w:type="dxa"/>
          </w:tcPr>
          <w:p>
            <w:pPr>
              <w:pStyle w:val="TableParagraph"/>
              <w:spacing w:line="264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G6</w:t>
            </w:r>
          </w:p>
        </w:tc>
        <w:tc>
          <w:tcPr>
            <w:tcW w:w="1164" w:type="dxa"/>
          </w:tcPr>
          <w:p>
            <w:pPr>
              <w:pStyle w:val="TableParagraph"/>
              <w:spacing w:line="264" w:lineRule="exact"/>
              <w:ind w:right="2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</w:t>
            </w:r>
          </w:p>
        </w:tc>
        <w:tc>
          <w:tcPr>
            <w:tcW w:w="920" w:type="dxa"/>
          </w:tcPr>
          <w:p>
            <w:pPr>
              <w:pStyle w:val="TableParagraph"/>
              <w:spacing w:line="264" w:lineRule="exact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13.7</w:t>
            </w:r>
          </w:p>
        </w:tc>
        <w:tc>
          <w:tcPr>
            <w:tcW w:w="580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77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</w:t>
            </w:r>
          </w:p>
        </w:tc>
        <w:tc>
          <w:tcPr>
            <w:tcW w:w="2270" w:type="dxa"/>
          </w:tcPr>
          <w:p>
            <w:pPr>
              <w:pStyle w:val="TableParagraph"/>
              <w:spacing w:line="264" w:lineRule="exact"/>
              <w:ind w:right="114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300" w:hRule="atLeast"/>
        </w:trPr>
        <w:tc>
          <w:tcPr>
            <w:tcW w:w="1124" w:type="dxa"/>
          </w:tcPr>
          <w:p>
            <w:pPr>
              <w:pStyle w:val="TableParagraph"/>
              <w:spacing w:line="264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G24</w:t>
            </w:r>
          </w:p>
        </w:tc>
        <w:tc>
          <w:tcPr>
            <w:tcW w:w="1164" w:type="dxa"/>
          </w:tcPr>
          <w:p>
            <w:pPr>
              <w:pStyle w:val="TableParagraph"/>
              <w:spacing w:line="264" w:lineRule="exact"/>
              <w:ind w:right="2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920" w:type="dxa"/>
          </w:tcPr>
          <w:p>
            <w:pPr>
              <w:pStyle w:val="TableParagraph"/>
              <w:spacing w:line="264" w:lineRule="exact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10.3</w:t>
            </w:r>
          </w:p>
        </w:tc>
        <w:tc>
          <w:tcPr>
            <w:tcW w:w="580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77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9.1</w:t>
            </w:r>
          </w:p>
        </w:tc>
        <w:tc>
          <w:tcPr>
            <w:tcW w:w="2270" w:type="dxa"/>
          </w:tcPr>
          <w:p>
            <w:pPr>
              <w:pStyle w:val="TableParagraph"/>
              <w:spacing w:line="264" w:lineRule="exact"/>
              <w:ind w:right="11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124" w:type="dxa"/>
          </w:tcPr>
          <w:p>
            <w:pPr>
              <w:pStyle w:val="TableParagraph"/>
              <w:spacing w:line="265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G40</w:t>
            </w:r>
          </w:p>
        </w:tc>
        <w:tc>
          <w:tcPr>
            <w:tcW w:w="1164" w:type="dxa"/>
          </w:tcPr>
          <w:p>
            <w:pPr>
              <w:pStyle w:val="TableParagraph"/>
              <w:spacing w:line="265" w:lineRule="exact"/>
              <w:ind w:right="2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920" w:type="dxa"/>
          </w:tcPr>
          <w:p>
            <w:pPr>
              <w:pStyle w:val="TableParagraph"/>
              <w:spacing w:line="265" w:lineRule="exact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282" w:type="dxa"/>
          </w:tcPr>
          <w:p>
            <w:pPr>
              <w:pStyle w:val="TableParagraph"/>
              <w:spacing w:line="265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5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5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9.5</w:t>
            </w:r>
          </w:p>
        </w:tc>
        <w:tc>
          <w:tcPr>
            <w:tcW w:w="580" w:type="dxa"/>
          </w:tcPr>
          <w:p>
            <w:pPr>
              <w:pStyle w:val="TableParagraph"/>
              <w:spacing w:line="265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  <w:tc>
          <w:tcPr>
            <w:tcW w:w="778" w:type="dxa"/>
          </w:tcPr>
          <w:p>
            <w:pPr>
              <w:pStyle w:val="TableParagraph"/>
              <w:spacing w:line="265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10.1</w:t>
            </w:r>
          </w:p>
        </w:tc>
        <w:tc>
          <w:tcPr>
            <w:tcW w:w="2270" w:type="dxa"/>
          </w:tcPr>
          <w:p>
            <w:pPr>
              <w:pStyle w:val="TableParagraph"/>
              <w:spacing w:line="265" w:lineRule="exact"/>
              <w:ind w:right="11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124" w:type="dxa"/>
          </w:tcPr>
          <w:p>
            <w:pPr>
              <w:pStyle w:val="TableParagraph"/>
              <w:spacing w:line="264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S1</w:t>
            </w:r>
          </w:p>
        </w:tc>
        <w:tc>
          <w:tcPr>
            <w:tcW w:w="1164" w:type="dxa"/>
          </w:tcPr>
          <w:p>
            <w:pPr>
              <w:pStyle w:val="TableParagraph"/>
              <w:spacing w:line="264" w:lineRule="exact"/>
              <w:ind w:right="2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9Months</w:t>
            </w:r>
          </w:p>
        </w:tc>
        <w:tc>
          <w:tcPr>
            <w:tcW w:w="920" w:type="dxa"/>
          </w:tcPr>
          <w:p>
            <w:pPr>
              <w:pStyle w:val="TableParagraph"/>
              <w:spacing w:line="264" w:lineRule="exact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16.6</w:t>
            </w:r>
          </w:p>
        </w:tc>
        <w:tc>
          <w:tcPr>
            <w:tcW w:w="580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</w:t>
            </w:r>
          </w:p>
        </w:tc>
        <w:tc>
          <w:tcPr>
            <w:tcW w:w="77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4.9</w:t>
            </w:r>
          </w:p>
        </w:tc>
        <w:tc>
          <w:tcPr>
            <w:tcW w:w="2270" w:type="dxa"/>
          </w:tcPr>
          <w:p>
            <w:pPr>
              <w:pStyle w:val="TableParagraph"/>
              <w:spacing w:line="264" w:lineRule="exact"/>
              <w:ind w:right="11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1124" w:type="dxa"/>
          </w:tcPr>
          <w:p>
            <w:pPr>
              <w:pStyle w:val="TableParagraph"/>
              <w:spacing w:line="264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S20</w:t>
            </w:r>
          </w:p>
        </w:tc>
        <w:tc>
          <w:tcPr>
            <w:tcW w:w="1164" w:type="dxa"/>
          </w:tcPr>
          <w:p>
            <w:pPr>
              <w:pStyle w:val="TableParagraph"/>
              <w:spacing w:line="264" w:lineRule="exact"/>
              <w:ind w:right="24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20" w:type="dxa"/>
          </w:tcPr>
          <w:p>
            <w:pPr>
              <w:pStyle w:val="TableParagraph"/>
              <w:spacing w:line="264" w:lineRule="exact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13.8</w:t>
            </w:r>
          </w:p>
        </w:tc>
        <w:tc>
          <w:tcPr>
            <w:tcW w:w="580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</w:t>
            </w:r>
          </w:p>
        </w:tc>
        <w:tc>
          <w:tcPr>
            <w:tcW w:w="77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9.9</w:t>
            </w:r>
          </w:p>
        </w:tc>
        <w:tc>
          <w:tcPr>
            <w:tcW w:w="2270" w:type="dxa"/>
          </w:tcPr>
          <w:p>
            <w:pPr>
              <w:pStyle w:val="TableParagraph"/>
              <w:spacing w:line="264" w:lineRule="exact"/>
              <w:ind w:right="11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1124" w:type="dxa"/>
          </w:tcPr>
          <w:p>
            <w:pPr>
              <w:pStyle w:val="TableParagraph"/>
              <w:spacing w:line="264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P16</w:t>
            </w:r>
          </w:p>
        </w:tc>
        <w:tc>
          <w:tcPr>
            <w:tcW w:w="1164" w:type="dxa"/>
          </w:tcPr>
          <w:p>
            <w:pPr>
              <w:pStyle w:val="TableParagraph"/>
              <w:spacing w:line="264" w:lineRule="exact"/>
              <w:ind w:right="2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920" w:type="dxa"/>
          </w:tcPr>
          <w:p>
            <w:pPr>
              <w:pStyle w:val="TableParagraph"/>
              <w:spacing w:line="264" w:lineRule="exact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10.1</w:t>
            </w:r>
          </w:p>
        </w:tc>
        <w:tc>
          <w:tcPr>
            <w:tcW w:w="580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77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2270" w:type="dxa"/>
          </w:tcPr>
          <w:p>
            <w:pPr>
              <w:pStyle w:val="TableParagraph"/>
              <w:spacing w:line="264" w:lineRule="exact"/>
              <w:ind w:right="11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124" w:type="dxa"/>
          </w:tcPr>
          <w:p>
            <w:pPr>
              <w:pStyle w:val="TableParagraph"/>
              <w:spacing w:line="264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P39</w:t>
            </w:r>
          </w:p>
        </w:tc>
        <w:tc>
          <w:tcPr>
            <w:tcW w:w="1164" w:type="dxa"/>
          </w:tcPr>
          <w:p>
            <w:pPr>
              <w:pStyle w:val="TableParagraph"/>
              <w:spacing w:line="264" w:lineRule="exact"/>
              <w:ind w:right="2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920" w:type="dxa"/>
          </w:tcPr>
          <w:p>
            <w:pPr>
              <w:pStyle w:val="TableParagraph"/>
              <w:spacing w:line="264" w:lineRule="exact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8.8</w:t>
            </w:r>
          </w:p>
        </w:tc>
        <w:tc>
          <w:tcPr>
            <w:tcW w:w="580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  <w:tc>
          <w:tcPr>
            <w:tcW w:w="77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</w:t>
            </w:r>
          </w:p>
        </w:tc>
        <w:tc>
          <w:tcPr>
            <w:tcW w:w="2270" w:type="dxa"/>
          </w:tcPr>
          <w:p>
            <w:pPr>
              <w:pStyle w:val="TableParagraph"/>
              <w:spacing w:line="264" w:lineRule="exact"/>
              <w:ind w:right="11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124" w:type="dxa"/>
          </w:tcPr>
          <w:p>
            <w:pPr>
              <w:pStyle w:val="TableParagraph"/>
              <w:spacing w:line="264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P50</w:t>
            </w:r>
          </w:p>
        </w:tc>
        <w:tc>
          <w:tcPr>
            <w:tcW w:w="1164" w:type="dxa"/>
          </w:tcPr>
          <w:p>
            <w:pPr>
              <w:pStyle w:val="TableParagraph"/>
              <w:spacing w:line="264" w:lineRule="exact"/>
              <w:ind w:right="24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20" w:type="dxa"/>
          </w:tcPr>
          <w:p>
            <w:pPr>
              <w:pStyle w:val="TableParagraph"/>
              <w:spacing w:line="264" w:lineRule="exact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12.1</w:t>
            </w:r>
          </w:p>
        </w:tc>
        <w:tc>
          <w:tcPr>
            <w:tcW w:w="580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77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7.8</w:t>
            </w:r>
          </w:p>
        </w:tc>
        <w:tc>
          <w:tcPr>
            <w:tcW w:w="2270" w:type="dxa"/>
          </w:tcPr>
          <w:p>
            <w:pPr>
              <w:pStyle w:val="TableParagraph"/>
              <w:spacing w:line="264" w:lineRule="exact"/>
              <w:ind w:right="114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299" w:hRule="atLeast"/>
        </w:trPr>
        <w:tc>
          <w:tcPr>
            <w:tcW w:w="1124" w:type="dxa"/>
          </w:tcPr>
          <w:p>
            <w:pPr>
              <w:pStyle w:val="TableParagraph"/>
              <w:spacing w:line="264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KW3</w:t>
            </w:r>
          </w:p>
        </w:tc>
        <w:tc>
          <w:tcPr>
            <w:tcW w:w="1164" w:type="dxa"/>
          </w:tcPr>
          <w:p>
            <w:pPr>
              <w:pStyle w:val="TableParagraph"/>
              <w:spacing w:line="264" w:lineRule="exact"/>
              <w:ind w:right="2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  <w:tc>
          <w:tcPr>
            <w:tcW w:w="920" w:type="dxa"/>
          </w:tcPr>
          <w:p>
            <w:pPr>
              <w:pStyle w:val="TableParagraph"/>
              <w:spacing w:line="264" w:lineRule="exact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7.8</w:t>
            </w:r>
          </w:p>
        </w:tc>
        <w:tc>
          <w:tcPr>
            <w:tcW w:w="580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</w:t>
            </w:r>
          </w:p>
        </w:tc>
        <w:tc>
          <w:tcPr>
            <w:tcW w:w="77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9.6</w:t>
            </w:r>
          </w:p>
        </w:tc>
        <w:tc>
          <w:tcPr>
            <w:tcW w:w="2270" w:type="dxa"/>
          </w:tcPr>
          <w:p>
            <w:pPr>
              <w:pStyle w:val="TableParagraph"/>
              <w:spacing w:line="264" w:lineRule="exact"/>
              <w:ind w:right="11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1124" w:type="dxa"/>
          </w:tcPr>
          <w:p>
            <w:pPr>
              <w:pStyle w:val="TableParagraph"/>
              <w:spacing w:line="264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KW17</w:t>
            </w:r>
          </w:p>
        </w:tc>
        <w:tc>
          <w:tcPr>
            <w:tcW w:w="1164" w:type="dxa"/>
          </w:tcPr>
          <w:p>
            <w:pPr>
              <w:pStyle w:val="TableParagraph"/>
              <w:spacing w:line="264" w:lineRule="exact"/>
              <w:ind w:right="24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20" w:type="dxa"/>
          </w:tcPr>
          <w:p>
            <w:pPr>
              <w:pStyle w:val="TableParagraph"/>
              <w:spacing w:line="264" w:lineRule="exact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12.1</w:t>
            </w:r>
          </w:p>
        </w:tc>
        <w:tc>
          <w:tcPr>
            <w:tcW w:w="580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77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8.9</w:t>
            </w:r>
          </w:p>
        </w:tc>
        <w:tc>
          <w:tcPr>
            <w:tcW w:w="2270" w:type="dxa"/>
          </w:tcPr>
          <w:p>
            <w:pPr>
              <w:pStyle w:val="TableParagraph"/>
              <w:spacing w:line="264" w:lineRule="exact"/>
              <w:ind w:right="11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260" w:hRule="atLeast"/>
        </w:trPr>
        <w:tc>
          <w:tcPr>
            <w:tcW w:w="1124" w:type="dxa"/>
          </w:tcPr>
          <w:p>
            <w:pPr>
              <w:pStyle w:val="TableParagraph"/>
              <w:spacing w:line="240" w:lineRule="exact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KK2</w:t>
            </w:r>
          </w:p>
        </w:tc>
        <w:tc>
          <w:tcPr>
            <w:tcW w:w="1164" w:type="dxa"/>
          </w:tcPr>
          <w:p>
            <w:pPr>
              <w:pStyle w:val="TableParagraph"/>
              <w:spacing w:line="240" w:lineRule="exact"/>
              <w:ind w:right="2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  <w:tc>
          <w:tcPr>
            <w:tcW w:w="920" w:type="dxa"/>
          </w:tcPr>
          <w:p>
            <w:pPr>
              <w:pStyle w:val="TableParagraph"/>
              <w:spacing w:line="240" w:lineRule="exact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282" w:type="dxa"/>
          </w:tcPr>
          <w:p>
            <w:pPr>
              <w:pStyle w:val="TableParagraph"/>
              <w:spacing w:line="240" w:lineRule="exact"/>
              <w:ind w:left="37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48" w:type="dxa"/>
          </w:tcPr>
          <w:p>
            <w:pPr>
              <w:pStyle w:val="TableParagraph"/>
              <w:spacing w:line="240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12" w:type="dxa"/>
          </w:tcPr>
          <w:p>
            <w:pPr>
              <w:pStyle w:val="TableParagraph"/>
              <w:spacing w:line="240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10.1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778" w:type="dxa"/>
          </w:tcPr>
          <w:p>
            <w:pPr>
              <w:pStyle w:val="TableParagraph"/>
              <w:spacing w:line="240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7.9</w:t>
            </w:r>
          </w:p>
        </w:tc>
        <w:tc>
          <w:tcPr>
            <w:tcW w:w="2270" w:type="dxa"/>
          </w:tcPr>
          <w:p>
            <w:pPr>
              <w:pStyle w:val="TableParagraph"/>
              <w:spacing w:line="240" w:lineRule="exact"/>
              <w:ind w:right="11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</w:tbl>
    <w:p>
      <w:pPr>
        <w:spacing w:after="0" w:line="240" w:lineRule="exact"/>
        <w:jc w:val="right"/>
        <w:rPr>
          <w:rFonts w:ascii="Calibri"/>
          <w:sz w:val="22"/>
        </w:rPr>
        <w:sectPr>
          <w:pgSz w:w="12240" w:h="15840"/>
          <w:pgMar w:header="0" w:footer="935" w:top="1500" w:bottom="1200" w:left="0" w:right="180"/>
        </w:sectPr>
      </w:pPr>
    </w:p>
    <w:tbl>
      <w:tblPr>
        <w:tblW w:w="0" w:type="auto"/>
        <w:jc w:val="left"/>
        <w:tblInd w:w="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6"/>
        <w:gridCol w:w="949"/>
        <w:gridCol w:w="924"/>
        <w:gridCol w:w="1325"/>
        <w:gridCol w:w="868"/>
        <w:gridCol w:w="763"/>
        <w:gridCol w:w="594"/>
        <w:gridCol w:w="1086"/>
        <w:gridCol w:w="927"/>
      </w:tblGrid>
      <w:tr>
        <w:trPr>
          <w:trHeight w:val="260" w:hRule="atLeast"/>
        </w:trPr>
        <w:tc>
          <w:tcPr>
            <w:tcW w:w="1256" w:type="dxa"/>
          </w:tcPr>
          <w:p>
            <w:pPr>
              <w:pStyle w:val="TableParagraph"/>
              <w:spacing w:line="225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KK36</w:t>
            </w:r>
          </w:p>
        </w:tc>
        <w:tc>
          <w:tcPr>
            <w:tcW w:w="949" w:type="dxa"/>
          </w:tcPr>
          <w:p>
            <w:pPr>
              <w:pStyle w:val="TableParagraph"/>
              <w:spacing w:line="225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924" w:type="dxa"/>
          </w:tcPr>
          <w:p>
            <w:pPr>
              <w:pStyle w:val="TableParagraph"/>
              <w:spacing w:line="225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25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25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63" w:type="dxa"/>
          </w:tcPr>
          <w:p>
            <w:pPr>
              <w:pStyle w:val="TableParagraph"/>
              <w:spacing w:line="225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11.6</w:t>
            </w:r>
          </w:p>
        </w:tc>
        <w:tc>
          <w:tcPr>
            <w:tcW w:w="594" w:type="dxa"/>
          </w:tcPr>
          <w:p>
            <w:pPr>
              <w:pStyle w:val="TableParagraph"/>
              <w:spacing w:line="225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1086" w:type="dxa"/>
          </w:tcPr>
          <w:p>
            <w:pPr>
              <w:pStyle w:val="TableParagraph"/>
              <w:spacing w:line="225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</w:t>
            </w:r>
          </w:p>
        </w:tc>
        <w:tc>
          <w:tcPr>
            <w:tcW w:w="927" w:type="dxa"/>
          </w:tcPr>
          <w:p>
            <w:pPr>
              <w:pStyle w:val="TableParagraph"/>
              <w:spacing w:line="225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KK49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O-ve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12.5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37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C10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12.1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C18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4.6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C24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6.2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C31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9.8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T11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14.3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6.8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T29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3.6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T32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10.5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31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8.5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M4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11.4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B2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B7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A-ve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9.1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5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BJ48</w:t>
            </w:r>
          </w:p>
        </w:tc>
        <w:tc>
          <w:tcPr>
            <w:tcW w:w="949" w:type="dxa"/>
          </w:tcPr>
          <w:p>
            <w:pPr>
              <w:pStyle w:val="TableParagraph"/>
              <w:spacing w:line="265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37</w:t>
            </w:r>
          </w:p>
        </w:tc>
        <w:tc>
          <w:tcPr>
            <w:tcW w:w="924" w:type="dxa"/>
          </w:tcPr>
          <w:p>
            <w:pPr>
              <w:pStyle w:val="TableParagraph"/>
              <w:spacing w:line="265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5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5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10.7</w:t>
            </w:r>
          </w:p>
        </w:tc>
        <w:tc>
          <w:tcPr>
            <w:tcW w:w="594" w:type="dxa"/>
          </w:tcPr>
          <w:p>
            <w:pPr>
              <w:pStyle w:val="TableParagraph"/>
              <w:spacing w:line="265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</w:t>
            </w:r>
          </w:p>
        </w:tc>
        <w:tc>
          <w:tcPr>
            <w:tcW w:w="1086" w:type="dxa"/>
          </w:tcPr>
          <w:p>
            <w:pPr>
              <w:pStyle w:val="TableParagraph"/>
              <w:spacing w:line="265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5.1</w:t>
            </w:r>
          </w:p>
        </w:tc>
        <w:tc>
          <w:tcPr>
            <w:tcW w:w="927" w:type="dxa"/>
          </w:tcPr>
          <w:p>
            <w:pPr>
              <w:pStyle w:val="TableParagraph"/>
              <w:spacing w:line="265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G1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4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10.4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31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P2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left="2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A-ve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12.6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37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KW1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left="2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KW15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left="2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12.7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9.4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KK11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4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13.6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8.7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C3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left="2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6.8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T1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left="20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16.2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T47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left="20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5.5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BJ10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left="20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B-ve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10.1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BJ11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left="2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12.2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BJ7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left="2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B-ve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9.1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BJ16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15.5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BJ30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M25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9.5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M44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5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16.2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4.4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G30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4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11.9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G39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43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9.8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G49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4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11.6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6.6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S3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4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B-ve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S17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4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9.8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S25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31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4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9.7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5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S30</w:t>
            </w:r>
          </w:p>
        </w:tc>
        <w:tc>
          <w:tcPr>
            <w:tcW w:w="949" w:type="dxa"/>
          </w:tcPr>
          <w:p>
            <w:pPr>
              <w:pStyle w:val="TableParagraph"/>
              <w:spacing w:line="265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24" w:type="dxa"/>
          </w:tcPr>
          <w:p>
            <w:pPr>
              <w:pStyle w:val="TableParagraph"/>
              <w:spacing w:line="265" w:lineRule="exact"/>
              <w:ind w:right="4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5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5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</w:t>
            </w:r>
          </w:p>
        </w:tc>
        <w:tc>
          <w:tcPr>
            <w:tcW w:w="594" w:type="dxa"/>
          </w:tcPr>
          <w:p>
            <w:pPr>
              <w:pStyle w:val="TableParagraph"/>
              <w:spacing w:line="265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  <w:tc>
          <w:tcPr>
            <w:tcW w:w="1086" w:type="dxa"/>
          </w:tcPr>
          <w:p>
            <w:pPr>
              <w:pStyle w:val="TableParagraph"/>
              <w:spacing w:line="265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27" w:type="dxa"/>
          </w:tcPr>
          <w:p>
            <w:pPr>
              <w:pStyle w:val="TableParagraph"/>
              <w:spacing w:line="265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P3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4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12.6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8.8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P7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4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9.9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P25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4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10.8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KW25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4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6.8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11.8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C43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4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9.5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299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C50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4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4.1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29.4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299" w:hRule="atLeast"/>
        </w:trPr>
        <w:tc>
          <w:tcPr>
            <w:tcW w:w="1256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KW30</w:t>
            </w: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  <w:tc>
          <w:tcPr>
            <w:tcW w:w="924" w:type="dxa"/>
          </w:tcPr>
          <w:p>
            <w:pPr>
              <w:pStyle w:val="TableParagraph"/>
              <w:spacing w:line="264" w:lineRule="exact"/>
              <w:ind w:right="4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6.3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2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</w:tr>
      <w:tr>
        <w:trPr>
          <w:trHeight w:val="260" w:hRule="atLeast"/>
        </w:trPr>
        <w:tc>
          <w:tcPr>
            <w:tcW w:w="1256" w:type="dxa"/>
          </w:tcPr>
          <w:p>
            <w:pPr>
              <w:pStyle w:val="TableParagraph"/>
              <w:spacing w:line="240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KW40</w:t>
            </w:r>
          </w:p>
        </w:tc>
        <w:tc>
          <w:tcPr>
            <w:tcW w:w="949" w:type="dxa"/>
          </w:tcPr>
          <w:p>
            <w:pPr>
              <w:pStyle w:val="TableParagraph"/>
              <w:spacing w:line="240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924" w:type="dxa"/>
          </w:tcPr>
          <w:p>
            <w:pPr>
              <w:pStyle w:val="TableParagraph"/>
              <w:spacing w:line="240" w:lineRule="exact"/>
              <w:ind w:right="4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exact"/>
              <w:ind w:left="4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40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40" w:lineRule="exact"/>
              <w:ind w:right="17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11.9</w:t>
            </w:r>
          </w:p>
        </w:tc>
        <w:tc>
          <w:tcPr>
            <w:tcW w:w="594" w:type="dxa"/>
          </w:tcPr>
          <w:p>
            <w:pPr>
              <w:pStyle w:val="TableParagraph"/>
              <w:spacing w:line="240" w:lineRule="exact"/>
              <w:ind w:left="153" w:righ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1086" w:type="dxa"/>
          </w:tcPr>
          <w:p>
            <w:pPr>
              <w:pStyle w:val="TableParagraph"/>
              <w:spacing w:line="240" w:lineRule="exact"/>
              <w:ind w:right="5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</w:t>
            </w:r>
          </w:p>
        </w:tc>
        <w:tc>
          <w:tcPr>
            <w:tcW w:w="927" w:type="dxa"/>
          </w:tcPr>
          <w:p>
            <w:pPr>
              <w:pStyle w:val="TableParagraph"/>
              <w:spacing w:line="240" w:lineRule="exact"/>
              <w:ind w:right="2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</w:tr>
    </w:tbl>
    <w:p>
      <w:pPr>
        <w:spacing w:after="0" w:line="240" w:lineRule="exact"/>
        <w:jc w:val="right"/>
        <w:rPr>
          <w:rFonts w:ascii="Calibri"/>
          <w:sz w:val="22"/>
        </w:rPr>
        <w:sectPr>
          <w:pgSz w:w="12240" w:h="15840"/>
          <w:pgMar w:header="0" w:footer="935" w:top="1500" w:bottom="1120" w:left="0" w:right="180"/>
        </w:sectPr>
      </w:pPr>
    </w:p>
    <w:tbl>
      <w:tblPr>
        <w:tblW w:w="0" w:type="auto"/>
        <w:jc w:val="left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3"/>
        <w:gridCol w:w="1330"/>
        <w:gridCol w:w="867"/>
        <w:gridCol w:w="1331"/>
        <w:gridCol w:w="868"/>
        <w:gridCol w:w="763"/>
        <w:gridCol w:w="594"/>
        <w:gridCol w:w="1086"/>
        <w:gridCol w:w="1888"/>
      </w:tblGrid>
      <w:tr>
        <w:trPr>
          <w:trHeight w:val="260" w:hRule="atLeast"/>
        </w:trPr>
        <w:tc>
          <w:tcPr>
            <w:tcW w:w="1203" w:type="dxa"/>
          </w:tcPr>
          <w:p>
            <w:pPr>
              <w:pStyle w:val="TableParagraph"/>
              <w:spacing w:line="225" w:lineRule="exact"/>
              <w:ind w:left="48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kk5</w:t>
            </w:r>
          </w:p>
        </w:tc>
        <w:tc>
          <w:tcPr>
            <w:tcW w:w="1330" w:type="dxa"/>
          </w:tcPr>
          <w:p>
            <w:pPr>
              <w:pStyle w:val="TableParagraph"/>
              <w:spacing w:line="225" w:lineRule="exact"/>
              <w:ind w:right="2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6Months</w:t>
            </w:r>
          </w:p>
        </w:tc>
        <w:tc>
          <w:tcPr>
            <w:tcW w:w="867" w:type="dxa"/>
          </w:tcPr>
          <w:p>
            <w:pPr>
              <w:pStyle w:val="TableParagraph"/>
              <w:spacing w:line="225" w:lineRule="exact"/>
              <w:ind w:left="2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1331" w:type="dxa"/>
          </w:tcPr>
          <w:p>
            <w:pPr>
              <w:pStyle w:val="TableParagraph"/>
              <w:spacing w:line="225" w:lineRule="exact"/>
              <w:ind w:left="4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2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25" w:lineRule="exact"/>
              <w:ind w:right="1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15.6</w:t>
            </w:r>
          </w:p>
        </w:tc>
        <w:tc>
          <w:tcPr>
            <w:tcW w:w="594" w:type="dxa"/>
          </w:tcPr>
          <w:p>
            <w:pPr>
              <w:pStyle w:val="TableParagraph"/>
              <w:spacing w:line="225" w:lineRule="exact"/>
              <w:ind w:left="156" w:right="1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46</w:t>
            </w:r>
          </w:p>
        </w:tc>
        <w:tc>
          <w:tcPr>
            <w:tcW w:w="1086" w:type="dxa"/>
          </w:tcPr>
          <w:p>
            <w:pPr>
              <w:pStyle w:val="TableParagraph"/>
              <w:spacing w:line="225" w:lineRule="exact"/>
              <w:ind w:right="4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16.1</w:t>
            </w:r>
          </w:p>
        </w:tc>
        <w:tc>
          <w:tcPr>
            <w:tcW w:w="1888" w:type="dxa"/>
          </w:tcPr>
          <w:p>
            <w:pPr>
              <w:pStyle w:val="TableParagraph"/>
              <w:spacing w:line="225" w:lineRule="exact"/>
              <w:ind w:right="11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1203" w:type="dxa"/>
          </w:tcPr>
          <w:p>
            <w:pPr>
              <w:pStyle w:val="TableParagraph"/>
              <w:spacing w:line="264" w:lineRule="exact"/>
              <w:ind w:left="48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KK16</w:t>
            </w:r>
          </w:p>
        </w:tc>
        <w:tc>
          <w:tcPr>
            <w:tcW w:w="1330" w:type="dxa"/>
          </w:tcPr>
          <w:p>
            <w:pPr>
              <w:pStyle w:val="TableParagraph"/>
              <w:spacing w:line="264" w:lineRule="exact"/>
              <w:ind w:right="2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</w:t>
            </w:r>
          </w:p>
        </w:tc>
        <w:tc>
          <w:tcPr>
            <w:tcW w:w="867" w:type="dxa"/>
          </w:tcPr>
          <w:p>
            <w:pPr>
              <w:pStyle w:val="TableParagraph"/>
              <w:spacing w:line="264" w:lineRule="exact"/>
              <w:ind w:left="30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31" w:type="dxa"/>
          </w:tcPr>
          <w:p>
            <w:pPr>
              <w:pStyle w:val="TableParagraph"/>
              <w:spacing w:line="264" w:lineRule="exact"/>
              <w:ind w:left="4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9.8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6" w:right="1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4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</w:t>
            </w:r>
          </w:p>
        </w:tc>
        <w:tc>
          <w:tcPr>
            <w:tcW w:w="1888" w:type="dxa"/>
          </w:tcPr>
          <w:p>
            <w:pPr>
              <w:pStyle w:val="TableParagraph"/>
              <w:spacing w:line="264" w:lineRule="exact"/>
              <w:ind w:right="11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</w:tr>
      <w:tr>
        <w:trPr>
          <w:trHeight w:val="300" w:hRule="atLeast"/>
        </w:trPr>
        <w:tc>
          <w:tcPr>
            <w:tcW w:w="1203" w:type="dxa"/>
          </w:tcPr>
          <w:p>
            <w:pPr>
              <w:pStyle w:val="TableParagraph"/>
              <w:spacing w:line="264" w:lineRule="exact"/>
              <w:ind w:left="48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KK39</w:t>
            </w:r>
          </w:p>
        </w:tc>
        <w:tc>
          <w:tcPr>
            <w:tcW w:w="1330" w:type="dxa"/>
          </w:tcPr>
          <w:p>
            <w:pPr>
              <w:pStyle w:val="TableParagraph"/>
              <w:spacing w:line="264" w:lineRule="exact"/>
              <w:ind w:right="2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  <w:tc>
          <w:tcPr>
            <w:tcW w:w="867" w:type="dxa"/>
          </w:tcPr>
          <w:p>
            <w:pPr>
              <w:pStyle w:val="TableParagraph"/>
              <w:spacing w:line="264" w:lineRule="exact"/>
              <w:ind w:left="30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31" w:type="dxa"/>
          </w:tcPr>
          <w:p>
            <w:pPr>
              <w:pStyle w:val="TableParagraph"/>
              <w:spacing w:line="264" w:lineRule="exact"/>
              <w:ind w:left="4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13.5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6" w:right="1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4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</w:t>
            </w:r>
          </w:p>
        </w:tc>
        <w:tc>
          <w:tcPr>
            <w:tcW w:w="1888" w:type="dxa"/>
          </w:tcPr>
          <w:p>
            <w:pPr>
              <w:pStyle w:val="TableParagraph"/>
              <w:spacing w:line="264" w:lineRule="exact"/>
              <w:ind w:right="11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03" w:type="dxa"/>
          </w:tcPr>
          <w:p>
            <w:pPr>
              <w:pStyle w:val="TableParagraph"/>
              <w:spacing w:line="264" w:lineRule="exact"/>
              <w:ind w:left="48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T40</w:t>
            </w:r>
          </w:p>
        </w:tc>
        <w:tc>
          <w:tcPr>
            <w:tcW w:w="1330" w:type="dxa"/>
          </w:tcPr>
          <w:p>
            <w:pPr>
              <w:pStyle w:val="TableParagraph"/>
              <w:spacing w:line="264" w:lineRule="exact"/>
              <w:ind w:right="2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867" w:type="dxa"/>
          </w:tcPr>
          <w:p>
            <w:pPr>
              <w:pStyle w:val="TableParagraph"/>
              <w:spacing w:line="264" w:lineRule="exact"/>
              <w:ind w:left="30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31" w:type="dxa"/>
          </w:tcPr>
          <w:p>
            <w:pPr>
              <w:pStyle w:val="TableParagraph"/>
              <w:spacing w:line="264" w:lineRule="exact"/>
              <w:ind w:left="4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Negative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AB-ve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10.6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6" w:right="1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4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6.8</w:t>
            </w:r>
          </w:p>
        </w:tc>
        <w:tc>
          <w:tcPr>
            <w:tcW w:w="1888" w:type="dxa"/>
          </w:tcPr>
          <w:p>
            <w:pPr>
              <w:pStyle w:val="TableParagraph"/>
              <w:spacing w:line="264" w:lineRule="exact"/>
              <w:ind w:right="115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1203" w:type="dxa"/>
          </w:tcPr>
          <w:p>
            <w:pPr>
              <w:pStyle w:val="TableParagraph"/>
              <w:spacing w:line="264" w:lineRule="exact"/>
              <w:ind w:left="48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M50</w:t>
            </w:r>
          </w:p>
        </w:tc>
        <w:tc>
          <w:tcPr>
            <w:tcW w:w="1330" w:type="dxa"/>
          </w:tcPr>
          <w:p>
            <w:pPr>
              <w:pStyle w:val="TableParagraph"/>
              <w:spacing w:line="264" w:lineRule="exact"/>
              <w:ind w:right="24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867" w:type="dxa"/>
          </w:tcPr>
          <w:p>
            <w:pPr>
              <w:pStyle w:val="TableParagraph"/>
              <w:spacing w:line="264" w:lineRule="exact"/>
              <w:ind w:left="30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31" w:type="dxa"/>
          </w:tcPr>
          <w:p>
            <w:pPr>
              <w:pStyle w:val="TableParagraph"/>
              <w:spacing w:line="264" w:lineRule="exact"/>
              <w:ind w:left="4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AB+ve</w:t>
            </w:r>
          </w:p>
        </w:tc>
        <w:tc>
          <w:tcPr>
            <w:tcW w:w="763" w:type="dxa"/>
          </w:tcPr>
          <w:p>
            <w:pPr>
              <w:pStyle w:val="TableParagraph"/>
              <w:spacing w:line="264" w:lineRule="exact"/>
              <w:ind w:right="17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594" w:type="dxa"/>
          </w:tcPr>
          <w:p>
            <w:pPr>
              <w:pStyle w:val="TableParagraph"/>
              <w:spacing w:line="264" w:lineRule="exact"/>
              <w:ind w:left="156" w:right="1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  <w:tc>
          <w:tcPr>
            <w:tcW w:w="1086" w:type="dxa"/>
          </w:tcPr>
          <w:p>
            <w:pPr>
              <w:pStyle w:val="TableParagraph"/>
              <w:spacing w:line="264" w:lineRule="exact"/>
              <w:ind w:right="4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5.1</w:t>
            </w:r>
          </w:p>
        </w:tc>
        <w:tc>
          <w:tcPr>
            <w:tcW w:w="1888" w:type="dxa"/>
          </w:tcPr>
          <w:p>
            <w:pPr>
              <w:pStyle w:val="TableParagraph"/>
              <w:spacing w:line="264" w:lineRule="exact"/>
              <w:ind w:right="11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364" w:hRule="atLeast"/>
        </w:trPr>
        <w:tc>
          <w:tcPr>
            <w:tcW w:w="12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48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G22</w:t>
            </w:r>
          </w:p>
        </w:tc>
        <w:tc>
          <w:tcPr>
            <w:tcW w:w="13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right="2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8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2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13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4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Positive</w:t>
            </w:r>
          </w:p>
        </w:tc>
        <w:tc>
          <w:tcPr>
            <w:tcW w:w="8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AB+ve</w:t>
            </w:r>
          </w:p>
        </w:tc>
        <w:tc>
          <w:tcPr>
            <w:tcW w:w="7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right="17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10.1</w:t>
            </w:r>
          </w:p>
        </w:tc>
        <w:tc>
          <w:tcPr>
            <w:tcW w:w="5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156" w:right="1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10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right="4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</w:t>
            </w:r>
          </w:p>
        </w:tc>
        <w:tc>
          <w:tcPr>
            <w:tcW w:w="18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right="115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  <w:jc w:val="left"/>
      </w:pPr>
      <w:r>
        <w:rPr/>
        <w:t>APPENDIX</w:t>
      </w:r>
      <w:r>
        <w:rPr>
          <w:spacing w:val="-2"/>
        </w:rPr>
        <w:t> </w:t>
      </w:r>
      <w:r>
        <w:rPr/>
        <w:t>XI:</w:t>
      </w:r>
      <w:r>
        <w:rPr>
          <w:spacing w:val="-3"/>
        </w:rPr>
        <w:t> </w:t>
      </w:r>
      <w:r>
        <w:rPr/>
        <w:t>Ethical</w:t>
      </w:r>
      <w:r>
        <w:rPr>
          <w:spacing w:val="2"/>
        </w:rPr>
        <w:t> </w:t>
      </w:r>
      <w:r>
        <w:rPr/>
        <w:t>Approval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conduct</w:t>
      </w:r>
      <w:r>
        <w:rPr>
          <w:spacing w:val="-2"/>
        </w:rPr>
        <w:t> </w:t>
      </w:r>
      <w:r>
        <w:rPr/>
        <w:t>research</w:t>
      </w:r>
    </w:p>
    <w:p>
      <w:pPr>
        <w:spacing w:after="0"/>
        <w:jc w:val="left"/>
        <w:sectPr>
          <w:pgSz w:w="12240" w:h="15840"/>
          <w:pgMar w:header="0" w:footer="935" w:top="1500" w:bottom="1120" w:left="0" w:right="180"/>
        </w:sectPr>
      </w:pPr>
    </w:p>
    <w:p>
      <w:pPr>
        <w:pStyle w:val="BodyText"/>
        <w:ind w:left="1020"/>
        <w:rPr>
          <w:sz w:val="20"/>
        </w:rPr>
      </w:pPr>
      <w:r>
        <w:rPr>
          <w:sz w:val="20"/>
        </w:rPr>
        <w:drawing>
          <wp:inline distT="0" distB="0" distL="0" distR="0">
            <wp:extent cx="5637386" cy="6076188"/>
            <wp:effectExtent l="0" t="0" r="0" b="0"/>
            <wp:docPr id="11" name="image7.jpeg" descr="C:\Users\Ajanya\AppData\Local\Microsoft\Windows\Temporary Internet Files\Content.Word\HOSPITAL 1 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86" cy="607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440" w:bottom="1120" w:left="0" w:right="180"/>
        </w:sectPr>
      </w:pPr>
    </w:p>
    <w:p>
      <w:pPr>
        <w:pStyle w:val="BodyText"/>
        <w:ind w:left="1020"/>
        <w:rPr>
          <w:sz w:val="20"/>
        </w:rPr>
      </w:pPr>
      <w:r>
        <w:rPr>
          <w:sz w:val="20"/>
        </w:rPr>
        <w:drawing>
          <wp:inline distT="0" distB="0" distL="0" distR="0">
            <wp:extent cx="4987470" cy="6281928"/>
            <wp:effectExtent l="0" t="0" r="0" b="0"/>
            <wp:docPr id="13" name="image8.jpeg" descr="C:\Users\Ajanya\AppData\Local\Microsoft\Windows\Temporary Internet Files\Content.Word\HOSPITAL 5 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470" cy="628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440" w:bottom="1120" w:left="0" w:right="180"/>
        </w:sectPr>
      </w:pPr>
    </w:p>
    <w:p>
      <w:pPr>
        <w:pStyle w:val="BodyText"/>
        <w:ind w:left="1020"/>
        <w:rPr>
          <w:sz w:val="20"/>
        </w:rPr>
      </w:pPr>
      <w:r>
        <w:rPr>
          <w:sz w:val="20"/>
        </w:rPr>
        <w:drawing>
          <wp:inline distT="0" distB="0" distL="0" distR="0">
            <wp:extent cx="5197629" cy="6281928"/>
            <wp:effectExtent l="0" t="0" r="0" b="0"/>
            <wp:docPr id="15" name="image9.jpeg" descr="C:\Users\Ajanya\AppData\Local\Microsoft\Windows\Temporary Internet Files\Content.Word\HOSPITAL 13 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629" cy="628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440" w:bottom="1120" w:left="0" w:right="180"/>
        </w:sectPr>
      </w:pPr>
    </w:p>
    <w:p>
      <w:pPr>
        <w:pStyle w:val="BodyText"/>
        <w:spacing w:before="4"/>
        <w:rPr>
          <w:b/>
          <w:sz w:val="17"/>
        </w:rPr>
      </w:pPr>
    </w:p>
    <w:sectPr>
      <w:pgSz w:w="12240" w:h="15840"/>
      <w:pgMar w:header="0" w:footer="935" w:top="1500" w:bottom="1120" w:left="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7.130005pt;margin-top:730.255981pt;width:35.550pt;height:13.05pt;mso-position-horizontal-relative:page;mso-position-vertical-relative:page;z-index:-209945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lxxxviii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2"/>
      <w:numFmt w:val="decimal"/>
      <w:lvlText w:val="%1."/>
      <w:lvlJc w:val="left"/>
      <w:pPr>
        <w:ind w:left="123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4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32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1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96" w:hanging="2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3331" w:hanging="23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31" w:hanging="23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07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1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5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22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4172" w:hanging="31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172" w:hanging="3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51" w:hanging="6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31" w:hanging="6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06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2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57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33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08" w:hanging="66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4232" w:hanging="32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232" w:hanging="324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1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77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4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53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22" w:hanging="72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351" w:hanging="361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351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1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7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3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2" w:hanging="72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4352" w:hanging="33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352" w:hanging="3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31" w:hanging="5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22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5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47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10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2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35" w:hanging="54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%1."/>
      <w:lvlJc w:val="left"/>
      <w:pPr>
        <w:ind w:left="171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5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2" w:hanging="7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4772" w:hanging="37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772" w:hanging="37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36" w:hanging="37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64" w:hanging="37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92" w:hanging="37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20" w:hanging="37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48" w:hanging="37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76" w:hanging="37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604" w:hanging="378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71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11" w:hanging="72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2" w:hanging="7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71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11" w:hanging="72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51" w:hanging="6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7" w:hanging="6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6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5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3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2" w:hanging="66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711" w:hanging="72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1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1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2" w:hanging="7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71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11" w:hanging="72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2" w:hanging="7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71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11" w:hanging="72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1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2" w:hanging="7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802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02" w:hanging="721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7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721"/>
      </w:pPr>
      <w:rPr>
        <w:rFonts w:hint="default"/>
        <w:lang w:val="en-U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04"/>
      <w:ind w:left="99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99"/>
      <w:ind w:left="1711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94"/>
      <w:ind w:left="1802" w:hanging="7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475"/>
      <w:ind w:left="171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99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11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https://www.cdc.gov/malaria/about/biology/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2023-11-14T17:43:28Z</dcterms:created>
  <dcterms:modified xsi:type="dcterms:W3CDTF">2023-11-14T17:43:28Z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2023-11-14T00:00:00Z</vt:filetime>
  </property>
</Properties>
</file>