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jpeg" ContentType="image/jpeg"/>
  <Default Extension="png" ContentType="image/png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2"/>
        <w:spacing w:line="480" w:lineRule="auto"/>
        <w:ind w:left="297" w:right="423" w:firstLine="0"/>
        <w:jc w:val="center"/>
      </w:pPr>
      <w:r>
        <w:rPr/>
        <w:t>EVALUATION OF AQUIFER PROTECTIVE CAPACITY AND SOIL</w:t>
      </w:r>
      <w:r>
        <w:rPr>
          <w:spacing w:val="1"/>
        </w:rPr>
        <w:t> </w:t>
      </w:r>
      <w:r>
        <w:rPr/>
        <w:t>CORROSIVITY USING VERTICAL ELECTRICAL SOUNDING METHOD IN</w:t>
      </w:r>
      <w:r>
        <w:rPr>
          <w:spacing w:val="-57"/>
        </w:rPr>
        <w:t> </w:t>
      </w:r>
      <w:r>
        <w:rPr/>
        <w:t>BADEGGI</w:t>
      </w:r>
      <w:r>
        <w:rPr>
          <w:spacing w:val="1"/>
        </w:rPr>
        <w:t> </w:t>
      </w:r>
      <w:r>
        <w:rPr/>
        <w:t>VILLAGE,</w:t>
      </w:r>
      <w:r>
        <w:rPr>
          <w:spacing w:val="2"/>
        </w:rPr>
        <w:t> </w:t>
      </w:r>
      <w:r>
        <w:rPr/>
        <w:t>NIGER STATE, NIGERIA.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1"/>
        <w:rPr>
          <w:b/>
          <w:sz w:val="36"/>
        </w:rPr>
      </w:pPr>
    </w:p>
    <w:p>
      <w:pPr>
        <w:spacing w:before="1"/>
        <w:ind w:left="297" w:right="415" w:firstLine="0"/>
        <w:jc w:val="center"/>
        <w:rPr>
          <w:b/>
          <w:sz w:val="24"/>
        </w:rPr>
      </w:pPr>
      <w:r>
        <w:rPr>
          <w:b/>
          <w:sz w:val="24"/>
        </w:rPr>
        <w:t>BY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Heading2"/>
        <w:spacing w:line="376" w:lineRule="auto" w:before="184"/>
        <w:ind w:left="3108" w:right="3228" w:firstLine="0"/>
        <w:jc w:val="center"/>
      </w:pPr>
      <w:r>
        <w:rPr/>
        <w:t>UMAR, Muhammad Alhaji</w:t>
      </w:r>
      <w:r>
        <w:rPr>
          <w:spacing w:val="-57"/>
        </w:rPr>
        <w:t> </w:t>
      </w:r>
      <w:r>
        <w:rPr/>
        <w:t>MTech/SPS/2017/6947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2"/>
        <w:rPr>
          <w:b/>
          <w:sz w:val="28"/>
        </w:rPr>
      </w:pPr>
    </w:p>
    <w:p>
      <w:pPr>
        <w:spacing w:before="0"/>
        <w:ind w:left="386" w:right="505" w:firstLine="0"/>
        <w:jc w:val="center"/>
        <w:rPr>
          <w:b/>
          <w:sz w:val="24"/>
        </w:rPr>
      </w:pPr>
      <w:r>
        <w:rPr>
          <w:b/>
          <w:sz w:val="24"/>
        </w:rPr>
        <w:t>DEPARTMENT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PHYSICS</w:t>
      </w:r>
    </w:p>
    <w:p>
      <w:pPr>
        <w:pStyle w:val="Heading2"/>
        <w:spacing w:before="161"/>
        <w:ind w:left="297" w:right="422" w:firstLine="0"/>
        <w:jc w:val="center"/>
      </w:pPr>
      <w:r>
        <w:rPr/>
        <w:t>FEDERAL</w:t>
      </w:r>
      <w:r>
        <w:rPr>
          <w:spacing w:val="-2"/>
        </w:rPr>
        <w:t> </w:t>
      </w:r>
      <w:r>
        <w:rPr/>
        <w:t>UNIVERSITY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TECHNOLOGY,</w:t>
      </w:r>
      <w:r>
        <w:rPr>
          <w:spacing w:val="-1"/>
        </w:rPr>
        <w:t> </w:t>
      </w:r>
      <w:r>
        <w:rPr/>
        <w:t>MINNA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3"/>
        <w:rPr>
          <w:b/>
          <w:sz w:val="33"/>
        </w:rPr>
      </w:pPr>
    </w:p>
    <w:p>
      <w:pPr>
        <w:spacing w:before="1"/>
        <w:ind w:left="386" w:right="505" w:firstLine="0"/>
        <w:jc w:val="center"/>
        <w:rPr>
          <w:b/>
          <w:sz w:val="24"/>
        </w:rPr>
      </w:pPr>
      <w:r>
        <w:rPr>
          <w:b/>
          <w:sz w:val="24"/>
        </w:rPr>
        <w:t>NOVEMBER,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2021</w:t>
      </w:r>
    </w:p>
    <w:p>
      <w:pPr>
        <w:spacing w:after="0"/>
        <w:jc w:val="center"/>
        <w:rPr>
          <w:sz w:val="24"/>
        </w:rPr>
        <w:sectPr>
          <w:type w:val="continuous"/>
          <w:pgSz w:w="11910" w:h="16840"/>
          <w:pgMar w:top="1320" w:bottom="280" w:left="1680" w:right="980"/>
        </w:sectPr>
      </w:pPr>
    </w:p>
    <w:p>
      <w:pPr>
        <w:pStyle w:val="Heading2"/>
        <w:spacing w:line="480" w:lineRule="auto"/>
        <w:ind w:left="384" w:right="509" w:hanging="1"/>
        <w:jc w:val="center"/>
      </w:pPr>
      <w:r>
        <w:rPr/>
        <w:t>EVALUATION OF AQUIFER PROTECTIVE CAPACITY AND SOIL</w:t>
      </w:r>
      <w:r>
        <w:rPr>
          <w:spacing w:val="1"/>
        </w:rPr>
        <w:t> </w:t>
      </w:r>
      <w:r>
        <w:rPr/>
        <w:t>CORROSIVITY USING VERTICAL ELECTRICAL SOUNDING METHOD IN</w:t>
      </w:r>
      <w:r>
        <w:rPr>
          <w:spacing w:val="-57"/>
        </w:rPr>
        <w:t> </w:t>
      </w:r>
      <w:r>
        <w:rPr/>
        <w:t>BADEGGI</w:t>
      </w:r>
      <w:r>
        <w:rPr>
          <w:spacing w:val="1"/>
        </w:rPr>
        <w:t> </w:t>
      </w:r>
      <w:r>
        <w:rPr/>
        <w:t>VILLAGE,</w:t>
      </w:r>
      <w:r>
        <w:rPr>
          <w:spacing w:val="2"/>
        </w:rPr>
        <w:t> </w:t>
      </w:r>
      <w:r>
        <w:rPr/>
        <w:t>NIGER STATE, NIGERIA.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spacing w:before="183"/>
        <w:ind w:left="297" w:right="415" w:firstLine="0"/>
        <w:jc w:val="center"/>
        <w:rPr>
          <w:b/>
          <w:sz w:val="24"/>
        </w:rPr>
      </w:pPr>
      <w:r>
        <w:rPr>
          <w:b/>
          <w:sz w:val="24"/>
        </w:rPr>
        <w:t>BY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8"/>
        <w:rPr>
          <w:b/>
          <w:sz w:val="21"/>
        </w:rPr>
      </w:pPr>
    </w:p>
    <w:p>
      <w:pPr>
        <w:pStyle w:val="Heading2"/>
        <w:spacing w:line="379" w:lineRule="auto" w:before="1"/>
        <w:ind w:left="3108" w:right="3228" w:firstLine="0"/>
        <w:jc w:val="center"/>
      </w:pPr>
      <w:r>
        <w:rPr/>
        <w:t>UMAR, MunhammadAlhaji</w:t>
      </w:r>
      <w:r>
        <w:rPr>
          <w:spacing w:val="-57"/>
        </w:rPr>
        <w:t> </w:t>
      </w:r>
      <w:r>
        <w:rPr/>
        <w:t>MTech/SPS/2017/6947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4"/>
        <w:rPr>
          <w:b/>
          <w:sz w:val="26"/>
        </w:rPr>
      </w:pPr>
    </w:p>
    <w:p>
      <w:pPr>
        <w:spacing w:line="343" w:lineRule="auto" w:before="0"/>
        <w:ind w:left="1065" w:right="1194" w:firstLine="4"/>
        <w:jc w:val="center"/>
        <w:rPr>
          <w:b/>
          <w:sz w:val="24"/>
        </w:rPr>
      </w:pPr>
      <w:r>
        <w:rPr>
          <w:b/>
          <w:sz w:val="24"/>
        </w:rPr>
        <w:t>A THESIS SUBMITTED TO THE POSTGRADUATE SCHOOL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FEDERAL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UNIVERSITY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TECHNOLOGY,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MINNA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NIGERIA</w:t>
      </w:r>
    </w:p>
    <w:p>
      <w:pPr>
        <w:pStyle w:val="Heading2"/>
        <w:spacing w:line="343" w:lineRule="auto" w:before="3"/>
        <w:ind w:left="386" w:right="509" w:firstLine="0"/>
        <w:jc w:val="center"/>
      </w:pPr>
      <w:r>
        <w:rPr/>
        <w:t>IN PARTIAL FULFILLMENT OF THE REQUIREMENTS FOR THE AWARD</w:t>
      </w:r>
      <w:r>
        <w:rPr>
          <w:spacing w:val="-57"/>
        </w:rPr>
        <w:t> </w:t>
      </w:r>
      <w:r>
        <w:rPr/>
        <w:t>OF</w:t>
      </w:r>
      <w:r>
        <w:rPr>
          <w:spacing w:val="-4"/>
        </w:rPr>
        <w:t> </w:t>
      </w:r>
      <w:r>
        <w:rPr/>
        <w:t>THE DEGREE OF</w:t>
      </w:r>
      <w:r>
        <w:rPr>
          <w:spacing w:val="-1"/>
        </w:rPr>
        <w:t> </w:t>
      </w:r>
      <w:r>
        <w:rPr/>
        <w:t>MASTER OF</w:t>
      </w:r>
      <w:r>
        <w:rPr>
          <w:spacing w:val="-3"/>
        </w:rPr>
        <w:t> </w:t>
      </w:r>
      <w:r>
        <w:rPr/>
        <w:t>TECHNOLOGY IN PHYSICS</w:t>
      </w:r>
    </w:p>
    <w:p>
      <w:pPr>
        <w:spacing w:before="2"/>
        <w:ind w:left="297" w:right="358" w:firstLine="0"/>
        <w:jc w:val="center"/>
        <w:rPr>
          <w:b/>
          <w:sz w:val="24"/>
        </w:rPr>
      </w:pPr>
      <w:r>
        <w:rPr>
          <w:b/>
          <w:sz w:val="24"/>
        </w:rPr>
        <w:t>(APPLIED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GEOPHYSICS)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3"/>
        <w:rPr>
          <w:b/>
        </w:rPr>
      </w:pPr>
    </w:p>
    <w:p>
      <w:pPr>
        <w:pStyle w:val="Heading2"/>
        <w:spacing w:before="0"/>
        <w:ind w:left="386" w:right="505" w:firstLine="0"/>
        <w:jc w:val="center"/>
      </w:pPr>
      <w:r>
        <w:rPr/>
        <w:t>NOVEMBER,</w:t>
      </w:r>
      <w:r>
        <w:rPr>
          <w:spacing w:val="-1"/>
        </w:rPr>
        <w:t> </w:t>
      </w:r>
      <w:r>
        <w:rPr/>
        <w:t>2021</w:t>
      </w:r>
    </w:p>
    <w:p>
      <w:pPr>
        <w:spacing w:after="0"/>
        <w:jc w:val="center"/>
        <w:sectPr>
          <w:footerReference w:type="default" r:id="rId5"/>
          <w:pgSz w:w="11910" w:h="16840"/>
          <w:pgMar w:footer="1058" w:header="0" w:top="1320" w:bottom="1240" w:left="1680" w:right="980"/>
        </w:sectPr>
      </w:pPr>
    </w:p>
    <w:p>
      <w:pPr>
        <w:spacing w:line="274" w:lineRule="exact" w:before="69"/>
        <w:ind w:left="297" w:right="417" w:firstLine="0"/>
        <w:jc w:val="center"/>
        <w:rPr>
          <w:b/>
          <w:i/>
          <w:sz w:val="24"/>
        </w:rPr>
      </w:pPr>
      <w:r>
        <w:rPr>
          <w:b/>
          <w:i/>
          <w:sz w:val="24"/>
        </w:rPr>
        <w:t>Abstract</w:t>
      </w:r>
    </w:p>
    <w:p>
      <w:pPr>
        <w:pStyle w:val="BodyText"/>
        <w:ind w:left="307" w:right="426"/>
        <w:jc w:val="both"/>
      </w:pPr>
      <w:r>
        <w:rPr/>
        <w:t>A</w:t>
      </w:r>
      <w:r>
        <w:rPr>
          <w:spacing w:val="16"/>
        </w:rPr>
        <w:t> </w:t>
      </w:r>
      <w:r>
        <w:rPr/>
        <w:t>geoelectric</w:t>
      </w:r>
      <w:r>
        <w:rPr>
          <w:spacing w:val="17"/>
        </w:rPr>
        <w:t> </w:t>
      </w:r>
      <w:r>
        <w:rPr/>
        <w:t>survey</w:t>
      </w:r>
      <w:r>
        <w:rPr>
          <w:spacing w:val="10"/>
        </w:rPr>
        <w:t> </w:t>
      </w:r>
      <w:r>
        <w:rPr/>
        <w:t>was</w:t>
      </w:r>
      <w:r>
        <w:rPr>
          <w:spacing w:val="18"/>
        </w:rPr>
        <w:t> </w:t>
      </w:r>
      <w:r>
        <w:rPr/>
        <w:t>carried</w:t>
      </w:r>
      <w:r>
        <w:rPr>
          <w:spacing w:val="17"/>
        </w:rPr>
        <w:t> </w:t>
      </w:r>
      <w:r>
        <w:rPr/>
        <w:t>out</w:t>
      </w:r>
      <w:r>
        <w:rPr>
          <w:spacing w:val="18"/>
        </w:rPr>
        <w:t> </w:t>
      </w:r>
      <w:r>
        <w:rPr/>
        <w:t>in</w:t>
      </w:r>
      <w:r>
        <w:rPr>
          <w:spacing w:val="18"/>
        </w:rPr>
        <w:t> </w:t>
      </w:r>
      <w:r>
        <w:rPr/>
        <w:t>Badeggi</w:t>
      </w:r>
      <w:r>
        <w:rPr>
          <w:spacing w:val="17"/>
        </w:rPr>
        <w:t> </w:t>
      </w:r>
      <w:r>
        <w:rPr/>
        <w:t>under</w:t>
      </w:r>
      <w:r>
        <w:rPr>
          <w:spacing w:val="17"/>
        </w:rPr>
        <w:t> </w:t>
      </w:r>
      <w:r>
        <w:rPr/>
        <w:t>Katcha</w:t>
      </w:r>
      <w:r>
        <w:rPr>
          <w:spacing w:val="18"/>
        </w:rPr>
        <w:t> </w:t>
      </w:r>
      <w:r>
        <w:rPr/>
        <w:t>Local</w:t>
      </w:r>
      <w:r>
        <w:rPr>
          <w:spacing w:val="18"/>
        </w:rPr>
        <w:t> </w:t>
      </w:r>
      <w:r>
        <w:rPr/>
        <w:t>Government</w:t>
      </w:r>
      <w:r>
        <w:rPr>
          <w:spacing w:val="18"/>
        </w:rPr>
        <w:t> </w:t>
      </w:r>
      <w:r>
        <w:rPr/>
        <w:t>area</w:t>
      </w:r>
      <w:r>
        <w:rPr>
          <w:spacing w:val="-58"/>
        </w:rPr>
        <w:t> </w:t>
      </w:r>
      <w:r>
        <w:rPr/>
        <w:t>of</w:t>
      </w:r>
      <w:r>
        <w:rPr>
          <w:spacing w:val="1"/>
        </w:rPr>
        <w:t> </w:t>
      </w:r>
      <w:r>
        <w:rPr/>
        <w:t>Niger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aim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color w:val="121212"/>
        </w:rPr>
        <w:t>evaluating</w:t>
      </w:r>
      <w:r>
        <w:rPr>
          <w:color w:val="121212"/>
          <w:spacing w:val="1"/>
        </w:rPr>
        <w:t> </w:t>
      </w:r>
      <w:r>
        <w:rPr>
          <w:color w:val="121212"/>
        </w:rPr>
        <w:t>the</w:t>
      </w:r>
      <w:r>
        <w:rPr>
          <w:color w:val="121212"/>
          <w:spacing w:val="1"/>
        </w:rPr>
        <w:t> </w:t>
      </w:r>
      <w:r>
        <w:rPr>
          <w:color w:val="121212"/>
        </w:rPr>
        <w:t>aquifer</w:t>
      </w:r>
      <w:r>
        <w:rPr>
          <w:color w:val="121212"/>
          <w:spacing w:val="1"/>
        </w:rPr>
        <w:t> </w:t>
      </w:r>
      <w:r>
        <w:rPr>
          <w:color w:val="121212"/>
        </w:rPr>
        <w:t>protective</w:t>
      </w:r>
      <w:r>
        <w:rPr>
          <w:color w:val="121212"/>
          <w:spacing w:val="1"/>
        </w:rPr>
        <w:t> </w:t>
      </w:r>
      <w:r>
        <w:rPr>
          <w:color w:val="121212"/>
        </w:rPr>
        <w:t>capacity</w:t>
      </w:r>
      <w:r>
        <w:rPr>
          <w:color w:val="121212"/>
          <w:spacing w:val="1"/>
        </w:rPr>
        <w:t> </w:t>
      </w:r>
      <w:r>
        <w:rPr>
          <w:color w:val="121212"/>
        </w:rPr>
        <w:t>and</w:t>
      </w:r>
      <w:r>
        <w:rPr>
          <w:color w:val="121212"/>
          <w:spacing w:val="1"/>
        </w:rPr>
        <w:t> </w:t>
      </w:r>
      <w:r>
        <w:rPr>
          <w:color w:val="121212"/>
        </w:rPr>
        <w:t>soil</w:t>
      </w:r>
      <w:r>
        <w:rPr>
          <w:color w:val="121212"/>
          <w:spacing w:val="-57"/>
        </w:rPr>
        <w:t> </w:t>
      </w:r>
      <w:r>
        <w:rPr>
          <w:color w:val="121212"/>
        </w:rPr>
        <w:t>corrosivity of the overburden units in the study area using vertical electrical sounding</w:t>
      </w:r>
      <w:r>
        <w:rPr>
          <w:color w:val="121212"/>
          <w:spacing w:val="1"/>
        </w:rPr>
        <w:t> </w:t>
      </w:r>
      <w:r>
        <w:rPr>
          <w:color w:val="121212"/>
        </w:rPr>
        <w:t>method.</w:t>
      </w:r>
      <w:r>
        <w:rPr>
          <w:color w:val="121212"/>
          <w:spacing w:val="1"/>
        </w:rPr>
        <w:t> </w:t>
      </w:r>
      <w:r>
        <w:rPr/>
        <w:t>G41 Resistivity meter was employed to obtain forty VES points within ten</w:t>
      </w:r>
      <w:r>
        <w:rPr>
          <w:spacing w:val="1"/>
        </w:rPr>
        <w:t> </w:t>
      </w:r>
      <w:r>
        <w:rPr/>
        <w:t>profiles,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 interval</w:t>
      </w:r>
      <w:r>
        <w:rPr>
          <w:spacing w:val="1"/>
        </w:rPr>
        <w:t> </w:t>
      </w:r>
      <w:r>
        <w:rPr/>
        <w:t>of 50</w:t>
      </w:r>
      <w:r>
        <w:rPr>
          <w:spacing w:val="1"/>
        </w:rPr>
        <w:t> </w:t>
      </w:r>
      <w:r>
        <w:rPr/>
        <w:t>m</w:t>
      </w:r>
      <w:r>
        <w:rPr>
          <w:spacing w:val="1"/>
        </w:rPr>
        <w:t> </w:t>
      </w:r>
      <w:r>
        <w:rPr/>
        <w:t>between</w:t>
      </w:r>
      <w:r>
        <w:rPr>
          <w:spacing w:val="60"/>
        </w:rPr>
        <w:t> </w:t>
      </w:r>
      <w:r>
        <w:rPr/>
        <w:t>the profiles.</w:t>
      </w:r>
      <w:r>
        <w:rPr>
          <w:color w:val="121212"/>
        </w:rPr>
        <w:t>The Schlumberger electrode</w:t>
      </w:r>
      <w:r>
        <w:rPr>
          <w:color w:val="121212"/>
          <w:spacing w:val="1"/>
        </w:rPr>
        <w:t> </w:t>
      </w:r>
      <w:r>
        <w:rPr>
          <w:color w:val="121212"/>
        </w:rPr>
        <w:t>array was employed to obtain the data which was further modelled using computer</w:t>
      </w:r>
      <w:r>
        <w:rPr>
          <w:color w:val="121212"/>
          <w:spacing w:val="1"/>
        </w:rPr>
        <w:t> </w:t>
      </w:r>
      <w:r>
        <w:rPr>
          <w:color w:val="121212"/>
        </w:rPr>
        <w:t>iteration</w:t>
      </w:r>
      <w:r>
        <w:rPr>
          <w:color w:val="121212"/>
          <w:spacing w:val="1"/>
        </w:rPr>
        <w:t> </w:t>
      </w:r>
      <w:r>
        <w:rPr>
          <w:color w:val="121212"/>
        </w:rPr>
        <w:t>(Winresist</w:t>
      </w:r>
      <w:r>
        <w:rPr>
          <w:color w:val="121212"/>
          <w:spacing w:val="1"/>
        </w:rPr>
        <w:t> </w:t>
      </w:r>
      <w:r>
        <w:rPr>
          <w:color w:val="121212"/>
        </w:rPr>
        <w:t>software)</w:t>
      </w:r>
      <w:r>
        <w:rPr/>
        <w:t>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modelling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toevaluate longitudinal conductance and transmissivities of the layers. The results show</w:t>
      </w:r>
      <w:r>
        <w:rPr>
          <w:spacing w:val="1"/>
        </w:rPr>
        <w:t> </w:t>
      </w:r>
      <w:r>
        <w:rPr/>
        <w:t>generally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resistivities</w:t>
      </w:r>
      <w:r>
        <w:rPr>
          <w:spacing w:val="1"/>
        </w:rPr>
        <w:t> </w:t>
      </w:r>
      <w:r>
        <w:rPr/>
        <w:t>across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survey</w:t>
      </w:r>
      <w:r>
        <w:rPr>
          <w:spacing w:val="1"/>
        </w:rPr>
        <w:t> </w:t>
      </w:r>
      <w:r>
        <w:rPr/>
        <w:t>area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average</w:t>
      </w:r>
      <w:r>
        <w:rPr>
          <w:spacing w:val="1"/>
        </w:rPr>
        <w:t> </w:t>
      </w:r>
      <w:r>
        <w:rPr/>
        <w:t>longitudinal</w:t>
      </w:r>
      <w:r>
        <w:rPr>
          <w:spacing w:val="1"/>
        </w:rPr>
        <w:t> </w:t>
      </w:r>
      <w:r>
        <w:rPr/>
        <w:t>conductance</w:t>
      </w:r>
      <w:r>
        <w:rPr>
          <w:spacing w:val="1"/>
        </w:rPr>
        <w:t> </w:t>
      </w:r>
      <w:r>
        <w:rPr/>
        <w:t>variation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0.1171</w:t>
      </w:r>
      <w:r>
        <w:rPr>
          <w:spacing w:val="1"/>
        </w:rPr>
        <w:t> </w:t>
      </w:r>
      <w:r>
        <w:rPr/>
        <w:t>Siemens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0.925</w:t>
      </w:r>
      <w:r>
        <w:rPr>
          <w:spacing w:val="1"/>
        </w:rPr>
        <w:t> </w:t>
      </w:r>
      <w:r>
        <w:rPr/>
        <w:t>Siemens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average</w:t>
      </w:r>
      <w:r>
        <w:rPr>
          <w:spacing w:val="1"/>
        </w:rPr>
        <w:t> </w:t>
      </w:r>
      <w:r>
        <w:rPr/>
        <w:t>transmissivity values ranges between 91.62 Ωm to 1339.4 Ωm. </w:t>
      </w:r>
      <w:r>
        <w:rPr>
          <w:color w:val="121212"/>
        </w:rPr>
        <w:t>The ﬁeld data gives a</w:t>
      </w:r>
      <w:r>
        <w:rPr>
          <w:color w:val="121212"/>
          <w:spacing w:val="1"/>
        </w:rPr>
        <w:t> </w:t>
      </w:r>
      <w:r>
        <w:rPr>
          <w:color w:val="121212"/>
        </w:rPr>
        <w:t>resolution</w:t>
      </w:r>
      <w:r>
        <w:rPr>
          <w:color w:val="121212"/>
          <w:spacing w:val="1"/>
        </w:rPr>
        <w:t> </w:t>
      </w:r>
      <w:r>
        <w:rPr>
          <w:color w:val="121212"/>
        </w:rPr>
        <w:t>with</w:t>
      </w:r>
      <w:r>
        <w:rPr>
          <w:color w:val="121212"/>
          <w:spacing w:val="1"/>
        </w:rPr>
        <w:t> </w:t>
      </w:r>
      <w:r>
        <w:rPr>
          <w:color w:val="121212"/>
        </w:rPr>
        <w:t>4–5</w:t>
      </w:r>
      <w:r>
        <w:rPr>
          <w:color w:val="121212"/>
          <w:spacing w:val="1"/>
        </w:rPr>
        <w:t> </w:t>
      </w:r>
      <w:r>
        <w:rPr>
          <w:color w:val="121212"/>
        </w:rPr>
        <w:t>geoelectriclayers</w:t>
      </w:r>
      <w:r>
        <w:rPr>
          <w:color w:val="121212"/>
          <w:spacing w:val="1"/>
        </w:rPr>
        <w:t> </w:t>
      </w:r>
      <w:r>
        <w:rPr>
          <w:color w:val="121212"/>
        </w:rPr>
        <w:t>and</w:t>
      </w:r>
      <w:r>
        <w:rPr>
          <w:color w:val="121212"/>
          <w:spacing w:val="1"/>
        </w:rPr>
        <w:t> </w:t>
      </w:r>
      <w:r>
        <w:rPr>
          <w:color w:val="121212"/>
        </w:rPr>
        <w:t>the</w:t>
      </w:r>
      <w:r>
        <w:rPr>
          <w:color w:val="121212"/>
          <w:spacing w:val="1"/>
        </w:rPr>
        <w:t> </w:t>
      </w:r>
      <w:r>
        <w:rPr>
          <w:color w:val="121212"/>
        </w:rPr>
        <w:t>observed</w:t>
      </w:r>
      <w:r>
        <w:rPr>
          <w:color w:val="121212"/>
          <w:spacing w:val="1"/>
        </w:rPr>
        <w:t> </w:t>
      </w:r>
      <w:r>
        <w:rPr>
          <w:color w:val="121212"/>
        </w:rPr>
        <w:t>frequencies</w:t>
      </w:r>
      <w:r>
        <w:rPr>
          <w:color w:val="121212"/>
          <w:spacing w:val="1"/>
        </w:rPr>
        <w:t> </w:t>
      </w:r>
      <w:r>
        <w:rPr>
          <w:color w:val="121212"/>
        </w:rPr>
        <w:t>in</w:t>
      </w:r>
      <w:r>
        <w:rPr>
          <w:color w:val="121212"/>
          <w:spacing w:val="1"/>
        </w:rPr>
        <w:t> </w:t>
      </w:r>
      <w:r>
        <w:rPr>
          <w:color w:val="121212"/>
        </w:rPr>
        <w:t>curve</w:t>
      </w:r>
      <w:r>
        <w:rPr>
          <w:color w:val="121212"/>
          <w:spacing w:val="1"/>
        </w:rPr>
        <w:t> </w:t>
      </w:r>
      <w:r>
        <w:rPr>
          <w:color w:val="121212"/>
        </w:rPr>
        <w:t>types</w:t>
      </w:r>
      <w:r>
        <w:rPr>
          <w:color w:val="121212"/>
          <w:spacing w:val="1"/>
        </w:rPr>
        <w:t> </w:t>
      </w:r>
      <w:r>
        <w:rPr>
          <w:color w:val="121212"/>
        </w:rPr>
        <w:t>include: 40% of </w:t>
      </w:r>
      <w:r>
        <w:rPr/>
        <w:t>QH</w:t>
      </w:r>
      <w:r>
        <w:rPr>
          <w:color w:val="121212"/>
        </w:rPr>
        <w:t>, 35% of Q, 17.5% of </w:t>
      </w:r>
      <w:r>
        <w:rPr/>
        <w:t>QHK </w:t>
      </w:r>
      <w:r>
        <w:rPr>
          <w:color w:val="121212"/>
        </w:rPr>
        <w:t>and 7.5% of </w:t>
      </w:r>
      <w:r>
        <w:rPr/>
        <w:t>QKH</w:t>
      </w:r>
      <w:r>
        <w:rPr>
          <w:color w:val="121212"/>
        </w:rPr>
        <w:t>. Classifying the</w:t>
      </w:r>
      <w:r>
        <w:rPr>
          <w:color w:val="121212"/>
          <w:spacing w:val="1"/>
        </w:rPr>
        <w:t> </w:t>
      </w:r>
      <w:r>
        <w:rPr>
          <w:color w:val="121212"/>
        </w:rPr>
        <w:t>longitudinal unit conductance (S)andthe protective capacities of the study area as 20%</w:t>
      </w:r>
      <w:r>
        <w:rPr>
          <w:color w:val="121212"/>
          <w:spacing w:val="1"/>
        </w:rPr>
        <w:t> </w:t>
      </w:r>
      <w:r>
        <w:rPr>
          <w:color w:val="121212"/>
        </w:rPr>
        <w:t>weak, 0% poor, 72.5% moderate, and 7.5% as good,the corrosivity ratings of the study</w:t>
      </w:r>
      <w:r>
        <w:rPr>
          <w:color w:val="121212"/>
          <w:spacing w:val="1"/>
        </w:rPr>
        <w:t> </w:t>
      </w:r>
      <w:r>
        <w:rPr>
          <w:color w:val="121212"/>
        </w:rPr>
        <w:t>area showsthat 42.5% is slightly corrosive and 57.5% is practically non-corrosive. The</w:t>
      </w:r>
      <w:r>
        <w:rPr>
          <w:color w:val="121212"/>
          <w:spacing w:val="1"/>
        </w:rPr>
        <w:t> </w:t>
      </w:r>
      <w:r>
        <w:rPr>
          <w:color w:val="121212"/>
        </w:rPr>
        <w:t>results reasonably provide information on areas where any form of agricultural and</w:t>
      </w:r>
      <w:r>
        <w:rPr>
          <w:color w:val="121212"/>
          <w:spacing w:val="1"/>
        </w:rPr>
        <w:t> </w:t>
      </w:r>
      <w:r>
        <w:rPr>
          <w:color w:val="121212"/>
        </w:rPr>
        <w:t>industries activities can be in order to safeguard the hydrological setting sited for laid</w:t>
      </w:r>
      <w:r>
        <w:rPr>
          <w:color w:val="121212"/>
          <w:spacing w:val="1"/>
        </w:rPr>
        <w:t> </w:t>
      </w:r>
      <w:r>
        <w:rPr>
          <w:color w:val="121212"/>
        </w:rPr>
        <w:t>and</w:t>
      </w:r>
      <w:r>
        <w:rPr>
          <w:color w:val="121212"/>
          <w:spacing w:val="-1"/>
        </w:rPr>
        <w:t> </w:t>
      </w:r>
      <w:r>
        <w:rPr>
          <w:color w:val="121212"/>
        </w:rPr>
        <w:t>iron pipes for</w:t>
      </w:r>
      <w:r>
        <w:rPr>
          <w:color w:val="121212"/>
          <w:spacing w:val="1"/>
        </w:rPr>
        <w:t> </w:t>
      </w:r>
      <w:r>
        <w:rPr>
          <w:color w:val="121212"/>
        </w:rPr>
        <w:t>resident’s safety</w:t>
      </w:r>
      <w:r>
        <w:rPr>
          <w:color w:val="121212"/>
          <w:spacing w:val="-5"/>
        </w:rPr>
        <w:t> </w:t>
      </w:r>
      <w:r>
        <w:rPr>
          <w:color w:val="121212"/>
        </w:rPr>
        <w:t>within the</w:t>
      </w:r>
      <w:r>
        <w:rPr>
          <w:color w:val="121212"/>
          <w:spacing w:val="-1"/>
        </w:rPr>
        <w:t> </w:t>
      </w:r>
      <w:r>
        <w:rPr>
          <w:color w:val="121212"/>
        </w:rPr>
        <w:t>study</w:t>
      </w:r>
      <w:r>
        <w:rPr>
          <w:color w:val="121212"/>
          <w:spacing w:val="-2"/>
        </w:rPr>
        <w:t> </w:t>
      </w:r>
      <w:r>
        <w:rPr>
          <w:color w:val="121212"/>
        </w:rPr>
        <w:t>area.</w:t>
      </w:r>
    </w:p>
    <w:p>
      <w:pPr>
        <w:spacing w:after="0"/>
        <w:jc w:val="both"/>
        <w:sectPr>
          <w:pgSz w:w="11910" w:h="16840"/>
          <w:pgMar w:header="0" w:footer="1058" w:top="1320" w:bottom="1260" w:left="1680" w:right="980"/>
        </w:sectPr>
      </w:pPr>
    </w:p>
    <w:p>
      <w:pPr>
        <w:pStyle w:val="Heading2"/>
        <w:ind w:left="385" w:right="509" w:firstLine="0"/>
        <w:jc w:val="center"/>
      </w:pPr>
      <w:bookmarkStart w:name="_TOC_250002" w:id="1"/>
      <w:r>
        <w:rPr/>
        <w:t>TABLE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bookmarkEnd w:id="1"/>
      <w:r>
        <w:rPr/>
        <w:t>CONTENTS</w:t>
      </w:r>
    </w:p>
    <w:p>
      <w:pPr>
        <w:pStyle w:val="BodyText"/>
        <w:rPr>
          <w:b/>
          <w:sz w:val="26"/>
        </w:rPr>
      </w:pPr>
    </w:p>
    <w:p>
      <w:pPr>
        <w:tabs>
          <w:tab w:pos="8423" w:val="left" w:leader="none"/>
        </w:tabs>
        <w:spacing w:before="218"/>
        <w:ind w:left="0" w:right="139" w:firstLine="0"/>
        <w:jc w:val="center"/>
        <w:rPr>
          <w:b/>
          <w:sz w:val="24"/>
        </w:rPr>
      </w:pPr>
      <w:r>
        <w:rPr>
          <w:b/>
          <w:sz w:val="24"/>
        </w:rPr>
        <w:t>TITLE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PAGE</w:t>
        <w:tab/>
        <w:t>i</w:t>
      </w:r>
    </w:p>
    <w:p>
      <w:pPr>
        <w:pStyle w:val="BodyText"/>
        <w:spacing w:line="792" w:lineRule="exact" w:before="101"/>
        <w:ind w:left="307" w:right="6909"/>
        <w:rPr>
          <w:b/>
        </w:rPr>
      </w:pPr>
      <w:r>
        <w:rPr/>
        <w:t>DECLARATION</w:t>
      </w:r>
      <w:r>
        <w:rPr>
          <w:b/>
        </w:rPr>
        <w:t>ii</w:t>
      </w:r>
      <w:r>
        <w:rPr>
          <w:b/>
          <w:spacing w:val="1"/>
        </w:rPr>
        <w:t> </w:t>
      </w:r>
      <w:r>
        <w:rPr/>
        <w:t>CERTIFICATION</w:t>
      </w:r>
      <w:r>
        <w:rPr>
          <w:b/>
        </w:rPr>
        <w:t>iii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7696" w:val="right" w:leader="none"/>
            </w:tabs>
            <w:spacing w:before="170"/>
          </w:pPr>
          <w:r>
            <w:rPr/>
            <w:t>DEDICATION</w:t>
            <w:tab/>
            <w:t>iv</w:t>
          </w:r>
        </w:p>
        <w:p>
          <w:pPr>
            <w:pStyle w:val="TOC1"/>
            <w:spacing w:line="790" w:lineRule="atLeast"/>
            <w:ind w:right="6123"/>
            <w:rPr>
              <w:b/>
            </w:rPr>
          </w:pPr>
          <w:r>
            <w:rPr/>
            <w:t>ACKNOWLEDGEMENTS</w:t>
          </w:r>
          <w:r>
            <w:rPr>
              <w:b/>
            </w:rPr>
            <w:t>v</w:t>
          </w:r>
          <w:r>
            <w:rPr>
              <w:b/>
              <w:spacing w:val="-57"/>
            </w:rPr>
            <w:t> </w:t>
          </w:r>
          <w:r>
            <w:rPr/>
            <w:t>ABSTRACT</w:t>
          </w:r>
          <w:r>
            <w:rPr>
              <w:b/>
            </w:rPr>
            <w:t>vi</w:t>
          </w:r>
        </w:p>
        <w:p>
          <w:pPr>
            <w:pStyle w:val="TOC1"/>
            <w:tabs>
              <w:tab w:pos="8482" w:val="right" w:leader="none"/>
            </w:tabs>
            <w:spacing w:before="278"/>
          </w:pPr>
          <w:hyperlink w:history="true" w:anchor="_TOC_250002">
            <w:r>
              <w:rPr/>
              <w:t>TABLE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CONTENTS</w:t>
              <w:tab/>
              <w:t>vii</w:t>
            </w:r>
          </w:hyperlink>
        </w:p>
        <w:p>
          <w:pPr>
            <w:pStyle w:val="TOC1"/>
            <w:tabs>
              <w:tab w:pos="6420" w:val="right" w:leader="none"/>
            </w:tabs>
            <w:spacing w:before="434"/>
          </w:pPr>
          <w:hyperlink w:history="true" w:anchor="_TOC_250001">
            <w:r>
              <w:rPr/>
              <w:t>LIST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TABLES</w:t>
              <w:tab/>
              <w:t>xi</w:t>
            </w:r>
          </w:hyperlink>
        </w:p>
        <w:p>
          <w:pPr>
            <w:pStyle w:val="TOC1"/>
            <w:tabs>
              <w:tab w:pos="7356" w:val="right" w:leader="none"/>
            </w:tabs>
            <w:spacing w:before="437"/>
          </w:pPr>
          <w:r>
            <w:rPr/>
            <w:t>LIST</w:t>
          </w:r>
          <w:r>
            <w:rPr>
              <w:spacing w:val="-1"/>
            </w:rPr>
            <w:t> </w:t>
          </w:r>
          <w:r>
            <w:rPr/>
            <w:t>OF FIGURES</w:t>
            <w:tab/>
            <w:t>xii</w:t>
          </w:r>
        </w:p>
        <w:p>
          <w:pPr>
            <w:pStyle w:val="TOC2"/>
            <w:spacing w:line="477" w:lineRule="auto"/>
            <w:rPr>
              <w:b w:val="0"/>
              <w:i w:val="0"/>
              <w:sz w:val="24"/>
            </w:rPr>
          </w:pPr>
          <w:r>
            <w:rPr>
              <w:i w:val="0"/>
              <w:sz w:val="24"/>
            </w:rPr>
            <w:t>CHAPTER ONE</w:t>
          </w:r>
          <w:r>
            <w:rPr>
              <w:b w:val="0"/>
              <w:i w:val="0"/>
              <w:sz w:val="24"/>
            </w:rPr>
            <w:t>1</w:t>
          </w:r>
          <w:r>
            <w:rPr>
              <w:b w:val="0"/>
              <w:i w:val="0"/>
              <w:spacing w:val="1"/>
              <w:sz w:val="24"/>
            </w:rPr>
            <w:t> </w:t>
          </w:r>
          <w:r>
            <w:rPr>
              <w:b w:val="0"/>
              <w:i w:val="0"/>
              <w:sz w:val="24"/>
            </w:rPr>
            <w:t>1.0INTRODUCTION1</w:t>
          </w:r>
        </w:p>
        <w:p>
          <w:pPr>
            <w:pStyle w:val="TOC1"/>
            <w:numPr>
              <w:ilvl w:val="1"/>
              <w:numId w:val="1"/>
            </w:numPr>
            <w:tabs>
              <w:tab w:pos="668" w:val="left" w:leader="none"/>
            </w:tabs>
            <w:spacing w:line="240" w:lineRule="auto" w:before="3" w:after="0"/>
            <w:ind w:left="667" w:right="0" w:hanging="361"/>
            <w:jc w:val="left"/>
          </w:pPr>
          <w:r>
            <w:rPr/>
            <w:t>Background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1"/>
            </w:rPr>
            <w:t> </w:t>
          </w:r>
          <w:r>
            <w:rPr/>
            <w:t>the</w:t>
          </w:r>
          <w:r>
            <w:rPr>
              <w:spacing w:val="-3"/>
            </w:rPr>
            <w:t> </w:t>
          </w:r>
          <w:r>
            <w:rPr/>
            <w:t>Research1</w:t>
          </w:r>
        </w:p>
        <w:p>
          <w:pPr>
            <w:pStyle w:val="TOC1"/>
            <w:numPr>
              <w:ilvl w:val="1"/>
              <w:numId w:val="1"/>
            </w:numPr>
            <w:tabs>
              <w:tab w:pos="609" w:val="left" w:leader="none"/>
              <w:tab w:pos="2468" w:val="left" w:leader="none"/>
              <w:tab w:pos="7629" w:val="right" w:leader="none"/>
            </w:tabs>
            <w:spacing w:line="240" w:lineRule="auto" w:before="276" w:after="0"/>
            <w:ind w:left="608" w:right="0" w:hanging="302"/>
            <w:jc w:val="left"/>
          </w:pPr>
          <w:hyperlink w:history="true" w:anchor="_TOC_250000">
            <w:r>
              <w:rPr/>
              <w:t>Statement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the</w:t>
              <w:tab/>
              <w:t>Research</w:t>
              <w:tab/>
              <w:t>5</w:t>
            </w:r>
          </w:hyperlink>
        </w:p>
      </w:sdtContent>
    </w:sdt>
    <w:p>
      <w:pPr>
        <w:pStyle w:val="BodyText"/>
        <w:spacing w:before="10"/>
      </w:pPr>
    </w:p>
    <w:tbl>
      <w:tblPr>
        <w:tblW w:w="0" w:type="auto"/>
        <w:jc w:val="left"/>
        <w:tblInd w:w="2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18"/>
        <w:gridCol w:w="1288"/>
        <w:gridCol w:w="1157"/>
        <w:gridCol w:w="978"/>
      </w:tblGrid>
      <w:tr>
        <w:trPr>
          <w:trHeight w:val="961" w:hRule="atLeast"/>
        </w:trPr>
        <w:tc>
          <w:tcPr>
            <w:tcW w:w="4718" w:type="dxa"/>
          </w:tcPr>
          <w:p>
            <w:pPr>
              <w:pStyle w:val="TableParagraph"/>
              <w:numPr>
                <w:ilvl w:val="1"/>
                <w:numId w:val="2"/>
              </w:numPr>
              <w:tabs>
                <w:tab w:pos="351" w:val="left" w:leader="none"/>
              </w:tabs>
              <w:spacing w:line="266" w:lineRule="exact" w:before="0" w:after="0"/>
              <w:ind w:left="350" w:right="0" w:hanging="301"/>
              <w:jc w:val="left"/>
              <w:rPr>
                <w:sz w:val="24"/>
              </w:rPr>
            </w:pPr>
            <w:r>
              <w:rPr>
                <w:sz w:val="24"/>
              </w:rPr>
              <w:t>Aim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Obgjectives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Study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numPr>
                <w:ilvl w:val="1"/>
                <w:numId w:val="2"/>
              </w:numPr>
              <w:tabs>
                <w:tab w:pos="351" w:val="left" w:leader="none"/>
              </w:tabs>
              <w:spacing w:line="240" w:lineRule="auto" w:before="0" w:after="0"/>
              <w:ind w:left="350" w:right="0" w:hanging="301"/>
              <w:jc w:val="left"/>
              <w:rPr>
                <w:sz w:val="24"/>
              </w:rPr>
            </w:pPr>
            <w:r>
              <w:rPr>
                <w:sz w:val="24"/>
              </w:rPr>
              <w:t>Justification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the Study</w:t>
            </w:r>
          </w:p>
        </w:tc>
        <w:tc>
          <w:tcPr>
            <w:tcW w:w="1288" w:type="dxa"/>
          </w:tcPr>
          <w:p>
            <w:pPr>
              <w:pStyle w:val="TableParagraph"/>
              <w:spacing w:line="266" w:lineRule="exact"/>
              <w:ind w:right="73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5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78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>
        <w:trPr>
          <w:trHeight w:val="1224" w:hRule="atLeast"/>
        </w:trPr>
        <w:tc>
          <w:tcPr>
            <w:tcW w:w="4718" w:type="dxa"/>
          </w:tcPr>
          <w:p>
            <w:pPr>
              <w:pStyle w:val="TableParagraph"/>
              <w:numPr>
                <w:ilvl w:val="1"/>
                <w:numId w:val="3"/>
              </w:numPr>
              <w:tabs>
                <w:tab w:pos="410" w:val="left" w:leader="none"/>
              </w:tabs>
              <w:spacing w:line="240" w:lineRule="auto" w:before="133" w:after="0"/>
              <w:ind w:left="409" w:right="0" w:hanging="360"/>
              <w:jc w:val="left"/>
              <w:rPr>
                <w:sz w:val="24"/>
              </w:rPr>
            </w:pPr>
            <w:r>
              <w:rPr>
                <w:sz w:val="24"/>
              </w:rPr>
              <w:t>Climate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numPr>
                <w:ilvl w:val="1"/>
                <w:numId w:val="3"/>
              </w:numPr>
              <w:tabs>
                <w:tab w:pos="413" w:val="left" w:leader="none"/>
              </w:tabs>
              <w:spacing w:line="240" w:lineRule="auto" w:before="0" w:after="0"/>
              <w:ind w:left="412" w:right="0" w:hanging="363"/>
              <w:jc w:val="left"/>
              <w:rPr>
                <w:sz w:val="24"/>
              </w:rPr>
            </w:pPr>
            <w:r>
              <w:rPr>
                <w:sz w:val="24"/>
              </w:rPr>
              <w:t>Location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Study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Area</w:t>
            </w:r>
          </w:p>
        </w:tc>
        <w:tc>
          <w:tcPr>
            <w:tcW w:w="1288" w:type="dxa"/>
          </w:tcPr>
          <w:p>
            <w:pPr>
              <w:pStyle w:val="TableParagraph"/>
              <w:spacing w:before="133"/>
              <w:ind w:right="73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57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6"/>
              <w:rPr>
                <w:sz w:val="33"/>
              </w:rPr>
            </w:pPr>
          </w:p>
          <w:p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7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184" w:hRule="atLeast"/>
        </w:trPr>
        <w:tc>
          <w:tcPr>
            <w:tcW w:w="4718" w:type="dxa"/>
          </w:tcPr>
          <w:p>
            <w:pPr>
              <w:pStyle w:val="TableParagraph"/>
              <w:spacing w:before="11"/>
              <w:rPr>
                <w:sz w:val="21"/>
              </w:rPr>
            </w:pPr>
          </w:p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b/>
                <w:sz w:val="24"/>
              </w:rPr>
              <w:t>CHAPTER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TWO</w:t>
            </w:r>
            <w:r>
              <w:rPr>
                <w:sz w:val="24"/>
              </w:rPr>
              <w:t>8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480" w:lineRule="auto"/>
              <w:ind w:left="50" w:right="2378"/>
              <w:rPr>
                <w:sz w:val="24"/>
              </w:rPr>
            </w:pPr>
            <w:r>
              <w:rPr>
                <w:sz w:val="24"/>
              </w:rPr>
              <w:t>2.0Literature Review8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2.1Geology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Nigeria8</w:t>
            </w:r>
          </w:p>
          <w:p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2.2 Geology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Study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Area</w:t>
            </w:r>
          </w:p>
        </w:tc>
        <w:tc>
          <w:tcPr>
            <w:tcW w:w="128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57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1"/>
              <w:rPr>
                <w:sz w:val="35"/>
              </w:rPr>
            </w:pPr>
          </w:p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78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footerReference w:type="default" r:id="rId6"/>
          <w:pgSz w:w="11910" w:h="16840"/>
          <w:pgMar w:footer="1067" w:header="0" w:top="1320" w:bottom="1260" w:left="1680" w:right="980"/>
          <w:pgNumType w:start="2"/>
        </w:sectPr>
      </w:pPr>
    </w:p>
    <w:tbl>
      <w:tblPr>
        <w:tblW w:w="0" w:type="auto"/>
        <w:jc w:val="left"/>
        <w:tblInd w:w="2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16"/>
        <w:gridCol w:w="1334"/>
        <w:gridCol w:w="1483"/>
        <w:gridCol w:w="602"/>
        <w:gridCol w:w="962"/>
      </w:tblGrid>
      <w:tr>
        <w:trPr>
          <w:trHeight w:val="362" w:hRule="atLeast"/>
        </w:trPr>
        <w:tc>
          <w:tcPr>
            <w:tcW w:w="3516" w:type="dxa"/>
          </w:tcPr>
          <w:p>
            <w:pPr>
              <w:pStyle w:val="TableParagraph"/>
              <w:spacing w:line="261" w:lineRule="exact"/>
              <w:ind w:left="50"/>
              <w:rPr>
                <w:sz w:val="24"/>
              </w:rPr>
            </w:pPr>
            <w:r>
              <w:rPr>
                <w:sz w:val="24"/>
              </w:rPr>
              <w:t>2.3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Ground Water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12</w:t>
            </w:r>
          </w:p>
        </w:tc>
        <w:tc>
          <w:tcPr>
            <w:tcW w:w="4381" w:type="dxa"/>
            <w:gridSpan w:val="4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57" w:hRule="atLeast"/>
        </w:trPr>
        <w:tc>
          <w:tcPr>
            <w:tcW w:w="3516" w:type="dxa"/>
          </w:tcPr>
          <w:p>
            <w:pPr>
              <w:pStyle w:val="TableParagraph"/>
              <w:spacing w:before="81"/>
              <w:ind w:left="50"/>
              <w:rPr>
                <w:sz w:val="24"/>
              </w:rPr>
            </w:pPr>
            <w:r>
              <w:rPr>
                <w:sz w:val="24"/>
              </w:rPr>
              <w:t>2.4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Aquifer</w:t>
            </w:r>
          </w:p>
        </w:tc>
        <w:tc>
          <w:tcPr>
            <w:tcW w:w="133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8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02" w:type="dxa"/>
          </w:tcPr>
          <w:p>
            <w:pPr>
              <w:pStyle w:val="TableParagraph"/>
              <w:spacing w:before="81"/>
              <w:ind w:left="284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96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57" w:hRule="atLeast"/>
        </w:trPr>
        <w:tc>
          <w:tcPr>
            <w:tcW w:w="3516" w:type="dxa"/>
          </w:tcPr>
          <w:p>
            <w:pPr>
              <w:pStyle w:val="TableParagraph"/>
              <w:spacing w:before="80"/>
              <w:ind w:left="50"/>
              <w:rPr>
                <w:sz w:val="24"/>
              </w:rPr>
            </w:pPr>
            <w:r>
              <w:rPr>
                <w:sz w:val="24"/>
              </w:rPr>
              <w:t>2.5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Surface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Investigation</w:t>
            </w:r>
          </w:p>
        </w:tc>
        <w:tc>
          <w:tcPr>
            <w:tcW w:w="133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8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0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62" w:type="dxa"/>
          </w:tcPr>
          <w:p>
            <w:pPr>
              <w:pStyle w:val="TableParagraph"/>
              <w:spacing w:before="80"/>
              <w:ind w:left="8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1044" w:hRule="atLeast"/>
        </w:trPr>
        <w:tc>
          <w:tcPr>
            <w:tcW w:w="3516" w:type="dxa"/>
          </w:tcPr>
          <w:p>
            <w:pPr>
              <w:pStyle w:val="TableParagraph"/>
              <w:spacing w:before="81"/>
              <w:ind w:left="50"/>
              <w:rPr>
                <w:sz w:val="24"/>
              </w:rPr>
            </w:pPr>
            <w:r>
              <w:rPr>
                <w:sz w:val="24"/>
              </w:rPr>
              <w:t>2.6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Empirical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Review</w:t>
            </w:r>
          </w:p>
          <w:p>
            <w:pPr>
              <w:pStyle w:val="TableParagraph"/>
              <w:spacing w:before="11"/>
              <w:rPr>
                <w:sz w:val="22"/>
              </w:rPr>
            </w:pPr>
          </w:p>
          <w:p>
            <w:pPr>
              <w:pStyle w:val="TableParagraph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CHAPTER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THREE</w:t>
            </w:r>
          </w:p>
        </w:tc>
        <w:tc>
          <w:tcPr>
            <w:tcW w:w="1334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ind w:left="134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48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0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62" w:type="dxa"/>
          </w:tcPr>
          <w:p>
            <w:pPr>
              <w:pStyle w:val="TableParagraph"/>
              <w:spacing w:before="81"/>
              <w:ind w:right="45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550" w:hRule="atLeast"/>
        </w:trPr>
        <w:tc>
          <w:tcPr>
            <w:tcW w:w="3516" w:type="dxa"/>
          </w:tcPr>
          <w:p>
            <w:pPr>
              <w:pStyle w:val="TableParagraph"/>
              <w:spacing w:before="126"/>
              <w:ind w:left="50"/>
              <w:rPr>
                <w:sz w:val="24"/>
              </w:rPr>
            </w:pPr>
            <w:r>
              <w:rPr>
                <w:sz w:val="24"/>
              </w:rPr>
              <w:t>3.0Materials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Method23</w:t>
            </w:r>
          </w:p>
        </w:tc>
        <w:tc>
          <w:tcPr>
            <w:tcW w:w="133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8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0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6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2" w:hRule="atLeast"/>
        </w:trPr>
        <w:tc>
          <w:tcPr>
            <w:tcW w:w="3516" w:type="dxa"/>
          </w:tcPr>
          <w:p>
            <w:pPr>
              <w:pStyle w:val="TableParagraph"/>
              <w:spacing w:before="128"/>
              <w:ind w:left="50"/>
              <w:rPr>
                <w:sz w:val="24"/>
              </w:rPr>
            </w:pPr>
            <w:r>
              <w:rPr>
                <w:sz w:val="24"/>
              </w:rPr>
              <w:t>3.1Materials23</w:t>
            </w:r>
          </w:p>
        </w:tc>
        <w:tc>
          <w:tcPr>
            <w:tcW w:w="133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8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0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6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2" w:hRule="atLeast"/>
        </w:trPr>
        <w:tc>
          <w:tcPr>
            <w:tcW w:w="3516" w:type="dxa"/>
          </w:tcPr>
          <w:p>
            <w:pPr>
              <w:pStyle w:val="TableParagraph"/>
              <w:spacing w:before="128"/>
              <w:ind w:left="50"/>
              <w:rPr>
                <w:sz w:val="24"/>
              </w:rPr>
            </w:pPr>
            <w:r>
              <w:rPr>
                <w:sz w:val="24"/>
              </w:rPr>
              <w:t>3.1.1Equipment23</w:t>
            </w:r>
          </w:p>
        </w:tc>
        <w:tc>
          <w:tcPr>
            <w:tcW w:w="133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8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0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6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2" w:hRule="atLeast"/>
        </w:trPr>
        <w:tc>
          <w:tcPr>
            <w:tcW w:w="3516" w:type="dxa"/>
          </w:tcPr>
          <w:p>
            <w:pPr>
              <w:pStyle w:val="TableParagraph"/>
              <w:spacing w:before="128"/>
              <w:ind w:left="50"/>
              <w:rPr>
                <w:sz w:val="24"/>
              </w:rPr>
            </w:pPr>
            <w:r>
              <w:rPr>
                <w:sz w:val="24"/>
              </w:rPr>
              <w:t>3.2.Methodology</w:t>
            </w:r>
          </w:p>
        </w:tc>
        <w:tc>
          <w:tcPr>
            <w:tcW w:w="133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83" w:type="dxa"/>
          </w:tcPr>
          <w:p>
            <w:pPr>
              <w:pStyle w:val="TableParagraph"/>
              <w:spacing w:before="128"/>
              <w:ind w:left="960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60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6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11" w:hRule="atLeast"/>
        </w:trPr>
        <w:tc>
          <w:tcPr>
            <w:tcW w:w="3516" w:type="dxa"/>
          </w:tcPr>
          <w:p>
            <w:pPr>
              <w:pStyle w:val="TableParagraph"/>
              <w:spacing w:before="128"/>
              <w:ind w:left="50"/>
              <w:rPr>
                <w:sz w:val="24"/>
              </w:rPr>
            </w:pPr>
            <w:r>
              <w:rPr>
                <w:sz w:val="24"/>
              </w:rPr>
              <w:t>3.2.1Resistivity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Surveying24</w:t>
            </w:r>
          </w:p>
        </w:tc>
        <w:tc>
          <w:tcPr>
            <w:tcW w:w="133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8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0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6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68" w:hRule="atLeast"/>
        </w:trPr>
        <w:tc>
          <w:tcPr>
            <w:tcW w:w="3516" w:type="dxa"/>
          </w:tcPr>
          <w:p>
            <w:pPr>
              <w:pStyle w:val="TableParagraph"/>
              <w:spacing w:line="261" w:lineRule="exact" w:before="188"/>
              <w:ind w:left="50"/>
              <w:rPr>
                <w:sz w:val="24"/>
              </w:rPr>
            </w:pPr>
            <w:r>
              <w:rPr>
                <w:sz w:val="24"/>
              </w:rPr>
              <w:t>3.3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Vertical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Electrical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Sounding32</w:t>
            </w:r>
          </w:p>
        </w:tc>
        <w:tc>
          <w:tcPr>
            <w:tcW w:w="133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8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0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62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spacing w:before="8"/>
        <w:rPr>
          <w:sz w:val="29"/>
        </w:rPr>
      </w:pPr>
    </w:p>
    <w:p>
      <w:pPr>
        <w:pStyle w:val="BodyText"/>
        <w:tabs>
          <w:tab w:pos="4328" w:val="right" w:leader="none"/>
        </w:tabs>
        <w:spacing w:before="90"/>
        <w:ind w:left="307"/>
      </w:pPr>
      <w:r>
        <w:rPr/>
        <w:t>3.4</w:t>
      </w:r>
      <w:r>
        <w:rPr>
          <w:spacing w:val="-1"/>
        </w:rPr>
        <w:t> </w:t>
      </w:r>
      <w:r>
        <w:rPr/>
        <w:t>Soil Corrosivity</w:t>
      </w:r>
      <w:r>
        <w:rPr>
          <w:spacing w:val="-8"/>
        </w:rPr>
        <w:t> </w:t>
      </w:r>
      <w:r>
        <w:rPr/>
        <w:t>Evaluation</w:t>
        <w:tab/>
        <w:t>33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5"/>
        </w:rPr>
      </w:pPr>
    </w:p>
    <w:tbl>
      <w:tblPr>
        <w:tblW w:w="0" w:type="auto"/>
        <w:jc w:val="left"/>
        <w:tblInd w:w="2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66"/>
        <w:gridCol w:w="738"/>
        <w:gridCol w:w="970"/>
      </w:tblGrid>
      <w:tr>
        <w:trPr>
          <w:trHeight w:val="488" w:hRule="atLeast"/>
        </w:trPr>
        <w:tc>
          <w:tcPr>
            <w:tcW w:w="4966" w:type="dxa"/>
          </w:tcPr>
          <w:p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3.5Overburden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Protective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Capacity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Evaluation34</w:t>
            </w:r>
          </w:p>
        </w:tc>
        <w:tc>
          <w:tcPr>
            <w:tcW w:w="1708" w:type="dxa"/>
            <w:gridSpan w:val="2"/>
            <w:vMerge w:val="restart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711" w:hRule="atLeast"/>
        </w:trPr>
        <w:tc>
          <w:tcPr>
            <w:tcW w:w="4966" w:type="dxa"/>
          </w:tcPr>
          <w:p>
            <w:pPr>
              <w:pStyle w:val="TableParagraph"/>
              <w:spacing w:before="212"/>
              <w:ind w:left="50"/>
              <w:rPr>
                <w:sz w:val="24"/>
              </w:rPr>
            </w:pPr>
            <w:r>
              <w:rPr>
                <w:sz w:val="24"/>
              </w:rPr>
              <w:t>3.6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Longitudinal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Conductance35</w:t>
            </w:r>
          </w:p>
        </w:tc>
        <w:tc>
          <w:tcPr>
            <w:tcW w:w="170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12" w:hRule="atLeast"/>
        </w:trPr>
        <w:tc>
          <w:tcPr>
            <w:tcW w:w="4966" w:type="dxa"/>
          </w:tcPr>
          <w:p>
            <w:pPr>
              <w:pStyle w:val="TableParagraph"/>
              <w:spacing w:before="213"/>
              <w:ind w:left="50"/>
              <w:rPr>
                <w:sz w:val="24"/>
              </w:rPr>
            </w:pPr>
            <w:r>
              <w:rPr>
                <w:sz w:val="24"/>
              </w:rPr>
              <w:t>3.7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Schlumberger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Array37</w:t>
            </w:r>
          </w:p>
        </w:tc>
        <w:tc>
          <w:tcPr>
            <w:tcW w:w="170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11" w:hRule="atLeast"/>
        </w:trPr>
        <w:tc>
          <w:tcPr>
            <w:tcW w:w="4966" w:type="dxa"/>
          </w:tcPr>
          <w:p>
            <w:pPr>
              <w:pStyle w:val="TableParagraph"/>
              <w:spacing w:before="213"/>
              <w:ind w:left="50"/>
              <w:rPr>
                <w:sz w:val="24"/>
              </w:rPr>
            </w:pPr>
            <w:r>
              <w:rPr>
                <w:sz w:val="24"/>
              </w:rPr>
              <w:t>3.8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Data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Collection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Procedure</w:t>
            </w:r>
          </w:p>
        </w:tc>
        <w:tc>
          <w:tcPr>
            <w:tcW w:w="73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70" w:type="dxa"/>
          </w:tcPr>
          <w:p>
            <w:pPr>
              <w:pStyle w:val="TableParagraph"/>
              <w:spacing w:before="213"/>
              <w:ind w:left="353" w:right="337"/>
              <w:jc w:val="center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</w:tr>
      <w:tr>
        <w:trPr>
          <w:trHeight w:val="754" w:hRule="atLeast"/>
        </w:trPr>
        <w:tc>
          <w:tcPr>
            <w:tcW w:w="4966" w:type="dxa"/>
          </w:tcPr>
          <w:p>
            <w:pPr>
              <w:pStyle w:val="TableParagraph"/>
              <w:spacing w:before="212"/>
              <w:ind w:left="50"/>
              <w:rPr>
                <w:sz w:val="24"/>
              </w:rPr>
            </w:pPr>
            <w:r>
              <w:rPr>
                <w:sz w:val="24"/>
              </w:rPr>
              <w:t>3.9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Data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Analysis</w:t>
            </w:r>
          </w:p>
        </w:tc>
        <w:tc>
          <w:tcPr>
            <w:tcW w:w="73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70" w:type="dxa"/>
          </w:tcPr>
          <w:p>
            <w:pPr>
              <w:pStyle w:val="TableParagraph"/>
              <w:spacing w:before="212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</w:tr>
      <w:tr>
        <w:trPr>
          <w:trHeight w:val="1220" w:hRule="atLeast"/>
        </w:trPr>
        <w:tc>
          <w:tcPr>
            <w:tcW w:w="4966" w:type="dxa"/>
          </w:tcPr>
          <w:p>
            <w:pPr>
              <w:pStyle w:val="TableParagraph"/>
              <w:spacing w:before="3"/>
              <w:rPr>
                <w:sz w:val="22"/>
              </w:rPr>
            </w:pPr>
          </w:p>
          <w:p>
            <w:pPr>
              <w:pStyle w:val="TableParagraph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CHAPTER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FOUR40</w:t>
            </w:r>
          </w:p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4.0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Results and Discussion40</w:t>
            </w:r>
          </w:p>
        </w:tc>
        <w:tc>
          <w:tcPr>
            <w:tcW w:w="73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7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1" w:hRule="atLeast"/>
        </w:trPr>
        <w:tc>
          <w:tcPr>
            <w:tcW w:w="4966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4.1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Field Topography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and Survey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Layout40</w:t>
            </w:r>
          </w:p>
        </w:tc>
        <w:tc>
          <w:tcPr>
            <w:tcW w:w="73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7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2" w:hRule="atLeast"/>
        </w:trPr>
        <w:tc>
          <w:tcPr>
            <w:tcW w:w="4966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4.2Geoelectric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Parameters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Interpretation40</w:t>
            </w:r>
          </w:p>
        </w:tc>
        <w:tc>
          <w:tcPr>
            <w:tcW w:w="73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7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32" w:hRule="atLeast"/>
        </w:trPr>
        <w:tc>
          <w:tcPr>
            <w:tcW w:w="4966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4.3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Summary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 Geoelectric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Parameters</w:t>
            </w:r>
          </w:p>
        </w:tc>
        <w:tc>
          <w:tcPr>
            <w:tcW w:w="738" w:type="dxa"/>
          </w:tcPr>
          <w:p>
            <w:pPr>
              <w:pStyle w:val="TableParagraph"/>
              <w:spacing w:before="133"/>
              <w:ind w:left="124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7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89" w:hRule="atLeast"/>
        </w:trPr>
        <w:tc>
          <w:tcPr>
            <w:tcW w:w="4966" w:type="dxa"/>
          </w:tcPr>
          <w:p>
            <w:pPr>
              <w:pStyle w:val="TableParagraph"/>
              <w:spacing w:line="256" w:lineRule="exact" w:before="213"/>
              <w:ind w:left="50"/>
              <w:rPr>
                <w:sz w:val="24"/>
              </w:rPr>
            </w:pPr>
            <w:r>
              <w:rPr>
                <w:sz w:val="24"/>
              </w:rPr>
              <w:t>4.4 Isoresistivity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Interpretations52</w:t>
            </w:r>
          </w:p>
        </w:tc>
        <w:tc>
          <w:tcPr>
            <w:tcW w:w="73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70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1067" w:top="1400" w:bottom="1260" w:left="1680" w:right="980"/>
        </w:sectPr>
      </w:pPr>
    </w:p>
    <w:tbl>
      <w:tblPr>
        <w:tblW w:w="0" w:type="auto"/>
        <w:jc w:val="left"/>
        <w:tblInd w:w="2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88"/>
        <w:gridCol w:w="341"/>
        <w:gridCol w:w="810"/>
        <w:gridCol w:w="580"/>
      </w:tblGrid>
      <w:tr>
        <w:trPr>
          <w:trHeight w:val="489" w:hRule="atLeast"/>
        </w:trPr>
        <w:tc>
          <w:tcPr>
            <w:tcW w:w="4988" w:type="dxa"/>
          </w:tcPr>
          <w:p>
            <w:pPr>
              <w:pStyle w:val="TableParagraph"/>
              <w:spacing w:line="261" w:lineRule="exact"/>
              <w:ind w:left="50"/>
              <w:rPr>
                <w:sz w:val="24"/>
              </w:rPr>
            </w:pPr>
            <w:r>
              <w:rPr>
                <w:sz w:val="24"/>
              </w:rPr>
              <w:t>4.4.1 Isoresistivity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first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geoelectric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layer52</w:t>
            </w:r>
          </w:p>
        </w:tc>
        <w:tc>
          <w:tcPr>
            <w:tcW w:w="3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80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464" w:hRule="atLeast"/>
        </w:trPr>
        <w:tc>
          <w:tcPr>
            <w:tcW w:w="4988" w:type="dxa"/>
          </w:tcPr>
          <w:p>
            <w:pPr>
              <w:pStyle w:val="TableParagraph"/>
              <w:numPr>
                <w:ilvl w:val="2"/>
                <w:numId w:val="4"/>
              </w:numPr>
              <w:tabs>
                <w:tab w:pos="593" w:val="left" w:leader="none"/>
              </w:tabs>
              <w:spacing w:line="240" w:lineRule="auto" w:before="208" w:after="0"/>
              <w:ind w:left="592" w:right="0" w:hanging="543"/>
              <w:jc w:val="left"/>
              <w:rPr>
                <w:sz w:val="24"/>
              </w:rPr>
            </w:pPr>
            <w:r>
              <w:rPr>
                <w:sz w:val="24"/>
              </w:rPr>
              <w:t>Isoresistivity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second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geoelectric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layer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52</w:t>
            </w:r>
          </w:p>
          <w:p>
            <w:pPr>
              <w:pStyle w:val="TableParagraph"/>
              <w:spacing w:before="9"/>
              <w:rPr>
                <w:sz w:val="37"/>
              </w:rPr>
            </w:pPr>
          </w:p>
          <w:p>
            <w:pPr>
              <w:pStyle w:val="TableParagraph"/>
              <w:numPr>
                <w:ilvl w:val="2"/>
                <w:numId w:val="4"/>
              </w:numPr>
              <w:tabs>
                <w:tab w:pos="593" w:val="left" w:leader="none"/>
              </w:tabs>
              <w:spacing w:line="240" w:lineRule="auto" w:before="0" w:after="0"/>
              <w:ind w:left="592" w:right="0" w:hanging="543"/>
              <w:jc w:val="left"/>
              <w:rPr>
                <w:sz w:val="24"/>
              </w:rPr>
            </w:pPr>
            <w:r>
              <w:rPr>
                <w:sz w:val="24"/>
              </w:rPr>
              <w:t>Isoresistivity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third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geoelectric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layer54</w:t>
            </w:r>
          </w:p>
        </w:tc>
        <w:tc>
          <w:tcPr>
            <w:tcW w:w="3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92" w:hRule="atLeast"/>
        </w:trPr>
        <w:tc>
          <w:tcPr>
            <w:tcW w:w="4988" w:type="dxa"/>
          </w:tcPr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4.4.4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Isoresistivity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of fourth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geoelectric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layer54</w:t>
            </w:r>
          </w:p>
        </w:tc>
        <w:tc>
          <w:tcPr>
            <w:tcW w:w="3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91" w:hRule="atLeast"/>
        </w:trPr>
        <w:tc>
          <w:tcPr>
            <w:tcW w:w="4988" w:type="dxa"/>
          </w:tcPr>
          <w:p>
            <w:pPr>
              <w:pStyle w:val="TableParagraph"/>
              <w:spacing w:before="5"/>
              <w:rPr>
                <w:sz w:val="21"/>
              </w:rPr>
            </w:pPr>
          </w:p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4.4.5 Isoresistivity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fifth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geoelectric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layer54</w:t>
            </w:r>
          </w:p>
        </w:tc>
        <w:tc>
          <w:tcPr>
            <w:tcW w:w="3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92" w:hRule="atLeast"/>
        </w:trPr>
        <w:tc>
          <w:tcPr>
            <w:tcW w:w="4988" w:type="dxa"/>
          </w:tcPr>
          <w:p>
            <w:pPr>
              <w:pStyle w:val="TableParagraph"/>
              <w:spacing w:before="6"/>
              <w:rPr>
                <w:sz w:val="21"/>
              </w:rPr>
            </w:pPr>
          </w:p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4.5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Depth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Geoelectric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Layers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Interpretations</w:t>
            </w:r>
          </w:p>
        </w:tc>
        <w:tc>
          <w:tcPr>
            <w:tcW w:w="3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10" w:type="dxa"/>
          </w:tcPr>
          <w:p>
            <w:pPr>
              <w:pStyle w:val="TableParagraph"/>
              <w:spacing w:before="6"/>
              <w:rPr>
                <w:sz w:val="21"/>
              </w:rPr>
            </w:pPr>
          </w:p>
          <w:p>
            <w:pPr>
              <w:pStyle w:val="TableParagraph"/>
              <w:ind w:left="93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5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91" w:hRule="atLeast"/>
        </w:trPr>
        <w:tc>
          <w:tcPr>
            <w:tcW w:w="4988" w:type="dxa"/>
          </w:tcPr>
          <w:p>
            <w:pPr>
              <w:pStyle w:val="TableParagraph"/>
              <w:spacing w:before="6"/>
              <w:rPr>
                <w:sz w:val="21"/>
              </w:rPr>
            </w:pPr>
          </w:p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4.5.1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Depth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first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geoelectric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layer57</w:t>
            </w:r>
          </w:p>
        </w:tc>
        <w:tc>
          <w:tcPr>
            <w:tcW w:w="3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92" w:hRule="atLeast"/>
        </w:trPr>
        <w:tc>
          <w:tcPr>
            <w:tcW w:w="4988" w:type="dxa"/>
          </w:tcPr>
          <w:p>
            <w:pPr>
              <w:pStyle w:val="TableParagraph"/>
              <w:spacing w:before="6"/>
              <w:rPr>
                <w:sz w:val="21"/>
              </w:rPr>
            </w:pPr>
          </w:p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4.5.2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Depth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second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geoelectric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layer57</w:t>
            </w:r>
          </w:p>
        </w:tc>
        <w:tc>
          <w:tcPr>
            <w:tcW w:w="3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92" w:hRule="atLeast"/>
        </w:trPr>
        <w:tc>
          <w:tcPr>
            <w:tcW w:w="4988" w:type="dxa"/>
          </w:tcPr>
          <w:p>
            <w:pPr>
              <w:pStyle w:val="TableParagraph"/>
              <w:spacing w:before="6"/>
              <w:rPr>
                <w:sz w:val="21"/>
              </w:rPr>
            </w:pPr>
          </w:p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4.5.3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Depth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third geoelectric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layer57</w:t>
            </w:r>
          </w:p>
        </w:tc>
        <w:tc>
          <w:tcPr>
            <w:tcW w:w="3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92" w:hRule="atLeast"/>
        </w:trPr>
        <w:tc>
          <w:tcPr>
            <w:tcW w:w="4988" w:type="dxa"/>
          </w:tcPr>
          <w:p>
            <w:pPr>
              <w:pStyle w:val="TableParagraph"/>
              <w:spacing w:before="6"/>
              <w:rPr>
                <w:sz w:val="21"/>
              </w:rPr>
            </w:pPr>
          </w:p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4.5.4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Depth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fourth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geoelectric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layer</w:t>
            </w:r>
          </w:p>
        </w:tc>
        <w:tc>
          <w:tcPr>
            <w:tcW w:w="3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80" w:type="dxa"/>
          </w:tcPr>
          <w:p>
            <w:pPr>
              <w:pStyle w:val="TableParagraph"/>
              <w:spacing w:before="6"/>
              <w:rPr>
                <w:sz w:val="21"/>
              </w:rPr>
            </w:pPr>
          </w:p>
          <w:p>
            <w:pPr>
              <w:pStyle w:val="TableParagraph"/>
              <w:ind w:left="291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</w:tr>
      <w:tr>
        <w:trPr>
          <w:trHeight w:val="792" w:hRule="atLeast"/>
        </w:trPr>
        <w:tc>
          <w:tcPr>
            <w:tcW w:w="4988" w:type="dxa"/>
          </w:tcPr>
          <w:p>
            <w:pPr>
              <w:pStyle w:val="TableParagraph"/>
              <w:spacing w:before="6"/>
              <w:rPr>
                <w:sz w:val="21"/>
              </w:rPr>
            </w:pPr>
          </w:p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4.5.5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Depth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fifth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geoelectric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layer</w:t>
            </w:r>
          </w:p>
        </w:tc>
        <w:tc>
          <w:tcPr>
            <w:tcW w:w="341" w:type="dxa"/>
          </w:tcPr>
          <w:p>
            <w:pPr>
              <w:pStyle w:val="TableParagraph"/>
              <w:spacing w:before="6"/>
              <w:rPr>
                <w:sz w:val="21"/>
              </w:rPr>
            </w:pPr>
          </w:p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8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8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792" w:hRule="atLeast"/>
        </w:trPr>
        <w:tc>
          <w:tcPr>
            <w:tcW w:w="4988" w:type="dxa"/>
          </w:tcPr>
          <w:p>
            <w:pPr>
              <w:pStyle w:val="TableParagraph"/>
              <w:spacing w:before="6"/>
              <w:rPr>
                <w:sz w:val="21"/>
              </w:rPr>
            </w:pPr>
          </w:p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4.6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Thickness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Geoelectric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Layers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Interpretations</w:t>
            </w:r>
          </w:p>
        </w:tc>
        <w:tc>
          <w:tcPr>
            <w:tcW w:w="3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10" w:type="dxa"/>
          </w:tcPr>
          <w:p>
            <w:pPr>
              <w:pStyle w:val="TableParagraph"/>
              <w:spacing w:before="6"/>
              <w:rPr>
                <w:sz w:val="21"/>
              </w:rPr>
            </w:pPr>
          </w:p>
          <w:p>
            <w:pPr>
              <w:pStyle w:val="TableParagraph"/>
              <w:ind w:left="253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8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792" w:hRule="atLeast"/>
        </w:trPr>
        <w:tc>
          <w:tcPr>
            <w:tcW w:w="4988" w:type="dxa"/>
          </w:tcPr>
          <w:p>
            <w:pPr>
              <w:pStyle w:val="TableParagraph"/>
              <w:spacing w:before="6"/>
              <w:rPr>
                <w:sz w:val="21"/>
              </w:rPr>
            </w:pPr>
          </w:p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4.6.1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Thickness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first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geoelectric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layer</w:t>
            </w:r>
          </w:p>
        </w:tc>
        <w:tc>
          <w:tcPr>
            <w:tcW w:w="3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10" w:type="dxa"/>
          </w:tcPr>
          <w:p>
            <w:pPr>
              <w:pStyle w:val="TableParagraph"/>
              <w:spacing w:before="6"/>
              <w:rPr>
                <w:sz w:val="21"/>
              </w:rPr>
            </w:pPr>
          </w:p>
          <w:p>
            <w:pPr>
              <w:pStyle w:val="TableParagraph"/>
              <w:ind w:left="325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8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792" w:hRule="atLeast"/>
        </w:trPr>
        <w:tc>
          <w:tcPr>
            <w:tcW w:w="4988" w:type="dxa"/>
          </w:tcPr>
          <w:p>
            <w:pPr>
              <w:pStyle w:val="TableParagraph"/>
              <w:spacing w:before="6"/>
              <w:rPr>
                <w:sz w:val="21"/>
              </w:rPr>
            </w:pPr>
          </w:p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4.6.2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Thickness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 second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geoelectric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layer</w:t>
            </w:r>
          </w:p>
        </w:tc>
        <w:tc>
          <w:tcPr>
            <w:tcW w:w="3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10" w:type="dxa"/>
          </w:tcPr>
          <w:p>
            <w:pPr>
              <w:pStyle w:val="TableParagraph"/>
              <w:spacing w:before="6"/>
              <w:rPr>
                <w:sz w:val="21"/>
              </w:rPr>
            </w:pPr>
          </w:p>
          <w:p>
            <w:pPr>
              <w:pStyle w:val="TableParagraph"/>
              <w:ind w:left="306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58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792" w:hRule="atLeast"/>
        </w:trPr>
        <w:tc>
          <w:tcPr>
            <w:tcW w:w="4988" w:type="dxa"/>
          </w:tcPr>
          <w:p>
            <w:pPr>
              <w:pStyle w:val="TableParagraph"/>
              <w:spacing w:before="6"/>
              <w:rPr>
                <w:sz w:val="21"/>
              </w:rPr>
            </w:pPr>
          </w:p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4.6.3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Thickness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third geoelectric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layer</w:t>
            </w:r>
          </w:p>
        </w:tc>
        <w:tc>
          <w:tcPr>
            <w:tcW w:w="3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10" w:type="dxa"/>
          </w:tcPr>
          <w:p>
            <w:pPr>
              <w:pStyle w:val="TableParagraph"/>
              <w:spacing w:before="6"/>
              <w:rPr>
                <w:sz w:val="21"/>
              </w:rPr>
            </w:pPr>
          </w:p>
          <w:p>
            <w:pPr>
              <w:pStyle w:val="TableParagraph"/>
              <w:ind w:left="257" w:right="273"/>
              <w:jc w:val="center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58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792" w:hRule="atLeast"/>
        </w:trPr>
        <w:tc>
          <w:tcPr>
            <w:tcW w:w="4988" w:type="dxa"/>
          </w:tcPr>
          <w:p>
            <w:pPr>
              <w:pStyle w:val="TableParagraph"/>
              <w:spacing w:before="6"/>
              <w:rPr>
                <w:sz w:val="21"/>
              </w:rPr>
            </w:pPr>
          </w:p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4.6.4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Thickness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 fourth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geoelectric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layer</w:t>
            </w:r>
          </w:p>
        </w:tc>
        <w:tc>
          <w:tcPr>
            <w:tcW w:w="3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80" w:type="dxa"/>
          </w:tcPr>
          <w:p>
            <w:pPr>
              <w:pStyle w:val="TableParagraph"/>
              <w:spacing w:before="6"/>
              <w:rPr>
                <w:sz w:val="21"/>
              </w:rPr>
            </w:pPr>
          </w:p>
          <w:p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</w:tr>
      <w:tr>
        <w:trPr>
          <w:trHeight w:val="528" w:hRule="atLeast"/>
        </w:trPr>
        <w:tc>
          <w:tcPr>
            <w:tcW w:w="4988" w:type="dxa"/>
          </w:tcPr>
          <w:p>
            <w:pPr>
              <w:pStyle w:val="TableParagraph"/>
              <w:spacing w:before="6"/>
              <w:rPr>
                <w:sz w:val="21"/>
              </w:rPr>
            </w:pPr>
          </w:p>
          <w:p>
            <w:pPr>
              <w:pStyle w:val="TableParagraph"/>
              <w:spacing w:line="261" w:lineRule="exact"/>
              <w:ind w:left="50"/>
              <w:rPr>
                <w:sz w:val="24"/>
              </w:rPr>
            </w:pPr>
            <w:r>
              <w:rPr>
                <w:sz w:val="24"/>
              </w:rPr>
              <w:t>4.7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Ground Water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Potential</w:t>
            </w:r>
          </w:p>
        </w:tc>
        <w:tc>
          <w:tcPr>
            <w:tcW w:w="3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10" w:type="dxa"/>
          </w:tcPr>
          <w:p>
            <w:pPr>
              <w:pStyle w:val="TableParagraph"/>
              <w:spacing w:before="6"/>
              <w:rPr>
                <w:sz w:val="21"/>
              </w:rPr>
            </w:pPr>
          </w:p>
          <w:p>
            <w:pPr>
              <w:pStyle w:val="TableParagraph"/>
              <w:spacing w:line="261" w:lineRule="exact"/>
              <w:ind w:left="493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580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1067" w:top="1400" w:bottom="1260" w:left="1680" w:right="980"/>
        </w:sectPr>
      </w:pPr>
    </w:p>
    <w:p>
      <w:pPr>
        <w:pStyle w:val="Heading2"/>
        <w:spacing w:before="64"/>
        <w:ind w:left="307" w:firstLine="0"/>
        <w:jc w:val="left"/>
        <w:rPr>
          <w:b w:val="0"/>
        </w:rPr>
      </w:pPr>
      <w:r>
        <w:rPr/>
        <w:t>CHAPTER</w:t>
      </w:r>
      <w:r>
        <w:rPr>
          <w:spacing w:val="-2"/>
        </w:rPr>
        <w:t> </w:t>
      </w:r>
      <w:r>
        <w:rPr/>
        <w:t>FIVE</w:t>
      </w:r>
      <w:r>
        <w:rPr>
          <w:b w:val="0"/>
        </w:rPr>
        <w:t>67</w:t>
      </w:r>
    </w:p>
    <w:p>
      <w:pPr>
        <w:pStyle w:val="ListParagraph"/>
        <w:numPr>
          <w:ilvl w:val="1"/>
          <w:numId w:val="5"/>
        </w:numPr>
        <w:tabs>
          <w:tab w:pos="1159" w:val="left" w:leader="none"/>
          <w:tab w:pos="1160" w:val="left" w:leader="none"/>
          <w:tab w:pos="6666" w:val="right" w:leader="none"/>
        </w:tabs>
        <w:spacing w:line="240" w:lineRule="auto" w:before="277" w:after="0"/>
        <w:ind w:left="1159" w:right="0" w:hanging="853"/>
        <w:jc w:val="left"/>
        <w:rPr>
          <w:sz w:val="24"/>
        </w:rPr>
      </w:pPr>
      <w:r>
        <w:rPr>
          <w:sz w:val="24"/>
        </w:rPr>
        <w:t>Conclusion</w:t>
      </w:r>
      <w:r>
        <w:rPr>
          <w:spacing w:val="-1"/>
          <w:sz w:val="24"/>
        </w:rPr>
        <w:t> </w:t>
      </w:r>
      <w:r>
        <w:rPr>
          <w:sz w:val="24"/>
        </w:rPr>
        <w:t>and Recommendations</w:t>
        <w:tab/>
        <w:t>67</w:t>
      </w:r>
    </w:p>
    <w:p>
      <w:pPr>
        <w:pStyle w:val="BodyText"/>
      </w:pPr>
    </w:p>
    <w:p>
      <w:pPr>
        <w:pStyle w:val="ListParagraph"/>
        <w:numPr>
          <w:ilvl w:val="1"/>
          <w:numId w:val="5"/>
        </w:numPr>
        <w:tabs>
          <w:tab w:pos="1159" w:val="left" w:leader="none"/>
          <w:tab w:pos="1160" w:val="left" w:leader="none"/>
        </w:tabs>
        <w:spacing w:line="240" w:lineRule="auto" w:before="0" w:after="0"/>
        <w:ind w:left="1159" w:right="0" w:hanging="853"/>
        <w:jc w:val="left"/>
        <w:rPr>
          <w:sz w:val="24"/>
        </w:rPr>
      </w:pPr>
      <w:r>
        <w:rPr>
          <w:sz w:val="24"/>
        </w:rPr>
        <w:t>Conclusion67</w:t>
      </w:r>
    </w:p>
    <w:p>
      <w:pPr>
        <w:pStyle w:val="BodyText"/>
      </w:pPr>
    </w:p>
    <w:p>
      <w:pPr>
        <w:pStyle w:val="ListParagraph"/>
        <w:numPr>
          <w:ilvl w:val="1"/>
          <w:numId w:val="5"/>
        </w:numPr>
        <w:tabs>
          <w:tab w:pos="1159" w:val="left" w:leader="none"/>
          <w:tab w:pos="1160" w:val="left" w:leader="none"/>
        </w:tabs>
        <w:spacing w:line="240" w:lineRule="auto" w:before="0" w:after="0"/>
        <w:ind w:left="1159" w:right="0" w:hanging="853"/>
        <w:jc w:val="left"/>
        <w:rPr>
          <w:sz w:val="24"/>
        </w:rPr>
      </w:pPr>
      <w:r>
        <w:rPr>
          <w:sz w:val="24"/>
        </w:rPr>
        <w:t>Recommendations69</w:t>
      </w:r>
    </w:p>
    <w:p>
      <w:pPr>
        <w:pStyle w:val="BodyText"/>
        <w:rPr>
          <w:sz w:val="26"/>
        </w:rPr>
      </w:pPr>
    </w:p>
    <w:p>
      <w:pPr>
        <w:pStyle w:val="BodyText"/>
        <w:spacing w:before="217"/>
        <w:ind w:left="307"/>
        <w:rPr>
          <w:b/>
        </w:rPr>
      </w:pPr>
      <w:r>
        <w:rPr/>
        <w:t>REFERENCES</w:t>
      </w:r>
      <w:r>
        <w:rPr>
          <w:b/>
        </w:rPr>
        <w:t>70</w:t>
      </w:r>
    </w:p>
    <w:p>
      <w:pPr>
        <w:pStyle w:val="BodyText"/>
        <w:tabs>
          <w:tab w:pos="7749" w:val="right" w:leader="none"/>
        </w:tabs>
        <w:spacing w:before="276"/>
        <w:ind w:left="307"/>
      </w:pPr>
      <w:r>
        <w:rPr/>
        <w:t>Appendices</w:t>
        <w:tab/>
        <w:t>76</w:t>
      </w:r>
    </w:p>
    <w:p>
      <w:pPr>
        <w:spacing w:after="0"/>
        <w:sectPr>
          <w:pgSz w:w="11910" w:h="16840"/>
          <w:pgMar w:header="0" w:footer="1067" w:top="1320" w:bottom="1260" w:left="1680" w:right="980"/>
        </w:sectPr>
      </w:pPr>
    </w:p>
    <w:p>
      <w:pPr>
        <w:pStyle w:val="Heading2"/>
        <w:ind w:left="386" w:right="505" w:firstLine="0"/>
        <w:jc w:val="center"/>
      </w:pPr>
      <w:bookmarkStart w:name="_TOC_250001" w:id="2"/>
      <w:r>
        <w:rPr/>
        <w:t>LIST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bookmarkEnd w:id="2"/>
      <w:r>
        <w:rPr/>
        <w:t>TABLES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" w:after="1"/>
        <w:rPr>
          <w:b/>
          <w:sz w:val="25"/>
        </w:rPr>
      </w:pPr>
    </w:p>
    <w:tbl>
      <w:tblPr>
        <w:tblW w:w="0" w:type="auto"/>
        <w:jc w:val="left"/>
        <w:tblInd w:w="2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924"/>
        <w:gridCol w:w="904"/>
        <w:gridCol w:w="432"/>
      </w:tblGrid>
      <w:tr>
        <w:trPr>
          <w:trHeight w:val="1320" w:hRule="atLeast"/>
        </w:trPr>
        <w:tc>
          <w:tcPr>
            <w:tcW w:w="6924" w:type="dxa"/>
          </w:tcPr>
          <w:p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3.1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Classification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of soil resistivity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in terms 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corrosivity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17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3.2Longitudinal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conductance/aquifer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protective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capacity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rating</w:t>
            </w:r>
          </w:p>
        </w:tc>
        <w:tc>
          <w:tcPr>
            <w:tcW w:w="904" w:type="dxa"/>
          </w:tcPr>
          <w:p>
            <w:pPr>
              <w:pStyle w:val="TableParagraph"/>
              <w:spacing w:line="266" w:lineRule="exact"/>
              <w:ind w:left="309" w:right="315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432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84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  <w:tr>
        <w:trPr>
          <w:trHeight w:val="671" w:hRule="atLeast"/>
        </w:trPr>
        <w:tc>
          <w:tcPr>
            <w:tcW w:w="6924" w:type="dxa"/>
          </w:tcPr>
          <w:p>
            <w:pPr>
              <w:pStyle w:val="TableParagraph"/>
              <w:spacing w:before="11"/>
              <w:rPr>
                <w:b/>
                <w:sz w:val="21"/>
              </w:rPr>
            </w:pPr>
          </w:p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4.1 Summary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interpretation 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all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profiles</w:t>
            </w:r>
          </w:p>
        </w:tc>
        <w:tc>
          <w:tcPr>
            <w:tcW w:w="90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32" w:type="dxa"/>
          </w:tcPr>
          <w:p>
            <w:pPr>
              <w:pStyle w:val="TableParagraph"/>
              <w:spacing w:before="11"/>
              <w:rPr>
                <w:b/>
                <w:sz w:val="21"/>
              </w:rPr>
            </w:pPr>
          </w:p>
          <w:p>
            <w:pPr>
              <w:pStyle w:val="TableParagraph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</w:tr>
      <w:tr>
        <w:trPr>
          <w:trHeight w:val="505" w:hRule="atLeast"/>
        </w:trPr>
        <w:tc>
          <w:tcPr>
            <w:tcW w:w="6924" w:type="dxa"/>
          </w:tcPr>
          <w:p>
            <w:pPr>
              <w:pStyle w:val="TableParagraph"/>
              <w:spacing w:before="133"/>
              <w:ind w:left="50"/>
              <w:rPr>
                <w:sz w:val="22"/>
              </w:rPr>
            </w:pPr>
            <w:r>
              <w:rPr>
                <w:sz w:val="24"/>
              </w:rPr>
              <w:t>Table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4.2</w:t>
            </w:r>
            <w:r>
              <w:rPr>
                <w:sz w:val="22"/>
              </w:rPr>
              <w:t>Summary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interpr</w:t>
            </w:r>
            <w:r>
              <w:rPr>
                <w:sz w:val="24"/>
              </w:rPr>
              <w:t>etation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soil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corrosivity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and </w:t>
            </w:r>
            <w:r>
              <w:rPr>
                <w:sz w:val="22"/>
              </w:rPr>
              <w:t>aquifer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protective</w:t>
            </w:r>
          </w:p>
        </w:tc>
        <w:tc>
          <w:tcPr>
            <w:tcW w:w="904" w:type="dxa"/>
          </w:tcPr>
          <w:p>
            <w:pPr>
              <w:pStyle w:val="TableParagraph"/>
              <w:spacing w:before="151"/>
              <w:ind w:left="27"/>
              <w:rPr>
                <w:sz w:val="22"/>
              </w:rPr>
            </w:pPr>
            <w:r>
              <w:rPr>
                <w:sz w:val="22"/>
              </w:rPr>
              <w:t>capacity</w:t>
            </w:r>
          </w:p>
        </w:tc>
        <w:tc>
          <w:tcPr>
            <w:tcW w:w="432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34" w:hRule="atLeast"/>
        </w:trPr>
        <w:tc>
          <w:tcPr>
            <w:tcW w:w="6924" w:type="dxa"/>
          </w:tcPr>
          <w:p>
            <w:pPr>
              <w:pStyle w:val="TableParagraph"/>
              <w:spacing w:before="88"/>
              <w:ind w:left="985"/>
              <w:rPr>
                <w:sz w:val="22"/>
              </w:rPr>
            </w:pPr>
            <w:r>
              <w:rPr>
                <w:sz w:val="22"/>
              </w:rPr>
              <w:t>of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all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profiles</w:t>
            </w:r>
          </w:p>
        </w:tc>
        <w:tc>
          <w:tcPr>
            <w:tcW w:w="904" w:type="dxa"/>
          </w:tcPr>
          <w:p>
            <w:pPr>
              <w:pStyle w:val="TableParagraph"/>
              <w:spacing w:before="88"/>
              <w:ind w:left="190"/>
              <w:rPr>
                <w:sz w:val="22"/>
              </w:rPr>
            </w:pPr>
            <w:r>
              <w:rPr>
                <w:sz w:val="22"/>
              </w:rPr>
              <w:t>49</w:t>
            </w:r>
          </w:p>
        </w:tc>
        <w:tc>
          <w:tcPr>
            <w:tcW w:w="432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22" w:hRule="atLeast"/>
        </w:trPr>
        <w:tc>
          <w:tcPr>
            <w:tcW w:w="6924" w:type="dxa"/>
          </w:tcPr>
          <w:p>
            <w:pPr>
              <w:pStyle w:val="TableParagraph"/>
              <w:spacing w:before="83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4.3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Geometry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percentage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resistivity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curve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types</w:t>
            </w:r>
          </w:p>
        </w:tc>
        <w:tc>
          <w:tcPr>
            <w:tcW w:w="904" w:type="dxa"/>
          </w:tcPr>
          <w:p>
            <w:pPr>
              <w:pStyle w:val="TableParagraph"/>
              <w:spacing w:before="83"/>
              <w:ind w:left="309" w:right="315"/>
              <w:jc w:val="center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432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28" w:hRule="atLeast"/>
        </w:trPr>
        <w:tc>
          <w:tcPr>
            <w:tcW w:w="6924" w:type="dxa"/>
          </w:tcPr>
          <w:p>
            <w:pPr>
              <w:pStyle w:val="TableParagraph"/>
              <w:spacing w:before="11"/>
              <w:rPr>
                <w:b/>
                <w:sz w:val="21"/>
              </w:rPr>
            </w:pPr>
          </w:p>
          <w:p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4.4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Delineated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aquifer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potentials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study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area</w:t>
            </w:r>
          </w:p>
        </w:tc>
        <w:tc>
          <w:tcPr>
            <w:tcW w:w="904" w:type="dxa"/>
          </w:tcPr>
          <w:p>
            <w:pPr>
              <w:pStyle w:val="TableParagraph"/>
              <w:spacing w:before="11"/>
              <w:rPr>
                <w:b/>
                <w:sz w:val="21"/>
              </w:rPr>
            </w:pPr>
          </w:p>
          <w:p>
            <w:pPr>
              <w:pStyle w:val="TableParagraph"/>
              <w:spacing w:line="256" w:lineRule="exact"/>
              <w:ind w:left="309" w:right="315"/>
              <w:jc w:val="center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432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pgSz w:w="11910" w:h="16840"/>
          <w:pgMar w:header="0" w:footer="1067" w:top="1320" w:bottom="1260" w:left="1680" w:right="980"/>
        </w:sectPr>
      </w:pPr>
    </w:p>
    <w:p>
      <w:pPr>
        <w:spacing w:before="69"/>
        <w:ind w:left="297" w:right="423" w:firstLine="0"/>
        <w:jc w:val="center"/>
        <w:rPr>
          <w:b/>
          <w:sz w:val="24"/>
        </w:rPr>
      </w:pPr>
      <w:r>
        <w:rPr>
          <w:b/>
          <w:sz w:val="24"/>
        </w:rPr>
        <w:t>LIST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FIGURE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" w:after="1"/>
        <w:rPr>
          <w:b/>
          <w:sz w:val="25"/>
        </w:rPr>
      </w:pPr>
    </w:p>
    <w:tbl>
      <w:tblPr>
        <w:tblW w:w="0" w:type="auto"/>
        <w:jc w:val="left"/>
        <w:tblInd w:w="2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86"/>
        <w:gridCol w:w="656"/>
        <w:gridCol w:w="500"/>
      </w:tblGrid>
      <w:tr>
        <w:trPr>
          <w:trHeight w:val="408" w:hRule="atLeast"/>
        </w:trPr>
        <w:tc>
          <w:tcPr>
            <w:tcW w:w="6386" w:type="dxa"/>
          </w:tcPr>
          <w:p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Figure: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1.1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Location map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study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area</w:t>
            </w:r>
          </w:p>
        </w:tc>
        <w:tc>
          <w:tcPr>
            <w:tcW w:w="65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00" w:type="dxa"/>
          </w:tcPr>
          <w:p>
            <w:pPr>
              <w:pStyle w:val="TableParagraph"/>
              <w:spacing w:line="266" w:lineRule="exact"/>
              <w:ind w:left="209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>
        <w:trPr>
          <w:trHeight w:val="552" w:hRule="atLeast"/>
        </w:trPr>
        <w:tc>
          <w:tcPr>
            <w:tcW w:w="6386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2.1 Geology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map of Nigeria</w:t>
            </w:r>
          </w:p>
        </w:tc>
        <w:tc>
          <w:tcPr>
            <w:tcW w:w="656" w:type="dxa"/>
          </w:tcPr>
          <w:p>
            <w:pPr>
              <w:pStyle w:val="TableParagraph"/>
              <w:spacing w:before="133"/>
              <w:ind w:left="14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0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1" w:hRule="atLeast"/>
        </w:trPr>
        <w:tc>
          <w:tcPr>
            <w:tcW w:w="6386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2.2 Geological map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Niger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State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showing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 study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area</w:t>
            </w:r>
          </w:p>
        </w:tc>
        <w:tc>
          <w:tcPr>
            <w:tcW w:w="656" w:type="dxa"/>
          </w:tcPr>
          <w:p>
            <w:pPr>
              <w:pStyle w:val="TableParagraph"/>
              <w:spacing w:before="133"/>
              <w:ind w:left="27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50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2" w:hRule="atLeast"/>
        </w:trPr>
        <w:tc>
          <w:tcPr>
            <w:tcW w:w="6386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3.1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Electrode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configuration</w:t>
            </w:r>
          </w:p>
        </w:tc>
        <w:tc>
          <w:tcPr>
            <w:tcW w:w="65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00" w:type="dxa"/>
          </w:tcPr>
          <w:p>
            <w:pPr>
              <w:pStyle w:val="TableParagraph"/>
              <w:spacing w:before="133"/>
              <w:ind w:left="209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>
        <w:trPr>
          <w:trHeight w:val="552" w:hRule="atLeast"/>
        </w:trPr>
        <w:tc>
          <w:tcPr>
            <w:tcW w:w="6386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4.1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Field layout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showing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profiles lines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VES points</w:t>
            </w:r>
          </w:p>
        </w:tc>
        <w:tc>
          <w:tcPr>
            <w:tcW w:w="65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00" w:type="dxa"/>
          </w:tcPr>
          <w:p>
            <w:pPr>
              <w:pStyle w:val="TableParagraph"/>
              <w:spacing w:before="133"/>
              <w:ind w:left="209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</w:tr>
      <w:tr>
        <w:trPr>
          <w:trHeight w:val="552" w:hRule="atLeast"/>
        </w:trPr>
        <w:tc>
          <w:tcPr>
            <w:tcW w:w="6386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4.2 VES4 profile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 QH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curve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type</w:t>
            </w:r>
          </w:p>
        </w:tc>
        <w:tc>
          <w:tcPr>
            <w:tcW w:w="65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00" w:type="dxa"/>
          </w:tcPr>
          <w:p>
            <w:pPr>
              <w:pStyle w:val="TableParagraph"/>
              <w:spacing w:before="133"/>
              <w:ind w:left="209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</w:tr>
      <w:tr>
        <w:trPr>
          <w:trHeight w:val="551" w:hRule="atLeast"/>
        </w:trPr>
        <w:tc>
          <w:tcPr>
            <w:tcW w:w="6386" w:type="dxa"/>
          </w:tcPr>
          <w:p>
            <w:pPr>
              <w:pStyle w:val="TableParagraph"/>
              <w:tabs>
                <w:tab w:pos="6050" w:val="right" w:leader="none"/>
              </w:tabs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Figure4.3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Soil corrosivity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rating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 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study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area</w:t>
              <w:tab/>
              <w:t>48</w:t>
            </w:r>
          </w:p>
        </w:tc>
        <w:tc>
          <w:tcPr>
            <w:tcW w:w="65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0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1" w:hRule="atLeast"/>
        </w:trPr>
        <w:tc>
          <w:tcPr>
            <w:tcW w:w="6386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4.4Frequency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curve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type</w:t>
            </w:r>
          </w:p>
        </w:tc>
        <w:tc>
          <w:tcPr>
            <w:tcW w:w="65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00" w:type="dxa"/>
          </w:tcPr>
          <w:p>
            <w:pPr>
              <w:pStyle w:val="TableParagraph"/>
              <w:spacing w:before="133"/>
              <w:ind w:left="209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</w:tr>
      <w:tr>
        <w:trPr>
          <w:trHeight w:val="552" w:hRule="atLeast"/>
        </w:trPr>
        <w:tc>
          <w:tcPr>
            <w:tcW w:w="6386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4.5Iso-resistivity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contour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map of 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first layer</w:t>
            </w:r>
          </w:p>
        </w:tc>
        <w:tc>
          <w:tcPr>
            <w:tcW w:w="65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00" w:type="dxa"/>
          </w:tcPr>
          <w:p>
            <w:pPr>
              <w:pStyle w:val="TableParagraph"/>
              <w:spacing w:before="133"/>
              <w:ind w:left="209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</w:tr>
      <w:tr>
        <w:trPr>
          <w:trHeight w:val="551" w:hRule="atLeast"/>
        </w:trPr>
        <w:tc>
          <w:tcPr>
            <w:tcW w:w="6386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4.6Iso-resistivity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contour map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second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layer</w:t>
            </w:r>
          </w:p>
        </w:tc>
        <w:tc>
          <w:tcPr>
            <w:tcW w:w="65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00" w:type="dxa"/>
          </w:tcPr>
          <w:p>
            <w:pPr>
              <w:pStyle w:val="TableParagraph"/>
              <w:spacing w:before="133"/>
              <w:ind w:left="209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</w:tr>
      <w:tr>
        <w:trPr>
          <w:trHeight w:val="552" w:hRule="atLeast"/>
        </w:trPr>
        <w:tc>
          <w:tcPr>
            <w:tcW w:w="6386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4.7Iso-resistivity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contour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third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layer</w:t>
            </w:r>
          </w:p>
        </w:tc>
        <w:tc>
          <w:tcPr>
            <w:tcW w:w="65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00" w:type="dxa"/>
          </w:tcPr>
          <w:p>
            <w:pPr>
              <w:pStyle w:val="TableParagraph"/>
              <w:spacing w:before="133"/>
              <w:ind w:left="209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</w:tr>
      <w:tr>
        <w:trPr>
          <w:trHeight w:val="552" w:hRule="atLeast"/>
        </w:trPr>
        <w:tc>
          <w:tcPr>
            <w:tcW w:w="6386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4.8Iso-resistivity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contour map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fourth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layer</w:t>
            </w:r>
          </w:p>
        </w:tc>
        <w:tc>
          <w:tcPr>
            <w:tcW w:w="65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00" w:type="dxa"/>
          </w:tcPr>
          <w:p>
            <w:pPr>
              <w:pStyle w:val="TableParagraph"/>
              <w:spacing w:before="133"/>
              <w:ind w:left="209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</w:tr>
      <w:tr>
        <w:trPr>
          <w:trHeight w:val="552" w:hRule="atLeast"/>
        </w:trPr>
        <w:tc>
          <w:tcPr>
            <w:tcW w:w="6386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4.9Iso-resistivity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contour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fifth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geoelectric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layer</w:t>
            </w:r>
          </w:p>
        </w:tc>
        <w:tc>
          <w:tcPr>
            <w:tcW w:w="656" w:type="dxa"/>
          </w:tcPr>
          <w:p>
            <w:pPr>
              <w:pStyle w:val="TableParagraph"/>
              <w:spacing w:before="133"/>
              <w:ind w:left="145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50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2" w:hRule="atLeast"/>
        </w:trPr>
        <w:tc>
          <w:tcPr>
            <w:tcW w:w="6386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4.10 Depth map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first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geoelectric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layer</w:t>
            </w:r>
          </w:p>
        </w:tc>
        <w:tc>
          <w:tcPr>
            <w:tcW w:w="65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00" w:type="dxa"/>
          </w:tcPr>
          <w:p>
            <w:pPr>
              <w:pStyle w:val="TableParagraph"/>
              <w:spacing w:before="133"/>
              <w:ind w:left="209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</w:tr>
      <w:tr>
        <w:trPr>
          <w:trHeight w:val="551" w:hRule="atLeast"/>
        </w:trPr>
        <w:tc>
          <w:tcPr>
            <w:tcW w:w="6386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4.11Depth map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second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geoelectric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layer</w:t>
            </w:r>
          </w:p>
        </w:tc>
        <w:tc>
          <w:tcPr>
            <w:tcW w:w="65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00" w:type="dxa"/>
          </w:tcPr>
          <w:p>
            <w:pPr>
              <w:pStyle w:val="TableParagraph"/>
              <w:spacing w:before="133"/>
              <w:ind w:left="209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</w:tr>
      <w:tr>
        <w:trPr>
          <w:trHeight w:val="551" w:hRule="atLeast"/>
        </w:trPr>
        <w:tc>
          <w:tcPr>
            <w:tcW w:w="6386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4.12Depth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map of 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third geoelectric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layer</w:t>
            </w:r>
          </w:p>
        </w:tc>
        <w:tc>
          <w:tcPr>
            <w:tcW w:w="65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00" w:type="dxa"/>
          </w:tcPr>
          <w:p>
            <w:pPr>
              <w:pStyle w:val="TableParagraph"/>
              <w:spacing w:before="133"/>
              <w:ind w:left="209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</w:tr>
      <w:tr>
        <w:trPr>
          <w:trHeight w:val="552" w:hRule="atLeast"/>
        </w:trPr>
        <w:tc>
          <w:tcPr>
            <w:tcW w:w="6386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4.13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Depth map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forth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geoelectric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layer</w:t>
            </w:r>
          </w:p>
        </w:tc>
        <w:tc>
          <w:tcPr>
            <w:tcW w:w="65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00" w:type="dxa"/>
          </w:tcPr>
          <w:p>
            <w:pPr>
              <w:pStyle w:val="TableParagraph"/>
              <w:spacing w:before="133"/>
              <w:ind w:left="209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</w:tr>
      <w:tr>
        <w:trPr>
          <w:trHeight w:val="552" w:hRule="atLeast"/>
        </w:trPr>
        <w:tc>
          <w:tcPr>
            <w:tcW w:w="6386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4.14Thickness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map 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first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geoelectric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layer</w:t>
            </w:r>
          </w:p>
        </w:tc>
        <w:tc>
          <w:tcPr>
            <w:tcW w:w="65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00" w:type="dxa"/>
          </w:tcPr>
          <w:p>
            <w:pPr>
              <w:pStyle w:val="TableParagraph"/>
              <w:spacing w:before="133"/>
              <w:ind w:left="209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</w:tr>
      <w:tr>
        <w:trPr>
          <w:trHeight w:val="552" w:hRule="atLeast"/>
        </w:trPr>
        <w:tc>
          <w:tcPr>
            <w:tcW w:w="6386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4.15Thickness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map 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second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geoelectric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layer</w:t>
            </w:r>
          </w:p>
        </w:tc>
        <w:tc>
          <w:tcPr>
            <w:tcW w:w="65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00" w:type="dxa"/>
          </w:tcPr>
          <w:p>
            <w:pPr>
              <w:pStyle w:val="TableParagraph"/>
              <w:spacing w:before="133"/>
              <w:ind w:left="209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</w:tr>
      <w:tr>
        <w:trPr>
          <w:trHeight w:val="551" w:hRule="atLeast"/>
        </w:trPr>
        <w:tc>
          <w:tcPr>
            <w:tcW w:w="6386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4.16Thickness map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third geoelectric layer</w:t>
            </w:r>
          </w:p>
        </w:tc>
        <w:tc>
          <w:tcPr>
            <w:tcW w:w="656" w:type="dxa"/>
          </w:tcPr>
          <w:p>
            <w:pPr>
              <w:pStyle w:val="TableParagraph"/>
              <w:spacing w:before="133"/>
              <w:ind w:left="205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50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958" w:hRule="atLeast"/>
        </w:trPr>
        <w:tc>
          <w:tcPr>
            <w:tcW w:w="6386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4.17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Thickness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fourth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geoelectric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layer</w:t>
            </w:r>
          </w:p>
          <w:p>
            <w:pPr>
              <w:pStyle w:val="TableParagraph"/>
              <w:spacing w:before="9"/>
              <w:rPr>
                <w:b/>
                <w:sz w:val="23"/>
              </w:rPr>
            </w:pPr>
          </w:p>
          <w:p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4.18 Groundwater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Potential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Map of 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Study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Area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66</w:t>
            </w:r>
          </w:p>
        </w:tc>
        <w:tc>
          <w:tcPr>
            <w:tcW w:w="65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00" w:type="dxa"/>
          </w:tcPr>
          <w:p>
            <w:pPr>
              <w:pStyle w:val="TableParagraph"/>
              <w:spacing w:before="133"/>
              <w:ind w:left="209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1067" w:top="1320" w:bottom="1260" w:left="1680" w:right="980"/>
        </w:sectPr>
      </w:pPr>
    </w:p>
    <w:p>
      <w:pPr>
        <w:pStyle w:val="Heading2"/>
        <w:ind w:left="297" w:right="420" w:firstLine="0"/>
        <w:jc w:val="center"/>
      </w:pPr>
      <w:r>
        <w:rPr/>
        <w:t>CHAPTER</w:t>
      </w:r>
      <w:r>
        <w:rPr>
          <w:spacing w:val="-2"/>
        </w:rPr>
        <w:t> </w:t>
      </w:r>
      <w:r>
        <w:rPr/>
        <w:t>ONE</w:t>
      </w:r>
    </w:p>
    <w:p>
      <w:pPr>
        <w:pStyle w:val="BodyText"/>
        <w:spacing w:before="3"/>
        <w:rPr>
          <w:b/>
          <w:sz w:val="16"/>
        </w:rPr>
      </w:pPr>
    </w:p>
    <w:p>
      <w:pPr>
        <w:pStyle w:val="ListParagraph"/>
        <w:numPr>
          <w:ilvl w:val="1"/>
          <w:numId w:val="6"/>
        </w:numPr>
        <w:tabs>
          <w:tab w:pos="1028" w:val="left" w:leader="none"/>
        </w:tabs>
        <w:spacing w:line="240" w:lineRule="auto" w:before="90" w:after="0"/>
        <w:ind w:left="1027" w:right="0" w:hanging="721"/>
        <w:jc w:val="both"/>
        <w:rPr>
          <w:b/>
          <w:sz w:val="24"/>
        </w:rPr>
      </w:pPr>
      <w:r>
        <w:rPr>
          <w:b/>
          <w:sz w:val="24"/>
        </w:rPr>
        <w:t>INTRODUCTION</w:t>
      </w:r>
    </w:p>
    <w:p>
      <w:pPr>
        <w:pStyle w:val="BodyText"/>
        <w:rPr>
          <w:b/>
        </w:rPr>
      </w:pPr>
    </w:p>
    <w:p>
      <w:pPr>
        <w:pStyle w:val="Heading2"/>
        <w:numPr>
          <w:ilvl w:val="1"/>
          <w:numId w:val="6"/>
        </w:numPr>
        <w:tabs>
          <w:tab w:pos="1028" w:val="left" w:leader="none"/>
        </w:tabs>
        <w:spacing w:line="240" w:lineRule="auto" w:before="0" w:after="0"/>
        <w:ind w:left="1027" w:right="0" w:hanging="721"/>
        <w:jc w:val="both"/>
      </w:pPr>
      <w:r>
        <w:rPr/>
        <w:t>Research</w:t>
      </w:r>
      <w:r>
        <w:rPr>
          <w:spacing w:val="-2"/>
        </w:rPr>
        <w:t> </w:t>
      </w:r>
      <w:r>
        <w:rPr/>
        <w:t>Background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307" w:right="425"/>
        <w:jc w:val="both"/>
      </w:pPr>
      <w:r>
        <w:rPr/>
        <w:t>The growth of any community is hinged on the availability of basic amenities such as</w:t>
      </w:r>
      <w:r>
        <w:rPr>
          <w:spacing w:val="1"/>
        </w:rPr>
        <w:t> </w:t>
      </w:r>
      <w:r>
        <w:rPr/>
        <w:t>water, good road network and electricity. The search for sustainable, clean and portable</w:t>
      </w:r>
      <w:r>
        <w:rPr>
          <w:spacing w:val="1"/>
        </w:rPr>
        <w:t> </w:t>
      </w:r>
      <w:r>
        <w:rPr/>
        <w:t>water is a struggle that will never end as it aids in the growth of any community (Salako</w:t>
      </w:r>
      <w:r>
        <w:rPr>
          <w:spacing w:val="-57"/>
        </w:rPr>
        <w:t> </w:t>
      </w:r>
      <w:r>
        <w:rPr>
          <w:i/>
        </w:rPr>
        <w:t>at al., </w:t>
      </w:r>
      <w:r>
        <w:rPr/>
        <w:t>2009).Water is a gift of nature and it is in a bounteous proportion, noticeable</w:t>
      </w:r>
      <w:r>
        <w:rPr>
          <w:spacing w:val="60"/>
        </w:rPr>
        <w:t> </w:t>
      </w:r>
      <w:r>
        <w:rPr/>
        <w:t>by</w:t>
      </w:r>
      <w:r>
        <w:rPr>
          <w:spacing w:val="1"/>
        </w:rPr>
        <w:t> </w:t>
      </w:r>
      <w:r>
        <w:rPr/>
        <w:t>its presence (surface, rain, and underground), with a quality of transformation through</w:t>
      </w:r>
      <w:r>
        <w:rPr>
          <w:spacing w:val="1"/>
        </w:rPr>
        <w:t> </w:t>
      </w:r>
      <w:r>
        <w:rPr/>
        <w:t>recurrent hydrological evaporation, condensation, and precipitation (Abdullahi </w:t>
      </w:r>
      <w:r>
        <w:rPr>
          <w:i/>
        </w:rPr>
        <w:t>et al.,</w:t>
      </w:r>
      <w:r>
        <w:rPr>
          <w:i/>
          <w:spacing w:val="1"/>
        </w:rPr>
        <w:t> </w:t>
      </w:r>
      <w:r>
        <w:rPr/>
        <w:t>2017). NigerStatein northcentralNigeriaexperiences an annual rainfallwhich ranges from</w:t>
      </w:r>
      <w:r>
        <w:rPr>
          <w:spacing w:val="-57"/>
        </w:rPr>
        <w:t> </w:t>
      </w:r>
      <w:r>
        <w:rPr/>
        <w:t>1200 mm to 1600 mm from the southern part of the state to the northernregion.The</w:t>
      </w:r>
      <w:r>
        <w:rPr>
          <w:spacing w:val="1"/>
        </w:rPr>
        <w:t> </w:t>
      </w:r>
      <w:r>
        <w:rPr/>
        <w:t>duration</w:t>
      </w:r>
      <w:r>
        <w:rPr>
          <w:spacing w:val="39"/>
        </w:rPr>
        <w:t> </w:t>
      </w:r>
      <w:r>
        <w:rPr/>
        <w:t>of</w:t>
      </w:r>
      <w:r>
        <w:rPr>
          <w:spacing w:val="38"/>
        </w:rPr>
        <w:t> </w:t>
      </w:r>
      <w:r>
        <w:rPr/>
        <w:t>the</w:t>
      </w:r>
      <w:r>
        <w:rPr>
          <w:spacing w:val="40"/>
        </w:rPr>
        <w:t> </w:t>
      </w:r>
      <w:r>
        <w:rPr/>
        <w:t>rainy</w:t>
      </w:r>
      <w:r>
        <w:rPr>
          <w:spacing w:val="34"/>
        </w:rPr>
        <w:t> </w:t>
      </w:r>
      <w:r>
        <w:rPr/>
        <w:t>seasonranges</w:t>
      </w:r>
      <w:r>
        <w:rPr>
          <w:spacing w:val="39"/>
        </w:rPr>
        <w:t> </w:t>
      </w:r>
      <w:r>
        <w:rPr/>
        <w:t>from</w:t>
      </w:r>
      <w:r>
        <w:rPr>
          <w:spacing w:val="40"/>
        </w:rPr>
        <w:t> </w:t>
      </w:r>
      <w:r>
        <w:rPr/>
        <w:t>120</w:t>
      </w:r>
      <w:r>
        <w:rPr>
          <w:spacing w:val="39"/>
        </w:rPr>
        <w:t> </w:t>
      </w:r>
      <w:r>
        <w:rPr/>
        <w:t>to</w:t>
      </w:r>
      <w:r>
        <w:rPr>
          <w:spacing w:val="37"/>
        </w:rPr>
        <w:t> </w:t>
      </w:r>
      <w:r>
        <w:rPr/>
        <w:t>150</w:t>
      </w:r>
      <w:r>
        <w:rPr>
          <w:spacing w:val="40"/>
        </w:rPr>
        <w:t> </w:t>
      </w:r>
      <w:r>
        <w:rPr/>
        <w:t>days</w:t>
      </w:r>
      <w:r>
        <w:rPr>
          <w:spacing w:val="39"/>
        </w:rPr>
        <w:t> </w:t>
      </w:r>
      <w:r>
        <w:rPr/>
        <w:t>or</w:t>
      </w:r>
      <w:r>
        <w:rPr>
          <w:spacing w:val="41"/>
        </w:rPr>
        <w:t> </w:t>
      </w:r>
      <w:r>
        <w:rPr/>
        <w:t>more</w:t>
      </w:r>
      <w:r>
        <w:rPr>
          <w:spacing w:val="39"/>
        </w:rPr>
        <w:t> </w:t>
      </w:r>
      <w:r>
        <w:rPr/>
        <w:t>from</w:t>
      </w:r>
      <w:r>
        <w:rPr>
          <w:spacing w:val="40"/>
        </w:rPr>
        <w:t> </w:t>
      </w:r>
      <w:r>
        <w:rPr/>
        <w:t>the</w:t>
      </w:r>
      <w:r>
        <w:rPr>
          <w:spacing w:val="39"/>
        </w:rPr>
        <w:t> </w:t>
      </w:r>
      <w:r>
        <w:rPr/>
        <w:t>north</w:t>
      </w:r>
      <w:r>
        <w:rPr>
          <w:spacing w:val="40"/>
        </w:rPr>
        <w:t> </w:t>
      </w:r>
      <w:r>
        <w:rPr/>
        <w:t>to</w:t>
      </w:r>
      <w:r>
        <w:rPr>
          <w:spacing w:val="-58"/>
        </w:rPr>
        <w:t> </w:t>
      </w:r>
      <w:r>
        <w:rPr/>
        <w:t>the</w:t>
      </w:r>
      <w:r>
        <w:rPr>
          <w:spacing w:val="-1"/>
        </w:rPr>
        <w:t> </w:t>
      </w:r>
      <w:r>
        <w:rPr/>
        <w:t>south</w:t>
      </w:r>
      <w:r>
        <w:rPr>
          <w:spacing w:val="-1"/>
        </w:rPr>
        <w:t> </w:t>
      </w:r>
      <w:r>
        <w:rPr/>
        <w:t>(baimba, 1978).</w:t>
      </w:r>
    </w:p>
    <w:p>
      <w:pPr>
        <w:pStyle w:val="BodyText"/>
        <w:spacing w:line="480" w:lineRule="auto" w:before="2"/>
        <w:ind w:left="307" w:right="427"/>
        <w:jc w:val="both"/>
      </w:pPr>
      <w:r>
        <w:rPr/>
        <w:t>Water resources are one of the most important materials in community development.</w:t>
      </w:r>
      <w:r>
        <w:rPr>
          <w:spacing w:val="1"/>
        </w:rPr>
        <w:t> </w:t>
      </w:r>
      <w:r>
        <w:rPr/>
        <w:t>Understanding the hydrogeological and hydro-chemical characteristics of an area is</w:t>
      </w:r>
      <w:r>
        <w:rPr>
          <w:spacing w:val="1"/>
        </w:rPr>
        <w:t> </w:t>
      </w:r>
      <w:r>
        <w:rPr/>
        <w:t>crucial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groundwater</w:t>
      </w:r>
      <w:r>
        <w:rPr>
          <w:spacing w:val="1"/>
        </w:rPr>
        <w:t> </w:t>
      </w:r>
      <w:r>
        <w:rPr/>
        <w:t>planning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development.</w:t>
      </w:r>
      <w:r>
        <w:rPr>
          <w:spacing w:val="1"/>
        </w:rPr>
        <w:t> </w:t>
      </w:r>
      <w:r>
        <w:rPr/>
        <w:t>Groundwater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immensely</w:t>
      </w:r>
      <w:r>
        <w:rPr>
          <w:spacing w:val="1"/>
        </w:rPr>
        <w:t> </w:t>
      </w:r>
      <w:r>
        <w:rPr/>
        <w:t>become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supply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urban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rural</w:t>
      </w:r>
      <w:r>
        <w:rPr>
          <w:spacing w:val="1"/>
        </w:rPr>
        <w:t> </w:t>
      </w:r>
      <w:r>
        <w:rPr/>
        <w:t>areas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developing nations for domestic, industrial and agricultural purpose (Durowaye</w:t>
      </w:r>
      <w:r>
        <w:rPr>
          <w:i/>
        </w:rPr>
        <w:t>et al.,</w:t>
      </w:r>
      <w:r>
        <w:rPr>
          <w:i/>
          <w:spacing w:val="1"/>
        </w:rPr>
        <w:t> </w:t>
      </w:r>
      <w:r>
        <w:rPr/>
        <w:t>2014). Portable and safe drinking water is a necessary requirement for the health and</w:t>
      </w:r>
      <w:r>
        <w:rPr>
          <w:spacing w:val="1"/>
        </w:rPr>
        <w:t> </w:t>
      </w:r>
      <w:r>
        <w:rPr/>
        <w:t>productive life of humans in any society. Ground water is a valuable source of portable</w:t>
      </w:r>
      <w:r>
        <w:rPr>
          <w:spacing w:val="1"/>
        </w:rPr>
        <w:t> </w:t>
      </w:r>
      <w:r>
        <w:rPr/>
        <w:t>drinking water in most of our urban and rural communities, and for industrial and</w:t>
      </w:r>
      <w:r>
        <w:rPr>
          <w:spacing w:val="1"/>
        </w:rPr>
        <w:t> </w:t>
      </w:r>
      <w:r>
        <w:rPr/>
        <w:t>agricultural applications. However, maintaining a portable ground water supply that is</w:t>
      </w:r>
      <w:r>
        <w:rPr>
          <w:spacing w:val="1"/>
        </w:rPr>
        <w:t> </w:t>
      </w:r>
      <w:r>
        <w:rPr/>
        <w:t>free from microbial and chemical contaminants is far from reality in most of our urban</w:t>
      </w:r>
      <w:r>
        <w:rPr>
          <w:spacing w:val="1"/>
        </w:rPr>
        <w:t> </w:t>
      </w:r>
      <w:r>
        <w:rPr/>
        <w:t>centers, due to poor waste disposal and management practices (</w:t>
      </w:r>
      <w:r>
        <w:rPr>
          <w:color w:val="121212"/>
        </w:rPr>
        <w:t>Chernico</w:t>
      </w:r>
      <w:r>
        <w:rPr>
          <w:rFonts w:ascii="Cambria Math" w:hAnsi="Cambria Math"/>
          <w:color w:val="121212"/>
        </w:rPr>
        <w:t>ﬀ </w:t>
      </w:r>
      <w:r>
        <w:rPr>
          <w:color w:val="121212"/>
        </w:rPr>
        <w:t>and Whitney,</w:t>
      </w:r>
      <w:r>
        <w:rPr>
          <w:color w:val="121212"/>
          <w:spacing w:val="-57"/>
        </w:rPr>
        <w:t> </w:t>
      </w:r>
      <w:r>
        <w:rPr/>
        <w:t>2009</w:t>
      </w:r>
      <w:r>
        <w:rPr>
          <w:color w:val="121212"/>
        </w:rPr>
        <w:t>).</w:t>
      </w:r>
    </w:p>
    <w:p>
      <w:pPr>
        <w:spacing w:after="0" w:line="480" w:lineRule="auto"/>
        <w:jc w:val="both"/>
        <w:sectPr>
          <w:footerReference w:type="default" r:id="rId7"/>
          <w:pgSz w:w="11910" w:h="16840"/>
          <w:pgMar w:footer="1067" w:header="0" w:top="1320" w:bottom="1260" w:left="1680" w:right="980"/>
          <w:pgNumType w:start="1"/>
        </w:sectPr>
      </w:pPr>
    </w:p>
    <w:p>
      <w:pPr>
        <w:pStyle w:val="BodyText"/>
        <w:spacing w:line="480" w:lineRule="auto" w:before="64"/>
        <w:ind w:left="307" w:right="427"/>
        <w:jc w:val="both"/>
      </w:pPr>
      <w:r>
        <w:rPr/>
        <w:t>Groundwater is that water found within the saturated voids beneath the ground. The</w:t>
      </w:r>
      <w:r>
        <w:rPr>
          <w:spacing w:val="1"/>
        </w:rPr>
        <w:t> </w:t>
      </w:r>
      <w:r>
        <w:rPr/>
        <w:t>source of groundwater is chiefly from precipitating atmospheric moisture which has</w:t>
      </w:r>
      <w:r>
        <w:rPr>
          <w:spacing w:val="1"/>
        </w:rPr>
        <w:t> </w:t>
      </w:r>
      <w:r>
        <w:rPr/>
        <w:t>percolated</w:t>
      </w:r>
      <w:r>
        <w:rPr>
          <w:spacing w:val="1"/>
        </w:rPr>
        <w:t> </w:t>
      </w:r>
      <w:r>
        <w:rPr/>
        <w:t>down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soil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subsoil</w:t>
      </w:r>
      <w:r>
        <w:rPr>
          <w:spacing w:val="1"/>
        </w:rPr>
        <w:t> </w:t>
      </w:r>
      <w:r>
        <w:rPr/>
        <w:t>layers.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availability,</w:t>
      </w:r>
      <w:r>
        <w:rPr>
          <w:spacing w:val="1"/>
        </w:rPr>
        <w:t> </w:t>
      </w:r>
      <w:r>
        <w:rPr/>
        <w:t>quantity,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exploitability of groundwater depend on the porosity and permeability of the host rocks</w:t>
      </w:r>
      <w:r>
        <w:rPr>
          <w:spacing w:val="1"/>
        </w:rPr>
        <w:t> </w:t>
      </w:r>
      <w:r>
        <w:rPr/>
        <w:t>(Obiora </w:t>
      </w:r>
      <w:r>
        <w:rPr>
          <w:i/>
        </w:rPr>
        <w:t>et al., </w:t>
      </w:r>
      <w:r>
        <w:rPr/>
        <w:t>2015). Both parameters play important roles in ground water movement</w:t>
      </w:r>
      <w:r>
        <w:rPr>
          <w:spacing w:val="1"/>
        </w:rPr>
        <w:t> </w:t>
      </w:r>
      <w:r>
        <w:rPr/>
        <w:t>and recovery. The porosity of a geologic material is the amount of water (fluid) the</w:t>
      </w:r>
      <w:r>
        <w:rPr>
          <w:spacing w:val="1"/>
        </w:rPr>
        <w:t> </w:t>
      </w:r>
      <w:r>
        <w:rPr/>
        <w:t>material can hold (Abdullahi </w:t>
      </w:r>
      <w:r>
        <w:rPr>
          <w:i/>
        </w:rPr>
        <w:t>et al., </w:t>
      </w:r>
      <w:r>
        <w:rPr/>
        <w:t>2017). It is the volume ratio of the pore spaces to the</w:t>
      </w:r>
      <w:r>
        <w:rPr>
          <w:spacing w:val="-57"/>
        </w:rPr>
        <w:t> </w:t>
      </w:r>
      <w:r>
        <w:rPr/>
        <w:t>total</w:t>
      </w:r>
      <w:r>
        <w:rPr>
          <w:spacing w:val="-1"/>
        </w:rPr>
        <w:t> </w:t>
      </w:r>
      <w:r>
        <w:rPr/>
        <w:t>volume of</w:t>
      </w:r>
      <w:r>
        <w:rPr>
          <w:spacing w:val="-2"/>
        </w:rPr>
        <w:t> </w:t>
      </w:r>
      <w:r>
        <w:rPr/>
        <w:t>soil, rock or sediment (Obiora</w:t>
      </w:r>
      <w:r>
        <w:rPr>
          <w:spacing w:val="3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al., </w:t>
      </w:r>
      <w:r>
        <w:rPr/>
        <w:t>2017).</w:t>
      </w:r>
    </w:p>
    <w:p>
      <w:pPr>
        <w:pStyle w:val="BodyText"/>
        <w:spacing w:line="480" w:lineRule="auto" w:before="2"/>
        <w:ind w:left="307" w:right="426"/>
        <w:jc w:val="both"/>
      </w:pPr>
      <w:r>
        <w:rPr/>
        <w:t>Groundwater as the main source of potable water supply for domestic, industrial and</w:t>
      </w:r>
      <w:r>
        <w:rPr>
          <w:spacing w:val="1"/>
        </w:rPr>
        <w:t> </w:t>
      </w:r>
      <w:r>
        <w:rPr/>
        <w:t>agricultural uses has been under intense pressure of degradation and contamination due</w:t>
      </w:r>
      <w:r>
        <w:rPr>
          <w:spacing w:val="1"/>
        </w:rPr>
        <w:t> </w:t>
      </w:r>
      <w:r>
        <w:rPr/>
        <w:t>to urbanisation, industrial and agricultural related activities (Belmonte </w:t>
      </w:r>
      <w:r>
        <w:rPr>
          <w:i/>
        </w:rPr>
        <w:t>et al., </w:t>
      </w:r>
      <w:r>
        <w:rPr/>
        <w:t>2004).</w:t>
      </w:r>
      <w:r>
        <w:rPr>
          <w:spacing w:val="1"/>
        </w:rPr>
        <w:t> </w:t>
      </w:r>
      <w:r>
        <w:rPr>
          <w:color w:val="121212"/>
        </w:rPr>
        <w:t>However, the present social demands are notonly to detect new groundwater resources</w:t>
      </w:r>
      <w:r>
        <w:rPr>
          <w:color w:val="121212"/>
          <w:spacing w:val="1"/>
        </w:rPr>
        <w:t> </w:t>
      </w:r>
      <w:r>
        <w:rPr>
          <w:color w:val="121212"/>
        </w:rPr>
        <w:t>but to protect them. The potability of</w:t>
      </w:r>
      <w:r>
        <w:rPr>
          <w:color w:val="121212"/>
          <w:spacing w:val="60"/>
        </w:rPr>
        <w:t> </w:t>
      </w:r>
      <w:r>
        <w:rPr>
          <w:color w:val="121212"/>
        </w:rPr>
        <w:t>groundwater can be contaminated by leachate</w:t>
      </w:r>
      <w:r>
        <w:rPr>
          <w:color w:val="121212"/>
          <w:spacing w:val="1"/>
        </w:rPr>
        <w:t> </w:t>
      </w:r>
      <w:r>
        <w:rPr>
          <w:color w:val="121212"/>
        </w:rPr>
        <w:t>from dumpsites, salt intrusion, oil spillage, mining activities, sewage (from latrines,</w:t>
      </w:r>
      <w:r>
        <w:rPr>
          <w:color w:val="121212"/>
          <w:spacing w:val="1"/>
        </w:rPr>
        <w:t> </w:t>
      </w:r>
      <w:r>
        <w:rPr>
          <w:color w:val="121212"/>
        </w:rPr>
        <w:t>underlined petroleum pipes and septic tanks) (Makeig,</w:t>
      </w:r>
      <w:r>
        <w:rPr/>
        <w:t>1982</w:t>
      </w:r>
      <w:r>
        <w:rPr>
          <w:color w:val="121212"/>
        </w:rPr>
        <w:t>). Dumpsites and latrines are</w:t>
      </w:r>
      <w:r>
        <w:rPr>
          <w:color w:val="121212"/>
          <w:spacing w:val="-57"/>
        </w:rPr>
        <w:t> </w:t>
      </w:r>
      <w:r>
        <w:rPr>
          <w:color w:val="121212"/>
        </w:rPr>
        <w:t>sited without considering the hydrogeological settings of the area, thereby rendering the</w:t>
      </w:r>
      <w:r>
        <w:rPr>
          <w:color w:val="121212"/>
          <w:spacing w:val="1"/>
        </w:rPr>
        <w:t> </w:t>
      </w:r>
      <w:r>
        <w:rPr>
          <w:color w:val="121212"/>
        </w:rPr>
        <w:t>future of groundwater at risk (Ugbaja and Edet,</w:t>
      </w:r>
      <w:r>
        <w:rPr/>
        <w:t>2004</w:t>
      </w:r>
      <w:r>
        <w:rPr>
          <w:color w:val="121212"/>
        </w:rPr>
        <w:t>). The widespread use of chemical</w:t>
      </w:r>
      <w:r>
        <w:rPr>
          <w:color w:val="121212"/>
          <w:spacing w:val="1"/>
        </w:rPr>
        <w:t> </w:t>
      </w:r>
      <w:r>
        <w:rPr>
          <w:color w:val="121212"/>
        </w:rPr>
        <w:t>products, coupled with the disposal of large volumes of waste materials, poses the</w:t>
      </w:r>
      <w:r>
        <w:rPr>
          <w:color w:val="121212"/>
          <w:spacing w:val="1"/>
        </w:rPr>
        <w:t> </w:t>
      </w:r>
      <w:r>
        <w:rPr>
          <w:color w:val="121212"/>
        </w:rPr>
        <w:t>potential for widely distributed groundwater contamination. Hazardous chemicals, such</w:t>
      </w:r>
      <w:r>
        <w:rPr>
          <w:color w:val="121212"/>
          <w:spacing w:val="1"/>
        </w:rPr>
        <w:t> </w:t>
      </w:r>
      <w:r>
        <w:rPr>
          <w:color w:val="121212"/>
        </w:rPr>
        <w:t>as pesticides, herbicides, and solvents, are used ubiquitously in everyday life. These and</w:t>
      </w:r>
      <w:r>
        <w:rPr>
          <w:color w:val="121212"/>
          <w:spacing w:val="-57"/>
        </w:rPr>
        <w:t> </w:t>
      </w:r>
      <w:r>
        <w:rPr>
          <w:color w:val="121212"/>
        </w:rPr>
        <w:t>a host of other chemicals are in widespread use in urban, industrial, and agricultural</w:t>
      </w:r>
      <w:r>
        <w:rPr>
          <w:color w:val="121212"/>
          <w:spacing w:val="1"/>
        </w:rPr>
        <w:t> </w:t>
      </w:r>
      <w:r>
        <w:rPr>
          <w:color w:val="121212"/>
        </w:rPr>
        <w:t>settings. Whether intentionally disposed of accidentally spilled, or applied to the ground</w:t>
      </w:r>
      <w:r>
        <w:rPr>
          <w:color w:val="121212"/>
          <w:spacing w:val="-57"/>
        </w:rPr>
        <w:t> </w:t>
      </w:r>
      <w:r>
        <w:rPr>
          <w:color w:val="121212"/>
        </w:rPr>
        <w:t>for agricultural reasons, some of these chemicals can eventually reach the groundwater</w:t>
      </w:r>
      <w:r>
        <w:rPr>
          <w:color w:val="121212"/>
          <w:spacing w:val="1"/>
        </w:rPr>
        <w:t> </w:t>
      </w:r>
      <w:r>
        <w:rPr>
          <w:color w:val="121212"/>
        </w:rPr>
        <w:t>and contaminate it. Because of the volumes of toxic wastes and because of their stability</w:t>
      </w:r>
      <w:r>
        <w:rPr>
          <w:color w:val="121212"/>
          <w:spacing w:val="-57"/>
        </w:rPr>
        <w:t> </w:t>
      </w:r>
      <w:r>
        <w:rPr>
          <w:color w:val="121212"/>
        </w:rPr>
        <w:t>in</w:t>
      </w:r>
      <w:r>
        <w:rPr>
          <w:color w:val="121212"/>
          <w:spacing w:val="20"/>
        </w:rPr>
        <w:t> </w:t>
      </w:r>
      <w:r>
        <w:rPr>
          <w:color w:val="121212"/>
        </w:rPr>
        <w:t>groundwater,</w:t>
      </w:r>
      <w:r>
        <w:rPr>
          <w:color w:val="121212"/>
          <w:spacing w:val="20"/>
        </w:rPr>
        <w:t> </w:t>
      </w:r>
      <w:r>
        <w:rPr>
          <w:color w:val="121212"/>
        </w:rPr>
        <w:t>such</w:t>
      </w:r>
      <w:r>
        <w:rPr>
          <w:color w:val="121212"/>
          <w:spacing w:val="23"/>
        </w:rPr>
        <w:t> </w:t>
      </w:r>
      <w:r>
        <w:rPr>
          <w:color w:val="121212"/>
        </w:rPr>
        <w:t>contamination</w:t>
      </w:r>
      <w:r>
        <w:rPr>
          <w:color w:val="121212"/>
          <w:spacing w:val="20"/>
        </w:rPr>
        <w:t> </w:t>
      </w:r>
      <w:r>
        <w:rPr>
          <w:color w:val="121212"/>
        </w:rPr>
        <w:t>can</w:t>
      </w:r>
      <w:r>
        <w:rPr>
          <w:color w:val="121212"/>
          <w:spacing w:val="21"/>
        </w:rPr>
        <w:t> </w:t>
      </w:r>
      <w:r>
        <w:rPr>
          <w:color w:val="121212"/>
        </w:rPr>
        <w:t>pose</w:t>
      </w:r>
      <w:r>
        <w:rPr>
          <w:color w:val="121212"/>
          <w:spacing w:val="20"/>
        </w:rPr>
        <w:t> </w:t>
      </w:r>
      <w:r>
        <w:rPr>
          <w:color w:val="121212"/>
        </w:rPr>
        <w:t>a</w:t>
      </w:r>
      <w:r>
        <w:rPr>
          <w:color w:val="121212"/>
          <w:spacing w:val="22"/>
        </w:rPr>
        <w:t> </w:t>
      </w:r>
      <w:r>
        <w:rPr>
          <w:color w:val="121212"/>
        </w:rPr>
        <w:t>serious</w:t>
      </w:r>
      <w:r>
        <w:rPr>
          <w:color w:val="121212"/>
          <w:spacing w:val="20"/>
        </w:rPr>
        <w:t> </w:t>
      </w:r>
      <w:r>
        <w:rPr>
          <w:color w:val="121212"/>
        </w:rPr>
        <w:t>threat</w:t>
      </w:r>
      <w:r>
        <w:rPr>
          <w:color w:val="121212"/>
          <w:spacing w:val="21"/>
        </w:rPr>
        <w:t> </w:t>
      </w:r>
      <w:r>
        <w:rPr>
          <w:color w:val="121212"/>
        </w:rPr>
        <w:t>to</w:t>
      </w:r>
      <w:r>
        <w:rPr>
          <w:color w:val="121212"/>
          <w:spacing w:val="21"/>
        </w:rPr>
        <w:t> </w:t>
      </w:r>
      <w:r>
        <w:rPr>
          <w:color w:val="121212"/>
        </w:rPr>
        <w:t>public</w:t>
      </w:r>
      <w:r>
        <w:rPr>
          <w:color w:val="121212"/>
          <w:spacing w:val="20"/>
        </w:rPr>
        <w:t> </w:t>
      </w:r>
      <w:r>
        <w:rPr>
          <w:color w:val="121212"/>
        </w:rPr>
        <w:t>health.</w:t>
      </w:r>
      <w:r>
        <w:rPr>
          <w:color w:val="121212"/>
          <w:spacing w:val="20"/>
        </w:rPr>
        <w:t> </w:t>
      </w:r>
      <w:r>
        <w:rPr>
          <w:color w:val="121212"/>
        </w:rPr>
        <w:t>Almost</w:t>
      </w:r>
    </w:p>
    <w:p>
      <w:pPr>
        <w:spacing w:after="0" w:line="480" w:lineRule="auto"/>
        <w:jc w:val="both"/>
        <w:sectPr>
          <w:pgSz w:w="11910" w:h="16840"/>
          <w:pgMar w:header="0" w:footer="1067" w:top="1320" w:bottom="1260" w:left="1680" w:right="980"/>
        </w:sectPr>
      </w:pPr>
    </w:p>
    <w:p>
      <w:pPr>
        <w:pStyle w:val="BodyText"/>
        <w:spacing w:line="480" w:lineRule="auto" w:before="64"/>
        <w:ind w:left="307" w:right="426"/>
        <w:jc w:val="both"/>
      </w:pPr>
      <w:r>
        <w:rPr>
          <w:color w:val="121212"/>
        </w:rPr>
        <w:t>every major industrial and agricultural site has in the past disposed of its wastes on site,</w:t>
      </w:r>
      <w:r>
        <w:rPr>
          <w:color w:val="121212"/>
          <w:spacing w:val="1"/>
        </w:rPr>
        <w:t> </w:t>
      </w:r>
      <w:r>
        <w:rPr>
          <w:color w:val="121212"/>
        </w:rPr>
        <w:t>often</w:t>
      </w:r>
      <w:r>
        <w:rPr>
          <w:color w:val="121212"/>
          <w:spacing w:val="1"/>
        </w:rPr>
        <w:t> </w:t>
      </w:r>
      <w:r>
        <w:rPr>
          <w:color w:val="121212"/>
        </w:rPr>
        <w:t>in</w:t>
      </w:r>
      <w:r>
        <w:rPr>
          <w:color w:val="121212"/>
          <w:spacing w:val="1"/>
        </w:rPr>
        <w:t> </w:t>
      </w:r>
      <w:r>
        <w:rPr>
          <w:color w:val="121212"/>
        </w:rPr>
        <w:t>an</w:t>
      </w:r>
      <w:r>
        <w:rPr>
          <w:color w:val="121212"/>
          <w:spacing w:val="1"/>
        </w:rPr>
        <w:t> </w:t>
      </w:r>
      <w:r>
        <w:rPr>
          <w:color w:val="121212"/>
        </w:rPr>
        <w:t>inconspicuous</w:t>
      </w:r>
      <w:r>
        <w:rPr>
          <w:color w:val="121212"/>
          <w:spacing w:val="1"/>
        </w:rPr>
        <w:t> </w:t>
      </w:r>
      <w:r>
        <w:rPr>
          <w:color w:val="121212"/>
        </w:rPr>
        <w:t>location</w:t>
      </w:r>
      <w:r>
        <w:rPr>
          <w:color w:val="121212"/>
          <w:spacing w:val="1"/>
        </w:rPr>
        <w:t> </w:t>
      </w:r>
      <w:r>
        <w:rPr>
          <w:color w:val="121212"/>
        </w:rPr>
        <w:t>on</w:t>
      </w:r>
      <w:r>
        <w:rPr>
          <w:color w:val="121212"/>
          <w:spacing w:val="1"/>
        </w:rPr>
        <w:t> </w:t>
      </w:r>
      <w:r>
        <w:rPr>
          <w:color w:val="121212"/>
        </w:rPr>
        <w:t>the property.</w:t>
      </w:r>
      <w:r>
        <w:rPr>
          <w:color w:val="121212"/>
          <w:spacing w:val="1"/>
        </w:rPr>
        <w:t> </w:t>
      </w:r>
      <w:r>
        <w:rPr>
          <w:color w:val="121212"/>
        </w:rPr>
        <w:t>Every municipality has</w:t>
      </w:r>
      <w:r>
        <w:rPr>
          <w:color w:val="121212"/>
          <w:spacing w:val="1"/>
        </w:rPr>
        <w:t> </w:t>
      </w:r>
      <w:r>
        <w:rPr>
          <w:color w:val="121212"/>
        </w:rPr>
        <w:t>had</w:t>
      </w:r>
      <w:r>
        <w:rPr>
          <w:color w:val="121212"/>
          <w:spacing w:val="1"/>
        </w:rPr>
        <w:t> </w:t>
      </w:r>
      <w:r>
        <w:rPr>
          <w:color w:val="121212"/>
        </w:rPr>
        <w:t>to</w:t>
      </w:r>
      <w:r>
        <w:rPr>
          <w:color w:val="121212"/>
          <w:spacing w:val="1"/>
        </w:rPr>
        <w:t> </w:t>
      </w:r>
      <w:r>
        <w:rPr>
          <w:color w:val="121212"/>
        </w:rPr>
        <w:t>dispose</w:t>
      </w:r>
      <w:r>
        <w:rPr>
          <w:color w:val="121212"/>
          <w:spacing w:val="1"/>
        </w:rPr>
        <w:t> </w:t>
      </w:r>
      <w:r>
        <w:rPr>
          <w:color w:val="121212"/>
        </w:rPr>
        <w:t>of</w:t>
      </w:r>
      <w:r>
        <w:rPr>
          <w:color w:val="121212"/>
          <w:spacing w:val="1"/>
        </w:rPr>
        <w:t> </w:t>
      </w:r>
      <w:r>
        <w:rPr>
          <w:color w:val="121212"/>
        </w:rPr>
        <w:t>its</w:t>
      </w:r>
      <w:r>
        <w:rPr>
          <w:color w:val="121212"/>
          <w:spacing w:val="1"/>
        </w:rPr>
        <w:t> </w:t>
      </w:r>
      <w:r>
        <w:rPr>
          <w:color w:val="121212"/>
        </w:rPr>
        <w:t>waste</w:t>
      </w:r>
      <w:r>
        <w:rPr>
          <w:color w:val="121212"/>
          <w:spacing w:val="1"/>
        </w:rPr>
        <w:t> </w:t>
      </w:r>
      <w:r>
        <w:rPr>
          <w:color w:val="121212"/>
        </w:rPr>
        <w:t>at</w:t>
      </w:r>
      <w:r>
        <w:rPr>
          <w:color w:val="121212"/>
          <w:spacing w:val="1"/>
        </w:rPr>
        <w:t> </w:t>
      </w:r>
      <w:r>
        <w:rPr>
          <w:color w:val="121212"/>
        </w:rPr>
        <w:t>selectedlocations</w:t>
      </w:r>
      <w:r>
        <w:rPr>
          <w:color w:val="121212"/>
          <w:spacing w:val="1"/>
        </w:rPr>
        <w:t> </w:t>
      </w:r>
      <w:r>
        <w:rPr>
          <w:color w:val="121212"/>
        </w:rPr>
        <w:t>within</w:t>
      </w:r>
      <w:r>
        <w:rPr>
          <w:color w:val="121212"/>
          <w:spacing w:val="1"/>
        </w:rPr>
        <w:t> </w:t>
      </w:r>
      <w:r>
        <w:rPr>
          <w:color w:val="121212"/>
        </w:rPr>
        <w:t>its</w:t>
      </w:r>
      <w:r>
        <w:rPr>
          <w:color w:val="121212"/>
          <w:spacing w:val="1"/>
        </w:rPr>
        <w:t> </w:t>
      </w:r>
      <w:r>
        <w:rPr>
          <w:color w:val="121212"/>
        </w:rPr>
        <w:t>proximity.</w:t>
      </w:r>
      <w:r>
        <w:rPr>
          <w:color w:val="121212"/>
          <w:spacing w:val="1"/>
        </w:rPr>
        <w:t> </w:t>
      </w:r>
      <w:r>
        <w:rPr>
          <w:color w:val="121212"/>
        </w:rPr>
        <w:t>Past</w:t>
      </w:r>
      <w:r>
        <w:rPr>
          <w:color w:val="121212"/>
          <w:spacing w:val="1"/>
        </w:rPr>
        <w:t> </w:t>
      </w:r>
      <w:r>
        <w:rPr>
          <w:color w:val="121212"/>
        </w:rPr>
        <w:t>waste-</w:t>
      </w:r>
      <w:r>
        <w:rPr>
          <w:color w:val="121212"/>
          <w:spacing w:val="1"/>
        </w:rPr>
        <w:t> </w:t>
      </w:r>
      <w:r>
        <w:rPr>
          <w:color w:val="121212"/>
        </w:rPr>
        <w:t>disposalpractices and dealing with spills have not always been considered as potential</w:t>
      </w:r>
      <w:r>
        <w:rPr>
          <w:color w:val="121212"/>
          <w:spacing w:val="1"/>
        </w:rPr>
        <w:t> </w:t>
      </w:r>
      <w:r>
        <w:rPr>
          <w:color w:val="121212"/>
        </w:rPr>
        <w:t>for</w:t>
      </w:r>
      <w:r>
        <w:rPr>
          <w:color w:val="121212"/>
          <w:spacing w:val="-1"/>
        </w:rPr>
        <w:t> </w:t>
      </w:r>
      <w:r>
        <w:rPr>
          <w:color w:val="121212"/>
        </w:rPr>
        <w:t>groundwater</w:t>
      </w:r>
      <w:r>
        <w:rPr>
          <w:color w:val="121212"/>
          <w:spacing w:val="-2"/>
        </w:rPr>
        <w:t> </w:t>
      </w:r>
      <w:r>
        <w:rPr>
          <w:color w:val="121212"/>
        </w:rPr>
        <w:t>contamination.</w:t>
      </w:r>
    </w:p>
    <w:p>
      <w:pPr>
        <w:pStyle w:val="BodyText"/>
        <w:spacing w:line="480" w:lineRule="auto" w:before="1"/>
        <w:ind w:left="307" w:right="426"/>
        <w:jc w:val="both"/>
      </w:pPr>
      <w:r>
        <w:rPr>
          <w:color w:val="121212"/>
        </w:rPr>
        <w:t>The</w:t>
      </w:r>
      <w:r>
        <w:rPr>
          <w:color w:val="121212"/>
          <w:spacing w:val="1"/>
        </w:rPr>
        <w:t> </w:t>
      </w:r>
      <w:r>
        <w:rPr>
          <w:color w:val="121212"/>
        </w:rPr>
        <w:t>rate</w:t>
      </w:r>
      <w:r>
        <w:rPr>
          <w:color w:val="121212"/>
          <w:spacing w:val="1"/>
        </w:rPr>
        <w:t> </w:t>
      </w:r>
      <w:r>
        <w:rPr>
          <w:color w:val="121212"/>
        </w:rPr>
        <w:t>of</w:t>
      </w:r>
      <w:r>
        <w:rPr>
          <w:color w:val="121212"/>
          <w:spacing w:val="1"/>
        </w:rPr>
        <w:t> </w:t>
      </w:r>
      <w:r>
        <w:rPr>
          <w:color w:val="121212"/>
        </w:rPr>
        <w:t>groundwater</w:t>
      </w:r>
      <w:r>
        <w:rPr>
          <w:color w:val="121212"/>
          <w:spacing w:val="1"/>
        </w:rPr>
        <w:t> </w:t>
      </w:r>
      <w:r>
        <w:rPr>
          <w:color w:val="121212"/>
        </w:rPr>
        <w:t>contamination</w:t>
      </w:r>
      <w:r>
        <w:rPr>
          <w:color w:val="121212"/>
          <w:spacing w:val="1"/>
        </w:rPr>
        <w:t> </w:t>
      </w:r>
      <w:r>
        <w:rPr>
          <w:color w:val="121212"/>
        </w:rPr>
        <w:t>depends</w:t>
      </w:r>
      <w:r>
        <w:rPr>
          <w:color w:val="121212"/>
          <w:spacing w:val="1"/>
        </w:rPr>
        <w:t> </w:t>
      </w:r>
      <w:r>
        <w:rPr>
          <w:color w:val="121212"/>
        </w:rPr>
        <w:t>on</w:t>
      </w:r>
      <w:r>
        <w:rPr>
          <w:color w:val="121212"/>
          <w:spacing w:val="1"/>
        </w:rPr>
        <w:t> </w:t>
      </w:r>
      <w:r>
        <w:rPr>
          <w:color w:val="121212"/>
        </w:rPr>
        <w:t>permeability,</w:t>
      </w:r>
      <w:r>
        <w:rPr>
          <w:color w:val="121212"/>
          <w:spacing w:val="1"/>
        </w:rPr>
        <w:t> </w:t>
      </w:r>
      <w:r>
        <w:rPr>
          <w:color w:val="121212"/>
        </w:rPr>
        <w:t>porosity,</w:t>
      </w:r>
      <w:r>
        <w:rPr>
          <w:color w:val="121212"/>
          <w:spacing w:val="1"/>
        </w:rPr>
        <w:t> </w:t>
      </w:r>
      <w:r>
        <w:rPr>
          <w:color w:val="121212"/>
        </w:rPr>
        <w:t>and</w:t>
      </w:r>
      <w:r>
        <w:rPr>
          <w:color w:val="121212"/>
          <w:spacing w:val="1"/>
        </w:rPr>
        <w:t> </w:t>
      </w:r>
      <w:r>
        <w:rPr>
          <w:color w:val="121212"/>
        </w:rPr>
        <w:t>overburden thickness of geologic formations. When the underlying geologic material is</w:t>
      </w:r>
      <w:r>
        <w:rPr>
          <w:color w:val="121212"/>
          <w:spacing w:val="1"/>
        </w:rPr>
        <w:t> </w:t>
      </w:r>
      <w:r>
        <w:rPr>
          <w:color w:val="121212"/>
        </w:rPr>
        <w:t>unconsolidated and uncompacted, such as coarse sand, the polluting inﬂuent are capable</w:t>
      </w:r>
      <w:r>
        <w:rPr>
          <w:color w:val="121212"/>
          <w:spacing w:val="-57"/>
        </w:rPr>
        <w:t> </w:t>
      </w:r>
      <w:r>
        <w:rPr>
          <w:color w:val="121212"/>
        </w:rPr>
        <w:t>of escaping into the subsurface to contaminate groundwater, rendering the soil corrosive</w:t>
      </w:r>
      <w:r>
        <w:rPr>
          <w:color w:val="121212"/>
          <w:spacing w:val="-57"/>
        </w:rPr>
        <w:t> </w:t>
      </w:r>
      <w:r>
        <w:rPr>
          <w:color w:val="121212"/>
        </w:rPr>
        <w:t>and forming a polluting plume that extends hundreds of meters (Keswick </w:t>
      </w:r>
      <w:r>
        <w:rPr>
          <w:i/>
          <w:color w:val="121212"/>
        </w:rPr>
        <w:t>et al.</w:t>
      </w:r>
      <w:r>
        <w:rPr>
          <w:color w:val="121212"/>
        </w:rPr>
        <w:t>,</w:t>
      </w:r>
      <w:r>
        <w:rPr/>
        <w:t>1982</w:t>
      </w:r>
      <w:r>
        <w:rPr>
          <w:color w:val="121212"/>
        </w:rPr>
        <w:t>).</w:t>
      </w:r>
      <w:r>
        <w:rPr>
          <w:color w:val="121212"/>
          <w:spacing w:val="1"/>
        </w:rPr>
        <w:t> </w:t>
      </w:r>
      <w:r>
        <w:rPr>
          <w:color w:val="121212"/>
        </w:rPr>
        <w:t>Using</w:t>
      </w:r>
      <w:r>
        <w:rPr>
          <w:color w:val="121212"/>
          <w:spacing w:val="1"/>
        </w:rPr>
        <w:t> </w:t>
      </w:r>
      <w:r>
        <w:rPr>
          <w:color w:val="121212"/>
        </w:rPr>
        <w:t>electrical</w:t>
      </w:r>
      <w:r>
        <w:rPr>
          <w:color w:val="121212"/>
          <w:spacing w:val="1"/>
        </w:rPr>
        <w:t> </w:t>
      </w:r>
      <w:r>
        <w:rPr>
          <w:color w:val="121212"/>
        </w:rPr>
        <w:t>resistivity</w:t>
      </w:r>
      <w:r>
        <w:rPr>
          <w:color w:val="121212"/>
          <w:spacing w:val="1"/>
        </w:rPr>
        <w:t> </w:t>
      </w:r>
      <w:r>
        <w:rPr>
          <w:color w:val="121212"/>
        </w:rPr>
        <w:t>method</w:t>
      </w:r>
      <w:r>
        <w:rPr>
          <w:color w:val="121212"/>
          <w:spacing w:val="1"/>
        </w:rPr>
        <w:t> </w:t>
      </w:r>
      <w:r>
        <w:rPr>
          <w:color w:val="121212"/>
        </w:rPr>
        <w:t>and</w:t>
      </w:r>
      <w:r>
        <w:rPr>
          <w:color w:val="121212"/>
          <w:spacing w:val="1"/>
        </w:rPr>
        <w:t> </w:t>
      </w:r>
      <w:r>
        <w:rPr>
          <w:color w:val="121212"/>
        </w:rPr>
        <w:t>borehole</w:t>
      </w:r>
      <w:r>
        <w:rPr>
          <w:color w:val="121212"/>
          <w:spacing w:val="1"/>
        </w:rPr>
        <w:t> </w:t>
      </w:r>
      <w:r>
        <w:rPr>
          <w:color w:val="121212"/>
        </w:rPr>
        <w:t>lithologic</w:t>
      </w:r>
      <w:r>
        <w:rPr>
          <w:color w:val="121212"/>
          <w:spacing w:val="1"/>
        </w:rPr>
        <w:t> </w:t>
      </w:r>
      <w:r>
        <w:rPr>
          <w:color w:val="121212"/>
        </w:rPr>
        <w:t>logs,</w:t>
      </w:r>
      <w:r>
        <w:rPr/>
        <w:t>(</w:t>
      </w:r>
      <w:r>
        <w:rPr>
          <w:color w:val="121212"/>
        </w:rPr>
        <w:t>Dan-Hassan</w:t>
      </w:r>
      <w:r>
        <w:rPr>
          <w:color w:val="121212"/>
          <w:spacing w:val="1"/>
        </w:rPr>
        <w:t> </w:t>
      </w:r>
      <w:r>
        <w:rPr/>
        <w:t>2001</w:t>
      </w:r>
      <w:r>
        <w:rPr>
          <w:color w:val="121212"/>
        </w:rPr>
        <w:t>)</w:t>
      </w:r>
      <w:r>
        <w:rPr>
          <w:color w:val="121212"/>
          <w:spacing w:val="-57"/>
        </w:rPr>
        <w:t> </w:t>
      </w:r>
      <w:r>
        <w:rPr>
          <w:color w:val="121212"/>
        </w:rPr>
        <w:t>found out that the aquifers of the basement complex rocks of north–central Nigeria are</w:t>
      </w:r>
      <w:r>
        <w:rPr>
          <w:color w:val="121212"/>
          <w:spacing w:val="1"/>
        </w:rPr>
        <w:t> </w:t>
      </w:r>
      <w:r>
        <w:rPr>
          <w:color w:val="121212"/>
        </w:rPr>
        <w:t>predominantly</w:t>
      </w:r>
      <w:r>
        <w:rPr>
          <w:color w:val="121212"/>
          <w:spacing w:val="-6"/>
        </w:rPr>
        <w:t> </w:t>
      </w:r>
      <w:r>
        <w:rPr>
          <w:color w:val="121212"/>
        </w:rPr>
        <w:t>weathered</w:t>
      </w:r>
      <w:r>
        <w:rPr>
          <w:color w:val="121212"/>
          <w:spacing w:val="2"/>
        </w:rPr>
        <w:t> </w:t>
      </w:r>
      <w:r>
        <w:rPr>
          <w:color w:val="121212"/>
        </w:rPr>
        <w:t>overburden</w:t>
      </w:r>
      <w:r>
        <w:rPr>
          <w:color w:val="121212"/>
          <w:spacing w:val="2"/>
        </w:rPr>
        <w:t> </w:t>
      </w:r>
      <w:r>
        <w:rPr>
          <w:color w:val="121212"/>
        </w:rPr>
        <w:t>aquifers.</w:t>
      </w:r>
    </w:p>
    <w:p>
      <w:pPr>
        <w:pStyle w:val="BodyText"/>
        <w:spacing w:line="480" w:lineRule="auto" w:before="1"/>
        <w:ind w:left="307" w:right="430"/>
        <w:jc w:val="both"/>
      </w:pPr>
      <w:r>
        <w:rPr/>
        <w:t>Corrosion is the degradation of a substance or its properties due to a reaction with the</w:t>
      </w:r>
      <w:r>
        <w:rPr>
          <w:spacing w:val="1"/>
        </w:rPr>
        <w:t> </w:t>
      </w:r>
      <w:r>
        <w:rPr/>
        <w:t>environment</w:t>
      </w:r>
      <w:r>
        <w:rPr>
          <w:spacing w:val="1"/>
        </w:rPr>
        <w:t> </w:t>
      </w:r>
      <w:r>
        <w:rPr/>
        <w:t>(Ahmad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2016).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exists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virtually all</w:t>
      </w:r>
      <w:r>
        <w:rPr>
          <w:spacing w:val="1"/>
        </w:rPr>
        <w:t> </w:t>
      </w:r>
      <w:r>
        <w:rPr/>
        <w:t>surface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subsurface</w:t>
      </w:r>
      <w:r>
        <w:rPr>
          <w:spacing w:val="-57"/>
        </w:rPr>
        <w:t> </w:t>
      </w:r>
      <w:r>
        <w:rPr/>
        <w:t>materials. However, it is most often associated with metals. Soil corrosion is a natural or</w:t>
      </w:r>
      <w:r>
        <w:rPr>
          <w:spacing w:val="-57"/>
        </w:rPr>
        <w:t> </w:t>
      </w:r>
      <w:r>
        <w:rPr/>
        <w:t>artificial occurring process where the soil structure is oxidised or reduced to a corrosion</w:t>
      </w:r>
      <w:r>
        <w:rPr>
          <w:spacing w:val="1"/>
        </w:rPr>
        <w:t> </w:t>
      </w:r>
      <w:r>
        <w:rPr/>
        <w:t>product such as “contaminated soil” by chemical or electrochemical reaction with the</w:t>
      </w:r>
      <w:r>
        <w:rPr>
          <w:spacing w:val="1"/>
        </w:rPr>
        <w:t> </w:t>
      </w:r>
      <w:r>
        <w:rPr/>
        <w:t>environment</w:t>
      </w:r>
      <w:r>
        <w:rPr>
          <w:spacing w:val="-1"/>
        </w:rPr>
        <w:t> </w:t>
      </w:r>
      <w:r>
        <w:rPr/>
        <w:t>(Revie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Uhlig, 2008).</w:t>
      </w:r>
    </w:p>
    <w:p>
      <w:pPr>
        <w:pStyle w:val="BodyText"/>
        <w:spacing w:line="480" w:lineRule="auto" w:before="160"/>
        <w:ind w:left="307" w:right="424"/>
        <w:jc w:val="both"/>
      </w:pPr>
      <w:r>
        <w:rPr/>
        <w:t>Generally, corrosive soils contain large concentrations of soluble salts, especially in the</w:t>
      </w:r>
      <w:r>
        <w:rPr>
          <w:spacing w:val="1"/>
        </w:rPr>
        <w:t> </w:t>
      </w:r>
      <w:r>
        <w:rPr/>
        <w:t>form of sulphates, chlorides and bicarbonates and may thus be characterised by high</w:t>
      </w:r>
      <w:r>
        <w:rPr>
          <w:spacing w:val="1"/>
        </w:rPr>
        <w:t> </w:t>
      </w:r>
      <w:r>
        <w:rPr/>
        <w:t>acidity (low pH) or high alkalinity (high pH) (Ahmad </w:t>
      </w:r>
      <w:r>
        <w:rPr>
          <w:i/>
        </w:rPr>
        <w:t>et al., </w:t>
      </w:r>
      <w:r>
        <w:rPr/>
        <w:t>2016). Soils with high clay</w:t>
      </w:r>
      <w:r>
        <w:rPr>
          <w:spacing w:val="1"/>
        </w:rPr>
        <w:t> </w:t>
      </w:r>
      <w:r>
        <w:rPr/>
        <w:t>and silt contents are usually characterised by fine texture, high water-holding capacity</w:t>
      </w:r>
      <w:r>
        <w:rPr>
          <w:spacing w:val="1"/>
        </w:rPr>
        <w:t> </w:t>
      </w:r>
      <w:r>
        <w:rPr/>
        <w:t>and consequently, are usually poorly aerated and drained (Bullard </w:t>
      </w:r>
      <w:r>
        <w:rPr>
          <w:i/>
        </w:rPr>
        <w:t>et al., </w:t>
      </w:r>
      <w:r>
        <w:rPr/>
        <w:t>2004). Thus,</w:t>
      </w:r>
      <w:r>
        <w:rPr>
          <w:spacing w:val="1"/>
        </w:rPr>
        <w:t> </w:t>
      </w:r>
      <w:r>
        <w:rPr/>
        <w:t>they</w:t>
      </w:r>
      <w:r>
        <w:rPr>
          <w:spacing w:val="-3"/>
        </w:rPr>
        <w:t> </w:t>
      </w:r>
      <w:r>
        <w:rPr/>
        <w:t>are also</w:t>
      </w:r>
      <w:r>
        <w:rPr>
          <w:spacing w:val="3"/>
        </w:rPr>
        <w:t> </w:t>
      </w:r>
      <w:r>
        <w:rPr/>
        <w:t>prone to</w:t>
      </w:r>
      <w:r>
        <w:rPr>
          <w:spacing w:val="2"/>
        </w:rPr>
        <w:t> </w:t>
      </w:r>
      <w:r>
        <w:rPr/>
        <w:t>be</w:t>
      </w:r>
      <w:r>
        <w:rPr>
          <w:spacing w:val="4"/>
        </w:rPr>
        <w:t> </w:t>
      </w:r>
      <w:r>
        <w:rPr/>
        <w:t>potentially</w:t>
      </w:r>
      <w:r>
        <w:rPr>
          <w:spacing w:val="-6"/>
        </w:rPr>
        <w:t> </w:t>
      </w:r>
      <w:r>
        <w:rPr/>
        <w:t>more corrosion</w:t>
      </w:r>
      <w:r>
        <w:rPr>
          <w:spacing w:val="3"/>
        </w:rPr>
        <w:t> </w:t>
      </w:r>
      <w:r>
        <w:rPr/>
        <w:t>than</w:t>
      </w:r>
      <w:r>
        <w:rPr>
          <w:spacing w:val="1"/>
        </w:rPr>
        <w:t> </w:t>
      </w:r>
      <w:r>
        <w:rPr/>
        <w:t>coarse-textured</w:t>
      </w:r>
      <w:r>
        <w:rPr>
          <w:spacing w:val="2"/>
        </w:rPr>
        <w:t> </w:t>
      </w:r>
      <w:r>
        <w:rPr/>
        <w:t>soils</w:t>
      </w:r>
      <w:r>
        <w:rPr>
          <w:spacing w:val="3"/>
        </w:rPr>
        <w:t> </w:t>
      </w:r>
      <w:r>
        <w:rPr/>
        <w:t>like</w:t>
      </w:r>
      <w:r>
        <w:rPr>
          <w:spacing w:val="1"/>
        </w:rPr>
        <w:t> </w:t>
      </w:r>
      <w:r>
        <w:rPr/>
        <w:t>sands</w:t>
      </w:r>
    </w:p>
    <w:p>
      <w:pPr>
        <w:spacing w:after="0" w:line="480" w:lineRule="auto"/>
        <w:jc w:val="both"/>
        <w:sectPr>
          <w:pgSz w:w="11910" w:h="16840"/>
          <w:pgMar w:header="0" w:footer="1067" w:top="1320" w:bottom="1260" w:left="1680" w:right="980"/>
        </w:sectPr>
      </w:pPr>
    </w:p>
    <w:p>
      <w:pPr>
        <w:pStyle w:val="BodyText"/>
        <w:spacing w:line="480" w:lineRule="auto" w:before="64"/>
        <w:ind w:left="307" w:right="425"/>
        <w:jc w:val="both"/>
      </w:pPr>
      <w:r>
        <w:rPr/>
        <w:t>and gravels where there is greater circulation of air (Bullard </w:t>
      </w:r>
      <w:r>
        <w:rPr>
          <w:i/>
        </w:rPr>
        <w:t>etal</w:t>
      </w:r>
      <w:r>
        <w:rPr/>
        <w:t>., 2004). Some recent</w:t>
      </w:r>
      <w:r>
        <w:rPr>
          <w:spacing w:val="1"/>
        </w:rPr>
        <w:t> </w:t>
      </w:r>
      <w:r>
        <w:rPr/>
        <w:t>researchers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employed</w:t>
      </w:r>
      <w:r>
        <w:rPr>
          <w:spacing w:val="1"/>
        </w:rPr>
        <w:t> </w:t>
      </w:r>
      <w:r>
        <w:rPr/>
        <w:t>electrical</w:t>
      </w:r>
      <w:r>
        <w:rPr>
          <w:spacing w:val="1"/>
        </w:rPr>
        <w:t> </w:t>
      </w:r>
      <w:r>
        <w:rPr/>
        <w:t>resistivity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investigating</w:t>
      </w:r>
      <w:r>
        <w:rPr>
          <w:spacing w:val="61"/>
        </w:rPr>
        <w:t> </w:t>
      </w:r>
      <w:r>
        <w:rPr/>
        <w:t>aquifer</w:t>
      </w:r>
      <w:r>
        <w:rPr>
          <w:spacing w:val="-57"/>
        </w:rPr>
        <w:t> </w:t>
      </w:r>
      <w:r>
        <w:rPr/>
        <w:t>protective capacity and soil corrosivity in Nigeria (Adeniji </w:t>
      </w:r>
      <w:r>
        <w:rPr>
          <w:i/>
        </w:rPr>
        <w:t>et al., </w:t>
      </w:r>
      <w:r>
        <w:rPr/>
        <w:t>2014). Corrosive soils</w:t>
      </w:r>
      <w:r>
        <w:rPr>
          <w:spacing w:val="1"/>
        </w:rPr>
        <w:t> </w:t>
      </w:r>
      <w:r>
        <w:rPr/>
        <w:t>contain</w:t>
      </w:r>
      <w:r>
        <w:rPr>
          <w:spacing w:val="1"/>
        </w:rPr>
        <w:t> </w:t>
      </w:r>
      <w:r>
        <w:rPr/>
        <w:t>chemical</w:t>
      </w:r>
      <w:r>
        <w:rPr>
          <w:spacing w:val="1"/>
        </w:rPr>
        <w:t> </w:t>
      </w:r>
      <w:r>
        <w:rPr/>
        <w:t>constituents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react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construction</w:t>
      </w:r>
      <w:r>
        <w:rPr>
          <w:spacing w:val="1"/>
        </w:rPr>
        <w:t> </w:t>
      </w:r>
      <w:r>
        <w:rPr/>
        <w:t>materials,</w:t>
      </w:r>
      <w:r>
        <w:rPr>
          <w:spacing w:val="1"/>
        </w:rPr>
        <w:t> </w:t>
      </w:r>
      <w:r>
        <w:rPr/>
        <w:t>such</w:t>
      </w:r>
      <w:r>
        <w:rPr>
          <w:spacing w:val="60"/>
        </w:rPr>
        <w:t> </w:t>
      </w:r>
      <w:r>
        <w:rPr/>
        <w:t>as</w:t>
      </w:r>
      <w:r>
        <w:rPr>
          <w:spacing w:val="1"/>
        </w:rPr>
        <w:t> </w:t>
      </w:r>
      <w:r>
        <w:rPr/>
        <w:t>concrete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ferrous</w:t>
      </w:r>
      <w:r>
        <w:rPr>
          <w:spacing w:val="1"/>
        </w:rPr>
        <w:t> </w:t>
      </w:r>
      <w:r>
        <w:rPr/>
        <w:t>metals,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damage</w:t>
      </w:r>
      <w:r>
        <w:rPr>
          <w:spacing w:val="1"/>
        </w:rPr>
        <w:t> </w:t>
      </w:r>
      <w:r>
        <w:rPr/>
        <w:t>foundations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buried</w:t>
      </w:r>
      <w:r>
        <w:rPr>
          <w:spacing w:val="1"/>
        </w:rPr>
        <w:t> </w:t>
      </w:r>
      <w:r>
        <w:rPr/>
        <w:t>pipelines(George </w:t>
      </w:r>
      <w:r>
        <w:rPr>
          <w:i/>
        </w:rPr>
        <w:t>et al., </w:t>
      </w:r>
      <w:r>
        <w:rPr/>
        <w:t>2014). The electrochemical corrosion processes that take place</w:t>
      </w:r>
      <w:r>
        <w:rPr>
          <w:spacing w:val="1"/>
        </w:rPr>
        <w:t> </w:t>
      </w:r>
      <w:r>
        <w:rPr/>
        <w:t>on metal surfaces in soils occur in the groundwater that is in contact with the corroding</w:t>
      </w:r>
      <w:r>
        <w:rPr>
          <w:spacing w:val="1"/>
        </w:rPr>
        <w:t> </w:t>
      </w:r>
      <w:r>
        <w:rPr/>
        <w:t>structure</w:t>
      </w:r>
      <w:r>
        <w:rPr>
          <w:spacing w:val="-3"/>
        </w:rPr>
        <w:t> </w:t>
      </w:r>
      <w:r>
        <w:rPr/>
        <w:t>(Muraina</w:t>
      </w:r>
      <w:r>
        <w:rPr>
          <w:i/>
        </w:rPr>
        <w:t>et al.,</w:t>
      </w:r>
      <w:r>
        <w:rPr>
          <w:i/>
          <w:spacing w:val="2"/>
        </w:rPr>
        <w:t> </w:t>
      </w:r>
      <w:r>
        <w:rPr/>
        <w:t>2012).</w:t>
      </w:r>
    </w:p>
    <w:p>
      <w:pPr>
        <w:pStyle w:val="BodyText"/>
        <w:spacing w:line="480" w:lineRule="auto" w:before="160"/>
        <w:ind w:left="307" w:right="428"/>
        <w:jc w:val="both"/>
      </w:pPr>
      <w:r>
        <w:rPr/>
        <w:t>Today, we are witnessing an increasing number of boreholes drilled by government,</w:t>
      </w:r>
      <w:r>
        <w:rPr>
          <w:spacing w:val="1"/>
        </w:rPr>
        <w:t> </w:t>
      </w:r>
      <w:r>
        <w:rPr/>
        <w:t>non-governmental organisations, and individuals. This shows clearly that groundwater</w:t>
      </w:r>
      <w:r>
        <w:rPr>
          <w:spacing w:val="1"/>
        </w:rPr>
        <w:t> </w:t>
      </w:r>
      <w:r>
        <w:rPr/>
        <w:t>effectively complementing other sources of water supply in the badeggi. This is due to</w:t>
      </w:r>
      <w:r>
        <w:rPr>
          <w:spacing w:val="1"/>
        </w:rPr>
        <w:t> </w:t>
      </w:r>
      <w:r>
        <w:rPr/>
        <w:t>the rate of contamination of rivers, lakes and stream that is not save. Surface water is</w:t>
      </w:r>
      <w:r>
        <w:rPr>
          <w:spacing w:val="1"/>
        </w:rPr>
        <w:t> </w:t>
      </w:r>
      <w:r>
        <w:rPr/>
        <w:t>found to be grossly degraded in quality because of its physical, biological, or chemical</w:t>
      </w:r>
      <w:r>
        <w:rPr>
          <w:spacing w:val="1"/>
        </w:rPr>
        <w:t> </w:t>
      </w:r>
      <w:r>
        <w:rPr/>
        <w:t>contaminants</w:t>
      </w:r>
      <w:r>
        <w:rPr>
          <w:spacing w:val="-1"/>
        </w:rPr>
        <w:t> </w:t>
      </w:r>
      <w:r>
        <w:rPr/>
        <w:t>(Edet and</w:t>
      </w:r>
      <w:r>
        <w:rPr>
          <w:spacing w:val="1"/>
        </w:rPr>
        <w:t> </w:t>
      </w:r>
      <w:r>
        <w:rPr/>
        <w:t>Worden, 2009).</w:t>
      </w:r>
    </w:p>
    <w:p>
      <w:pPr>
        <w:pStyle w:val="BodyText"/>
        <w:spacing w:line="480" w:lineRule="auto" w:before="162"/>
        <w:ind w:left="307" w:right="428"/>
        <w:jc w:val="both"/>
      </w:pPr>
      <w:r>
        <w:rPr/>
        <w:t>The demand for water in town has been on the increase due to the growing demand in</w:t>
      </w:r>
      <w:r>
        <w:rPr>
          <w:spacing w:val="1"/>
        </w:rPr>
        <w:t> </w:t>
      </w:r>
      <w:r>
        <w:rPr/>
        <w:t>the commodity for domestic and agricultural uses. Managing existing water supplies to</w:t>
      </w:r>
      <w:r>
        <w:rPr>
          <w:spacing w:val="1"/>
        </w:rPr>
        <w:t> </w:t>
      </w:r>
      <w:r>
        <w:rPr/>
        <w:t>fully satisfy all uses has proven difficult, particularly in dry season. Groundwater is</w:t>
      </w:r>
      <w:r>
        <w:rPr>
          <w:spacing w:val="1"/>
        </w:rPr>
        <w:t> </w:t>
      </w:r>
      <w:r>
        <w:rPr/>
        <w:t>therefore, the likely source that can ameliorate the problem and hence the need to find</w:t>
      </w:r>
      <w:r>
        <w:rPr>
          <w:spacing w:val="1"/>
        </w:rPr>
        <w:t> </w:t>
      </w:r>
      <w:r>
        <w:rPr/>
        <w:t>genuine and effective way of harnessing it.Despite this seemingly important relief, there</w:t>
      </w:r>
      <w:r>
        <w:rPr>
          <w:spacing w:val="-57"/>
        </w:rPr>
        <w:t> </w:t>
      </w:r>
      <w:r>
        <w:rPr/>
        <w:t>could</w:t>
      </w:r>
      <w:r>
        <w:rPr>
          <w:spacing w:val="-1"/>
        </w:rPr>
        <w:t> </w:t>
      </w:r>
      <w:r>
        <w:rPr/>
        <w:t>be threats of</w:t>
      </w:r>
      <w:r>
        <w:rPr>
          <w:spacing w:val="2"/>
        </w:rPr>
        <w:t> </w:t>
      </w:r>
      <w:r>
        <w:rPr/>
        <w:t>contamination to groundwater</w:t>
      </w:r>
    </w:p>
    <w:p>
      <w:pPr>
        <w:pStyle w:val="BodyText"/>
        <w:spacing w:line="480" w:lineRule="auto" w:before="1"/>
        <w:ind w:left="307" w:right="432"/>
        <w:jc w:val="both"/>
      </w:pPr>
      <w:r>
        <w:rPr/>
        <w:t>occasioned by soil corrosivity and infiltration of contaminants from the surface through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migration</w:t>
      </w:r>
      <w:r>
        <w:rPr>
          <w:spacing w:val="1"/>
        </w:rPr>
        <w:t> </w:t>
      </w:r>
      <w:r>
        <w:rPr/>
        <w:t>paths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aquifers.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trying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monitor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quality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groundwater that we used the VES method to decipher the structure layering of the</w:t>
      </w:r>
      <w:r>
        <w:rPr>
          <w:spacing w:val="1"/>
        </w:rPr>
        <w:t> </w:t>
      </w:r>
      <w:r>
        <w:rPr/>
        <w:t>subsurface in BadeggiunderKatcha local government area with a view to finding the</w:t>
      </w:r>
      <w:r>
        <w:rPr>
          <w:spacing w:val="1"/>
        </w:rPr>
        <w:t> </w:t>
      </w:r>
      <w:r>
        <w:rPr/>
        <w:t>depth</w:t>
      </w:r>
      <w:r>
        <w:rPr>
          <w:spacing w:val="-1"/>
        </w:rPr>
        <w:t> </w:t>
      </w:r>
      <w:r>
        <w:rPr/>
        <w:t>to water</w:t>
      </w:r>
      <w:r>
        <w:rPr>
          <w:spacing w:val="-2"/>
        </w:rPr>
        <w:t> </w:t>
      </w:r>
      <w:r>
        <w:rPr/>
        <w:t>bearing</w:t>
      </w:r>
      <w:r>
        <w:rPr>
          <w:spacing w:val="-3"/>
        </w:rPr>
        <w:t> </w:t>
      </w:r>
      <w:r>
        <w:rPr/>
        <w:t>formations.</w:t>
      </w:r>
    </w:p>
    <w:p>
      <w:pPr>
        <w:spacing w:after="0" w:line="480" w:lineRule="auto"/>
        <w:jc w:val="both"/>
        <w:sectPr>
          <w:pgSz w:w="11910" w:h="16840"/>
          <w:pgMar w:header="0" w:footer="1067" w:top="1320" w:bottom="1260" w:left="1680" w:right="980"/>
        </w:sectPr>
      </w:pPr>
    </w:p>
    <w:p>
      <w:pPr>
        <w:pStyle w:val="Heading2"/>
        <w:numPr>
          <w:ilvl w:val="1"/>
          <w:numId w:val="6"/>
        </w:numPr>
        <w:tabs>
          <w:tab w:pos="1028" w:val="left" w:leader="none"/>
        </w:tabs>
        <w:spacing w:line="240" w:lineRule="auto" w:before="69" w:after="0"/>
        <w:ind w:left="1027" w:right="0" w:hanging="721"/>
        <w:jc w:val="both"/>
      </w:pPr>
      <w:bookmarkStart w:name="_TOC_250000" w:id="3"/>
      <w:r>
        <w:rPr/>
        <w:t>Statement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bookmarkEnd w:id="3"/>
      <w:r>
        <w:rPr/>
        <w:t>Research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07" w:right="429"/>
        <w:jc w:val="both"/>
      </w:pPr>
      <w:r>
        <w:rPr/>
        <w:t>Badeggi village forms part of the Bida basin. As a sedimentary area, the potential of</w:t>
      </w:r>
      <w:r>
        <w:rPr>
          <w:spacing w:val="1"/>
        </w:rPr>
        <w:t> </w:t>
      </w:r>
      <w:r>
        <w:rPr/>
        <w:t>aquifer bearing formation is high. However, the growing demand for portable drinking</w:t>
      </w:r>
      <w:r>
        <w:rPr>
          <w:spacing w:val="1"/>
        </w:rPr>
        <w:t> </w:t>
      </w:r>
      <w:r>
        <w:rPr/>
        <w:t>water for domestic use is</w:t>
      </w:r>
      <w:r>
        <w:rPr>
          <w:spacing w:val="1"/>
        </w:rPr>
        <w:t> </w:t>
      </w:r>
      <w:r>
        <w:rPr/>
        <w:t>threatened by agrarian</w:t>
      </w:r>
      <w:r>
        <w:rPr>
          <w:spacing w:val="60"/>
        </w:rPr>
        <w:t> </w:t>
      </w:r>
      <w:r>
        <w:rPr/>
        <w:t>activities, with</w:t>
      </w:r>
      <w:r>
        <w:rPr>
          <w:spacing w:val="60"/>
        </w:rPr>
        <w:t> </w:t>
      </w:r>
      <w:r>
        <w:rPr/>
        <w:t>increasing application</w:t>
      </w:r>
      <w:r>
        <w:rPr>
          <w:spacing w:val="1"/>
        </w:rPr>
        <w:t> </w:t>
      </w:r>
      <w:r>
        <w:rPr/>
        <w:t>of organic and synthetic fertilizers as the years go by. Hence, investigating the soil</w:t>
      </w:r>
      <w:r>
        <w:rPr>
          <w:spacing w:val="1"/>
        </w:rPr>
        <w:t> </w:t>
      </w:r>
      <w:r>
        <w:rPr/>
        <w:t>corrosivity level and aquifer protective capacity will be of great help to the environment</w:t>
      </w:r>
      <w:r>
        <w:rPr>
          <w:spacing w:val="-57"/>
        </w:rPr>
        <w:t> </w:t>
      </w:r>
      <w:r>
        <w:rPr/>
        <w:t>for</w:t>
      </w:r>
      <w:r>
        <w:rPr>
          <w:spacing w:val="-2"/>
        </w:rPr>
        <w:t> </w:t>
      </w:r>
      <w:r>
        <w:rPr/>
        <w:t>safe</w:t>
      </w:r>
      <w:r>
        <w:rPr>
          <w:spacing w:val="-1"/>
        </w:rPr>
        <w:t> </w:t>
      </w:r>
      <w:r>
        <w:rPr/>
        <w:t>drinking</w:t>
      </w:r>
      <w:r>
        <w:rPr>
          <w:spacing w:val="-3"/>
        </w:rPr>
        <w:t> </w:t>
      </w:r>
      <w:r>
        <w:rPr/>
        <w:t>water and any</w:t>
      </w:r>
      <w:r>
        <w:rPr>
          <w:spacing w:val="-5"/>
        </w:rPr>
        <w:t> </w:t>
      </w:r>
      <w:r>
        <w:rPr/>
        <w:t>other forms of</w:t>
      </w:r>
      <w:r>
        <w:rPr>
          <w:spacing w:val="-1"/>
        </w:rPr>
        <w:t> </w:t>
      </w:r>
      <w:r>
        <w:rPr/>
        <w:t>activities.</w:t>
      </w:r>
    </w:p>
    <w:p>
      <w:pPr>
        <w:pStyle w:val="Heading2"/>
        <w:numPr>
          <w:ilvl w:val="1"/>
          <w:numId w:val="6"/>
        </w:numPr>
        <w:tabs>
          <w:tab w:pos="1028" w:val="left" w:leader="none"/>
        </w:tabs>
        <w:spacing w:line="240" w:lineRule="auto" w:before="6" w:after="0"/>
        <w:ind w:left="1027" w:right="0" w:hanging="721"/>
        <w:jc w:val="both"/>
      </w:pPr>
      <w:r>
        <w:rPr/>
        <w:t>Aim</w:t>
      </w:r>
      <w:r>
        <w:rPr>
          <w:spacing w:val="-5"/>
        </w:rPr>
        <w:t> </w:t>
      </w:r>
      <w:r>
        <w:rPr/>
        <w:t>and Objectives 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Study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07" w:right="425"/>
        <w:jc w:val="both"/>
      </w:pPr>
      <w:r>
        <w:rPr/>
        <w:t>The aim of the study is to evaluate aquifer protective capacity and soil corrosivity using</w:t>
      </w:r>
      <w:r>
        <w:rPr>
          <w:spacing w:val="1"/>
        </w:rPr>
        <w:t> </w:t>
      </w:r>
      <w:r>
        <w:rPr/>
        <w:t>VES method to decipher the structure layering of the earth inBadeggi with a view to</w:t>
      </w:r>
      <w:r>
        <w:rPr>
          <w:spacing w:val="1"/>
        </w:rPr>
        <w:t> </w:t>
      </w:r>
      <w:r>
        <w:rPr/>
        <w:t>finding</w:t>
      </w:r>
      <w:r>
        <w:rPr>
          <w:spacing w:val="-4"/>
        </w:rPr>
        <w:t> </w:t>
      </w:r>
      <w:r>
        <w:rPr/>
        <w:t>the depth to water bearing</w:t>
      </w:r>
      <w:r>
        <w:rPr>
          <w:spacing w:val="-3"/>
        </w:rPr>
        <w:t> </w:t>
      </w:r>
      <w:r>
        <w:rPr/>
        <w:t>formation.</w:t>
      </w:r>
      <w:r>
        <w:rPr>
          <w:spacing w:val="-1"/>
        </w:rPr>
        <w:t> </w:t>
      </w:r>
      <w:r>
        <w:rPr/>
        <w:t>The objectives are</w:t>
      </w:r>
      <w:r>
        <w:rPr>
          <w:spacing w:val="-1"/>
        </w:rPr>
        <w:t> </w:t>
      </w:r>
      <w:r>
        <w:rPr/>
        <w:t>to:</w:t>
      </w:r>
    </w:p>
    <w:p>
      <w:pPr>
        <w:pStyle w:val="ListParagraph"/>
        <w:numPr>
          <w:ilvl w:val="2"/>
          <w:numId w:val="6"/>
        </w:numPr>
        <w:tabs>
          <w:tab w:pos="1028" w:val="left" w:leader="none"/>
        </w:tabs>
        <w:spacing w:line="482" w:lineRule="auto" w:before="158" w:after="0"/>
        <w:ind w:left="1027" w:right="431" w:hanging="488"/>
        <w:jc w:val="both"/>
        <w:rPr>
          <w:sz w:val="24"/>
        </w:rPr>
      </w:pPr>
      <w:r>
        <w:rPr>
          <w:sz w:val="24"/>
        </w:rPr>
        <w:t>determine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geo-electrical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hydrological</w:t>
      </w:r>
      <w:r>
        <w:rPr>
          <w:spacing w:val="1"/>
          <w:sz w:val="24"/>
        </w:rPr>
        <w:t> </w:t>
      </w:r>
      <w:r>
        <w:rPr>
          <w:sz w:val="24"/>
        </w:rPr>
        <w:t>characteristics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aquifer</w:t>
      </w:r>
      <w:r>
        <w:rPr>
          <w:spacing w:val="1"/>
          <w:sz w:val="24"/>
        </w:rPr>
        <w:t> </w:t>
      </w:r>
      <w:r>
        <w:rPr>
          <w:sz w:val="24"/>
        </w:rPr>
        <w:t>present</w:t>
      </w:r>
      <w:r>
        <w:rPr>
          <w:spacing w:val="-1"/>
          <w:sz w:val="24"/>
        </w:rPr>
        <w:t> </w:t>
      </w:r>
      <w:r>
        <w:rPr>
          <w:sz w:val="24"/>
        </w:rPr>
        <w:t>in the study</w:t>
      </w:r>
      <w:r>
        <w:rPr>
          <w:spacing w:val="-3"/>
          <w:sz w:val="24"/>
        </w:rPr>
        <w:t> </w:t>
      </w:r>
      <w:r>
        <w:rPr>
          <w:sz w:val="24"/>
        </w:rPr>
        <w:t>area</w:t>
      </w:r>
    </w:p>
    <w:p>
      <w:pPr>
        <w:pStyle w:val="ListParagraph"/>
        <w:numPr>
          <w:ilvl w:val="2"/>
          <w:numId w:val="6"/>
        </w:numPr>
        <w:tabs>
          <w:tab w:pos="1027" w:val="left" w:leader="none"/>
          <w:tab w:pos="1028" w:val="left" w:leader="none"/>
        </w:tabs>
        <w:spacing w:line="240" w:lineRule="auto" w:before="199" w:after="0"/>
        <w:ind w:left="1027" w:right="0" w:hanging="555"/>
        <w:jc w:val="left"/>
        <w:rPr>
          <w:sz w:val="24"/>
        </w:rPr>
      </w:pPr>
      <w:r>
        <w:rPr>
          <w:sz w:val="24"/>
        </w:rPr>
        <w:t>evaluate</w:t>
      </w:r>
      <w:r>
        <w:rPr>
          <w:spacing w:val="-1"/>
          <w:sz w:val="24"/>
        </w:rPr>
        <w:t> </w:t>
      </w:r>
      <w:r>
        <w:rPr>
          <w:sz w:val="24"/>
        </w:rPr>
        <w:t>soil</w:t>
      </w:r>
      <w:r>
        <w:rPr>
          <w:spacing w:val="1"/>
          <w:sz w:val="24"/>
        </w:rPr>
        <w:t> </w:t>
      </w:r>
      <w:r>
        <w:rPr>
          <w:sz w:val="24"/>
        </w:rPr>
        <w:t>corrosivity</w:t>
      </w:r>
      <w:r>
        <w:rPr>
          <w:spacing w:val="-5"/>
          <w:sz w:val="24"/>
        </w:rPr>
        <w:t> </w:t>
      </w:r>
      <w:r>
        <w:rPr>
          <w:sz w:val="24"/>
        </w:rPr>
        <w:t>level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2"/>
          <w:numId w:val="6"/>
        </w:numPr>
        <w:tabs>
          <w:tab w:pos="1027" w:val="left" w:leader="none"/>
          <w:tab w:pos="1028" w:val="left" w:leader="none"/>
        </w:tabs>
        <w:spacing w:line="240" w:lineRule="auto" w:before="177" w:after="0"/>
        <w:ind w:left="1027" w:right="0" w:hanging="620"/>
        <w:jc w:val="left"/>
        <w:rPr>
          <w:sz w:val="24"/>
        </w:rPr>
      </w:pPr>
      <w:r>
        <w:rPr>
          <w:sz w:val="24"/>
        </w:rPr>
        <w:t>evaluate</w:t>
      </w:r>
      <w:r>
        <w:rPr>
          <w:spacing w:val="-2"/>
          <w:sz w:val="24"/>
        </w:rPr>
        <w:t> </w:t>
      </w:r>
      <w:r>
        <w:rPr>
          <w:sz w:val="24"/>
        </w:rPr>
        <w:t>longitudinal</w:t>
      </w:r>
      <w:r>
        <w:rPr>
          <w:spacing w:val="-1"/>
          <w:sz w:val="24"/>
        </w:rPr>
        <w:t> </w:t>
      </w:r>
      <w:r>
        <w:rPr>
          <w:sz w:val="24"/>
        </w:rPr>
        <w:t>conductance and</w:t>
      </w:r>
      <w:r>
        <w:rPr>
          <w:spacing w:val="2"/>
          <w:sz w:val="24"/>
        </w:rPr>
        <w:t> </w:t>
      </w:r>
      <w:r>
        <w:rPr>
          <w:sz w:val="24"/>
        </w:rPr>
        <w:t>determine</w:t>
      </w:r>
      <w:r>
        <w:rPr>
          <w:spacing w:val="-2"/>
          <w:sz w:val="24"/>
        </w:rPr>
        <w:t> </w:t>
      </w:r>
      <w:r>
        <w:rPr>
          <w:sz w:val="24"/>
        </w:rPr>
        <w:t>aquifer</w:t>
      </w:r>
      <w:r>
        <w:rPr>
          <w:spacing w:val="-1"/>
          <w:sz w:val="24"/>
        </w:rPr>
        <w:t> </w:t>
      </w:r>
      <w:r>
        <w:rPr>
          <w:sz w:val="24"/>
        </w:rPr>
        <w:t>protective</w:t>
      </w:r>
      <w:r>
        <w:rPr>
          <w:spacing w:val="-2"/>
          <w:sz w:val="24"/>
        </w:rPr>
        <w:t> </w:t>
      </w:r>
      <w:r>
        <w:rPr>
          <w:sz w:val="24"/>
        </w:rPr>
        <w:t>capacity</w:t>
      </w:r>
    </w:p>
    <w:p>
      <w:pPr>
        <w:pStyle w:val="BodyText"/>
        <w:rPr>
          <w:sz w:val="26"/>
        </w:rPr>
      </w:pPr>
    </w:p>
    <w:p>
      <w:pPr>
        <w:pStyle w:val="Heading2"/>
        <w:numPr>
          <w:ilvl w:val="1"/>
          <w:numId w:val="6"/>
        </w:numPr>
        <w:tabs>
          <w:tab w:pos="1028" w:val="left" w:leader="none"/>
        </w:tabs>
        <w:spacing w:line="240" w:lineRule="auto" w:before="178" w:after="0"/>
        <w:ind w:left="1027" w:right="0" w:hanging="721"/>
        <w:jc w:val="both"/>
      </w:pPr>
      <w:r>
        <w:rPr/>
        <w:t>Justification of the</w:t>
      </w:r>
      <w:r>
        <w:rPr>
          <w:spacing w:val="-1"/>
        </w:rPr>
        <w:t> </w:t>
      </w:r>
      <w:r>
        <w:rPr/>
        <w:t>Study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07" w:right="428"/>
        <w:jc w:val="both"/>
      </w:pPr>
      <w:r>
        <w:rPr/>
        <w:t>The study was carried out to enhance safe and healthy approach of prospecting for</w:t>
      </w:r>
      <w:r>
        <w:rPr>
          <w:spacing w:val="1"/>
        </w:rPr>
        <w:t> </w:t>
      </w:r>
      <w:r>
        <w:rPr/>
        <w:t>portable drinking water to future settlers, by determining the soil corrosivity level and</w:t>
      </w:r>
      <w:r>
        <w:rPr>
          <w:spacing w:val="1"/>
        </w:rPr>
        <w:t> </w:t>
      </w:r>
      <w:r>
        <w:rPr/>
        <w:t>aquifer protective capacity within the study area and provide background geophysical</w:t>
      </w:r>
      <w:r>
        <w:rPr>
          <w:spacing w:val="1"/>
        </w:rPr>
        <w:t> </w:t>
      </w:r>
      <w:r>
        <w:rPr/>
        <w:t>information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prospective</w:t>
      </w:r>
      <w:r>
        <w:rPr>
          <w:spacing w:val="-1"/>
        </w:rPr>
        <w:t> </w:t>
      </w:r>
      <w:r>
        <w:rPr/>
        <w:t>researchers.</w:t>
      </w:r>
    </w:p>
    <w:p>
      <w:pPr>
        <w:pStyle w:val="Heading2"/>
        <w:numPr>
          <w:ilvl w:val="1"/>
          <w:numId w:val="6"/>
        </w:numPr>
        <w:tabs>
          <w:tab w:pos="1028" w:val="left" w:leader="none"/>
        </w:tabs>
        <w:spacing w:line="240" w:lineRule="auto" w:before="6" w:after="0"/>
        <w:ind w:left="1027" w:right="0" w:hanging="721"/>
        <w:jc w:val="both"/>
      </w:pPr>
      <w:r>
        <w:rPr/>
        <w:t>Climate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307" w:right="430"/>
        <w:jc w:val="both"/>
      </w:pPr>
      <w:r>
        <w:rPr/>
        <w:t>The area experiences two distinct seasons: the dry and wet seasons. The annual rainfall</w:t>
      </w:r>
      <w:r>
        <w:rPr>
          <w:spacing w:val="1"/>
        </w:rPr>
        <w:t> </w:t>
      </w:r>
      <w:r>
        <w:rPr/>
        <w:t>varies from about 1,600mm in the south to 1,200mm in the north. The duration of the</w:t>
      </w:r>
      <w:r>
        <w:rPr>
          <w:spacing w:val="1"/>
        </w:rPr>
        <w:t> </w:t>
      </w:r>
      <w:r>
        <w:rPr/>
        <w:t>rainy</w:t>
      </w:r>
      <w:r>
        <w:rPr>
          <w:spacing w:val="6"/>
        </w:rPr>
        <w:t> </w:t>
      </w:r>
      <w:r>
        <w:rPr/>
        <w:t>season</w:t>
      </w:r>
      <w:r>
        <w:rPr>
          <w:spacing w:val="12"/>
        </w:rPr>
        <w:t> </w:t>
      </w:r>
      <w:r>
        <w:rPr/>
        <w:t>ranges</w:t>
      </w:r>
      <w:r>
        <w:rPr>
          <w:spacing w:val="12"/>
        </w:rPr>
        <w:t> </w:t>
      </w:r>
      <w:r>
        <w:rPr/>
        <w:t>from</w:t>
      </w:r>
      <w:r>
        <w:rPr>
          <w:spacing w:val="12"/>
        </w:rPr>
        <w:t> </w:t>
      </w:r>
      <w:r>
        <w:rPr/>
        <w:t>150</w:t>
      </w:r>
      <w:r>
        <w:rPr>
          <w:spacing w:val="11"/>
        </w:rPr>
        <w:t> </w:t>
      </w:r>
      <w:r>
        <w:rPr/>
        <w:t>to</w:t>
      </w:r>
      <w:r>
        <w:rPr>
          <w:spacing w:val="12"/>
        </w:rPr>
        <w:t> </w:t>
      </w:r>
      <w:r>
        <w:rPr/>
        <w:t>210</w:t>
      </w:r>
      <w:r>
        <w:rPr>
          <w:spacing w:val="11"/>
        </w:rPr>
        <w:t> </w:t>
      </w:r>
      <w:r>
        <w:rPr/>
        <w:t>days</w:t>
      </w:r>
      <w:r>
        <w:rPr>
          <w:spacing w:val="12"/>
        </w:rPr>
        <w:t> </w:t>
      </w:r>
      <w:r>
        <w:rPr/>
        <w:t>or</w:t>
      </w:r>
      <w:r>
        <w:rPr>
          <w:spacing w:val="13"/>
        </w:rPr>
        <w:t> </w:t>
      </w:r>
      <w:r>
        <w:rPr/>
        <w:t>more</w:t>
      </w:r>
      <w:r>
        <w:rPr>
          <w:spacing w:val="10"/>
        </w:rPr>
        <w:t> </w:t>
      </w:r>
      <w:r>
        <w:rPr/>
        <w:t>from</w:t>
      </w:r>
      <w:r>
        <w:rPr>
          <w:spacing w:val="12"/>
        </w:rPr>
        <w:t> </w:t>
      </w:r>
      <w:r>
        <w:rPr/>
        <w:t>the</w:t>
      </w:r>
      <w:r>
        <w:rPr>
          <w:spacing w:val="11"/>
        </w:rPr>
        <w:t> </w:t>
      </w:r>
      <w:r>
        <w:rPr/>
        <w:t>north</w:t>
      </w:r>
      <w:r>
        <w:rPr>
          <w:spacing w:val="13"/>
        </w:rPr>
        <w:t> </w:t>
      </w:r>
      <w:r>
        <w:rPr/>
        <w:t>to</w:t>
      </w:r>
      <w:r>
        <w:rPr>
          <w:spacing w:val="12"/>
        </w:rPr>
        <w:t> </w:t>
      </w:r>
      <w:r>
        <w:rPr/>
        <w:t>the</w:t>
      </w:r>
      <w:r>
        <w:rPr>
          <w:spacing w:val="11"/>
        </w:rPr>
        <w:t> </w:t>
      </w:r>
      <w:r>
        <w:rPr/>
        <w:t>south</w:t>
      </w:r>
    </w:p>
    <w:p>
      <w:pPr>
        <w:spacing w:after="0" w:line="480" w:lineRule="auto"/>
        <w:jc w:val="both"/>
        <w:sectPr>
          <w:pgSz w:w="11910" w:h="16840"/>
          <w:pgMar w:header="0" w:footer="1067" w:top="1320" w:bottom="1260" w:left="1680" w:right="980"/>
        </w:sectPr>
      </w:pPr>
    </w:p>
    <w:p>
      <w:pPr>
        <w:pStyle w:val="BodyText"/>
        <w:tabs>
          <w:tab w:pos="6822" w:val="left" w:leader="none"/>
          <w:tab w:pos="7842" w:val="left" w:leader="none"/>
        </w:tabs>
        <w:spacing w:before="64"/>
        <w:ind w:left="307"/>
      </w:pPr>
      <w:r>
        <w:rPr/>
        <w:t>(</w:t>
      </w:r>
      <w:hyperlink r:id="rId8">
        <w:r>
          <w:rPr>
            <w:color w:val="0000FF"/>
            <w:u w:val="single" w:color="0000FF"/>
          </w:rPr>
          <w:t>http://www.onlinenigeria.com/links/nigeradv.asp?blurb=330</w:t>
        </w:r>
      </w:hyperlink>
      <w:r>
        <w:rPr/>
        <w:t>).</w:t>
        <w:tab/>
        <w:t>Mean</w:t>
        <w:tab/>
        <w:t>maximum</w:t>
      </w:r>
    </w:p>
    <w:p>
      <w:pPr>
        <w:pStyle w:val="BodyText"/>
        <w:spacing w:before="10"/>
        <w:rPr>
          <w:sz w:val="16"/>
        </w:rPr>
      </w:pPr>
    </w:p>
    <w:p>
      <w:pPr>
        <w:pStyle w:val="BodyText"/>
        <w:spacing w:line="477" w:lineRule="auto" w:before="86"/>
        <w:ind w:left="307" w:right="426"/>
        <w:jc w:val="both"/>
      </w:pPr>
      <w:r>
        <w:rPr/>
        <w:t>temperature remains high throughout the year, hovering about 32</w:t>
      </w:r>
      <w:r>
        <w:rPr>
          <w:rFonts w:ascii="Cambria Math" w:hAnsi="Cambria Math"/>
        </w:rPr>
        <w:t>°</w:t>
      </w:r>
      <w:r>
        <w:rPr/>
        <w:t>C, particularly in</w:t>
      </w:r>
      <w:r>
        <w:rPr>
          <w:spacing w:val="1"/>
        </w:rPr>
        <w:t> </w:t>
      </w:r>
      <w:r>
        <w:rPr/>
        <w:t>March and June. The lowest minimum temperatures occur usually between December</w:t>
      </w:r>
      <w:r>
        <w:rPr>
          <w:spacing w:val="1"/>
        </w:rPr>
        <w:t> </w:t>
      </w:r>
      <w:r>
        <w:rPr/>
        <w:t>and January when most</w:t>
      </w:r>
      <w:r>
        <w:rPr>
          <w:spacing w:val="1"/>
        </w:rPr>
        <w:t> </w:t>
      </w:r>
      <w:r>
        <w:rPr/>
        <w:t>parts of the area come under the influence of the tropical</w:t>
      </w:r>
      <w:r>
        <w:rPr>
          <w:spacing w:val="1"/>
        </w:rPr>
        <w:t> </w:t>
      </w:r>
      <w:r>
        <w:rPr/>
        <w:t>continental</w:t>
      </w:r>
      <w:r>
        <w:rPr>
          <w:spacing w:val="-1"/>
        </w:rPr>
        <w:t> </w:t>
      </w:r>
      <w:r>
        <w:rPr/>
        <w:t>and dry</w:t>
      </w:r>
      <w:r>
        <w:rPr>
          <w:spacing w:val="-5"/>
        </w:rPr>
        <w:t> </w:t>
      </w:r>
      <w:r>
        <w:rPr/>
        <w:t>season in Badeggi commences</w:t>
      </w:r>
      <w:r>
        <w:rPr>
          <w:spacing w:val="2"/>
        </w:rPr>
        <w:t> </w:t>
      </w:r>
      <w:r>
        <w:rPr/>
        <w:t>in October.</w:t>
      </w:r>
    </w:p>
    <w:p>
      <w:pPr>
        <w:pStyle w:val="Heading2"/>
        <w:numPr>
          <w:ilvl w:val="1"/>
          <w:numId w:val="6"/>
        </w:numPr>
        <w:tabs>
          <w:tab w:pos="1028" w:val="left" w:leader="none"/>
        </w:tabs>
        <w:spacing w:line="240" w:lineRule="auto" w:before="132" w:after="0"/>
        <w:ind w:left="1027" w:right="0" w:hanging="721"/>
        <w:jc w:val="both"/>
      </w:pPr>
      <w:r>
        <w:rPr/>
        <w:t>Location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</w:t>
      </w:r>
      <w:r>
        <w:rPr/>
        <w:t>Study</w:t>
      </w:r>
      <w:r>
        <w:rPr>
          <w:spacing w:val="-1"/>
        </w:rPr>
        <w:t> </w:t>
      </w:r>
      <w:r>
        <w:rPr/>
        <w:t>Area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307" w:right="426"/>
        <w:jc w:val="both"/>
      </w:pPr>
      <w:r>
        <w:rPr/>
        <w:t>The study area is situated withinBadeggi along Agaie-Suleja road.It is located between</w:t>
      </w:r>
      <w:r>
        <w:rPr>
          <w:spacing w:val="1"/>
        </w:rPr>
        <w:t> </w:t>
      </w:r>
      <w:r>
        <w:rPr/>
        <w:t>latitude 9</w:t>
      </w:r>
      <w:r>
        <w:rPr>
          <w:rFonts w:ascii="Cambria Math" w:hAnsi="Cambria Math"/>
        </w:rPr>
        <w:t>⁰</w:t>
      </w:r>
      <w:r>
        <w:rPr/>
        <w:t>3′28.039″to 9</w:t>
      </w:r>
      <w:r>
        <w:rPr>
          <w:rFonts w:ascii="Cambria Math" w:hAnsi="Cambria Math"/>
        </w:rPr>
        <w:t>⁰</w:t>
      </w:r>
      <w:r>
        <w:rPr/>
        <w:t>2′47.5″ and longitude 6</w:t>
      </w:r>
      <w:r>
        <w:rPr>
          <w:rFonts w:ascii="Cambria Math" w:hAnsi="Cambria Math"/>
        </w:rPr>
        <w:t>⁰</w:t>
      </w:r>
      <w:r>
        <w:rPr/>
        <w:t>8′14.245″ to 6</w:t>
      </w:r>
      <w:r>
        <w:rPr>
          <w:rFonts w:ascii="Cambria Math" w:hAnsi="Cambria Math"/>
        </w:rPr>
        <w:t>⁰</w:t>
      </w:r>
      <w:r>
        <w:rPr/>
        <w:t>8′10.7″with land space</w:t>
      </w:r>
      <w:r>
        <w:rPr>
          <w:spacing w:val="1"/>
        </w:rPr>
        <w:t> </w:t>
      </w:r>
      <w:r>
        <w:rPr/>
        <w:t>extent of 20 km</w:t>
      </w:r>
      <w:r>
        <w:rPr>
          <w:vertAlign w:val="superscript"/>
        </w:rPr>
        <w:t>2</w:t>
      </w:r>
      <w:r>
        <w:rPr>
          <w:vertAlign w:val="baseline"/>
        </w:rPr>
        <w:t>. The areal distance estimate is about 5 km from National Cereal</w:t>
      </w:r>
      <w:r>
        <w:rPr>
          <w:spacing w:val="1"/>
          <w:vertAlign w:val="baseline"/>
        </w:rPr>
        <w:t> </w:t>
      </w:r>
      <w:r>
        <w:rPr>
          <w:vertAlign w:val="baseline"/>
        </w:rPr>
        <w:t>ResearchInstitute, Badeggi of which the site is about 3 km from Government Day</w:t>
      </w:r>
      <w:r>
        <w:rPr>
          <w:spacing w:val="1"/>
          <w:vertAlign w:val="baseline"/>
        </w:rPr>
        <w:t> </w:t>
      </w:r>
      <w:r>
        <w:rPr>
          <w:vertAlign w:val="baseline"/>
        </w:rPr>
        <w:t>Secondary School Badeggi and it is spanned by a well accessible road either by foot or</w:t>
      </w:r>
      <w:r>
        <w:rPr>
          <w:spacing w:val="1"/>
          <w:vertAlign w:val="baseline"/>
        </w:rPr>
        <w:t> </w:t>
      </w:r>
      <w:r>
        <w:rPr>
          <w:vertAlign w:val="baseline"/>
        </w:rPr>
        <w:t>by</w:t>
      </w:r>
      <w:r>
        <w:rPr>
          <w:spacing w:val="39"/>
          <w:vertAlign w:val="baseline"/>
        </w:rPr>
        <w:t> </w:t>
      </w:r>
      <w:r>
        <w:rPr>
          <w:vertAlign w:val="baseline"/>
        </w:rPr>
        <w:t>vehicle.</w:t>
      </w:r>
      <w:r>
        <w:rPr>
          <w:spacing w:val="44"/>
          <w:vertAlign w:val="baseline"/>
        </w:rPr>
        <w:t> </w:t>
      </w:r>
      <w:r>
        <w:rPr>
          <w:vertAlign w:val="baseline"/>
        </w:rPr>
        <w:t>The</w:t>
      </w:r>
      <w:r>
        <w:rPr>
          <w:spacing w:val="43"/>
          <w:vertAlign w:val="baseline"/>
        </w:rPr>
        <w:t> </w:t>
      </w:r>
      <w:r>
        <w:rPr>
          <w:vertAlign w:val="baseline"/>
        </w:rPr>
        <w:t>area</w:t>
      </w:r>
      <w:r>
        <w:rPr>
          <w:spacing w:val="43"/>
          <w:vertAlign w:val="baseline"/>
        </w:rPr>
        <w:t> </w:t>
      </w:r>
      <w:r>
        <w:rPr>
          <w:vertAlign w:val="baseline"/>
        </w:rPr>
        <w:t>has</w:t>
      </w:r>
      <w:r>
        <w:rPr>
          <w:spacing w:val="45"/>
          <w:vertAlign w:val="baseline"/>
        </w:rPr>
        <w:t> </w:t>
      </w:r>
      <w:r>
        <w:rPr>
          <w:vertAlign w:val="baseline"/>
        </w:rPr>
        <w:t>a</w:t>
      </w:r>
      <w:r>
        <w:rPr>
          <w:spacing w:val="43"/>
          <w:vertAlign w:val="baseline"/>
        </w:rPr>
        <w:t> </w:t>
      </w:r>
      <w:r>
        <w:rPr>
          <w:vertAlign w:val="baseline"/>
        </w:rPr>
        <w:t>gentle</w:t>
      </w:r>
      <w:r>
        <w:rPr>
          <w:spacing w:val="46"/>
          <w:vertAlign w:val="baseline"/>
        </w:rPr>
        <w:t> </w:t>
      </w:r>
      <w:r>
        <w:rPr>
          <w:vertAlign w:val="baseline"/>
        </w:rPr>
        <w:t>topography</w:t>
      </w:r>
      <w:r>
        <w:rPr>
          <w:spacing w:val="37"/>
          <w:vertAlign w:val="baseline"/>
        </w:rPr>
        <w:t> </w:t>
      </w:r>
      <w:r>
        <w:rPr>
          <w:vertAlign w:val="baseline"/>
        </w:rPr>
        <w:t>that</w:t>
      </w:r>
      <w:r>
        <w:rPr>
          <w:spacing w:val="45"/>
          <w:vertAlign w:val="baseline"/>
        </w:rPr>
        <w:t> </w:t>
      </w:r>
      <w:r>
        <w:rPr>
          <w:vertAlign w:val="baseline"/>
        </w:rPr>
        <w:t>is</w:t>
      </w:r>
      <w:r>
        <w:rPr>
          <w:spacing w:val="45"/>
          <w:vertAlign w:val="baseline"/>
        </w:rPr>
        <w:t> </w:t>
      </w:r>
      <w:r>
        <w:rPr>
          <w:vertAlign w:val="baseline"/>
        </w:rPr>
        <w:t>covered</w:t>
      </w:r>
      <w:r>
        <w:rPr>
          <w:spacing w:val="44"/>
          <w:vertAlign w:val="baseline"/>
        </w:rPr>
        <w:t> </w:t>
      </w:r>
      <w:r>
        <w:rPr>
          <w:vertAlign w:val="baseline"/>
        </w:rPr>
        <w:t>with</w:t>
      </w:r>
      <w:r>
        <w:rPr>
          <w:spacing w:val="44"/>
          <w:vertAlign w:val="baseline"/>
        </w:rPr>
        <w:t> </w:t>
      </w:r>
      <w:r>
        <w:rPr>
          <w:vertAlign w:val="baseline"/>
        </w:rPr>
        <w:t>vegetation,</w:t>
      </w:r>
      <w:r>
        <w:rPr>
          <w:spacing w:val="45"/>
          <w:vertAlign w:val="baseline"/>
        </w:rPr>
        <w:t> </w:t>
      </w:r>
      <w:r>
        <w:rPr>
          <w:vertAlign w:val="baseline"/>
        </w:rPr>
        <w:t>trees,</w:t>
      </w:r>
      <w:r>
        <w:rPr>
          <w:spacing w:val="-58"/>
          <w:vertAlign w:val="baseline"/>
        </w:rPr>
        <w:t> </w:t>
      </w:r>
      <w:r>
        <w:rPr>
          <w:vertAlign w:val="baseline"/>
        </w:rPr>
        <w:t>farms</w:t>
      </w:r>
      <w:r>
        <w:rPr>
          <w:spacing w:val="-1"/>
          <w:vertAlign w:val="baseline"/>
        </w:rPr>
        <w:t> </w:t>
      </w:r>
      <w:r>
        <w:rPr>
          <w:vertAlign w:val="baseline"/>
        </w:rPr>
        <w:t>land and</w:t>
      </w:r>
      <w:r>
        <w:rPr>
          <w:spacing w:val="2"/>
          <w:vertAlign w:val="baseline"/>
        </w:rPr>
        <w:t> </w:t>
      </w:r>
      <w:r>
        <w:rPr>
          <w:vertAlign w:val="baseline"/>
        </w:rPr>
        <w:t>grasses (Figure</w:t>
      </w:r>
      <w:r>
        <w:rPr>
          <w:spacing w:val="-2"/>
          <w:vertAlign w:val="baseline"/>
        </w:rPr>
        <w:t> </w:t>
      </w:r>
      <w:r>
        <w:rPr>
          <w:vertAlign w:val="baseline"/>
        </w:rPr>
        <w:t>1.1).</w:t>
      </w:r>
    </w:p>
    <w:p>
      <w:pPr>
        <w:spacing w:after="0" w:line="480" w:lineRule="auto"/>
        <w:jc w:val="both"/>
        <w:sectPr>
          <w:pgSz w:w="11910" w:h="16840"/>
          <w:pgMar w:header="0" w:footer="1067" w:top="1320" w:bottom="1260" w:left="1680" w:right="980"/>
        </w:sectPr>
      </w:pPr>
    </w:p>
    <w:p>
      <w:pPr>
        <w:pStyle w:val="BodyText"/>
        <w:spacing w:before="7"/>
        <w:rPr>
          <w:sz w:val="4"/>
        </w:rPr>
      </w:pPr>
    </w:p>
    <w:p>
      <w:pPr>
        <w:pStyle w:val="BodyText"/>
        <w:ind w:left="547"/>
        <w:rPr>
          <w:sz w:val="20"/>
        </w:rPr>
      </w:pPr>
      <w:r>
        <w:rPr>
          <w:sz w:val="20"/>
        </w:rPr>
        <w:drawing>
          <wp:inline distT="0" distB="0" distL="0" distR="0">
            <wp:extent cx="5447787" cy="4191000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7787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41"/>
        <w:ind w:left="385" w:right="509"/>
        <w:jc w:val="center"/>
      </w:pPr>
      <w:r>
        <w:rPr/>
        <w:t>Figure</w:t>
      </w:r>
      <w:r>
        <w:rPr>
          <w:spacing w:val="-3"/>
        </w:rPr>
        <w:t> </w:t>
      </w:r>
      <w:r>
        <w:rPr/>
        <w:t>1.1</w:t>
      </w:r>
      <w:r>
        <w:rPr>
          <w:spacing w:val="2"/>
        </w:rPr>
        <w:t> </w:t>
      </w:r>
      <w:r>
        <w:rPr/>
        <w:t>Location map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study</w:t>
      </w:r>
      <w:r>
        <w:rPr>
          <w:spacing w:val="-4"/>
        </w:rPr>
        <w:t> </w:t>
      </w:r>
      <w:r>
        <w:rPr/>
        <w:t>area</w:t>
      </w:r>
    </w:p>
    <w:p>
      <w:pPr>
        <w:spacing w:after="0"/>
        <w:jc w:val="center"/>
        <w:sectPr>
          <w:pgSz w:w="11910" w:h="16840"/>
          <w:pgMar w:header="0" w:footer="1067" w:top="1580" w:bottom="1260" w:left="1680" w:right="980"/>
        </w:sectPr>
      </w:pPr>
    </w:p>
    <w:p>
      <w:pPr>
        <w:pStyle w:val="Heading2"/>
        <w:ind w:left="297" w:right="420" w:firstLine="0"/>
        <w:jc w:val="center"/>
      </w:pPr>
      <w:r>
        <w:rPr/>
        <w:t>CHAPTER</w:t>
      </w:r>
      <w:r>
        <w:rPr>
          <w:spacing w:val="-2"/>
        </w:rPr>
        <w:t> </w:t>
      </w:r>
      <w:r>
        <w:rPr/>
        <w:t>TW0</w:t>
      </w:r>
    </w:p>
    <w:p>
      <w:pPr>
        <w:pStyle w:val="BodyText"/>
        <w:spacing w:before="8"/>
        <w:rPr>
          <w:b/>
          <w:sz w:val="34"/>
        </w:rPr>
      </w:pPr>
    </w:p>
    <w:p>
      <w:pPr>
        <w:pStyle w:val="ListParagraph"/>
        <w:numPr>
          <w:ilvl w:val="1"/>
          <w:numId w:val="7"/>
        </w:numPr>
        <w:tabs>
          <w:tab w:pos="1028" w:val="left" w:leader="none"/>
        </w:tabs>
        <w:spacing w:line="240" w:lineRule="auto" w:before="0" w:after="0"/>
        <w:ind w:left="1027" w:right="0" w:hanging="721"/>
        <w:jc w:val="both"/>
        <w:rPr>
          <w:b/>
          <w:sz w:val="24"/>
        </w:rPr>
      </w:pPr>
      <w:r>
        <w:rPr>
          <w:b/>
          <w:sz w:val="24"/>
        </w:rPr>
        <w:t>LITERATURE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REVIEW</w:t>
      </w:r>
    </w:p>
    <w:p>
      <w:pPr>
        <w:pStyle w:val="BodyText"/>
        <w:spacing w:line="480" w:lineRule="auto" w:before="233"/>
        <w:ind w:left="307" w:right="433"/>
        <w:jc w:val="both"/>
      </w:pPr>
      <w:r>
        <w:rPr/>
        <w:t>This chapter reviews past literatures in relation to the present research work that is</w:t>
      </w:r>
      <w:r>
        <w:rPr>
          <w:spacing w:val="1"/>
        </w:rPr>
        <w:t> </w:t>
      </w:r>
      <w:r>
        <w:rPr/>
        <w:t>carried out and tends to correlate the various methods and findings to either improve on</w:t>
      </w:r>
      <w:r>
        <w:rPr>
          <w:spacing w:val="1"/>
        </w:rPr>
        <w:t> </w:t>
      </w:r>
      <w:r>
        <w:rPr/>
        <w:t>them or</w:t>
      </w:r>
      <w:r>
        <w:rPr>
          <w:spacing w:val="-1"/>
        </w:rPr>
        <w:t> </w:t>
      </w:r>
      <w:r>
        <w:rPr/>
        <w:t>develop new</w:t>
      </w:r>
      <w:r>
        <w:rPr>
          <w:spacing w:val="-1"/>
        </w:rPr>
        <w:t> </w:t>
      </w:r>
      <w:r>
        <w:rPr/>
        <w:t>theories.</w:t>
      </w:r>
    </w:p>
    <w:p>
      <w:pPr>
        <w:pStyle w:val="Heading2"/>
        <w:numPr>
          <w:ilvl w:val="1"/>
          <w:numId w:val="7"/>
        </w:numPr>
        <w:tabs>
          <w:tab w:pos="1028" w:val="left" w:leader="none"/>
        </w:tabs>
        <w:spacing w:line="240" w:lineRule="auto" w:before="5" w:after="0"/>
        <w:ind w:left="1027" w:right="0" w:hanging="721"/>
        <w:jc w:val="both"/>
      </w:pPr>
      <w:r>
        <w:rPr/>
        <w:t>Geology</w:t>
      </w:r>
      <w:r>
        <w:rPr>
          <w:spacing w:val="-2"/>
        </w:rPr>
        <w:t> </w:t>
      </w:r>
      <w:r>
        <w:rPr/>
        <w:t>of Nigeria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307" w:right="427"/>
        <w:jc w:val="both"/>
      </w:pPr>
      <w:r>
        <w:rPr/>
        <w:t>Nigeria is situated in the West African sub-region and located between latitude 4</w:t>
      </w:r>
      <w:r>
        <w:rPr>
          <w:vertAlign w:val="superscript"/>
        </w:rPr>
        <w:t>o</w:t>
      </w:r>
      <w:r>
        <w:rPr>
          <w:vertAlign w:val="baseline"/>
        </w:rPr>
        <w:t> and</w:t>
      </w:r>
      <w:r>
        <w:rPr>
          <w:spacing w:val="1"/>
          <w:vertAlign w:val="baseline"/>
        </w:rPr>
        <w:t> </w:t>
      </w:r>
      <w:r>
        <w:rPr>
          <w:vertAlign w:val="baseline"/>
        </w:rPr>
        <w:t>14</w:t>
      </w:r>
      <w:r>
        <w:rPr>
          <w:vertAlign w:val="superscript"/>
        </w:rPr>
        <w:t>o</w:t>
      </w:r>
      <w:r>
        <w:rPr>
          <w:vertAlign w:val="baseline"/>
        </w:rPr>
        <w:t> N and longitudes 3</w:t>
      </w:r>
      <w:r>
        <w:rPr>
          <w:vertAlign w:val="superscript"/>
        </w:rPr>
        <w:t>o</w:t>
      </w:r>
      <w:r>
        <w:rPr>
          <w:vertAlign w:val="baseline"/>
        </w:rPr>
        <w:t> to 15</w:t>
      </w:r>
      <w:r>
        <w:rPr>
          <w:vertAlign w:val="superscript"/>
        </w:rPr>
        <w:t>o</w:t>
      </w:r>
      <w:r>
        <w:rPr>
          <w:vertAlign w:val="baseline"/>
        </w:rPr>
        <w:t> E (Obaje, 2009).It is bounded by Niger republic to the</w:t>
      </w:r>
      <w:r>
        <w:rPr>
          <w:spacing w:val="1"/>
          <w:vertAlign w:val="baseline"/>
        </w:rPr>
        <w:t> </w:t>
      </w:r>
      <w:r>
        <w:rPr>
          <w:vertAlign w:val="baseline"/>
        </w:rPr>
        <w:t>north and the Atlantic Ocean to the south. Benin and Cameroun Republic flank it to the</w:t>
      </w:r>
      <w:r>
        <w:rPr>
          <w:spacing w:val="1"/>
          <w:vertAlign w:val="baseline"/>
        </w:rPr>
        <w:t> </w:t>
      </w:r>
      <w:r>
        <w:rPr>
          <w:vertAlign w:val="baseline"/>
        </w:rPr>
        <w:t>west and east respectively. A small strip borders the Chad Republic to the northeast. It</w:t>
      </w:r>
      <w:r>
        <w:rPr>
          <w:spacing w:val="1"/>
          <w:vertAlign w:val="baseline"/>
        </w:rPr>
        <w:t> </w:t>
      </w:r>
      <w:r>
        <w:rPr>
          <w:vertAlign w:val="baseline"/>
        </w:rPr>
        <w:t>has a landmass of 923,768 sq. km. The geology of Nigeria is made up of three major</w:t>
      </w:r>
      <w:r>
        <w:rPr>
          <w:spacing w:val="1"/>
          <w:vertAlign w:val="baseline"/>
        </w:rPr>
        <w:t> </w:t>
      </w:r>
      <w:r>
        <w:rPr>
          <w:vertAlign w:val="baseline"/>
        </w:rPr>
        <w:t>litho-petrological components, namely, the Basement Complex, Younger Granites, and</w:t>
      </w:r>
      <w:r>
        <w:rPr>
          <w:spacing w:val="1"/>
          <w:vertAlign w:val="baseline"/>
        </w:rPr>
        <w:t> </w:t>
      </w:r>
      <w:r>
        <w:rPr>
          <w:vertAlign w:val="baseline"/>
        </w:rPr>
        <w:t>Sedimentary Basins. The Basement Complex, which is Precambrian in age (Pan-African</w:t>
      </w:r>
      <w:r>
        <w:rPr>
          <w:spacing w:val="-57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older,</w:t>
      </w:r>
      <w:r>
        <w:rPr>
          <w:spacing w:val="1"/>
          <w:vertAlign w:val="baseline"/>
        </w:rPr>
        <w:t> </w:t>
      </w:r>
      <w:r>
        <w:rPr>
          <w:vertAlign w:val="baseline"/>
        </w:rPr>
        <w:t>greater</w:t>
      </w:r>
      <w:r>
        <w:rPr>
          <w:spacing w:val="1"/>
          <w:vertAlign w:val="baseline"/>
        </w:rPr>
        <w:t> </w:t>
      </w:r>
      <w:r>
        <w:rPr>
          <w:vertAlign w:val="baseline"/>
        </w:rPr>
        <w:t>than</w:t>
      </w:r>
      <w:r>
        <w:rPr>
          <w:spacing w:val="1"/>
          <w:vertAlign w:val="baseline"/>
        </w:rPr>
        <w:t> </w:t>
      </w:r>
      <w:r>
        <w:rPr>
          <w:vertAlign w:val="baseline"/>
        </w:rPr>
        <w:t>600</w:t>
      </w:r>
      <w:r>
        <w:rPr>
          <w:spacing w:val="1"/>
          <w:vertAlign w:val="baseline"/>
        </w:rPr>
        <w:t> </w:t>
      </w:r>
      <w:r>
        <w:rPr>
          <w:vertAlign w:val="baseline"/>
        </w:rPr>
        <w:t>million</w:t>
      </w:r>
      <w:r>
        <w:rPr>
          <w:spacing w:val="1"/>
          <w:vertAlign w:val="baseline"/>
        </w:rPr>
        <w:t> </w:t>
      </w:r>
      <w:r>
        <w:rPr>
          <w:vertAlign w:val="baseline"/>
        </w:rPr>
        <w:t>years),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made</w:t>
      </w:r>
      <w:r>
        <w:rPr>
          <w:spacing w:val="1"/>
          <w:vertAlign w:val="baseline"/>
        </w:rPr>
        <w:t> </w:t>
      </w:r>
      <w:r>
        <w:rPr>
          <w:vertAlign w:val="baseline"/>
        </w:rPr>
        <w:t>up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60"/>
          <w:vertAlign w:val="baseline"/>
        </w:rPr>
        <w:t> </w:t>
      </w:r>
      <w:r>
        <w:rPr>
          <w:vertAlign w:val="baseline"/>
        </w:rPr>
        <w:t>Migmatite-Gneiss</w:t>
      </w:r>
      <w:r>
        <w:rPr>
          <w:spacing w:val="1"/>
          <w:vertAlign w:val="baseline"/>
        </w:rPr>
        <w:t> </w:t>
      </w:r>
      <w:r>
        <w:rPr>
          <w:vertAlign w:val="baseline"/>
        </w:rPr>
        <w:t>Complex, the Schist Belts and the Older Granites. The Younger Granites comprise</w:t>
      </w:r>
      <w:r>
        <w:rPr>
          <w:spacing w:val="1"/>
          <w:vertAlign w:val="baseline"/>
        </w:rPr>
        <w:t> </w:t>
      </w:r>
      <w:r>
        <w:rPr>
          <w:vertAlign w:val="baseline"/>
        </w:rPr>
        <w:t>several Jurassic (200 – 145 million years) magmatic ring complexes centered around Jos</w:t>
      </w:r>
      <w:r>
        <w:rPr>
          <w:spacing w:val="-57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other</w:t>
      </w:r>
      <w:r>
        <w:rPr>
          <w:spacing w:val="1"/>
          <w:vertAlign w:val="baseline"/>
        </w:rPr>
        <w:t> </w:t>
      </w:r>
      <w:r>
        <w:rPr>
          <w:vertAlign w:val="baseline"/>
        </w:rPr>
        <w:t>parts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north-central</w:t>
      </w:r>
      <w:r>
        <w:rPr>
          <w:spacing w:val="1"/>
          <w:vertAlign w:val="baseline"/>
        </w:rPr>
        <w:t> </w:t>
      </w:r>
      <w:r>
        <w:rPr>
          <w:vertAlign w:val="baseline"/>
        </w:rPr>
        <w:t>Nigeria</w:t>
      </w:r>
      <w:r>
        <w:rPr>
          <w:spacing w:val="1"/>
          <w:vertAlign w:val="baseline"/>
        </w:rPr>
        <w:t> </w:t>
      </w:r>
      <w:r>
        <w:rPr>
          <w:vertAlign w:val="baseline"/>
        </w:rPr>
        <w:t>(Figure</w:t>
      </w:r>
      <w:r>
        <w:rPr>
          <w:spacing w:val="1"/>
          <w:vertAlign w:val="baseline"/>
        </w:rPr>
        <w:t> </w:t>
      </w:r>
      <w:r>
        <w:rPr>
          <w:vertAlign w:val="baseline"/>
        </w:rPr>
        <w:t>2.1).</w:t>
      </w:r>
      <w:r>
        <w:rPr>
          <w:spacing w:val="1"/>
          <w:vertAlign w:val="baseline"/>
        </w:rPr>
        <w:t> </w:t>
      </w:r>
      <w:r>
        <w:rPr>
          <w:vertAlign w:val="baseline"/>
        </w:rPr>
        <w:t>They</w:t>
      </w:r>
      <w:r>
        <w:rPr>
          <w:spacing w:val="1"/>
          <w:vertAlign w:val="baseline"/>
        </w:rPr>
        <w:t> </w:t>
      </w:r>
      <w:r>
        <w:rPr>
          <w:vertAlign w:val="baseline"/>
        </w:rPr>
        <w:t>are</w:t>
      </w:r>
      <w:r>
        <w:rPr>
          <w:spacing w:val="1"/>
          <w:vertAlign w:val="baseline"/>
        </w:rPr>
        <w:t> </w:t>
      </w:r>
      <w:r>
        <w:rPr>
          <w:vertAlign w:val="baseline"/>
        </w:rPr>
        <w:t>structurally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petrologically distinct from the Older Granites. The Sedimentary Basins, containing</w:t>
      </w:r>
      <w:r>
        <w:rPr>
          <w:spacing w:val="1"/>
          <w:vertAlign w:val="baseline"/>
        </w:rPr>
        <w:t> </w:t>
      </w:r>
      <w:r>
        <w:rPr>
          <w:vertAlign w:val="baseline"/>
        </w:rPr>
        <w:t>sediment fill of Cretaceous to Tertiary ages (less than 145 million years), comprise the</w:t>
      </w:r>
      <w:r>
        <w:rPr>
          <w:spacing w:val="1"/>
          <w:vertAlign w:val="baseline"/>
        </w:rPr>
        <w:t> </w:t>
      </w:r>
      <w:r>
        <w:rPr>
          <w:vertAlign w:val="baseline"/>
        </w:rPr>
        <w:t>Niger Delta, the Anambra Basin, the Lower, Middle and UpperDahomey Basin (Obaje,</w:t>
      </w:r>
      <w:r>
        <w:rPr>
          <w:spacing w:val="1"/>
          <w:vertAlign w:val="baseline"/>
        </w:rPr>
        <w:t> </w:t>
      </w:r>
      <w:r>
        <w:rPr>
          <w:vertAlign w:val="baseline"/>
        </w:rPr>
        <w:t>2009). Solid mineral deposits of economic significance that include Benue Trough, the</w:t>
      </w:r>
      <w:r>
        <w:rPr>
          <w:spacing w:val="1"/>
          <w:vertAlign w:val="baseline"/>
        </w:rPr>
        <w:t> </w:t>
      </w:r>
      <w:r>
        <w:rPr>
          <w:vertAlign w:val="baseline"/>
        </w:rPr>
        <w:t>Chad Basin, the Sokoto Basin, the Mid-Niger (Bida-Nupe) Basin and thegold, iron ore,</w:t>
      </w:r>
      <w:r>
        <w:rPr>
          <w:spacing w:val="1"/>
          <w:vertAlign w:val="baseline"/>
        </w:rPr>
        <w:t> </w:t>
      </w:r>
      <w:r>
        <w:rPr>
          <w:vertAlign w:val="baseline"/>
        </w:rPr>
        <w:t>cassiterite, columbite, wolframite, pyrochlore, monazite, marble, coal, limestone, clays,</w:t>
      </w:r>
      <w:r>
        <w:rPr>
          <w:spacing w:val="1"/>
          <w:vertAlign w:val="baseline"/>
        </w:rPr>
        <w:t> </w:t>
      </w:r>
      <w:r>
        <w:rPr>
          <w:vertAlign w:val="baseline"/>
        </w:rPr>
        <w:t>barites and lead-zinc occur in the different</w:t>
      </w:r>
      <w:r>
        <w:rPr>
          <w:spacing w:val="60"/>
          <w:vertAlign w:val="baseline"/>
        </w:rPr>
        <w:t> </w:t>
      </w:r>
      <w:r>
        <w:rPr>
          <w:vertAlign w:val="baseline"/>
        </w:rPr>
        <w:t>geologic segments of Nigeria and indeed</w:t>
      </w:r>
      <w:r>
        <w:rPr>
          <w:spacing w:val="1"/>
          <w:vertAlign w:val="baseline"/>
        </w:rPr>
        <w:t> </w:t>
      </w:r>
      <w:r>
        <w:rPr>
          <w:vertAlign w:val="baseline"/>
        </w:rPr>
        <w:t>each</w:t>
      </w:r>
      <w:r>
        <w:rPr>
          <w:spacing w:val="29"/>
          <w:vertAlign w:val="baseline"/>
        </w:rPr>
        <w:t> </w:t>
      </w:r>
      <w:r>
        <w:rPr>
          <w:vertAlign w:val="baseline"/>
        </w:rPr>
        <w:t>of</w:t>
      </w:r>
      <w:r>
        <w:rPr>
          <w:spacing w:val="26"/>
          <w:vertAlign w:val="baseline"/>
        </w:rPr>
        <w:t> </w:t>
      </w:r>
      <w:r>
        <w:rPr>
          <w:vertAlign w:val="baseline"/>
        </w:rPr>
        <w:t>the</w:t>
      </w:r>
      <w:r>
        <w:rPr>
          <w:spacing w:val="29"/>
          <w:vertAlign w:val="baseline"/>
        </w:rPr>
        <w:t> </w:t>
      </w:r>
      <w:r>
        <w:rPr>
          <w:vertAlign w:val="baseline"/>
        </w:rPr>
        <w:t>36</w:t>
      </w:r>
      <w:r>
        <w:rPr>
          <w:spacing w:val="28"/>
          <w:vertAlign w:val="baseline"/>
        </w:rPr>
        <w:t> </w:t>
      </w:r>
      <w:r>
        <w:rPr>
          <w:vertAlign w:val="baseline"/>
        </w:rPr>
        <w:t>federating</w:t>
      </w:r>
      <w:r>
        <w:rPr>
          <w:spacing w:val="25"/>
          <w:vertAlign w:val="baseline"/>
        </w:rPr>
        <w:t> </w:t>
      </w:r>
      <w:r>
        <w:rPr>
          <w:vertAlign w:val="baseline"/>
        </w:rPr>
        <w:t>states</w:t>
      </w:r>
      <w:r>
        <w:rPr>
          <w:spacing w:val="27"/>
          <w:vertAlign w:val="baseline"/>
        </w:rPr>
        <w:t> </w:t>
      </w:r>
      <w:r>
        <w:rPr>
          <w:vertAlign w:val="baseline"/>
        </w:rPr>
        <w:t>and</w:t>
      </w:r>
      <w:r>
        <w:rPr>
          <w:spacing w:val="29"/>
          <w:vertAlign w:val="baseline"/>
        </w:rPr>
        <w:t> </w:t>
      </w:r>
      <w:r>
        <w:rPr>
          <w:vertAlign w:val="baseline"/>
        </w:rPr>
        <w:t>the</w:t>
      </w:r>
      <w:r>
        <w:rPr>
          <w:spacing w:val="30"/>
          <w:vertAlign w:val="baseline"/>
        </w:rPr>
        <w:t> </w:t>
      </w:r>
      <w:r>
        <w:rPr>
          <w:vertAlign w:val="baseline"/>
        </w:rPr>
        <w:t>Federal</w:t>
      </w:r>
      <w:r>
        <w:rPr>
          <w:spacing w:val="30"/>
          <w:vertAlign w:val="baseline"/>
        </w:rPr>
        <w:t> </w:t>
      </w:r>
      <w:r>
        <w:rPr>
          <w:vertAlign w:val="baseline"/>
        </w:rPr>
        <w:t>Capital</w:t>
      </w:r>
      <w:r>
        <w:rPr>
          <w:spacing w:val="28"/>
          <w:vertAlign w:val="baseline"/>
        </w:rPr>
        <w:t> </w:t>
      </w:r>
      <w:r>
        <w:rPr>
          <w:vertAlign w:val="baseline"/>
        </w:rPr>
        <w:t>Territory.</w:t>
      </w:r>
      <w:r>
        <w:rPr>
          <w:spacing w:val="29"/>
          <w:vertAlign w:val="baseline"/>
        </w:rPr>
        <w:t> </w:t>
      </w:r>
      <w:r>
        <w:rPr>
          <w:vertAlign w:val="baseline"/>
        </w:rPr>
        <w:t>Oil</w:t>
      </w:r>
      <w:r>
        <w:rPr>
          <w:spacing w:val="29"/>
          <w:vertAlign w:val="baseline"/>
        </w:rPr>
        <w:t> </w:t>
      </w:r>
      <w:r>
        <w:rPr>
          <w:vertAlign w:val="baseline"/>
        </w:rPr>
        <w:t>and</w:t>
      </w:r>
      <w:r>
        <w:rPr>
          <w:spacing w:val="27"/>
          <w:vertAlign w:val="baseline"/>
        </w:rPr>
        <w:t> </w:t>
      </w:r>
      <w:r>
        <w:rPr>
          <w:vertAlign w:val="baseline"/>
        </w:rPr>
        <w:t>gas</w:t>
      </w:r>
      <w:r>
        <w:rPr>
          <w:spacing w:val="27"/>
          <w:vertAlign w:val="baseline"/>
        </w:rPr>
        <w:t> </w:t>
      </w:r>
      <w:r>
        <w:rPr>
          <w:vertAlign w:val="baseline"/>
        </w:rPr>
        <w:t>on</w:t>
      </w:r>
      <w:r>
        <w:rPr>
          <w:spacing w:val="28"/>
          <w:vertAlign w:val="baseline"/>
        </w:rPr>
        <w:t> </w:t>
      </w:r>
      <w:r>
        <w:rPr>
          <w:vertAlign w:val="baseline"/>
        </w:rPr>
        <w:t>the</w:t>
      </w:r>
    </w:p>
    <w:p>
      <w:pPr>
        <w:spacing w:after="0" w:line="480" w:lineRule="auto"/>
        <w:jc w:val="both"/>
        <w:sectPr>
          <w:pgSz w:w="11910" w:h="16840"/>
          <w:pgMar w:header="0" w:footer="1067" w:top="1320" w:bottom="1260" w:left="1680" w:right="980"/>
        </w:sectPr>
      </w:pPr>
    </w:p>
    <w:p>
      <w:pPr>
        <w:pStyle w:val="BodyText"/>
        <w:spacing w:line="480" w:lineRule="auto" w:before="64"/>
        <w:ind w:left="307"/>
      </w:pPr>
      <w:r>
        <w:rPr/>
        <w:t>other</w:t>
      </w:r>
      <w:r>
        <w:rPr>
          <w:spacing w:val="19"/>
        </w:rPr>
        <w:t> </w:t>
      </w:r>
      <w:r>
        <w:rPr/>
        <w:t>hand</w:t>
      </w:r>
      <w:r>
        <w:rPr>
          <w:spacing w:val="20"/>
        </w:rPr>
        <w:t> </w:t>
      </w:r>
      <w:r>
        <w:rPr/>
        <w:t>occur</w:t>
      </w:r>
      <w:r>
        <w:rPr>
          <w:spacing w:val="22"/>
        </w:rPr>
        <w:t> </w:t>
      </w:r>
      <w:r>
        <w:rPr/>
        <w:t>prolifically</w:t>
      </w:r>
      <w:r>
        <w:rPr>
          <w:spacing w:val="15"/>
        </w:rPr>
        <w:t> </w:t>
      </w:r>
      <w:r>
        <w:rPr/>
        <w:t>in</w:t>
      </w:r>
      <w:r>
        <w:rPr>
          <w:spacing w:val="21"/>
        </w:rPr>
        <w:t> </w:t>
      </w:r>
      <w:r>
        <w:rPr/>
        <w:t>the</w:t>
      </w:r>
      <w:r>
        <w:rPr>
          <w:spacing w:val="22"/>
        </w:rPr>
        <w:t> </w:t>
      </w:r>
      <w:r>
        <w:rPr/>
        <w:t>Niger</w:t>
      </w:r>
      <w:r>
        <w:rPr>
          <w:spacing w:val="22"/>
        </w:rPr>
        <w:t> </w:t>
      </w:r>
      <w:r>
        <w:rPr/>
        <w:t>Delta</w:t>
      </w:r>
      <w:r>
        <w:rPr>
          <w:spacing w:val="21"/>
        </w:rPr>
        <w:t> </w:t>
      </w:r>
      <w:r>
        <w:rPr/>
        <w:t>Basin</w:t>
      </w:r>
      <w:r>
        <w:rPr>
          <w:spacing w:val="21"/>
        </w:rPr>
        <w:t> </w:t>
      </w:r>
      <w:r>
        <w:rPr/>
        <w:t>with</w:t>
      </w:r>
      <w:r>
        <w:rPr>
          <w:spacing w:val="21"/>
        </w:rPr>
        <w:t> </w:t>
      </w:r>
      <w:r>
        <w:rPr/>
        <w:t>opportunities</w:t>
      </w:r>
      <w:r>
        <w:rPr>
          <w:spacing w:val="22"/>
        </w:rPr>
        <w:t> </w:t>
      </w:r>
      <w:r>
        <w:rPr/>
        <w:t>to</w:t>
      </w:r>
      <w:r>
        <w:rPr>
          <w:spacing w:val="21"/>
        </w:rPr>
        <w:t> </w:t>
      </w:r>
      <w:r>
        <w:rPr/>
        <w:t>add</w:t>
      </w:r>
      <w:r>
        <w:rPr>
          <w:spacing w:val="20"/>
        </w:rPr>
        <w:t> </w:t>
      </w:r>
      <w:r>
        <w:rPr/>
        <w:t>to</w:t>
      </w:r>
      <w:r>
        <w:rPr>
          <w:spacing w:val="20"/>
        </w:rPr>
        <w:t> </w:t>
      </w:r>
      <w:r>
        <w:rPr/>
        <w:t>the</w:t>
      </w:r>
      <w:r>
        <w:rPr>
          <w:spacing w:val="-57"/>
        </w:rPr>
        <w:t> </w:t>
      </w:r>
      <w:r>
        <w:rPr/>
        <w:t>national</w:t>
      </w:r>
      <w:r>
        <w:rPr>
          <w:spacing w:val="-1"/>
        </w:rPr>
        <w:t> </w:t>
      </w:r>
      <w:r>
        <w:rPr/>
        <w:t>reserve</w:t>
      </w:r>
      <w:r>
        <w:rPr>
          <w:spacing w:val="-1"/>
        </w:rPr>
        <w:t> </w:t>
      </w:r>
      <w:r>
        <w:rPr/>
        <w:t>asset</w:t>
      </w:r>
      <w:r>
        <w:rPr>
          <w:spacing w:val="2"/>
        </w:rPr>
        <w:t> </w:t>
      </w:r>
      <w:r>
        <w:rPr/>
        <w:t>existing</w:t>
      </w:r>
      <w:r>
        <w:rPr>
          <w:spacing w:val="-3"/>
        </w:rPr>
        <w:t> </w:t>
      </w:r>
      <w:r>
        <w:rPr/>
        <w:t>in the</w:t>
      </w:r>
      <w:r>
        <w:rPr>
          <w:spacing w:val="-2"/>
        </w:rPr>
        <w:t> </w:t>
      </w:r>
      <w:r>
        <w:rPr/>
        <w:t>other</w:t>
      </w:r>
      <w:r>
        <w:rPr>
          <w:spacing w:val="-2"/>
        </w:rPr>
        <w:t> </w:t>
      </w:r>
      <w:r>
        <w:rPr/>
        <w:t>sedimentary</w:t>
      </w:r>
      <w:r>
        <w:rPr>
          <w:spacing w:val="-5"/>
        </w:rPr>
        <w:t> </w:t>
      </w:r>
      <w:r>
        <w:rPr/>
        <w:t>basins. (Obaje, 2009)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1261744</wp:posOffset>
            </wp:positionH>
            <wp:positionV relativeFrom="paragraph">
              <wp:posOffset>197200</wp:posOffset>
            </wp:positionV>
            <wp:extent cx="4903470" cy="4460271"/>
            <wp:effectExtent l="0" t="0" r="0" b="0"/>
            <wp:wrapTopAndBottom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3470" cy="44602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3"/>
        </w:rPr>
        <w:sectPr>
          <w:pgSz w:w="11910" w:h="16840"/>
          <w:pgMar w:header="0" w:footer="1067" w:top="1320" w:bottom="1260" w:left="1680" w:right="980"/>
        </w:sectPr>
      </w:pPr>
    </w:p>
    <w:p>
      <w:pPr>
        <w:pStyle w:val="Heading2"/>
        <w:numPr>
          <w:ilvl w:val="1"/>
          <w:numId w:val="7"/>
        </w:numPr>
        <w:tabs>
          <w:tab w:pos="1028" w:val="left" w:leader="none"/>
        </w:tabs>
        <w:spacing w:line="240" w:lineRule="auto" w:before="69" w:after="0"/>
        <w:ind w:left="1027" w:right="0" w:hanging="721"/>
        <w:jc w:val="both"/>
      </w:pPr>
      <w:r>
        <w:rPr/>
        <w:t>Geology</w:t>
      </w:r>
      <w:r>
        <w:rPr>
          <w:spacing w:val="-1"/>
        </w:rPr>
        <w:t> </w:t>
      </w:r>
      <w:r>
        <w:rPr/>
        <w:t>of the study</w:t>
      </w:r>
      <w:r>
        <w:rPr>
          <w:spacing w:val="-1"/>
        </w:rPr>
        <w:t> </w:t>
      </w:r>
      <w:r>
        <w:rPr/>
        <w:t>Area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07" w:right="425"/>
        <w:jc w:val="both"/>
      </w:pPr>
      <w:r>
        <w:rPr/>
        <w:t>The study area is located in Badeggi which falls within the northern Bida basin. Bida</w:t>
      </w:r>
      <w:r>
        <w:rPr>
          <w:spacing w:val="1"/>
        </w:rPr>
        <w:t> </w:t>
      </w:r>
      <w:r>
        <w:rPr/>
        <w:t>basin consists of five major rock units called formations which are successively as</w:t>
      </w:r>
      <w:r>
        <w:rPr>
          <w:spacing w:val="1"/>
        </w:rPr>
        <w:t> </w:t>
      </w:r>
      <w:r>
        <w:rPr/>
        <w:t>follows (beginning from the oldest to the youngest rock): The basal conglomerates (at</w:t>
      </w:r>
      <w:r>
        <w:rPr>
          <w:spacing w:val="1"/>
        </w:rPr>
        <w:t> </w:t>
      </w:r>
      <w:r>
        <w:rPr/>
        <w:t>the base), the Bida sandstone, the Sakpe ironstone, the Enagi Siltstone and the Batati</w:t>
      </w:r>
      <w:r>
        <w:rPr>
          <w:spacing w:val="1"/>
        </w:rPr>
        <w:t> </w:t>
      </w:r>
      <w:r>
        <w:rPr/>
        <w:t>formation (at the top). The area is underlain directly by the second to the uppermost</w:t>
      </w:r>
      <w:r>
        <w:rPr>
          <w:spacing w:val="1"/>
        </w:rPr>
        <w:t> </w:t>
      </w:r>
      <w:r>
        <w:rPr/>
        <w:t>formation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Bida</w:t>
      </w:r>
      <w:r>
        <w:rPr>
          <w:spacing w:val="1"/>
        </w:rPr>
        <w:t> </w:t>
      </w:r>
      <w:r>
        <w:rPr/>
        <w:t>basin</w:t>
      </w:r>
      <w:r>
        <w:rPr>
          <w:spacing w:val="1"/>
        </w:rPr>
        <w:t> </w:t>
      </w:r>
      <w:r>
        <w:rPr/>
        <w:t>called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Enagi</w:t>
      </w:r>
      <w:r>
        <w:rPr>
          <w:spacing w:val="1"/>
        </w:rPr>
        <w:t> </w:t>
      </w:r>
      <w:r>
        <w:rPr/>
        <w:t>Formation.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probable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denudation activities in the area which had strip off the uppermost Batati formation. The</w:t>
      </w:r>
      <w:r>
        <w:rPr>
          <w:spacing w:val="-57"/>
        </w:rPr>
        <w:t> </w:t>
      </w:r>
      <w:r>
        <w:rPr/>
        <w:t>Enagi</w:t>
      </w:r>
      <w:r>
        <w:rPr>
          <w:spacing w:val="1"/>
        </w:rPr>
        <w:t> </w:t>
      </w:r>
      <w:r>
        <w:rPr/>
        <w:t>Siltstone</w:t>
      </w:r>
      <w:r>
        <w:rPr>
          <w:spacing w:val="1"/>
        </w:rPr>
        <w:t> </w:t>
      </w:r>
      <w:r>
        <w:rPr/>
        <w:t>consists</w:t>
      </w:r>
      <w:r>
        <w:rPr>
          <w:spacing w:val="1"/>
        </w:rPr>
        <w:t> </w:t>
      </w:r>
      <w:r>
        <w:rPr/>
        <w:t>mainly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siltstones.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subsidiary</w:t>
      </w:r>
      <w:r>
        <w:rPr>
          <w:spacing w:val="1"/>
        </w:rPr>
        <w:t> </w:t>
      </w:r>
      <w:r>
        <w:rPr/>
        <w:t>lithologies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sandstone-siltstone admixture with some claystone. The formation ranges in thickness</w:t>
      </w:r>
      <w:r>
        <w:rPr>
          <w:spacing w:val="1"/>
        </w:rPr>
        <w:t> </w:t>
      </w:r>
      <w:r>
        <w:rPr/>
        <w:t>between 30 and 60m. Mineral assemblage consists mainly of quartz, feldspars and clay</w:t>
      </w:r>
      <w:r>
        <w:rPr>
          <w:spacing w:val="1"/>
        </w:rPr>
        <w:t> </w:t>
      </w:r>
      <w:r>
        <w:rPr/>
        <w:t>minerals. as well as geophysical data suggest that the basin is bounded by a field in</w:t>
      </w:r>
      <w:r>
        <w:rPr>
          <w:spacing w:val="1"/>
        </w:rPr>
        <w:t> </w:t>
      </w:r>
      <w:r>
        <w:rPr/>
        <w:t>different sections of the basin showed that the average depth to basement is about 3.4</w:t>
      </w:r>
      <w:r>
        <w:rPr>
          <w:spacing w:val="1"/>
        </w:rPr>
        <w:t> </w:t>
      </w:r>
      <w:r>
        <w:rPr/>
        <w:t>km,</w:t>
      </w:r>
      <w:r>
        <w:rPr>
          <w:spacing w:val="23"/>
        </w:rPr>
        <w:t> </w:t>
      </w:r>
      <w:r>
        <w:rPr/>
        <w:t>with</w:t>
      </w:r>
      <w:r>
        <w:rPr>
          <w:spacing w:val="24"/>
        </w:rPr>
        <w:t> </w:t>
      </w:r>
      <w:r>
        <w:rPr/>
        <w:t>sedimentary</w:t>
      </w:r>
      <w:r>
        <w:rPr>
          <w:spacing w:val="15"/>
        </w:rPr>
        <w:t> </w:t>
      </w:r>
      <w:r>
        <w:rPr/>
        <w:t>thicknesses</w:t>
      </w:r>
      <w:r>
        <w:rPr>
          <w:spacing w:val="23"/>
        </w:rPr>
        <w:t> </w:t>
      </w:r>
      <w:r>
        <w:rPr/>
        <w:t>of</w:t>
      </w:r>
      <w:r>
        <w:rPr>
          <w:spacing w:val="22"/>
        </w:rPr>
        <w:t> </w:t>
      </w:r>
      <w:r>
        <w:rPr/>
        <w:t>up</w:t>
      </w:r>
      <w:r>
        <w:rPr>
          <w:spacing w:val="23"/>
        </w:rPr>
        <w:t> </w:t>
      </w:r>
      <w:r>
        <w:rPr/>
        <w:t>to</w:t>
      </w:r>
      <w:r>
        <w:rPr>
          <w:spacing w:val="24"/>
        </w:rPr>
        <w:t> </w:t>
      </w:r>
      <w:r>
        <w:rPr/>
        <w:t>4.7</w:t>
      </w:r>
      <w:r>
        <w:rPr>
          <w:spacing w:val="20"/>
        </w:rPr>
        <w:t> </w:t>
      </w:r>
      <w:r>
        <w:rPr/>
        <w:t>km</w:t>
      </w:r>
      <w:r>
        <w:rPr>
          <w:spacing w:val="24"/>
        </w:rPr>
        <w:t> </w:t>
      </w:r>
      <w:r>
        <w:rPr/>
        <w:t>in</w:t>
      </w:r>
      <w:r>
        <w:rPr>
          <w:spacing w:val="20"/>
        </w:rPr>
        <w:t> </w:t>
      </w:r>
      <w:r>
        <w:rPr/>
        <w:t>the</w:t>
      </w:r>
      <w:r>
        <w:rPr>
          <w:spacing w:val="23"/>
        </w:rPr>
        <w:t> </w:t>
      </w:r>
      <w:r>
        <w:rPr/>
        <w:t>central</w:t>
      </w:r>
      <w:r>
        <w:rPr>
          <w:spacing w:val="24"/>
        </w:rPr>
        <w:t> </w:t>
      </w:r>
      <w:r>
        <w:rPr/>
        <w:t>and</w:t>
      </w:r>
      <w:r>
        <w:rPr>
          <w:spacing w:val="22"/>
        </w:rPr>
        <w:t> </w:t>
      </w:r>
      <w:r>
        <w:rPr/>
        <w:t>southern</w:t>
      </w:r>
      <w:r>
        <w:rPr>
          <w:spacing w:val="23"/>
        </w:rPr>
        <w:t> </w:t>
      </w:r>
      <w:r>
        <w:rPr/>
        <w:t>parts</w:t>
      </w:r>
      <w:r>
        <w:rPr>
          <w:spacing w:val="22"/>
        </w:rPr>
        <w:t> </w:t>
      </w:r>
      <w:r>
        <w:rPr/>
        <w:t>of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basin (Fadele</w:t>
      </w:r>
      <w:r>
        <w:rPr>
          <w:i/>
        </w:rPr>
        <w:t>et al., </w:t>
      </w:r>
      <w:r>
        <w:rPr/>
        <w:t>2013).</w:t>
      </w:r>
    </w:p>
    <w:p>
      <w:pPr>
        <w:spacing w:after="0" w:line="480" w:lineRule="auto"/>
        <w:jc w:val="both"/>
        <w:sectPr>
          <w:pgSz w:w="11910" w:h="16840"/>
          <w:pgMar w:header="0" w:footer="1067" w:top="1320" w:bottom="1260" w:left="1680" w:right="9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5"/>
        </w:rPr>
      </w:pPr>
    </w:p>
    <w:p>
      <w:pPr>
        <w:pStyle w:val="BodyText"/>
        <w:ind w:left="307"/>
        <w:rPr>
          <w:sz w:val="20"/>
        </w:rPr>
      </w:pPr>
      <w:r>
        <w:rPr>
          <w:sz w:val="20"/>
        </w:rPr>
        <w:drawing>
          <wp:inline distT="0" distB="0" distL="0" distR="0">
            <wp:extent cx="5574892" cy="4343400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4892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Heading1"/>
        <w:spacing w:line="480" w:lineRule="auto" w:before="236"/>
        <w:ind w:right="114" w:firstLine="0"/>
      </w:pPr>
      <w:r>
        <w:rPr/>
        <w:t>Figure</w:t>
      </w:r>
      <w:r>
        <w:rPr>
          <w:spacing w:val="40"/>
        </w:rPr>
        <w:t> </w:t>
      </w:r>
      <w:r>
        <w:rPr/>
        <w:t>2.2</w:t>
      </w:r>
      <w:r>
        <w:rPr>
          <w:spacing w:val="44"/>
        </w:rPr>
        <w:t> </w:t>
      </w:r>
      <w:r>
        <w:rPr/>
        <w:t>Map</w:t>
      </w:r>
      <w:r>
        <w:rPr>
          <w:spacing w:val="41"/>
        </w:rPr>
        <w:t> </w:t>
      </w:r>
      <w:r>
        <w:rPr/>
        <w:t>of</w:t>
      </w:r>
      <w:r>
        <w:rPr>
          <w:spacing w:val="41"/>
        </w:rPr>
        <w:t> </w:t>
      </w:r>
      <w:r>
        <w:rPr/>
        <w:t>Niger</w:t>
      </w:r>
      <w:r>
        <w:rPr>
          <w:spacing w:val="40"/>
        </w:rPr>
        <w:t> </w:t>
      </w:r>
      <w:r>
        <w:rPr/>
        <w:t>State,</w:t>
      </w:r>
      <w:r>
        <w:rPr>
          <w:spacing w:val="43"/>
        </w:rPr>
        <w:t> </w:t>
      </w:r>
      <w:r>
        <w:rPr/>
        <w:t>Nigeria.</w:t>
      </w:r>
      <w:r>
        <w:rPr>
          <w:spacing w:val="40"/>
        </w:rPr>
        <w:t> </w:t>
      </w:r>
      <w:r>
        <w:rPr/>
        <w:t>Showing</w:t>
      </w:r>
      <w:r>
        <w:rPr>
          <w:spacing w:val="42"/>
        </w:rPr>
        <w:t> </w:t>
      </w:r>
      <w:r>
        <w:rPr/>
        <w:t>the</w:t>
      </w:r>
      <w:r>
        <w:rPr>
          <w:spacing w:val="40"/>
        </w:rPr>
        <w:t> </w:t>
      </w:r>
      <w:r>
        <w:rPr/>
        <w:t>study</w:t>
      </w:r>
      <w:r>
        <w:rPr>
          <w:spacing w:val="40"/>
        </w:rPr>
        <w:t> </w:t>
      </w:r>
      <w:r>
        <w:rPr/>
        <w:t>area</w:t>
      </w:r>
      <w:r>
        <w:rPr>
          <w:spacing w:val="43"/>
        </w:rPr>
        <w:t> </w:t>
      </w:r>
      <w:r>
        <w:rPr/>
        <w:t>(Obaje,</w:t>
      </w:r>
      <w:r>
        <w:rPr>
          <w:spacing w:val="-67"/>
        </w:rPr>
        <w:t> </w:t>
      </w:r>
      <w:r>
        <w:rPr/>
        <w:t>2006)</w:t>
      </w:r>
    </w:p>
    <w:p>
      <w:pPr>
        <w:spacing w:after="0" w:line="480" w:lineRule="auto"/>
        <w:sectPr>
          <w:pgSz w:w="11910" w:h="16840"/>
          <w:pgMar w:header="0" w:footer="1067" w:top="1580" w:bottom="1260" w:left="1680" w:right="980"/>
        </w:sectPr>
      </w:pPr>
    </w:p>
    <w:p>
      <w:pPr>
        <w:pStyle w:val="Heading2"/>
        <w:numPr>
          <w:ilvl w:val="1"/>
          <w:numId w:val="7"/>
        </w:numPr>
        <w:tabs>
          <w:tab w:pos="1028" w:val="left" w:leader="none"/>
        </w:tabs>
        <w:spacing w:line="240" w:lineRule="auto" w:before="70" w:after="0"/>
        <w:ind w:left="1027" w:right="0" w:hanging="721"/>
        <w:jc w:val="both"/>
        <w:rPr>
          <w:sz w:val="28"/>
        </w:rPr>
      </w:pPr>
      <w:r>
        <w:rPr/>
        <w:t>Groundwater</w:t>
      </w:r>
    </w:p>
    <w:p>
      <w:pPr>
        <w:pStyle w:val="BodyText"/>
        <w:spacing w:before="5"/>
        <w:rPr>
          <w:b/>
          <w:sz w:val="27"/>
        </w:rPr>
      </w:pPr>
    </w:p>
    <w:p>
      <w:pPr>
        <w:pStyle w:val="BodyText"/>
        <w:spacing w:line="480" w:lineRule="auto" w:before="1"/>
        <w:ind w:left="307" w:right="429"/>
        <w:jc w:val="both"/>
      </w:pPr>
      <w:r>
        <w:rPr/>
        <w:t>Groundwater as the main source of potable water supply for domestic, industrial and</w:t>
      </w:r>
      <w:r>
        <w:rPr>
          <w:spacing w:val="1"/>
        </w:rPr>
        <w:t> </w:t>
      </w:r>
      <w:r>
        <w:rPr/>
        <w:t>agricultural uses has been under intense pressure of degradation and contamination due</w:t>
      </w:r>
      <w:r>
        <w:rPr>
          <w:spacing w:val="1"/>
        </w:rPr>
        <w:t> </w:t>
      </w:r>
      <w:r>
        <w:rPr/>
        <w:t>to urbanisation, industrial and agricultural related activities. The impact of this trio on</w:t>
      </w:r>
      <w:r>
        <w:rPr>
          <w:spacing w:val="1"/>
        </w:rPr>
        <w:t> </w:t>
      </w:r>
      <w:r>
        <w:rPr/>
        <w:t>soil and groundwater is alarming with years of devastating effects on humans and the</w:t>
      </w:r>
      <w:r>
        <w:rPr>
          <w:spacing w:val="1"/>
        </w:rPr>
        <w:t> </w:t>
      </w:r>
      <w:r>
        <w:rPr/>
        <w:t>ecosystem. Groundwater is said to be contaminated when it is unfit for the intended</w:t>
      </w:r>
      <w:r>
        <w:rPr>
          <w:spacing w:val="1"/>
        </w:rPr>
        <w:t> </w:t>
      </w:r>
      <w:r>
        <w:rPr/>
        <w:t>purpose</w:t>
      </w:r>
      <w:r>
        <w:rPr>
          <w:spacing w:val="-2"/>
        </w:rPr>
        <w:t> </w:t>
      </w:r>
      <w:r>
        <w:rPr/>
        <w:t>and therefore</w:t>
      </w:r>
      <w:r>
        <w:rPr>
          <w:spacing w:val="-2"/>
        </w:rPr>
        <w:t> </w:t>
      </w:r>
      <w:r>
        <w:rPr/>
        <w:t>constitute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nuisance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user (Ehirim</w:t>
      </w:r>
      <w:r>
        <w:rPr>
          <w:i/>
        </w:rPr>
        <w:t>et al., </w:t>
      </w:r>
      <w:r>
        <w:rPr/>
        <w:t>2010).</w:t>
      </w:r>
    </w:p>
    <w:p>
      <w:pPr>
        <w:pStyle w:val="Heading2"/>
        <w:numPr>
          <w:ilvl w:val="1"/>
          <w:numId w:val="7"/>
        </w:numPr>
        <w:tabs>
          <w:tab w:pos="1028" w:val="left" w:leader="none"/>
        </w:tabs>
        <w:spacing w:line="240" w:lineRule="auto" w:before="166" w:after="0"/>
        <w:ind w:left="1027" w:right="0" w:hanging="721"/>
        <w:jc w:val="both"/>
      </w:pPr>
      <w:r>
        <w:rPr/>
        <w:t>Aquifer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07" w:right="429"/>
        <w:jc w:val="both"/>
      </w:pPr>
      <w:r>
        <w:rPr/>
        <w:t>An aquifer is a layer of relatively porous substrate that contains groundwater, which can</w:t>
      </w:r>
      <w:r>
        <w:rPr>
          <w:spacing w:val="-57"/>
        </w:rPr>
        <w:t> </w:t>
      </w:r>
      <w:r>
        <w:rPr/>
        <w:t>flow directly between the surface and saturated zone of an aquifer then the aquifer is</w:t>
      </w:r>
      <w:r>
        <w:rPr>
          <w:spacing w:val="1"/>
        </w:rPr>
        <w:t> </w:t>
      </w:r>
      <w:r>
        <w:rPr/>
        <w:t>unconfined.</w:t>
      </w:r>
      <w:r>
        <w:rPr>
          <w:spacing w:val="28"/>
        </w:rPr>
        <w:t> </w:t>
      </w:r>
      <w:r>
        <w:rPr/>
        <w:t>The</w:t>
      </w:r>
      <w:r>
        <w:rPr>
          <w:spacing w:val="28"/>
        </w:rPr>
        <w:t> </w:t>
      </w:r>
      <w:r>
        <w:rPr/>
        <w:t>deep</w:t>
      </w:r>
      <w:r>
        <w:rPr>
          <w:spacing w:val="28"/>
        </w:rPr>
        <w:t> </w:t>
      </w:r>
      <w:r>
        <w:rPr/>
        <w:t>parts</w:t>
      </w:r>
      <w:r>
        <w:rPr>
          <w:spacing w:val="29"/>
        </w:rPr>
        <w:t> </w:t>
      </w:r>
      <w:r>
        <w:rPr/>
        <w:t>of</w:t>
      </w:r>
      <w:r>
        <w:rPr>
          <w:spacing w:val="27"/>
        </w:rPr>
        <w:t> </w:t>
      </w:r>
      <w:r>
        <w:rPr/>
        <w:t>unconfined</w:t>
      </w:r>
      <w:r>
        <w:rPr>
          <w:spacing w:val="31"/>
        </w:rPr>
        <w:t> </w:t>
      </w:r>
      <w:r>
        <w:rPr/>
        <w:t>aquifers</w:t>
      </w:r>
      <w:r>
        <w:rPr>
          <w:spacing w:val="28"/>
        </w:rPr>
        <w:t> </w:t>
      </w:r>
      <w:r>
        <w:rPr/>
        <w:t>are</w:t>
      </w:r>
      <w:r>
        <w:rPr>
          <w:spacing w:val="30"/>
        </w:rPr>
        <w:t> </w:t>
      </w:r>
      <w:r>
        <w:rPr/>
        <w:t>generally</w:t>
      </w:r>
      <w:r>
        <w:rPr>
          <w:spacing w:val="23"/>
        </w:rPr>
        <w:t> </w:t>
      </w:r>
      <w:r>
        <w:rPr/>
        <w:t>more</w:t>
      </w:r>
      <w:r>
        <w:rPr>
          <w:spacing w:val="28"/>
        </w:rPr>
        <w:t> </w:t>
      </w:r>
      <w:r>
        <w:rPr/>
        <w:t>saturated</w:t>
      </w:r>
      <w:r>
        <w:rPr>
          <w:spacing w:val="28"/>
        </w:rPr>
        <w:t> </w:t>
      </w:r>
      <w:r>
        <w:rPr/>
        <w:t>since</w:t>
      </w:r>
      <w:r>
        <w:rPr>
          <w:spacing w:val="-57"/>
        </w:rPr>
        <w:t> </w:t>
      </w:r>
      <w:r>
        <w:rPr/>
        <w:t>the gravity causes the water to flow downwards. If a confined aquifer is following a</w:t>
      </w:r>
      <w:r>
        <w:rPr>
          <w:spacing w:val="1"/>
        </w:rPr>
        <w:t> </w:t>
      </w:r>
      <w:r>
        <w:rPr/>
        <w:t>downward grade from its recharge zone, then the groundwater can become pressurized.</w:t>
      </w:r>
      <w:r>
        <w:rPr>
          <w:spacing w:val="1"/>
        </w:rPr>
        <w:t> </w:t>
      </w:r>
      <w:r>
        <w:rPr/>
        <w:t>(Tsepav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al., </w:t>
      </w:r>
      <w:r>
        <w:rPr/>
        <w:t>2014).</w:t>
      </w:r>
    </w:p>
    <w:p>
      <w:pPr>
        <w:pStyle w:val="Heading2"/>
        <w:numPr>
          <w:ilvl w:val="1"/>
          <w:numId w:val="7"/>
        </w:numPr>
        <w:tabs>
          <w:tab w:pos="1028" w:val="left" w:leader="none"/>
        </w:tabs>
        <w:spacing w:line="240" w:lineRule="auto" w:before="164" w:after="0"/>
        <w:ind w:left="1027" w:right="0" w:hanging="721"/>
        <w:jc w:val="both"/>
      </w:pPr>
      <w:r>
        <w:rPr/>
        <w:t>Surface</w:t>
      </w:r>
      <w:r>
        <w:rPr>
          <w:spacing w:val="-3"/>
        </w:rPr>
        <w:t> </w:t>
      </w:r>
      <w:r>
        <w:rPr/>
        <w:t>Investigation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307" w:right="430"/>
        <w:jc w:val="both"/>
      </w:pPr>
      <w:r>
        <w:rPr/>
        <w:t>Surface investigation gives information about the type, porosity, water content and the</w:t>
      </w:r>
      <w:r>
        <w:rPr>
          <w:spacing w:val="1"/>
        </w:rPr>
        <w:t> </w:t>
      </w:r>
      <w:r>
        <w:rPr/>
        <w:t>density of subsurface creation. It is usually done with the help of electrical and seismic</w:t>
      </w:r>
      <w:r>
        <w:rPr>
          <w:spacing w:val="1"/>
        </w:rPr>
        <w:t> </w:t>
      </w:r>
      <w:r>
        <w:rPr/>
        <w:t>characteristics of the earth and without any drilling on the ground. The data supplied by</w:t>
      </w:r>
      <w:r>
        <w:rPr>
          <w:spacing w:val="1"/>
        </w:rPr>
        <w:t> </w:t>
      </w:r>
      <w:r>
        <w:rPr/>
        <w:t>this technique are partly reliable and it is less expensive. It gives only indirect sign of</w:t>
      </w:r>
      <w:r>
        <w:rPr>
          <w:spacing w:val="1"/>
        </w:rPr>
        <w:t> </w:t>
      </w:r>
      <w:r>
        <w:rPr/>
        <w:t>groundwater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interpretation</w:t>
      </w:r>
      <w:r>
        <w:rPr>
          <w:spacing w:val="1"/>
        </w:rPr>
        <w:t> </w:t>
      </w:r>
      <w:r>
        <w:rPr/>
        <w:t>requires</w:t>
      </w:r>
      <w:r>
        <w:rPr>
          <w:spacing w:val="1"/>
        </w:rPr>
        <w:t> </w:t>
      </w:r>
      <w:r>
        <w:rPr/>
        <w:t>additional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subsurface</w:t>
      </w:r>
      <w:r>
        <w:rPr>
          <w:spacing w:val="1"/>
        </w:rPr>
        <w:t> </w:t>
      </w:r>
      <w:r>
        <w:rPr/>
        <w:t>investigations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confirm</w:t>
      </w:r>
      <w:r>
        <w:rPr>
          <w:spacing w:val="1"/>
        </w:rPr>
        <w:t> </w:t>
      </w:r>
      <w:r>
        <w:rPr/>
        <w:t>surface</w:t>
      </w:r>
      <w:r>
        <w:rPr>
          <w:spacing w:val="1"/>
        </w:rPr>
        <w:t> </w:t>
      </w:r>
      <w:r>
        <w:rPr/>
        <w:t>findings.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generally</w:t>
      </w:r>
      <w:r>
        <w:rPr>
          <w:spacing w:val="1"/>
        </w:rPr>
        <w:t> </w:t>
      </w:r>
      <w:r>
        <w:rPr/>
        <w:t>achieved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geophysical</w:t>
      </w:r>
      <w:r>
        <w:rPr>
          <w:spacing w:val="-57"/>
        </w:rPr>
        <w:t> </w:t>
      </w:r>
      <w:r>
        <w:rPr/>
        <w:t>method,</w:t>
      </w:r>
      <w:r>
        <w:rPr>
          <w:spacing w:val="-1"/>
        </w:rPr>
        <w:t> </w:t>
      </w:r>
      <w:r>
        <w:rPr/>
        <w:t>electrical resistivity</w:t>
      </w:r>
      <w:r>
        <w:rPr>
          <w:spacing w:val="-5"/>
        </w:rPr>
        <w:t> </w:t>
      </w:r>
      <w:r>
        <w:rPr/>
        <w:t>and seismic refraction</w:t>
      </w:r>
      <w:r>
        <w:rPr>
          <w:spacing w:val="-1"/>
        </w:rPr>
        <w:t> </w:t>
      </w:r>
      <w:r>
        <w:rPr/>
        <w:t>method (Tsepav</w:t>
      </w:r>
      <w:r>
        <w:rPr>
          <w:i/>
        </w:rPr>
        <w:t>et al., </w:t>
      </w:r>
      <w:r>
        <w:rPr/>
        <w:t>2014)</w:t>
      </w:r>
    </w:p>
    <w:p>
      <w:pPr>
        <w:spacing w:after="0" w:line="480" w:lineRule="auto"/>
        <w:jc w:val="both"/>
        <w:sectPr>
          <w:pgSz w:w="11910" w:h="16840"/>
          <w:pgMar w:header="0" w:footer="1067" w:top="1320" w:bottom="1260" w:left="1680" w:right="980"/>
        </w:sectPr>
      </w:pPr>
    </w:p>
    <w:p>
      <w:pPr>
        <w:pStyle w:val="Heading2"/>
        <w:numPr>
          <w:ilvl w:val="1"/>
          <w:numId w:val="7"/>
        </w:numPr>
        <w:tabs>
          <w:tab w:pos="3188" w:val="left" w:leader="none"/>
          <w:tab w:pos="3189" w:val="left" w:leader="none"/>
        </w:tabs>
        <w:spacing w:line="240" w:lineRule="auto" w:before="69" w:after="0"/>
        <w:ind w:left="3188" w:right="0" w:hanging="2882"/>
        <w:jc w:val="both"/>
      </w:pPr>
      <w:r>
        <w:rPr/>
        <w:t>Empirical</w:t>
      </w:r>
      <w:r>
        <w:rPr>
          <w:spacing w:val="-3"/>
        </w:rPr>
        <w:t> </w:t>
      </w:r>
      <w:r>
        <w:rPr/>
        <w:t>Review</w:t>
      </w:r>
    </w:p>
    <w:p>
      <w:pPr>
        <w:pStyle w:val="BodyText"/>
        <w:spacing w:before="7"/>
        <w:rPr>
          <w:b/>
          <w:sz w:val="37"/>
        </w:rPr>
      </w:pPr>
    </w:p>
    <w:p>
      <w:pPr>
        <w:pStyle w:val="BodyText"/>
        <w:spacing w:line="480" w:lineRule="auto"/>
        <w:ind w:left="307" w:right="428"/>
        <w:jc w:val="both"/>
      </w:pPr>
      <w:r>
        <w:rPr/>
        <w:t>Mogaji</w:t>
      </w:r>
      <w:r>
        <w:rPr>
          <w:i/>
        </w:rPr>
        <w:t>etal., </w:t>
      </w:r>
      <w:r>
        <w:rPr/>
        <w:t>(2007) used Geo-electrical to investigate the Dape phase III Housing Estate</w:t>
      </w:r>
      <w:r>
        <w:rPr>
          <w:spacing w:val="-57"/>
        </w:rPr>
        <w:t> </w:t>
      </w:r>
      <w:r>
        <w:rPr/>
        <w:t>FCT Abuja, North central Nigeria. A geo-electrical investigation of fifty schlumberger</w:t>
      </w:r>
      <w:r>
        <w:rPr>
          <w:spacing w:val="1"/>
        </w:rPr>
        <w:t> </w:t>
      </w:r>
      <w:r>
        <w:rPr/>
        <w:t>vertical electrical sounding were carried out along transverses to evaluate the aquifer</w:t>
      </w:r>
      <w:r>
        <w:rPr>
          <w:spacing w:val="1"/>
        </w:rPr>
        <w:t> </w:t>
      </w:r>
      <w:r>
        <w:rPr/>
        <w:t>protective and corrosivity of the near surface materials. The eastern, southeastern parts</w:t>
      </w:r>
      <w:r>
        <w:rPr>
          <w:spacing w:val="1"/>
        </w:rPr>
        <w:t> </w:t>
      </w:r>
      <w:r>
        <w:rPr/>
        <w:t>and parts of the southwestern end of the estate are characterised by slightly corrosive to</w:t>
      </w:r>
      <w:r>
        <w:rPr>
          <w:spacing w:val="1"/>
        </w:rPr>
        <w:t> </w:t>
      </w:r>
      <w:r>
        <w:rPr/>
        <w:t>moderately</w:t>
      </w:r>
      <w:r>
        <w:rPr>
          <w:spacing w:val="1"/>
        </w:rPr>
        <w:t> </w:t>
      </w:r>
      <w:r>
        <w:rPr/>
        <w:t>corrosive</w:t>
      </w:r>
      <w:r>
        <w:rPr>
          <w:spacing w:val="1"/>
        </w:rPr>
        <w:t> </w:t>
      </w:r>
      <w:r>
        <w:rPr/>
        <w:t>materials</w:t>
      </w:r>
      <w:r>
        <w:rPr>
          <w:spacing w:val="1"/>
        </w:rPr>
        <w:t> </w:t>
      </w:r>
      <w:r>
        <w:rPr>
          <w:rFonts w:ascii="Cambria Math" w:hAnsi="Cambria Math"/>
          <w:position w:val="1"/>
        </w:rPr>
        <w:t>(</w:t>
      </w:r>
      <w:r>
        <w:rPr>
          <w:rFonts w:ascii="Cambria Math" w:hAnsi="Cambria Math"/>
        </w:rPr>
        <w:t>&lt; 50 Ωm &lt; 150 Ωm</w:t>
      </w:r>
      <w:r>
        <w:rPr>
          <w:rFonts w:ascii="Cambria Math" w:hAnsi="Cambria Math"/>
          <w:position w:val="1"/>
        </w:rPr>
        <w:t>)</w:t>
      </w:r>
      <w:r>
        <w:rPr>
          <w:rFonts w:ascii="Cambria Math" w:hAnsi="Cambria Math"/>
          <w:spacing w:val="1"/>
          <w:position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moderate</w:t>
      </w:r>
      <w:r>
        <w:rPr>
          <w:spacing w:val="1"/>
        </w:rPr>
        <w:t> </w:t>
      </w:r>
      <w:r>
        <w:rPr/>
        <w:t>overburden</w:t>
      </w:r>
      <w:r>
        <w:rPr>
          <w:spacing w:val="1"/>
        </w:rPr>
        <w:t> </w:t>
      </w:r>
      <w:r>
        <w:rPr/>
        <w:t>thickness</w:t>
      </w:r>
      <w:r>
        <w:rPr>
          <w:rFonts w:ascii="Cambria Math" w:hAnsi="Cambria Math"/>
        </w:rPr>
        <w:t>(&gt; 20 m)</w:t>
      </w:r>
      <w:r>
        <w:rPr/>
        <w:t>.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longitudinal</w:t>
      </w:r>
      <w:r>
        <w:rPr>
          <w:spacing w:val="1"/>
        </w:rPr>
        <w:t> </w:t>
      </w:r>
      <w:r>
        <w:rPr/>
        <w:t>unit</w:t>
      </w:r>
      <w:r>
        <w:rPr>
          <w:spacing w:val="1"/>
        </w:rPr>
        <w:t> </w:t>
      </w:r>
      <w:r>
        <w:rPr/>
        <w:t>conductance</w:t>
      </w:r>
      <w:r>
        <w:rPr>
          <w:spacing w:val="1"/>
        </w:rPr>
        <w:t> </w:t>
      </w:r>
      <w:r>
        <w:rPr/>
        <w:t>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estate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classified in to zones of weak </w:t>
      </w:r>
      <w:r>
        <w:rPr>
          <w:rFonts w:ascii="Cambria Math" w:hAnsi="Cambria Math"/>
        </w:rPr>
        <w:t>(0.1 − 0.19) </w:t>
      </w:r>
      <w:r>
        <w:rPr/>
        <w:t>and poor </w:t>
      </w:r>
      <w:r>
        <w:rPr>
          <w:rFonts w:ascii="Cambria Math" w:hAnsi="Cambria Math"/>
        </w:rPr>
        <w:t>(&lt; 0.1) </w:t>
      </w:r>
      <w:r>
        <w:rPr/>
        <w:t>protective capacity and the</w:t>
      </w:r>
      <w:r>
        <w:rPr>
          <w:spacing w:val="-57"/>
        </w:rPr>
        <w:t> </w:t>
      </w:r>
      <w:r>
        <w:rPr/>
        <w:t>results reasonably provide a basis for which ground water potential zones are appraised</w:t>
      </w:r>
      <w:r>
        <w:rPr>
          <w:spacing w:val="1"/>
        </w:rPr>
        <w:t> </w:t>
      </w:r>
      <w:r>
        <w:rPr/>
        <w:t>for</w:t>
      </w:r>
      <w:r>
        <w:rPr>
          <w:spacing w:val="-3"/>
        </w:rPr>
        <w:t> </w:t>
      </w:r>
      <w:r>
        <w:rPr/>
        <w:t>safety</w:t>
      </w:r>
      <w:r>
        <w:rPr>
          <w:spacing w:val="-5"/>
        </w:rPr>
        <w:t> </w:t>
      </w:r>
      <w:r>
        <w:rPr/>
        <w:t>in</w:t>
      </w:r>
      <w:r>
        <w:rPr>
          <w:spacing w:val="2"/>
        </w:rPr>
        <w:t> </w:t>
      </w:r>
      <w:r>
        <w:rPr/>
        <w:t>case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industrial facilities are</w:t>
      </w:r>
      <w:r>
        <w:rPr>
          <w:spacing w:val="-2"/>
        </w:rPr>
        <w:t> </w:t>
      </w:r>
      <w:r>
        <w:rPr/>
        <w:t>planned for</w:t>
      </w:r>
      <w:r>
        <w:rPr>
          <w:spacing w:val="-3"/>
        </w:rPr>
        <w:t> </w:t>
      </w:r>
      <w:r>
        <w:rPr/>
        <w:t>the area</w:t>
      </w:r>
      <w:r>
        <w:rPr>
          <w:spacing w:val="-1"/>
        </w:rPr>
        <w:t> </w:t>
      </w:r>
      <w:r>
        <w:rPr/>
        <w:t>under study.</w:t>
      </w:r>
    </w:p>
    <w:p>
      <w:pPr>
        <w:pStyle w:val="BodyText"/>
        <w:spacing w:line="480" w:lineRule="auto"/>
        <w:ind w:left="307" w:right="428"/>
        <w:jc w:val="both"/>
      </w:pPr>
      <w:r>
        <w:rPr/>
        <w:t>Abiola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(2009)</w:t>
      </w:r>
      <w:r>
        <w:rPr>
          <w:spacing w:val="1"/>
        </w:rPr>
        <w:t> </w:t>
      </w:r>
      <w:r>
        <w:rPr/>
        <w:t>worked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groundwater</w:t>
      </w:r>
      <w:r>
        <w:rPr>
          <w:spacing w:val="1"/>
        </w:rPr>
        <w:t> </w:t>
      </w:r>
      <w:r>
        <w:rPr/>
        <w:t>potential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aquifer</w:t>
      </w:r>
      <w:r>
        <w:rPr>
          <w:spacing w:val="1"/>
        </w:rPr>
        <w:t> </w:t>
      </w:r>
      <w:r>
        <w:rPr/>
        <w:t>protective</w:t>
      </w:r>
      <w:r>
        <w:rPr>
          <w:spacing w:val="1"/>
        </w:rPr>
        <w:t> </w:t>
      </w:r>
      <w:r>
        <w:rPr/>
        <w:t>capacity of overburden units in Ado Ekiti and delineated three groundwater potential</w:t>
      </w:r>
      <w:r>
        <w:rPr>
          <w:spacing w:val="1"/>
        </w:rPr>
        <w:t> </w:t>
      </w:r>
      <w:r>
        <w:rPr/>
        <w:t>zones (high, medium, and low) and aquifer protective capacity (good, moderate, weak</w:t>
      </w:r>
      <w:r>
        <w:rPr>
          <w:spacing w:val="1"/>
        </w:rPr>
        <w:t> </w:t>
      </w:r>
      <w:r>
        <w:rPr/>
        <w:t>and poor) in the study area. The results of this study have provided reliable information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elaborate</w:t>
      </w:r>
      <w:r>
        <w:rPr>
          <w:spacing w:val="1"/>
        </w:rPr>
        <w:t> </w:t>
      </w:r>
      <w:r>
        <w:rPr/>
        <w:t>groundwater</w:t>
      </w:r>
      <w:r>
        <w:rPr>
          <w:spacing w:val="1"/>
        </w:rPr>
        <w:t> </w:t>
      </w:r>
      <w:r>
        <w:rPr/>
        <w:t>abstraction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necessary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planning and development of residential and industrial estates by the urban planning</w:t>
      </w:r>
      <w:r>
        <w:rPr>
          <w:spacing w:val="1"/>
        </w:rPr>
        <w:t> </w:t>
      </w:r>
      <w:r>
        <w:rPr/>
        <w:t>authorities. The interpretation revealed three distinct geoelectric layers overlying the</w:t>
      </w:r>
      <w:r>
        <w:rPr>
          <w:spacing w:val="1"/>
        </w:rPr>
        <w:t> </w:t>
      </w:r>
      <w:r>
        <w:rPr/>
        <w:t>resistive basement, the topsoil, the weathered layer and the partially weathered/fractured</w:t>
      </w:r>
      <w:r>
        <w:rPr>
          <w:spacing w:val="-57"/>
        </w:rPr>
        <w:t> </w:t>
      </w:r>
      <w:r>
        <w:rPr/>
        <w:t>basement.</w:t>
      </w:r>
      <w:r>
        <w:rPr>
          <w:spacing w:val="18"/>
        </w:rPr>
        <w:t> </w:t>
      </w:r>
      <w:r>
        <w:rPr/>
        <w:t>The</w:t>
      </w:r>
      <w:r>
        <w:rPr>
          <w:spacing w:val="18"/>
        </w:rPr>
        <w:t> </w:t>
      </w:r>
      <w:r>
        <w:rPr/>
        <w:t>depth</w:t>
      </w:r>
      <w:r>
        <w:rPr>
          <w:spacing w:val="21"/>
        </w:rPr>
        <w:t> </w:t>
      </w:r>
      <w:r>
        <w:rPr/>
        <w:t>to</w:t>
      </w:r>
      <w:r>
        <w:rPr>
          <w:spacing w:val="19"/>
        </w:rPr>
        <w:t> </w:t>
      </w:r>
      <w:r>
        <w:rPr/>
        <w:t>the</w:t>
      </w:r>
      <w:r>
        <w:rPr>
          <w:spacing w:val="18"/>
        </w:rPr>
        <w:t> </w:t>
      </w:r>
      <w:r>
        <w:rPr/>
        <w:t>top</w:t>
      </w:r>
      <w:r>
        <w:rPr>
          <w:spacing w:val="19"/>
        </w:rPr>
        <w:t> </w:t>
      </w:r>
      <w:r>
        <w:rPr/>
        <w:t>of</w:t>
      </w:r>
      <w:r>
        <w:rPr>
          <w:spacing w:val="19"/>
        </w:rPr>
        <w:t> </w:t>
      </w:r>
      <w:r>
        <w:rPr/>
        <w:t>basement</w:t>
      </w:r>
      <w:r>
        <w:rPr>
          <w:spacing w:val="19"/>
        </w:rPr>
        <w:t> </w:t>
      </w:r>
      <w:r>
        <w:rPr/>
        <w:t>(overburden</w:t>
      </w:r>
      <w:r>
        <w:rPr>
          <w:spacing w:val="18"/>
        </w:rPr>
        <w:t> </w:t>
      </w:r>
      <w:r>
        <w:rPr/>
        <w:t>thickness)</w:t>
      </w:r>
      <w:r>
        <w:rPr>
          <w:spacing w:val="18"/>
        </w:rPr>
        <w:t> </w:t>
      </w:r>
      <w:r>
        <w:rPr/>
        <w:t>varied</w:t>
      </w:r>
      <w:r>
        <w:rPr>
          <w:spacing w:val="18"/>
        </w:rPr>
        <w:t> </w:t>
      </w:r>
      <w:r>
        <w:rPr/>
        <w:t>from</w:t>
      </w:r>
      <w:r>
        <w:rPr>
          <w:spacing w:val="19"/>
        </w:rPr>
        <w:t> </w:t>
      </w:r>
      <w:r>
        <w:rPr/>
        <w:t>1.0</w:t>
      </w:r>
      <w:r>
        <w:rPr>
          <w:spacing w:val="20"/>
        </w:rPr>
        <w:t> </w:t>
      </w:r>
      <w:r>
        <w:rPr/>
        <w:t>to</w:t>
      </w:r>
    </w:p>
    <w:p>
      <w:pPr>
        <w:pStyle w:val="BodyText"/>
        <w:spacing w:line="480" w:lineRule="auto"/>
        <w:ind w:left="307" w:right="425"/>
        <w:jc w:val="both"/>
      </w:pPr>
      <w:r>
        <w:rPr/>
        <w:t>74.8 m across the study area. The characteristic longitudinal unit conductance (ranging</w:t>
      </w:r>
      <w:r>
        <w:rPr>
          <w:spacing w:val="1"/>
        </w:rPr>
        <w:t> </w:t>
      </w:r>
      <w:r>
        <w:rPr/>
        <w:t>from 0.004 to 2.11 mhos) of the area enabled the overburden protective capacity rating</w:t>
      </w:r>
      <w:r>
        <w:rPr>
          <w:spacing w:val="1"/>
        </w:rPr>
        <w:t> </w:t>
      </w:r>
      <w:r>
        <w:rPr/>
        <w:t>into good, moderate and weak. About 60% of the area falls within the good/moderate</w:t>
      </w:r>
      <w:r>
        <w:rPr>
          <w:spacing w:val="1"/>
        </w:rPr>
        <w:t> </w:t>
      </w:r>
      <w:r>
        <w:rPr/>
        <w:t>rating,</w:t>
      </w:r>
      <w:r>
        <w:rPr>
          <w:spacing w:val="1"/>
        </w:rPr>
        <w:t> </w:t>
      </w:r>
      <w:r>
        <w:rPr/>
        <w:t>suggesting a</w:t>
      </w:r>
      <w:r>
        <w:rPr>
          <w:spacing w:val="1"/>
        </w:rPr>
        <w:t> </w:t>
      </w:r>
      <w:r>
        <w:rPr/>
        <w:t>generally good</w:t>
      </w:r>
      <w:r>
        <w:rPr>
          <w:spacing w:val="1"/>
        </w:rPr>
        <w:t> </w:t>
      </w:r>
      <w:r>
        <w:rPr/>
        <w:t>overburden</w:t>
      </w:r>
      <w:r>
        <w:rPr>
          <w:spacing w:val="1"/>
        </w:rPr>
        <w:t> </w:t>
      </w:r>
      <w:r>
        <w:rPr/>
        <w:t>protective</w:t>
      </w:r>
      <w:r>
        <w:rPr>
          <w:spacing w:val="1"/>
        </w:rPr>
        <w:t> </w:t>
      </w:r>
      <w:r>
        <w:rPr/>
        <w:t>capacity around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-57"/>
        </w:rPr>
        <w:t> </w:t>
      </w:r>
      <w:r>
        <w:rPr/>
        <w:t>area.</w:t>
      </w:r>
    </w:p>
    <w:p>
      <w:pPr>
        <w:spacing w:after="0" w:line="480" w:lineRule="auto"/>
        <w:jc w:val="both"/>
        <w:sectPr>
          <w:pgSz w:w="11910" w:h="16840"/>
          <w:pgMar w:header="0" w:footer="1067" w:top="1320" w:bottom="1260" w:left="1680" w:right="980"/>
        </w:sectPr>
      </w:pPr>
    </w:p>
    <w:p>
      <w:pPr>
        <w:pStyle w:val="BodyText"/>
        <w:spacing w:line="480" w:lineRule="auto" w:before="64"/>
        <w:ind w:left="307" w:right="425"/>
        <w:jc w:val="both"/>
      </w:pPr>
      <w:r>
        <w:rPr/>
        <w:t>Oladapo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(2009)</w:t>
      </w:r>
      <w:r>
        <w:rPr>
          <w:spacing w:val="1"/>
        </w:rPr>
        <w:t> </w:t>
      </w:r>
      <w:r>
        <w:rPr/>
        <w:t>investigated</w:t>
      </w:r>
      <w:r>
        <w:rPr>
          <w:spacing w:val="1"/>
        </w:rPr>
        <w:t> </w:t>
      </w:r>
      <w:r>
        <w:rPr/>
        <w:t>Hydro-geophysical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groundwater</w:t>
      </w:r>
      <w:r>
        <w:rPr>
          <w:spacing w:val="1"/>
        </w:rPr>
        <w:t> </w:t>
      </w:r>
      <w:r>
        <w:rPr/>
        <w:t>potential of Ilara-Mokin South western Nigeria. Geo-electric study of the groundwater</w:t>
      </w:r>
      <w:r>
        <w:rPr>
          <w:spacing w:val="1"/>
        </w:rPr>
        <w:t> </w:t>
      </w:r>
      <w:r>
        <w:rPr/>
        <w:t>potential of Ilara-Mokin in Ondo State Southwestern Nigeria was carried out using</w:t>
      </w:r>
      <w:r>
        <w:rPr>
          <w:spacing w:val="1"/>
        </w:rPr>
        <w:t> </w:t>
      </w:r>
      <w:r>
        <w:rPr/>
        <w:t>electrical resistivity (Vertical Electrical Sounding) method with the view to providing</w:t>
      </w:r>
      <w:r>
        <w:rPr>
          <w:spacing w:val="1"/>
        </w:rPr>
        <w:t> </w:t>
      </w:r>
      <w:r>
        <w:rPr/>
        <w:t>adequate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sub-surface</w:t>
      </w:r>
      <w:r>
        <w:rPr>
          <w:spacing w:val="1"/>
        </w:rPr>
        <w:t> </w:t>
      </w:r>
      <w:r>
        <w:rPr/>
        <w:t>geoelectric</w:t>
      </w:r>
      <w:r>
        <w:rPr>
          <w:spacing w:val="1"/>
        </w:rPr>
        <w:t> </w:t>
      </w:r>
      <w:r>
        <w:rPr/>
        <w:t>layers.</w:t>
      </w:r>
      <w:r>
        <w:rPr>
          <w:spacing w:val="1"/>
        </w:rPr>
        <w:t> </w:t>
      </w:r>
      <w:r>
        <w:rPr/>
        <w:t>Forty-one</w:t>
      </w:r>
      <w:r>
        <w:rPr>
          <w:spacing w:val="1"/>
        </w:rPr>
        <w:t> </w:t>
      </w:r>
      <w:r>
        <w:rPr/>
        <w:t>Schlumberger vertical electrical soundings (VES) were conducted across the study area.</w:t>
      </w:r>
      <w:r>
        <w:rPr>
          <w:spacing w:val="1"/>
        </w:rPr>
        <w:t> </w:t>
      </w:r>
      <w:r>
        <w:rPr/>
        <w:t>The computer assisted VES data interpretation enabled generation of geoelectric curves,</w:t>
      </w:r>
      <w:r>
        <w:rPr>
          <w:spacing w:val="-57"/>
        </w:rPr>
        <w:t> </w:t>
      </w:r>
      <w:r>
        <w:rPr/>
        <w:t>sections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overburden</w:t>
      </w:r>
      <w:r>
        <w:rPr>
          <w:spacing w:val="1"/>
        </w:rPr>
        <w:t> </w:t>
      </w:r>
      <w:r>
        <w:rPr/>
        <w:t>thickness</w:t>
      </w:r>
      <w:r>
        <w:rPr>
          <w:spacing w:val="1"/>
        </w:rPr>
        <w:t> </w:t>
      </w:r>
      <w:r>
        <w:rPr/>
        <w:t>map which</w:t>
      </w:r>
      <w:r>
        <w:rPr>
          <w:spacing w:val="1"/>
        </w:rPr>
        <w:t> </w:t>
      </w:r>
      <w:r>
        <w:rPr/>
        <w:t>were used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 delineation</w:t>
      </w:r>
      <w:r>
        <w:rPr>
          <w:spacing w:val="1"/>
        </w:rPr>
        <w:t> </w:t>
      </w:r>
      <w:r>
        <w:rPr/>
        <w:t>of key</w:t>
      </w:r>
      <w:r>
        <w:rPr>
          <w:spacing w:val="1"/>
        </w:rPr>
        <w:t> </w:t>
      </w:r>
      <w:r>
        <w:rPr/>
        <w:t>hydrogeologic features like the topsoil, weathered basement, fractured basement and the</w:t>
      </w:r>
      <w:r>
        <w:rPr>
          <w:spacing w:val="-57"/>
        </w:rPr>
        <w:t> </w:t>
      </w:r>
      <w:r>
        <w:rPr/>
        <w:t>fresh basement.</w:t>
      </w:r>
      <w:r>
        <w:rPr>
          <w:spacing w:val="60"/>
        </w:rPr>
        <w:t> </w:t>
      </w:r>
      <w:r>
        <w:rPr/>
        <w:t>Resistivity values range from 21 Ωm to 798 Ωm in the topsoil, 14 Ωm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209</w:t>
      </w:r>
      <w:r>
        <w:rPr>
          <w:spacing w:val="1"/>
        </w:rPr>
        <w:t> </w:t>
      </w:r>
      <w:r>
        <w:rPr/>
        <w:t>Ωm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weathered</w:t>
      </w:r>
      <w:r>
        <w:rPr>
          <w:spacing w:val="1"/>
        </w:rPr>
        <w:t> </w:t>
      </w:r>
      <w:r>
        <w:rPr/>
        <w:t>basement,</w:t>
      </w:r>
      <w:r>
        <w:rPr>
          <w:spacing w:val="1"/>
        </w:rPr>
        <w:t> </w:t>
      </w:r>
      <w:r>
        <w:rPr/>
        <w:t>51</w:t>
      </w:r>
      <w:r>
        <w:rPr>
          <w:spacing w:val="1"/>
        </w:rPr>
        <w:t> </w:t>
      </w:r>
      <w:r>
        <w:rPr/>
        <w:t>Ωm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209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61"/>
        </w:rPr>
        <w:t> </w:t>
      </w:r>
      <w:r>
        <w:rPr/>
        <w:t>partially</w:t>
      </w:r>
      <w:r>
        <w:rPr>
          <w:spacing w:val="1"/>
        </w:rPr>
        <w:t> </w:t>
      </w:r>
      <w:r>
        <w:rPr/>
        <w:t>weathered/fractured</w:t>
      </w:r>
      <w:r>
        <w:rPr>
          <w:spacing w:val="1"/>
        </w:rPr>
        <w:t> </w:t>
      </w:r>
      <w:r>
        <w:rPr/>
        <w:t>basement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312</w:t>
      </w:r>
      <w:r>
        <w:rPr>
          <w:spacing w:val="1"/>
        </w:rPr>
        <w:t> </w:t>
      </w:r>
      <w:r>
        <w:rPr/>
        <w:t>Ωm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∞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fresh</w:t>
      </w:r>
      <w:r>
        <w:rPr>
          <w:spacing w:val="1"/>
        </w:rPr>
        <w:t> </w:t>
      </w:r>
      <w:r>
        <w:rPr/>
        <w:t>basement.</w:t>
      </w:r>
      <w:r>
        <w:rPr>
          <w:spacing w:val="1"/>
        </w:rPr>
        <w:t> </w:t>
      </w:r>
      <w:r>
        <w:rPr/>
        <w:t>Layer</w:t>
      </w:r>
      <w:r>
        <w:rPr>
          <w:spacing w:val="-57"/>
        </w:rPr>
        <w:t> </w:t>
      </w:r>
      <w:r>
        <w:rPr/>
        <w:t>thickness values also vary from 0.3 m to 6.1 m in the topsoil and 0.9 m to 28.6 m in the</w:t>
      </w:r>
      <w:r>
        <w:rPr>
          <w:spacing w:val="1"/>
        </w:rPr>
        <w:t> </w:t>
      </w:r>
      <w:r>
        <w:rPr/>
        <w:t>weathered basement. The depth to the resistive bedrock ranges from 0.3 m to 29.3 m</w:t>
      </w:r>
      <w:r>
        <w:rPr>
          <w:spacing w:val="1"/>
        </w:rPr>
        <w:t> </w:t>
      </w:r>
      <w:r>
        <w:rPr/>
        <w:t>across the study area.</w:t>
      </w:r>
      <w:r>
        <w:rPr>
          <w:spacing w:val="1"/>
        </w:rPr>
        <w:t> </w:t>
      </w:r>
      <w:r>
        <w:rPr/>
        <w:t>The study revealed that greater part of Ilara-Mokin town is</w:t>
      </w:r>
      <w:r>
        <w:rPr>
          <w:spacing w:val="1"/>
        </w:rPr>
        <w:t> </w:t>
      </w:r>
      <w:r>
        <w:rPr/>
        <w:t>underlain by marginally thick overburden thus constituting shallow aquifer units with</w:t>
      </w:r>
      <w:r>
        <w:rPr>
          <w:spacing w:val="1"/>
        </w:rPr>
        <w:t> </w:t>
      </w:r>
      <w:r>
        <w:rPr/>
        <w:t>poor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marginal</w:t>
      </w:r>
      <w:r>
        <w:rPr>
          <w:spacing w:val="1"/>
        </w:rPr>
        <w:t> </w:t>
      </w:r>
      <w:r>
        <w:rPr/>
        <w:t>groundwater</w:t>
      </w:r>
      <w:r>
        <w:rPr>
          <w:spacing w:val="1"/>
        </w:rPr>
        <w:t> </w:t>
      </w:r>
      <w:r>
        <w:rPr/>
        <w:t>potential.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reasonably</w:t>
      </w:r>
      <w:r>
        <w:rPr>
          <w:spacing w:val="1"/>
        </w:rPr>
        <w:t> </w:t>
      </w:r>
      <w:r>
        <w:rPr/>
        <w:t>provide</w:t>
      </w:r>
      <w:r>
        <w:rPr>
          <w:spacing w:val="1"/>
        </w:rPr>
        <w:t> </w:t>
      </w:r>
      <w:r>
        <w:rPr/>
        <w:t>basic</w:t>
      </w:r>
      <w:r>
        <w:rPr>
          <w:spacing w:val="-57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expected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assist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future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groundwater</w:t>
      </w:r>
      <w:r>
        <w:rPr>
          <w:spacing w:val="1"/>
        </w:rPr>
        <w:t> </w:t>
      </w:r>
      <w:r>
        <w:rPr/>
        <w:t>resources</w:t>
      </w:r>
      <w:r>
        <w:rPr>
          <w:spacing w:val="-1"/>
        </w:rPr>
        <w:t> </w:t>
      </w:r>
      <w:r>
        <w:rPr/>
        <w:t>in</w:t>
      </w:r>
      <w:r>
        <w:rPr>
          <w:spacing w:val="2"/>
        </w:rPr>
        <w:t> </w:t>
      </w:r>
      <w:r>
        <w:rPr/>
        <w:t>Ilara-Mokin.</w:t>
      </w:r>
    </w:p>
    <w:p>
      <w:pPr>
        <w:pStyle w:val="BodyText"/>
        <w:spacing w:line="480" w:lineRule="auto" w:before="3"/>
        <w:ind w:left="307" w:right="431"/>
        <w:jc w:val="both"/>
      </w:pPr>
      <w:r>
        <w:rPr/>
        <w:t>Arabi </w:t>
      </w:r>
      <w:r>
        <w:rPr>
          <w:i/>
        </w:rPr>
        <w:t>et al., </w:t>
      </w:r>
      <w:r>
        <w:rPr/>
        <w:t>(2009) conducted VES survey around Gombe and environs employing</w:t>
      </w:r>
      <w:r>
        <w:rPr>
          <w:spacing w:val="1"/>
        </w:rPr>
        <w:t> </w:t>
      </w:r>
      <w:r>
        <w:rPr/>
        <w:t>Schlumberger</w:t>
      </w:r>
      <w:r>
        <w:rPr>
          <w:spacing w:val="1"/>
        </w:rPr>
        <w:t> </w:t>
      </w:r>
      <w:r>
        <w:rPr/>
        <w:t>array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maximum</w:t>
      </w:r>
      <w:r>
        <w:rPr>
          <w:spacing w:val="1"/>
        </w:rPr>
        <w:t> </w:t>
      </w:r>
      <w:r>
        <w:rPr/>
        <w:t>electrode</w:t>
      </w:r>
      <w:r>
        <w:rPr>
          <w:spacing w:val="1"/>
        </w:rPr>
        <w:t> </w:t>
      </w:r>
      <w:r>
        <w:rPr/>
        <w:t>separation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AB/2</w:t>
      </w:r>
      <w:r>
        <w:rPr>
          <w:spacing w:val="1"/>
        </w:rPr>
        <w:t> </w:t>
      </w:r>
      <w:r>
        <w:rPr/>
        <w:t>=</w:t>
      </w:r>
      <w:r>
        <w:rPr>
          <w:spacing w:val="1"/>
        </w:rPr>
        <w:t> </w:t>
      </w:r>
      <w:r>
        <w:rPr/>
        <w:t>200</w:t>
      </w:r>
      <w:r>
        <w:rPr>
          <w:spacing w:val="1"/>
        </w:rPr>
        <w:t> </w:t>
      </w:r>
      <w:r>
        <w:rPr/>
        <w:t>m</w:t>
      </w:r>
      <w:r>
        <w:rPr>
          <w:spacing w:val="60"/>
        </w:rPr>
        <w:t> </w:t>
      </w:r>
      <w:r>
        <w:rPr/>
        <w:t>to</w:t>
      </w:r>
      <w:r>
        <w:rPr>
          <w:spacing w:val="1"/>
        </w:rPr>
        <w:t> </w:t>
      </w:r>
      <w:r>
        <w:rPr/>
        <w:t>determine</w:t>
      </w:r>
      <w:r>
        <w:rPr>
          <w:spacing w:val="36"/>
        </w:rPr>
        <w:t> </w:t>
      </w:r>
      <w:r>
        <w:rPr/>
        <w:t>locations</w:t>
      </w:r>
      <w:r>
        <w:rPr>
          <w:spacing w:val="38"/>
        </w:rPr>
        <w:t> </w:t>
      </w:r>
      <w:r>
        <w:rPr/>
        <w:t>favourable</w:t>
      </w:r>
      <w:r>
        <w:rPr>
          <w:spacing w:val="37"/>
        </w:rPr>
        <w:t> </w:t>
      </w:r>
      <w:r>
        <w:rPr/>
        <w:t>for</w:t>
      </w:r>
      <w:r>
        <w:rPr>
          <w:spacing w:val="36"/>
        </w:rPr>
        <w:t> </w:t>
      </w:r>
      <w:r>
        <w:rPr/>
        <w:t>sitting</w:t>
      </w:r>
      <w:r>
        <w:rPr>
          <w:spacing w:val="35"/>
        </w:rPr>
        <w:t> </w:t>
      </w:r>
      <w:r>
        <w:rPr/>
        <w:t>boreholes.</w:t>
      </w:r>
      <w:r>
        <w:rPr>
          <w:spacing w:val="37"/>
        </w:rPr>
        <w:t> </w:t>
      </w:r>
      <w:r>
        <w:rPr/>
        <w:t>The</w:t>
      </w:r>
      <w:r>
        <w:rPr>
          <w:spacing w:val="36"/>
        </w:rPr>
        <w:t> </w:t>
      </w:r>
      <w:r>
        <w:rPr/>
        <w:t>result</w:t>
      </w:r>
      <w:r>
        <w:rPr>
          <w:spacing w:val="38"/>
        </w:rPr>
        <w:t> </w:t>
      </w:r>
      <w:r>
        <w:rPr/>
        <w:t>shows</w:t>
      </w:r>
      <w:r>
        <w:rPr>
          <w:spacing w:val="38"/>
        </w:rPr>
        <w:t> </w:t>
      </w:r>
      <w:r>
        <w:rPr/>
        <w:t>that</w:t>
      </w:r>
      <w:r>
        <w:rPr>
          <w:spacing w:val="38"/>
        </w:rPr>
        <w:t> </w:t>
      </w:r>
      <w:r>
        <w:rPr/>
        <w:t>21</w:t>
      </w:r>
      <w:r>
        <w:rPr>
          <w:spacing w:val="38"/>
        </w:rPr>
        <w:t> </w:t>
      </w:r>
      <w:r>
        <w:rPr/>
        <w:t>of</w:t>
      </w:r>
      <w:r>
        <w:rPr>
          <w:spacing w:val="36"/>
        </w:rPr>
        <w:t> </w:t>
      </w:r>
      <w:r>
        <w:rPr/>
        <w:t>the</w:t>
      </w:r>
      <w:r>
        <w:rPr>
          <w:spacing w:val="-57"/>
        </w:rPr>
        <w:t> </w:t>
      </w:r>
      <w:r>
        <w:rPr/>
        <w:t>VES points are three layers while 12 are four layers. The first layers have thicknesses</w:t>
      </w:r>
      <w:r>
        <w:rPr>
          <w:spacing w:val="1"/>
        </w:rPr>
        <w:t> </w:t>
      </w:r>
      <w:r>
        <w:rPr/>
        <w:t>ranging from 0.8m to 16.1m, the second and third layer have thicknesses ranging from</w:t>
      </w:r>
      <w:r>
        <w:rPr>
          <w:spacing w:val="1"/>
        </w:rPr>
        <w:t> </w:t>
      </w:r>
      <w:r>
        <w:rPr/>
        <w:t>0.994</w:t>
      </w:r>
      <w:r>
        <w:rPr>
          <w:spacing w:val="34"/>
        </w:rPr>
        <w:t> </w:t>
      </w:r>
      <w:r>
        <w:rPr/>
        <w:t>m</w:t>
      </w:r>
      <w:r>
        <w:rPr>
          <w:spacing w:val="36"/>
        </w:rPr>
        <w:t> </w:t>
      </w:r>
      <w:r>
        <w:rPr/>
        <w:t>to</w:t>
      </w:r>
      <w:r>
        <w:rPr>
          <w:spacing w:val="33"/>
        </w:rPr>
        <w:t> </w:t>
      </w:r>
      <w:r>
        <w:rPr/>
        <w:t>149</w:t>
      </w:r>
      <w:r>
        <w:rPr>
          <w:spacing w:val="34"/>
        </w:rPr>
        <w:t> </w:t>
      </w:r>
      <w:r>
        <w:rPr/>
        <w:t>m</w:t>
      </w:r>
      <w:r>
        <w:rPr>
          <w:spacing w:val="33"/>
        </w:rPr>
        <w:t> </w:t>
      </w:r>
      <w:r>
        <w:rPr/>
        <w:t>and</w:t>
      </w:r>
      <w:r>
        <w:rPr>
          <w:spacing w:val="35"/>
        </w:rPr>
        <w:t> </w:t>
      </w:r>
      <w:r>
        <w:rPr/>
        <w:t>11.7</w:t>
      </w:r>
      <w:r>
        <w:rPr>
          <w:spacing w:val="34"/>
        </w:rPr>
        <w:t> </w:t>
      </w:r>
      <w:r>
        <w:rPr/>
        <w:t>m</w:t>
      </w:r>
      <w:r>
        <w:rPr>
          <w:spacing w:val="36"/>
        </w:rPr>
        <w:t> </w:t>
      </w:r>
      <w:r>
        <w:rPr/>
        <w:t>to</w:t>
      </w:r>
      <w:r>
        <w:rPr>
          <w:spacing w:val="33"/>
        </w:rPr>
        <w:t> </w:t>
      </w:r>
      <w:r>
        <w:rPr/>
        <w:t>108.2</w:t>
      </w:r>
      <w:r>
        <w:rPr>
          <w:spacing w:val="35"/>
        </w:rPr>
        <w:t> </w:t>
      </w:r>
      <w:r>
        <w:rPr/>
        <w:t>m,</w:t>
      </w:r>
      <w:r>
        <w:rPr>
          <w:spacing w:val="32"/>
        </w:rPr>
        <w:t> </w:t>
      </w:r>
      <w:r>
        <w:rPr/>
        <w:t>respectively</w:t>
      </w:r>
      <w:r>
        <w:rPr>
          <w:spacing w:val="28"/>
        </w:rPr>
        <w:t> </w:t>
      </w:r>
      <w:r>
        <w:rPr/>
        <w:t>while</w:t>
      </w:r>
      <w:r>
        <w:rPr>
          <w:spacing w:val="35"/>
        </w:rPr>
        <w:t> </w:t>
      </w:r>
      <w:r>
        <w:rPr/>
        <w:t>the</w:t>
      </w:r>
      <w:r>
        <w:rPr>
          <w:spacing w:val="34"/>
        </w:rPr>
        <w:t> </w:t>
      </w:r>
      <w:r>
        <w:rPr/>
        <w:t>fourth</w:t>
      </w:r>
      <w:r>
        <w:rPr>
          <w:spacing w:val="35"/>
        </w:rPr>
        <w:t> </w:t>
      </w:r>
      <w:r>
        <w:rPr/>
        <w:t>layer</w:t>
      </w:r>
      <w:r>
        <w:rPr>
          <w:spacing w:val="35"/>
        </w:rPr>
        <w:t> </w:t>
      </w:r>
      <w:r>
        <w:rPr/>
        <w:t>had</w:t>
      </w:r>
      <w:r>
        <w:rPr>
          <w:spacing w:val="35"/>
        </w:rPr>
        <w:t> </w:t>
      </w:r>
      <w:r>
        <w:rPr/>
        <w:t>a</w:t>
      </w:r>
    </w:p>
    <w:p>
      <w:pPr>
        <w:spacing w:after="0" w:line="480" w:lineRule="auto"/>
        <w:jc w:val="both"/>
        <w:sectPr>
          <w:pgSz w:w="11910" w:h="16840"/>
          <w:pgMar w:header="0" w:footer="1067" w:top="1320" w:bottom="1260" w:left="1680" w:right="980"/>
        </w:sectPr>
      </w:pPr>
    </w:p>
    <w:p>
      <w:pPr>
        <w:pStyle w:val="BodyText"/>
        <w:spacing w:line="480" w:lineRule="auto" w:before="64"/>
        <w:ind w:left="307" w:right="429"/>
        <w:jc w:val="both"/>
      </w:pPr>
      <w:r>
        <w:rPr/>
        <w:t>thickness that extended beyond the probing depth. A correlation of the curves with</w:t>
      </w:r>
      <w:r>
        <w:rPr>
          <w:spacing w:val="1"/>
        </w:rPr>
        <w:t> </w:t>
      </w:r>
      <w:r>
        <w:rPr/>
        <w:t>existing lithologic log from boreholes in the area suggests that the major lithologic units</w:t>
      </w:r>
      <w:r>
        <w:rPr>
          <w:spacing w:val="-57"/>
        </w:rPr>
        <w:t> </w:t>
      </w:r>
      <w:r>
        <w:rPr/>
        <w:t>penetrated by the sounding curves were laterite, clay, shale, sandstone and sandy clays.</w:t>
      </w:r>
      <w:r>
        <w:rPr>
          <w:spacing w:val="1"/>
        </w:rPr>
        <w:t> </w:t>
      </w:r>
      <w:r>
        <w:rPr/>
        <w:t>The sandy clay and sandstone constitute the aquifer zones with resistivity range of 28 to</w:t>
      </w:r>
      <w:r>
        <w:rPr>
          <w:spacing w:val="1"/>
        </w:rPr>
        <w:t> </w:t>
      </w:r>
      <w:r>
        <w:rPr/>
        <w:t>84 Ωm for clay, 240 to 501 Ωm for sandstone, 967 to 1008 Ωm for sandy clay. Others</w:t>
      </w:r>
      <w:r>
        <w:rPr>
          <w:spacing w:val="1"/>
        </w:rPr>
        <w:t> </w:t>
      </w:r>
      <w:r>
        <w:rPr/>
        <w:t>are 2069 to 9607 Ωm for the calcareous and the laterite units and 17456 Ωm for the</w:t>
      </w:r>
      <w:r>
        <w:rPr>
          <w:spacing w:val="1"/>
        </w:rPr>
        <w:t> </w:t>
      </w:r>
      <w:r>
        <w:rPr/>
        <w:t>compacted</w:t>
      </w:r>
      <w:r>
        <w:rPr>
          <w:spacing w:val="-1"/>
        </w:rPr>
        <w:t> </w:t>
      </w:r>
      <w:r>
        <w:rPr/>
        <w:t>sands.</w:t>
      </w:r>
    </w:p>
    <w:p>
      <w:pPr>
        <w:pStyle w:val="BodyText"/>
        <w:spacing w:line="480" w:lineRule="auto" w:before="2"/>
        <w:ind w:left="307" w:right="426"/>
        <w:jc w:val="both"/>
      </w:pPr>
      <w:r>
        <w:rPr/>
        <w:t>Ayolabi </w:t>
      </w:r>
      <w:r>
        <w:rPr>
          <w:i/>
        </w:rPr>
        <w:t>et al., </w:t>
      </w:r>
      <w:r>
        <w:rPr/>
        <w:t>(2009) seismic Refraction and Resistivity Studies of part of Igbogbo</w:t>
      </w:r>
      <w:r>
        <w:rPr>
          <w:spacing w:val="1"/>
        </w:rPr>
        <w:t> </w:t>
      </w:r>
      <w:r>
        <w:rPr/>
        <w:t>Township, South-West Nigeria. A total of eighteen vertical electrical sounding using the</w:t>
      </w:r>
      <w:r>
        <w:rPr>
          <w:spacing w:val="-57"/>
        </w:rPr>
        <w:t> </w:t>
      </w:r>
      <w:r>
        <w:rPr/>
        <w:t>schlumberger array of 500 m maximum spread and twenty-seven seismic refraction data</w:t>
      </w:r>
      <w:r>
        <w:rPr>
          <w:spacing w:val="-57"/>
        </w:rPr>
        <w:t> </w:t>
      </w:r>
      <w:r>
        <w:rPr/>
        <w:t>using forward and reverse shooting methods of lateral distance 42 m along each profile</w:t>
      </w:r>
      <w:r>
        <w:rPr>
          <w:spacing w:val="1"/>
        </w:rPr>
        <w:t> </w:t>
      </w:r>
      <w:r>
        <w:rPr/>
        <w:t>were acquired within the study area. The results indicate the presence of three seismic</w:t>
      </w:r>
      <w:r>
        <w:rPr>
          <w:spacing w:val="1"/>
        </w:rPr>
        <w:t> </w:t>
      </w:r>
      <w:r>
        <w:rPr/>
        <w:t>refraction</w:t>
      </w:r>
      <w:r>
        <w:rPr>
          <w:spacing w:val="20"/>
        </w:rPr>
        <w:t> </w:t>
      </w:r>
      <w:r>
        <w:rPr/>
        <w:t>layers</w:t>
      </w:r>
      <w:r>
        <w:rPr>
          <w:spacing w:val="20"/>
        </w:rPr>
        <w:t> </w:t>
      </w:r>
      <w:r>
        <w:rPr/>
        <w:t>with</w:t>
      </w:r>
      <w:r>
        <w:rPr>
          <w:spacing w:val="21"/>
        </w:rPr>
        <w:t> </w:t>
      </w:r>
      <w:r>
        <w:rPr/>
        <w:t>the</w:t>
      </w:r>
      <w:r>
        <w:rPr>
          <w:spacing w:val="20"/>
        </w:rPr>
        <w:t> </w:t>
      </w:r>
      <w:r>
        <w:rPr/>
        <w:t>first</w:t>
      </w:r>
      <w:r>
        <w:rPr>
          <w:spacing w:val="22"/>
        </w:rPr>
        <w:t> </w:t>
      </w:r>
      <w:r>
        <w:rPr/>
        <w:t>layer</w:t>
      </w:r>
      <w:r>
        <w:rPr>
          <w:spacing w:val="20"/>
        </w:rPr>
        <w:t> </w:t>
      </w:r>
      <w:r>
        <w:rPr/>
        <w:t>having</w:t>
      </w:r>
      <w:r>
        <w:rPr>
          <w:spacing w:val="18"/>
        </w:rPr>
        <w:t> </w:t>
      </w:r>
      <w:r>
        <w:rPr/>
        <w:t>velocity</w:t>
      </w:r>
      <w:r>
        <w:rPr>
          <w:spacing w:val="15"/>
        </w:rPr>
        <w:t> </w:t>
      </w:r>
      <w:r>
        <w:rPr/>
        <w:t>150</w:t>
      </w:r>
      <w:r>
        <w:rPr>
          <w:spacing w:val="27"/>
        </w:rPr>
        <w:t> </w:t>
      </w:r>
      <w:r>
        <w:rPr/>
        <w:t>-</w:t>
      </w:r>
      <w:r>
        <w:rPr>
          <w:spacing w:val="20"/>
        </w:rPr>
        <w:t> </w:t>
      </w:r>
      <w:r>
        <w:rPr/>
        <w:t>366</w:t>
      </w:r>
      <w:r>
        <w:rPr>
          <w:spacing w:val="21"/>
        </w:rPr>
        <w:t> </w:t>
      </w:r>
      <w:r>
        <w:rPr/>
        <w:t>m/s</w:t>
      </w:r>
      <w:r>
        <w:rPr>
          <w:spacing w:val="21"/>
        </w:rPr>
        <w:t> </w:t>
      </w:r>
      <w:r>
        <w:rPr/>
        <w:t>and</w:t>
      </w:r>
      <w:r>
        <w:rPr>
          <w:spacing w:val="21"/>
        </w:rPr>
        <w:t> </w:t>
      </w:r>
      <w:r>
        <w:rPr/>
        <w:t>thickness</w:t>
      </w:r>
      <w:r>
        <w:rPr>
          <w:spacing w:val="21"/>
        </w:rPr>
        <w:t> </w:t>
      </w:r>
      <w:r>
        <w:rPr/>
        <w:t>1.0</w:t>
      </w:r>
      <w:r>
        <w:rPr>
          <w:spacing w:val="22"/>
        </w:rPr>
        <w:t> </w:t>
      </w:r>
      <w:r>
        <w:rPr/>
        <w:t>-</w:t>
      </w:r>
    </w:p>
    <w:p>
      <w:pPr>
        <w:pStyle w:val="BodyText"/>
        <w:spacing w:line="480" w:lineRule="auto"/>
        <w:ind w:left="307" w:right="429"/>
        <w:jc w:val="both"/>
      </w:pPr>
      <w:r>
        <w:rPr/>
        <w:t>3.3 m,</w:t>
      </w:r>
      <w:r>
        <w:rPr>
          <w:spacing w:val="1"/>
        </w:rPr>
        <w:t> </w:t>
      </w:r>
      <w:r>
        <w:rPr/>
        <w:t>representing topsoil. The second refraction layer is</w:t>
      </w:r>
      <w:r>
        <w:rPr>
          <w:spacing w:val="60"/>
        </w:rPr>
        <w:t> </w:t>
      </w:r>
      <w:r>
        <w:rPr/>
        <w:t>composed of lateritic clay</w:t>
      </w:r>
      <w:r>
        <w:rPr>
          <w:spacing w:val="1"/>
        </w:rPr>
        <w:t> </w:t>
      </w:r>
      <w:r>
        <w:rPr/>
        <w:t>with thickness 4.5 - 10.5 m and velocity 578 - 878 m/s. The third refraction layer</w:t>
      </w:r>
      <w:r>
        <w:rPr>
          <w:spacing w:val="1"/>
        </w:rPr>
        <w:t> </w:t>
      </w:r>
      <w:r>
        <w:rPr/>
        <w:t>consists of sandy clay with velocity 10250 m/s. The delineated refraction layers are</w:t>
      </w:r>
      <w:r>
        <w:rPr>
          <w:spacing w:val="1"/>
        </w:rPr>
        <w:t> </w:t>
      </w:r>
      <w:r>
        <w:rPr/>
        <w:t>characterised by increase in velocity with depth. The geo-electric sounding clearly show</w:t>
      </w:r>
      <w:r>
        <w:rPr>
          <w:spacing w:val="-57"/>
        </w:rPr>
        <w:t> </w:t>
      </w:r>
      <w:r>
        <w:rPr/>
        <w:t>that the subsurface layers are characterized by topsoil, laterite, sandy clay, clayey sand,</w:t>
      </w:r>
      <w:r>
        <w:rPr>
          <w:spacing w:val="1"/>
        </w:rPr>
        <w:t> </w:t>
      </w:r>
      <w:r>
        <w:rPr/>
        <w:t>sand and clay with sand acting as aquifer units. The two thick aquifer units mapped are</w:t>
      </w:r>
      <w:r>
        <w:rPr>
          <w:spacing w:val="1"/>
        </w:rPr>
        <w:t> </w:t>
      </w:r>
      <w:r>
        <w:rPr/>
        <w:t>capable</w:t>
      </w:r>
      <w:r>
        <w:rPr>
          <w:spacing w:val="-1"/>
        </w:rPr>
        <w:t> </w:t>
      </w:r>
      <w:r>
        <w:rPr/>
        <w:t>of sustainable industrial development in</w:t>
      </w:r>
      <w:r>
        <w:rPr>
          <w:spacing w:val="-1"/>
        </w:rPr>
        <w:t> </w:t>
      </w:r>
      <w:r>
        <w:rPr/>
        <w:t>the area.</w:t>
      </w:r>
    </w:p>
    <w:p>
      <w:pPr>
        <w:pStyle w:val="BodyText"/>
        <w:spacing w:line="480" w:lineRule="auto" w:before="1"/>
        <w:ind w:left="307" w:right="430"/>
        <w:jc w:val="both"/>
      </w:pPr>
      <w:r>
        <w:rPr/>
        <w:t>Emmanuel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(2011)</w:t>
      </w:r>
      <w:r>
        <w:rPr>
          <w:spacing w:val="1"/>
        </w:rPr>
        <w:t> </w:t>
      </w:r>
      <w:r>
        <w:rPr/>
        <w:t>carried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Geo-electric</w:t>
      </w:r>
      <w:r>
        <w:rPr>
          <w:spacing w:val="1"/>
        </w:rPr>
        <w:t> </w:t>
      </w:r>
      <w:r>
        <w:rPr/>
        <w:t>investigation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groundwater</w:t>
      </w:r>
      <w:r>
        <w:rPr>
          <w:spacing w:val="-57"/>
        </w:rPr>
        <w:t> </w:t>
      </w:r>
      <w:r>
        <w:rPr/>
        <w:t>potential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Moniya</w:t>
      </w:r>
      <w:r>
        <w:rPr>
          <w:spacing w:val="1"/>
        </w:rPr>
        <w:t> </w:t>
      </w:r>
      <w:r>
        <w:rPr/>
        <w:t>Area,</w:t>
      </w:r>
      <w:r>
        <w:rPr>
          <w:spacing w:val="1"/>
        </w:rPr>
        <w:t> </w:t>
      </w:r>
      <w:r>
        <w:rPr/>
        <w:t>Ibadan.</w:t>
      </w:r>
      <w:r>
        <w:rPr>
          <w:spacing w:val="1"/>
        </w:rPr>
        <w:t> </w:t>
      </w:r>
      <w:r>
        <w:rPr/>
        <w:t>Seventeen</w:t>
      </w:r>
      <w:r>
        <w:rPr>
          <w:spacing w:val="1"/>
        </w:rPr>
        <w:t> </w:t>
      </w:r>
      <w:r>
        <w:rPr/>
        <w:t>profiles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carried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Schlumberger</w:t>
      </w:r>
      <w:r>
        <w:rPr>
          <w:spacing w:val="1"/>
        </w:rPr>
        <w:t> </w:t>
      </w:r>
      <w:r>
        <w:rPr/>
        <w:t>array</w:t>
      </w:r>
      <w:r>
        <w:rPr>
          <w:spacing w:val="1"/>
        </w:rPr>
        <w:t> </w:t>
      </w:r>
      <w:r>
        <w:rPr/>
        <w:t>configuration.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interpreted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conventional</w:t>
      </w:r>
      <w:r>
        <w:rPr>
          <w:spacing w:val="-58"/>
        </w:rPr>
        <w:t> </w:t>
      </w:r>
      <w:r>
        <w:rPr/>
        <w:t>curve matching and computer iteration methods. Results show that four major curve</w:t>
      </w:r>
      <w:r>
        <w:rPr>
          <w:spacing w:val="1"/>
        </w:rPr>
        <w:t> </w:t>
      </w:r>
      <w:r>
        <w:rPr/>
        <w:t>types</w:t>
      </w:r>
      <w:r>
        <w:rPr>
          <w:spacing w:val="30"/>
        </w:rPr>
        <w:t> </w:t>
      </w:r>
      <w:r>
        <w:rPr/>
        <w:t>were</w:t>
      </w:r>
      <w:r>
        <w:rPr>
          <w:spacing w:val="28"/>
        </w:rPr>
        <w:t> </w:t>
      </w:r>
      <w:r>
        <w:rPr/>
        <w:t>identified,</w:t>
      </w:r>
      <w:r>
        <w:rPr>
          <w:spacing w:val="30"/>
        </w:rPr>
        <w:t> </w:t>
      </w:r>
      <w:r>
        <w:rPr/>
        <w:t>namely:</w:t>
      </w:r>
      <w:r>
        <w:rPr>
          <w:spacing w:val="30"/>
        </w:rPr>
        <w:t> </w:t>
      </w:r>
      <w:r>
        <w:rPr/>
        <w:t>A,</w:t>
      </w:r>
      <w:r>
        <w:rPr>
          <w:spacing w:val="30"/>
        </w:rPr>
        <w:t> </w:t>
      </w:r>
      <w:r>
        <w:rPr/>
        <w:t>H,</w:t>
      </w:r>
      <w:r>
        <w:rPr>
          <w:spacing w:val="29"/>
        </w:rPr>
        <w:t> </w:t>
      </w:r>
      <w:r>
        <w:rPr/>
        <w:t>KH</w:t>
      </w:r>
      <w:r>
        <w:rPr>
          <w:spacing w:val="29"/>
        </w:rPr>
        <w:t> </w:t>
      </w:r>
      <w:r>
        <w:rPr/>
        <w:t>and</w:t>
      </w:r>
      <w:r>
        <w:rPr>
          <w:spacing w:val="30"/>
        </w:rPr>
        <w:t> </w:t>
      </w:r>
      <w:r>
        <w:rPr/>
        <w:t>HA.</w:t>
      </w:r>
      <w:r>
        <w:rPr>
          <w:spacing w:val="29"/>
        </w:rPr>
        <w:t> </w:t>
      </w:r>
      <w:r>
        <w:rPr/>
        <w:t>The</w:t>
      </w:r>
      <w:r>
        <w:rPr>
          <w:spacing w:val="29"/>
        </w:rPr>
        <w:t> </w:t>
      </w:r>
      <w:r>
        <w:rPr/>
        <w:t>top</w:t>
      </w:r>
      <w:r>
        <w:rPr>
          <w:spacing w:val="30"/>
        </w:rPr>
        <w:t> </w:t>
      </w:r>
      <w:r>
        <w:rPr/>
        <w:t>layer</w:t>
      </w:r>
      <w:r>
        <w:rPr>
          <w:spacing w:val="29"/>
        </w:rPr>
        <w:t> </w:t>
      </w:r>
      <w:r>
        <w:rPr/>
        <w:t>has</w:t>
      </w:r>
      <w:r>
        <w:rPr>
          <w:spacing w:val="31"/>
        </w:rPr>
        <w:t> </w:t>
      </w:r>
      <w:r>
        <w:rPr/>
        <w:t>resistivity</w:t>
      </w:r>
      <w:r>
        <w:rPr>
          <w:spacing w:val="22"/>
        </w:rPr>
        <w:t> </w:t>
      </w:r>
      <w:r>
        <w:rPr/>
        <w:t>value</w:t>
      </w:r>
    </w:p>
    <w:p>
      <w:pPr>
        <w:spacing w:after="0" w:line="480" w:lineRule="auto"/>
        <w:jc w:val="both"/>
        <w:sectPr>
          <w:pgSz w:w="11910" w:h="16840"/>
          <w:pgMar w:header="0" w:footer="1067" w:top="1320" w:bottom="1260" w:left="1680" w:right="980"/>
        </w:sectPr>
      </w:pPr>
    </w:p>
    <w:p>
      <w:pPr>
        <w:pStyle w:val="BodyText"/>
        <w:spacing w:line="480" w:lineRule="auto" w:before="64"/>
        <w:ind w:left="307" w:right="427"/>
        <w:jc w:val="both"/>
      </w:pPr>
      <w:r>
        <w:rPr/>
        <w:t>ranging from 61.8 to 504.3 ohm-m showing that it consists of clayey sand and sandy</w:t>
      </w:r>
      <w:r>
        <w:rPr>
          <w:spacing w:val="1"/>
        </w:rPr>
        <w:t> </w:t>
      </w:r>
      <w:r>
        <w:rPr/>
        <w:t>clay, with maximum layer thickness of 3.5 m. The resistivity of the second layer which</w:t>
      </w:r>
      <w:r>
        <w:rPr>
          <w:spacing w:val="1"/>
        </w:rPr>
        <w:t> </w:t>
      </w:r>
      <w:r>
        <w:rPr/>
        <w:t>is the weathered zone ranges from 19.7 to 724.6 ohm-m while the thicknesses vary</w:t>
      </w:r>
      <w:r>
        <w:rPr>
          <w:spacing w:val="1"/>
        </w:rPr>
        <w:t> </w:t>
      </w:r>
      <w:r>
        <w:rPr/>
        <w:t>between 0.7 to</w:t>
      </w:r>
      <w:r>
        <w:rPr>
          <w:spacing w:val="1"/>
        </w:rPr>
        <w:t> </w:t>
      </w:r>
      <w:r>
        <w:rPr/>
        <w:t>30.3 m. These VES</w:t>
      </w:r>
      <w:r>
        <w:rPr>
          <w:spacing w:val="1"/>
        </w:rPr>
        <w:t> </w:t>
      </w:r>
      <w:r>
        <w:rPr/>
        <w:t>stations:</w:t>
      </w:r>
      <w:r>
        <w:rPr>
          <w:spacing w:val="1"/>
        </w:rPr>
        <w:t> </w:t>
      </w:r>
      <w:r>
        <w:rPr/>
        <w:t>9, 11, 16, and 17 are fourth</w:t>
      </w:r>
      <w:r>
        <w:rPr>
          <w:spacing w:val="60"/>
        </w:rPr>
        <w:t> </w:t>
      </w:r>
      <w:r>
        <w:rPr/>
        <w:t>layer region.</w:t>
      </w:r>
      <w:r>
        <w:rPr>
          <w:spacing w:val="1"/>
        </w:rPr>
        <w:t> </w:t>
      </w:r>
      <w:r>
        <w:rPr/>
        <w:t>The third layers constitute the weathered layer which has resistivities from 13.7 to 95.3</w:t>
      </w:r>
      <w:r>
        <w:rPr>
          <w:spacing w:val="1"/>
        </w:rPr>
        <w:t> </w:t>
      </w:r>
      <w:r>
        <w:rPr/>
        <w:t>ohm-m while its layer thicknesses vary from 12.6 to 44.6 m the layer will be good for</w:t>
      </w:r>
      <w:r>
        <w:rPr>
          <w:spacing w:val="1"/>
        </w:rPr>
        <w:t> </w:t>
      </w:r>
      <w:r>
        <w:rPr/>
        <w:t>well sitting. The results of geoelectric investigation carried out over part of Moniya,</w:t>
      </w:r>
      <w:r>
        <w:rPr>
          <w:spacing w:val="1"/>
        </w:rPr>
        <w:t> </w:t>
      </w:r>
      <w:r>
        <w:rPr/>
        <w:t>Akinyele Local Government Area revealed maximum of four subsurface layers: thin top</w:t>
      </w:r>
      <w:r>
        <w:rPr>
          <w:spacing w:val="-57"/>
        </w:rPr>
        <w:t> </w:t>
      </w:r>
      <w:r>
        <w:rPr/>
        <w:t>layer,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alluvium, the</w:t>
      </w:r>
      <w:r>
        <w:rPr>
          <w:spacing w:val="-1"/>
        </w:rPr>
        <w:t> </w:t>
      </w:r>
      <w:r>
        <w:rPr/>
        <w:t>aquifer and the bedrock</w:t>
      </w:r>
      <w:r>
        <w:rPr>
          <w:spacing w:val="1"/>
        </w:rPr>
        <w:t> </w:t>
      </w:r>
      <w:r>
        <w:rPr/>
        <w:t>respectively.</w:t>
      </w:r>
    </w:p>
    <w:p>
      <w:pPr>
        <w:pStyle w:val="BodyText"/>
        <w:spacing w:line="480" w:lineRule="auto" w:before="2"/>
        <w:ind w:left="307" w:right="426"/>
        <w:jc w:val="both"/>
      </w:pPr>
      <w:r>
        <w:rPr/>
        <w:t>Muraina </w:t>
      </w:r>
      <w:r>
        <w:rPr>
          <w:i/>
        </w:rPr>
        <w:t>et al</w:t>
      </w:r>
      <w:r>
        <w:rPr/>
        <w:t>., (2012) used a total of 160 VES data collected at the corners of a 225 x</w:t>
      </w:r>
      <w:r>
        <w:rPr>
          <w:spacing w:val="1"/>
        </w:rPr>
        <w:t> </w:t>
      </w:r>
      <w:r>
        <w:rPr/>
        <w:t>225 m square grid network. Topsoil resistivity and topsoil longitudinal unit conductance</w:t>
      </w:r>
      <w:r>
        <w:rPr>
          <w:spacing w:val="-57"/>
        </w:rPr>
        <w:t> </w:t>
      </w:r>
      <w:r>
        <w:rPr/>
        <w:t>maps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generated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first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second</w:t>
      </w:r>
      <w:r>
        <w:rPr>
          <w:spacing w:val="1"/>
        </w:rPr>
        <w:t> </w:t>
      </w:r>
      <w:r>
        <w:rPr/>
        <w:t>order</w:t>
      </w:r>
      <w:r>
        <w:rPr>
          <w:spacing w:val="1"/>
        </w:rPr>
        <w:t> </w:t>
      </w:r>
      <w:r>
        <w:rPr/>
        <w:t>geoelectric</w:t>
      </w:r>
      <w:r>
        <w:rPr>
          <w:spacing w:val="61"/>
        </w:rPr>
        <w:t> </w:t>
      </w:r>
      <w:r>
        <w:rPr/>
        <w:t>parameters</w:t>
      </w:r>
      <w:r>
        <w:rPr>
          <w:spacing w:val="-57"/>
        </w:rPr>
        <w:t> </w:t>
      </w:r>
      <w:r>
        <w:rPr/>
        <w:t>respectively. Areas considered as high corrosivity are the northcentral, southwestern,</w:t>
      </w:r>
      <w:r>
        <w:rPr>
          <w:spacing w:val="1"/>
        </w:rPr>
        <w:t> </w:t>
      </w:r>
      <w:r>
        <w:rPr/>
        <w:t>southern and northern parts with resistivity values less than 180 Ωm. Part of the study</w:t>
      </w:r>
      <w:r>
        <w:rPr>
          <w:spacing w:val="1"/>
        </w:rPr>
        <w:t> </w:t>
      </w:r>
      <w:r>
        <w:rPr/>
        <w:t>area characterised by materials of poor to weak protective capacity has longitudinal</w:t>
      </w:r>
      <w:r>
        <w:rPr>
          <w:spacing w:val="1"/>
        </w:rPr>
        <w:t> </w:t>
      </w:r>
      <w:r>
        <w:rPr/>
        <w:t>conductance</w:t>
      </w:r>
      <w:r>
        <w:rPr>
          <w:spacing w:val="19"/>
        </w:rPr>
        <w:t> </w:t>
      </w:r>
      <w:r>
        <w:rPr/>
        <w:t>values</w:t>
      </w:r>
      <w:r>
        <w:rPr>
          <w:spacing w:val="20"/>
        </w:rPr>
        <w:t> </w:t>
      </w:r>
      <w:r>
        <w:rPr/>
        <w:t>of</w:t>
      </w:r>
      <w:r>
        <w:rPr>
          <w:spacing w:val="19"/>
        </w:rPr>
        <w:t> </w:t>
      </w:r>
      <w:r>
        <w:rPr/>
        <w:t>less</w:t>
      </w:r>
      <w:r>
        <w:rPr>
          <w:spacing w:val="20"/>
        </w:rPr>
        <w:t> </w:t>
      </w:r>
      <w:r>
        <w:rPr/>
        <w:t>than</w:t>
      </w:r>
      <w:r>
        <w:rPr>
          <w:spacing w:val="19"/>
        </w:rPr>
        <w:t> </w:t>
      </w:r>
      <w:r>
        <w:rPr/>
        <w:t>0.1</w:t>
      </w:r>
      <w:r>
        <w:rPr>
          <w:spacing w:val="20"/>
        </w:rPr>
        <w:t> </w:t>
      </w:r>
      <w:r>
        <w:rPr/>
        <w:t>and</w:t>
      </w:r>
      <w:r>
        <w:rPr>
          <w:spacing w:val="2"/>
        </w:rPr>
        <w:t> </w:t>
      </w:r>
      <w:r>
        <w:rPr/>
        <w:t>0.1</w:t>
      </w:r>
      <w:r>
        <w:rPr>
          <w:spacing w:val="24"/>
        </w:rPr>
        <w:t> </w:t>
      </w:r>
      <w:r>
        <w:rPr/>
        <w:t>-</w:t>
      </w:r>
      <w:r>
        <w:rPr>
          <w:spacing w:val="19"/>
        </w:rPr>
        <w:t> </w:t>
      </w:r>
      <w:r>
        <w:rPr/>
        <w:t>0.19</w:t>
      </w:r>
      <w:r>
        <w:rPr>
          <w:spacing w:val="20"/>
        </w:rPr>
        <w:t> </w:t>
      </w:r>
      <w:r>
        <w:rPr/>
        <w:t>Ωm</w:t>
      </w:r>
      <w:r>
        <w:rPr>
          <w:spacing w:val="21"/>
        </w:rPr>
        <w:t> </w:t>
      </w:r>
      <w:r>
        <w:rPr/>
        <w:t>respectively.</w:t>
      </w:r>
      <w:r>
        <w:rPr>
          <w:spacing w:val="20"/>
        </w:rPr>
        <w:t> </w:t>
      </w:r>
      <w:r>
        <w:rPr/>
        <w:t>Values</w:t>
      </w:r>
      <w:r>
        <w:rPr>
          <w:spacing w:val="20"/>
        </w:rPr>
        <w:t> </w:t>
      </w:r>
      <w:r>
        <w:rPr/>
        <w:t>between</w:t>
      </w:r>
    </w:p>
    <w:p>
      <w:pPr>
        <w:pStyle w:val="BodyText"/>
        <w:spacing w:line="480" w:lineRule="auto" w:before="1"/>
        <w:ind w:left="307" w:right="427"/>
        <w:jc w:val="both"/>
      </w:pPr>
      <w:r>
        <w:rPr/>
        <w:t>0.2 - 0.79 Ωm are sandy clay cover, and 0.8 - 4.9 Ωm most likely clay cover which</w:t>
      </w:r>
      <w:r>
        <w:rPr>
          <w:spacing w:val="1"/>
        </w:rPr>
        <w:t> </w:t>
      </w:r>
      <w:r>
        <w:rPr/>
        <w:t>corresponds</w:t>
      </w:r>
      <w:r>
        <w:rPr>
          <w:spacing w:val="-1"/>
        </w:rPr>
        <w:t> </w:t>
      </w:r>
      <w:r>
        <w:rPr/>
        <w:t>to moderate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good protective</w:t>
      </w:r>
      <w:r>
        <w:rPr>
          <w:spacing w:val="1"/>
        </w:rPr>
        <w:t> </w:t>
      </w:r>
      <w:r>
        <w:rPr/>
        <w:t>capacity</w:t>
      </w:r>
      <w:r>
        <w:rPr>
          <w:spacing w:val="-6"/>
        </w:rPr>
        <w:t> </w:t>
      </w:r>
      <w:r>
        <w:rPr/>
        <w:t>respectively.</w:t>
      </w:r>
    </w:p>
    <w:p>
      <w:pPr>
        <w:pStyle w:val="BodyText"/>
        <w:spacing w:line="480" w:lineRule="auto"/>
        <w:ind w:left="307" w:right="427"/>
        <w:jc w:val="both"/>
      </w:pPr>
      <w:r>
        <w:rPr/>
        <w:t>Ayuk </w:t>
      </w:r>
      <w:r>
        <w:rPr>
          <w:i/>
        </w:rPr>
        <w:t>et al., </w:t>
      </w:r>
      <w:r>
        <w:rPr/>
        <w:t>(2013) worked on groundwater potential and aquifer protective capacity</w:t>
      </w:r>
      <w:r>
        <w:rPr>
          <w:spacing w:val="1"/>
        </w:rPr>
        <w:t> </w:t>
      </w:r>
      <w:r>
        <w:rPr/>
        <w:t>assessment at Tutugbua-Olugboyega area, off Ondo road, Akure Southwestern Nigeria.</w:t>
      </w:r>
      <w:r>
        <w:rPr>
          <w:spacing w:val="1"/>
        </w:rPr>
        <w:t> </w:t>
      </w:r>
      <w:r>
        <w:rPr/>
        <w:t>The result concluded that the use of geoelectric technique in evaluating the aquifer</w:t>
      </w:r>
      <w:r>
        <w:rPr>
          <w:spacing w:val="1"/>
        </w:rPr>
        <w:t> </w:t>
      </w:r>
      <w:r>
        <w:rPr/>
        <w:t>system and its risk has been established in the study area. The aquifer types delineated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weathered/partially</w:t>
      </w:r>
      <w:r>
        <w:rPr>
          <w:spacing w:val="1"/>
        </w:rPr>
        <w:t> </w:t>
      </w:r>
      <w:r>
        <w:rPr/>
        <w:t>weathered</w:t>
      </w:r>
      <w:r>
        <w:rPr>
          <w:spacing w:val="1"/>
        </w:rPr>
        <w:t> </w:t>
      </w:r>
      <w:r>
        <w:rPr/>
        <w:t>layer,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weathered</w:t>
      </w:r>
      <w:r>
        <w:rPr>
          <w:spacing w:val="1"/>
        </w:rPr>
        <w:t> </w:t>
      </w:r>
      <w:r>
        <w:rPr/>
        <w:t>basement/fractured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basement/fractured</w:t>
      </w:r>
      <w:r>
        <w:rPr>
          <w:spacing w:val="1"/>
        </w:rPr>
        <w:t> </w:t>
      </w:r>
      <w:r>
        <w:rPr/>
        <w:t>bedrock.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aquifer</w:t>
      </w:r>
      <w:r>
        <w:rPr>
          <w:spacing w:val="1"/>
        </w:rPr>
        <w:t> </w:t>
      </w:r>
      <w:r>
        <w:rPr/>
        <w:t>types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mostly</w:t>
      </w:r>
      <w:r>
        <w:rPr>
          <w:spacing w:val="1"/>
        </w:rPr>
        <w:t> </w:t>
      </w:r>
      <w:r>
        <w:rPr/>
        <w:t>marked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series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depressions,</w:t>
      </w:r>
      <w:r>
        <w:rPr>
          <w:spacing w:val="1"/>
        </w:rPr>
        <w:t> </w:t>
      </w:r>
      <w:r>
        <w:rPr/>
        <w:t>relative</w:t>
      </w:r>
      <w:r>
        <w:rPr>
          <w:spacing w:val="2"/>
        </w:rPr>
        <w:t> </w:t>
      </w:r>
      <w:r>
        <w:rPr/>
        <w:t>thick</w:t>
      </w:r>
      <w:r>
        <w:rPr>
          <w:spacing w:val="2"/>
        </w:rPr>
        <w:t> </w:t>
      </w:r>
      <w:r>
        <w:rPr/>
        <w:t>overburden</w:t>
      </w:r>
      <w:r>
        <w:rPr>
          <w:spacing w:val="2"/>
        </w:rPr>
        <w:t> </w:t>
      </w:r>
      <w:r>
        <w:rPr/>
        <w:t>and</w:t>
      </w:r>
      <w:r>
        <w:rPr>
          <w:spacing w:val="2"/>
        </w:rPr>
        <w:t> </w:t>
      </w:r>
      <w:r>
        <w:rPr/>
        <w:t>high</w:t>
      </w:r>
      <w:r>
        <w:rPr>
          <w:spacing w:val="2"/>
        </w:rPr>
        <w:t> </w:t>
      </w:r>
      <w:r>
        <w:rPr/>
        <w:t>λ</w:t>
      </w:r>
      <w:r>
        <w:rPr>
          <w:spacing w:val="3"/>
        </w:rPr>
        <w:t> </w:t>
      </w:r>
      <w:r>
        <w:rPr/>
        <w:t>values.</w:t>
      </w:r>
      <w:r>
        <w:rPr>
          <w:spacing w:val="4"/>
        </w:rPr>
        <w:t> </w:t>
      </w:r>
      <w:r>
        <w:rPr/>
        <w:t>In</w:t>
      </w:r>
      <w:r>
        <w:rPr>
          <w:spacing w:val="2"/>
        </w:rPr>
        <w:t> </w:t>
      </w:r>
      <w:r>
        <w:rPr/>
        <w:t>the</w:t>
      </w:r>
      <w:r>
        <w:rPr>
          <w:spacing w:val="2"/>
        </w:rPr>
        <w:t> </w:t>
      </w:r>
      <w:r>
        <w:rPr/>
        <w:t>study</w:t>
      </w:r>
      <w:r>
        <w:rPr>
          <w:spacing w:val="-3"/>
        </w:rPr>
        <w:t> </w:t>
      </w:r>
      <w:r>
        <w:rPr/>
        <w:t>area,</w:t>
      </w:r>
      <w:r>
        <w:rPr>
          <w:spacing w:val="4"/>
        </w:rPr>
        <w:t> </w:t>
      </w:r>
      <w:r>
        <w:rPr/>
        <w:t>the</w:t>
      </w:r>
      <w:r>
        <w:rPr>
          <w:spacing w:val="2"/>
        </w:rPr>
        <w:t> </w:t>
      </w:r>
      <w:r>
        <w:rPr/>
        <w:t>materials</w:t>
      </w:r>
    </w:p>
    <w:p>
      <w:pPr>
        <w:spacing w:after="0" w:line="480" w:lineRule="auto"/>
        <w:jc w:val="both"/>
        <w:sectPr>
          <w:pgSz w:w="11910" w:h="16840"/>
          <w:pgMar w:header="0" w:footer="1067" w:top="1320" w:bottom="1260" w:left="1680" w:right="980"/>
        </w:sectPr>
      </w:pPr>
    </w:p>
    <w:p>
      <w:pPr>
        <w:pStyle w:val="BodyText"/>
        <w:spacing w:line="480" w:lineRule="auto" w:before="64"/>
        <w:ind w:left="307" w:right="433"/>
        <w:jc w:val="both"/>
      </w:pPr>
      <w:r>
        <w:rPr/>
        <w:t>above the aquifers are relatively low to moderate layer resistivity and of thin thickness</w:t>
      </w:r>
      <w:r>
        <w:rPr>
          <w:spacing w:val="1"/>
        </w:rPr>
        <w:t> </w:t>
      </w:r>
      <w:r>
        <w:rPr/>
        <w:t>(&lt; 15 m) thus making the aquifer vulnerable. The S value ranges from 0.0035 to 0.17</w:t>
      </w:r>
      <w:r>
        <w:rPr>
          <w:spacing w:val="1"/>
        </w:rPr>
        <w:t> </w:t>
      </w:r>
      <w:r>
        <w:rPr/>
        <w:t>mhos.</w:t>
      </w:r>
      <w:r>
        <w:rPr>
          <w:spacing w:val="-1"/>
        </w:rPr>
        <w:t> </w:t>
      </w:r>
      <w:r>
        <w:rPr/>
        <w:t>Therefore, the basement aquifer</w:t>
      </w:r>
      <w:r>
        <w:rPr>
          <w:spacing w:val="-1"/>
        </w:rPr>
        <w:t> </w:t>
      </w:r>
      <w:r>
        <w:rPr/>
        <w:t>is vulnerable to infiltration.</w:t>
      </w:r>
    </w:p>
    <w:p>
      <w:pPr>
        <w:pStyle w:val="BodyText"/>
        <w:spacing w:line="480" w:lineRule="auto" w:before="1"/>
        <w:ind w:left="307" w:right="422"/>
        <w:jc w:val="both"/>
      </w:pPr>
      <w:r>
        <w:rPr/>
        <w:t>Ajibade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Ogungbesan</w:t>
      </w:r>
      <w:r>
        <w:rPr>
          <w:spacing w:val="1"/>
        </w:rPr>
        <w:t> </w:t>
      </w:r>
      <w:r>
        <w:rPr/>
        <w:t>(2013)</w:t>
      </w:r>
      <w:r>
        <w:rPr>
          <w:spacing w:val="1"/>
        </w:rPr>
        <w:t> </w:t>
      </w:r>
      <w:r>
        <w:rPr/>
        <w:t>worked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Prospects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indices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groundwater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Ibadan</w:t>
      </w:r>
      <w:r>
        <w:rPr>
          <w:spacing w:val="1"/>
        </w:rPr>
        <w:t> </w:t>
      </w:r>
      <w:r>
        <w:rPr/>
        <w:t>metropolis,</w:t>
      </w:r>
      <w:r>
        <w:rPr>
          <w:spacing w:val="1"/>
        </w:rPr>
        <w:t> </w:t>
      </w:r>
      <w:r>
        <w:rPr/>
        <w:t>southwestern</w:t>
      </w:r>
      <w:r>
        <w:rPr>
          <w:spacing w:val="1"/>
        </w:rPr>
        <w:t> </w:t>
      </w:r>
      <w:r>
        <w:rPr/>
        <w:t>Nigeria.</w:t>
      </w:r>
      <w:r>
        <w:rPr>
          <w:spacing w:val="1"/>
        </w:rPr>
        <w:t> </w:t>
      </w:r>
      <w:r>
        <w:rPr/>
        <w:t>Interpreted</w:t>
      </w:r>
      <w:r>
        <w:rPr>
          <w:spacing w:val="1"/>
        </w:rPr>
        <w:t> </w:t>
      </w:r>
      <w:r>
        <w:rPr/>
        <w:t>results of vertical electrical sounding data revealed three to four geo-electric layers; top</w:t>
      </w:r>
      <w:r>
        <w:rPr>
          <w:spacing w:val="1"/>
        </w:rPr>
        <w:t> </w:t>
      </w:r>
      <w:r>
        <w:rPr/>
        <w:t>soil (22.1 - 441.4 Ωm), lateritic horizon (402.1 - 712.2 Ωm), clayey/sandy clay layer</w:t>
      </w:r>
      <w:r>
        <w:rPr>
          <w:spacing w:val="1"/>
        </w:rPr>
        <w:t> </w:t>
      </w:r>
      <w:r>
        <w:rPr/>
        <w:t>(2.95 - 66.0 Ωm) and weathered/fractured bedrock (66,316.7 Ωm). Hydrogeochemical</w:t>
      </w:r>
      <w:r>
        <w:rPr>
          <w:spacing w:val="1"/>
        </w:rPr>
        <w:t> </w:t>
      </w:r>
      <w:r>
        <w:rPr/>
        <w:t>study indicates that groundwater in the study area is generally fresh, soft- moderately</w:t>
      </w:r>
      <w:r>
        <w:rPr>
          <w:spacing w:val="1"/>
        </w:rPr>
        <w:t> </w:t>
      </w:r>
      <w:r>
        <w:rPr/>
        <w:t>hard, slightly acidic and dominated by Na, Ca, Mg, Cl and HCO3 ions. The dominant</w:t>
      </w:r>
      <w:r>
        <w:rPr>
          <w:spacing w:val="1"/>
        </w:rPr>
        <w:t> </w:t>
      </w:r>
      <w:r>
        <w:rPr/>
        <w:t>hydrochemical facies is Na-Cl type with minor mixed Ca-Na-Cl and Ca-Cl types. Many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analysed</w:t>
      </w:r>
      <w:r>
        <w:rPr>
          <w:spacing w:val="1"/>
        </w:rPr>
        <w:t> </w:t>
      </w:r>
      <w:r>
        <w:rPr/>
        <w:t>parameters</w:t>
      </w:r>
      <w:r>
        <w:rPr>
          <w:spacing w:val="1"/>
        </w:rPr>
        <w:t> </w:t>
      </w:r>
      <w:r>
        <w:rPr/>
        <w:t>fall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recommended</w:t>
      </w:r>
      <w:r>
        <w:rPr>
          <w:spacing w:val="1"/>
        </w:rPr>
        <w:t> </w:t>
      </w:r>
      <w:r>
        <w:rPr/>
        <w:t>limits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thus,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groundwater</w:t>
      </w:r>
      <w:r>
        <w:rPr>
          <w:spacing w:val="-3"/>
        </w:rPr>
        <w:t> </w:t>
      </w:r>
      <w:r>
        <w:rPr/>
        <w:t>in the</w:t>
      </w:r>
      <w:r>
        <w:rPr>
          <w:spacing w:val="-1"/>
        </w:rPr>
        <w:t> </w:t>
      </w:r>
      <w:r>
        <w:rPr/>
        <w:t>study</w:t>
      </w:r>
      <w:r>
        <w:rPr>
          <w:spacing w:val="-3"/>
        </w:rPr>
        <w:t> </w:t>
      </w:r>
      <w:r>
        <w:rPr/>
        <w:t>area</w:t>
      </w:r>
      <w:r>
        <w:rPr>
          <w:spacing w:val="1"/>
        </w:rPr>
        <w:t> </w:t>
      </w:r>
      <w:r>
        <w:rPr/>
        <w:t>are</w:t>
      </w:r>
      <w:r>
        <w:rPr>
          <w:spacing w:val="-1"/>
        </w:rPr>
        <w:t> </w:t>
      </w:r>
      <w:r>
        <w:rPr/>
        <w:t>chemically</w:t>
      </w:r>
      <w:r>
        <w:rPr>
          <w:spacing w:val="-5"/>
        </w:rPr>
        <w:t> </w:t>
      </w:r>
      <w:r>
        <w:rPr/>
        <w:t>suitable for</w:t>
      </w:r>
      <w:r>
        <w:rPr>
          <w:spacing w:val="-1"/>
        </w:rPr>
        <w:t> </w:t>
      </w:r>
      <w:r>
        <w:rPr/>
        <w:t>drinking.</w:t>
      </w:r>
    </w:p>
    <w:p>
      <w:pPr>
        <w:pStyle w:val="BodyText"/>
        <w:spacing w:line="480" w:lineRule="auto" w:before="1"/>
        <w:ind w:left="307" w:right="426"/>
        <w:jc w:val="both"/>
      </w:pPr>
      <w:r>
        <w:rPr/>
        <w:t>Mohammed </w:t>
      </w:r>
      <w:r>
        <w:rPr>
          <w:i/>
        </w:rPr>
        <w:t>et al., </w:t>
      </w:r>
      <w:r>
        <w:rPr/>
        <w:t>(2014) used Geo-electrical data analysis to demarcate groundwater</w:t>
      </w:r>
      <w:r>
        <w:rPr>
          <w:spacing w:val="1"/>
        </w:rPr>
        <w:t> </w:t>
      </w:r>
      <w:r>
        <w:rPr/>
        <w:t>pocket zones in Kaltungo and environs, north eastern Nigeria. Investigation have been</w:t>
      </w:r>
      <w:r>
        <w:rPr>
          <w:spacing w:val="1"/>
        </w:rPr>
        <w:t> </w:t>
      </w:r>
      <w:r>
        <w:rPr/>
        <w:t>made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groundwater</w:t>
      </w:r>
      <w:r>
        <w:rPr>
          <w:spacing w:val="1"/>
        </w:rPr>
        <w:t> </w:t>
      </w:r>
      <w:r>
        <w:rPr/>
        <w:t>exploration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Vertical</w:t>
      </w:r>
      <w:r>
        <w:rPr>
          <w:spacing w:val="1"/>
        </w:rPr>
        <w:t> </w:t>
      </w:r>
      <w:r>
        <w:rPr/>
        <w:t>Electrical</w:t>
      </w:r>
      <w:r>
        <w:rPr>
          <w:spacing w:val="1"/>
        </w:rPr>
        <w:t> </w:t>
      </w:r>
      <w:r>
        <w:rPr/>
        <w:t>Sounding</w:t>
      </w:r>
      <w:r>
        <w:rPr>
          <w:spacing w:val="1"/>
        </w:rPr>
        <w:t> </w:t>
      </w:r>
      <w:r>
        <w:rPr/>
        <w:t>(VES)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acquired from 6 (six) locations distributed in Kaltungo and Environs with a maximum</w:t>
      </w:r>
      <w:r>
        <w:rPr>
          <w:spacing w:val="1"/>
        </w:rPr>
        <w:t> </w:t>
      </w:r>
      <w:r>
        <w:rPr/>
        <w:t>electrode spread of AB/2 = 100 m. This is an attempt to obtain useful information on the</w:t>
      </w:r>
      <w:r>
        <w:rPr>
          <w:spacing w:val="-57"/>
        </w:rPr>
        <w:t> </w:t>
      </w:r>
      <w:r>
        <w:rPr/>
        <w:t>aquifer distribution within the area and hence delineate possible areas for groundwater</w:t>
      </w:r>
      <w:r>
        <w:rPr>
          <w:spacing w:val="1"/>
        </w:rPr>
        <w:t> </w:t>
      </w:r>
      <w:r>
        <w:rPr/>
        <w:t>development.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Iso-resistivity</w:t>
      </w:r>
      <w:r>
        <w:rPr>
          <w:spacing w:val="1"/>
        </w:rPr>
        <w:t> </w:t>
      </w:r>
      <w:r>
        <w:rPr/>
        <w:t>maps,</w:t>
      </w:r>
      <w:r>
        <w:rPr>
          <w:spacing w:val="1"/>
        </w:rPr>
        <w:t> </w:t>
      </w:r>
      <w:r>
        <w:rPr/>
        <w:t>geo-electric</w:t>
      </w:r>
      <w:r>
        <w:rPr>
          <w:spacing w:val="1"/>
        </w:rPr>
        <w:t> </w:t>
      </w:r>
      <w:r>
        <w:rPr/>
        <w:t>section.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geophysical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assisted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good</w:t>
      </w:r>
      <w:r>
        <w:rPr>
          <w:spacing w:val="1"/>
        </w:rPr>
        <w:t> </w:t>
      </w:r>
      <w:r>
        <w:rPr/>
        <w:t>alternative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investigate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groundwater potential of some selected areas in Kaltungo area of Gombe State. 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revealed</w:t>
      </w:r>
      <w:r>
        <w:rPr>
          <w:spacing w:val="1"/>
        </w:rPr>
        <w:t> </w:t>
      </w:r>
      <w:r>
        <w:rPr/>
        <w:t>Kaltungo</w:t>
      </w:r>
      <w:r>
        <w:rPr>
          <w:spacing w:val="1"/>
        </w:rPr>
        <w:t> </w:t>
      </w:r>
      <w:r>
        <w:rPr/>
        <w:t>town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her</w:t>
      </w:r>
      <w:r>
        <w:rPr>
          <w:spacing w:val="1"/>
        </w:rPr>
        <w:t> </w:t>
      </w:r>
      <w:r>
        <w:rPr/>
        <w:t>environs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basement</w:t>
      </w:r>
      <w:r>
        <w:rPr>
          <w:spacing w:val="1"/>
        </w:rPr>
        <w:t> </w:t>
      </w:r>
      <w:r>
        <w:rPr/>
        <w:t>area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reasonable</w:t>
      </w:r>
      <w:r>
        <w:rPr>
          <w:spacing w:val="-57"/>
        </w:rPr>
        <w:t> </w:t>
      </w:r>
      <w:r>
        <w:rPr/>
        <w:t>weathered formation ranging from a total depth of 18.1 m to 54.7 m which make it</w:t>
      </w:r>
      <w:r>
        <w:rPr>
          <w:spacing w:val="1"/>
        </w:rPr>
        <w:t> </w:t>
      </w:r>
      <w:r>
        <w:rPr/>
        <w:t>possible</w:t>
      </w:r>
      <w:r>
        <w:rPr>
          <w:spacing w:val="12"/>
        </w:rPr>
        <w:t> </w:t>
      </w:r>
      <w:r>
        <w:rPr/>
        <w:t>to</w:t>
      </w:r>
      <w:r>
        <w:rPr>
          <w:spacing w:val="13"/>
        </w:rPr>
        <w:t> </w:t>
      </w:r>
      <w:r>
        <w:rPr/>
        <w:t>demarcate</w:t>
      </w:r>
      <w:r>
        <w:rPr>
          <w:spacing w:val="12"/>
        </w:rPr>
        <w:t> </w:t>
      </w:r>
      <w:r>
        <w:rPr/>
        <w:t>thick</w:t>
      </w:r>
      <w:r>
        <w:rPr>
          <w:spacing w:val="14"/>
        </w:rPr>
        <w:t> </w:t>
      </w:r>
      <w:r>
        <w:rPr/>
        <w:t>soil</w:t>
      </w:r>
      <w:r>
        <w:rPr>
          <w:spacing w:val="14"/>
        </w:rPr>
        <w:t> </w:t>
      </w:r>
      <w:r>
        <w:rPr/>
        <w:t>pockets</w:t>
      </w:r>
      <w:r>
        <w:rPr>
          <w:spacing w:val="13"/>
        </w:rPr>
        <w:t> </w:t>
      </w:r>
      <w:r>
        <w:rPr/>
        <w:t>followed</w:t>
      </w:r>
      <w:r>
        <w:rPr>
          <w:spacing w:val="15"/>
        </w:rPr>
        <w:t> </w:t>
      </w:r>
      <w:r>
        <w:rPr/>
        <w:t>by</w:t>
      </w:r>
      <w:r>
        <w:rPr>
          <w:spacing w:val="9"/>
        </w:rPr>
        <w:t> </w:t>
      </w:r>
      <w:r>
        <w:rPr/>
        <w:t>considerable</w:t>
      </w:r>
      <w:r>
        <w:rPr>
          <w:spacing w:val="12"/>
        </w:rPr>
        <w:t> </w:t>
      </w:r>
      <w:r>
        <w:rPr/>
        <w:t>thickness</w:t>
      </w:r>
      <w:r>
        <w:rPr>
          <w:spacing w:val="13"/>
        </w:rPr>
        <w:t> </w:t>
      </w:r>
      <w:r>
        <w:rPr/>
        <w:t>of</w:t>
      </w:r>
      <w:r>
        <w:rPr>
          <w:spacing w:val="12"/>
        </w:rPr>
        <w:t> </w:t>
      </w:r>
      <w:r>
        <w:rPr/>
        <w:t>aquifers</w:t>
      </w:r>
    </w:p>
    <w:p>
      <w:pPr>
        <w:spacing w:after="0" w:line="480" w:lineRule="auto"/>
        <w:jc w:val="both"/>
        <w:sectPr>
          <w:pgSz w:w="11910" w:h="16840"/>
          <w:pgMar w:header="0" w:footer="1067" w:top="1320" w:bottom="1260" w:left="1680" w:right="980"/>
        </w:sectPr>
      </w:pPr>
    </w:p>
    <w:p>
      <w:pPr>
        <w:pStyle w:val="BodyText"/>
        <w:spacing w:line="480" w:lineRule="auto" w:before="64"/>
        <w:ind w:left="307" w:right="432"/>
        <w:jc w:val="both"/>
      </w:pPr>
      <w:r>
        <w:rPr/>
        <w:t>as</w:t>
      </w:r>
      <w:r>
        <w:rPr>
          <w:spacing w:val="1"/>
        </w:rPr>
        <w:t> </w:t>
      </w:r>
      <w:r>
        <w:rPr/>
        <w:t>recharge</w:t>
      </w:r>
      <w:r>
        <w:rPr>
          <w:spacing w:val="1"/>
        </w:rPr>
        <w:t> </w:t>
      </w:r>
      <w:r>
        <w:rPr/>
        <w:t>pockets.</w:t>
      </w:r>
      <w:r>
        <w:rPr>
          <w:spacing w:val="1"/>
        </w:rPr>
        <w:t> </w:t>
      </w:r>
      <w:r>
        <w:rPr/>
        <w:t>Interpretation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VES,</w:t>
      </w:r>
      <w:r>
        <w:rPr>
          <w:spacing w:val="1"/>
        </w:rPr>
        <w:t> </w:t>
      </w:r>
      <w:r>
        <w:rPr/>
        <w:t>Iso-resistivity</w:t>
      </w:r>
      <w:r>
        <w:rPr>
          <w:spacing w:val="1"/>
        </w:rPr>
        <w:t> </w:t>
      </w:r>
      <w:r>
        <w:rPr/>
        <w:t>Maps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profiles</w:t>
      </w:r>
      <w:r>
        <w:rPr>
          <w:spacing w:val="1"/>
        </w:rPr>
        <w:t> </w:t>
      </w:r>
      <w:r>
        <w:rPr/>
        <w:t>identified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conductive</w:t>
      </w:r>
      <w:r>
        <w:rPr>
          <w:spacing w:val="1"/>
        </w:rPr>
        <w:t> </w:t>
      </w:r>
      <w:r>
        <w:rPr/>
        <w:t>zones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considered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priority</w:t>
      </w:r>
      <w:r>
        <w:rPr>
          <w:spacing w:val="1"/>
        </w:rPr>
        <w:t> </w:t>
      </w:r>
      <w:r>
        <w:rPr/>
        <w:t>areas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groundwater</w:t>
      </w:r>
      <w:r>
        <w:rPr>
          <w:spacing w:val="-1"/>
        </w:rPr>
        <w:t> </w:t>
      </w:r>
      <w:r>
        <w:rPr/>
        <w:t>exploration.</w:t>
      </w:r>
    </w:p>
    <w:p>
      <w:pPr>
        <w:pStyle w:val="BodyText"/>
        <w:spacing w:line="480" w:lineRule="auto" w:before="1"/>
        <w:ind w:left="307" w:right="425"/>
        <w:jc w:val="both"/>
      </w:pPr>
      <w:r>
        <w:rPr/>
        <w:t>Muraina </w:t>
      </w:r>
      <w:r>
        <w:rPr>
          <w:i/>
        </w:rPr>
        <w:t>etal., </w:t>
      </w:r>
      <w:r>
        <w:rPr/>
        <w:t>(2014) carried out geoelectric Evaluation of Subsoil for Optimum Cocoa</w:t>
      </w:r>
      <w:r>
        <w:rPr>
          <w:spacing w:val="1"/>
        </w:rPr>
        <w:t> </w:t>
      </w:r>
      <w:r>
        <w:rPr/>
        <w:t>Yield in Parts of Ondo State, Southwestern Nigeria. The study involved reconnaissance</w:t>
      </w:r>
      <w:r>
        <w:rPr>
          <w:spacing w:val="1"/>
        </w:rPr>
        <w:t> </w:t>
      </w:r>
      <w:r>
        <w:rPr/>
        <w:t>geological mapping, Schlumberger vertical</w:t>
      </w:r>
      <w:r>
        <w:rPr>
          <w:spacing w:val="1"/>
        </w:rPr>
        <w:t> </w:t>
      </w:r>
      <w:r>
        <w:rPr/>
        <w:t>electrical resistivity sounding and direct</w:t>
      </w:r>
      <w:r>
        <w:rPr>
          <w:spacing w:val="1"/>
        </w:rPr>
        <w:t> </w:t>
      </w:r>
      <w:r>
        <w:rPr/>
        <w:t>pitting techniques. Eight sounding data were collected with ABEM SAS 1000 resistivity</w:t>
      </w:r>
      <w:r>
        <w:rPr>
          <w:spacing w:val="-57"/>
        </w:rPr>
        <w:t> </w:t>
      </w:r>
      <w:r>
        <w:rPr/>
        <w:t>meter.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layer</w:t>
      </w:r>
      <w:r>
        <w:rPr>
          <w:spacing w:val="1"/>
        </w:rPr>
        <w:t> </w:t>
      </w:r>
      <w:r>
        <w:rPr/>
        <w:t>resistivity’s</w:t>
      </w:r>
      <w:r>
        <w:rPr>
          <w:spacing w:val="1"/>
        </w:rPr>
        <w:t> </w:t>
      </w:r>
      <w:r>
        <w:rPr/>
        <w:t>range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126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2306,</w:t>
      </w:r>
      <w:r>
        <w:rPr>
          <w:spacing w:val="1"/>
        </w:rPr>
        <w:t> </w:t>
      </w:r>
      <w:r>
        <w:rPr/>
        <w:t>37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1453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∞ohm-m</w:t>
      </w:r>
      <w:r>
        <w:rPr>
          <w:spacing w:val="1"/>
        </w:rPr>
        <w:t> </w:t>
      </w:r>
      <w:r>
        <w:rPr/>
        <w:t>respectively</w:t>
      </w:r>
      <w:r>
        <w:rPr>
          <w:spacing w:val="11"/>
        </w:rPr>
        <w:t> </w:t>
      </w:r>
      <w:r>
        <w:rPr/>
        <w:t>while</w:t>
      </w:r>
      <w:r>
        <w:rPr>
          <w:spacing w:val="16"/>
        </w:rPr>
        <w:t> </w:t>
      </w:r>
      <w:r>
        <w:rPr/>
        <w:t>the</w:t>
      </w:r>
      <w:r>
        <w:rPr>
          <w:spacing w:val="15"/>
        </w:rPr>
        <w:t> </w:t>
      </w:r>
      <w:r>
        <w:rPr/>
        <w:t>thickness</w:t>
      </w:r>
      <w:r>
        <w:rPr>
          <w:spacing w:val="17"/>
        </w:rPr>
        <w:t> </w:t>
      </w:r>
      <w:r>
        <w:rPr/>
        <w:t>values</w:t>
      </w:r>
      <w:r>
        <w:rPr>
          <w:spacing w:val="16"/>
        </w:rPr>
        <w:t> </w:t>
      </w:r>
      <w:r>
        <w:rPr/>
        <w:t>of</w:t>
      </w:r>
      <w:r>
        <w:rPr>
          <w:spacing w:val="15"/>
        </w:rPr>
        <w:t> </w:t>
      </w:r>
      <w:r>
        <w:rPr/>
        <w:t>the</w:t>
      </w:r>
      <w:r>
        <w:rPr>
          <w:spacing w:val="15"/>
        </w:rPr>
        <w:t> </w:t>
      </w:r>
      <w:r>
        <w:rPr/>
        <w:t>upper</w:t>
      </w:r>
      <w:r>
        <w:rPr>
          <w:spacing w:val="15"/>
        </w:rPr>
        <w:t> </w:t>
      </w:r>
      <w:r>
        <w:rPr/>
        <w:t>two</w:t>
      </w:r>
      <w:r>
        <w:rPr>
          <w:spacing w:val="16"/>
        </w:rPr>
        <w:t> </w:t>
      </w:r>
      <w:r>
        <w:rPr/>
        <w:t>layers</w:t>
      </w:r>
      <w:r>
        <w:rPr>
          <w:spacing w:val="17"/>
        </w:rPr>
        <w:t> </w:t>
      </w:r>
      <w:r>
        <w:rPr/>
        <w:t>were</w:t>
      </w:r>
      <w:r>
        <w:rPr>
          <w:spacing w:val="14"/>
        </w:rPr>
        <w:t> </w:t>
      </w:r>
      <w:r>
        <w:rPr/>
        <w:t>0.6</w:t>
      </w:r>
      <w:r>
        <w:rPr>
          <w:spacing w:val="25"/>
        </w:rPr>
        <w:t> </w:t>
      </w:r>
      <w:r>
        <w:rPr/>
        <w:t>–</w:t>
      </w:r>
      <w:r>
        <w:rPr>
          <w:spacing w:val="16"/>
        </w:rPr>
        <w:t> </w:t>
      </w:r>
      <w:r>
        <w:rPr/>
        <w:t>1.9</w:t>
      </w:r>
      <w:r>
        <w:rPr>
          <w:spacing w:val="16"/>
        </w:rPr>
        <w:t> </w:t>
      </w:r>
      <w:r>
        <w:rPr/>
        <w:t>m,</w:t>
      </w:r>
      <w:r>
        <w:rPr>
          <w:spacing w:val="17"/>
        </w:rPr>
        <w:t> </w:t>
      </w:r>
      <w:r>
        <w:rPr/>
        <w:t>1.9</w:t>
      </w:r>
      <w:r>
        <w:rPr>
          <w:spacing w:val="17"/>
        </w:rPr>
        <w:t> </w:t>
      </w:r>
      <w:r>
        <w:rPr/>
        <w:t>-</w:t>
      </w:r>
    </w:p>
    <w:p>
      <w:pPr>
        <w:pStyle w:val="BodyText"/>
        <w:spacing w:line="480" w:lineRule="auto" w:before="1"/>
        <w:ind w:left="307" w:right="426"/>
        <w:jc w:val="both"/>
      </w:pPr>
      <w:r>
        <w:rPr/>
        <w:t>25.2</w:t>
      </w:r>
      <w:r>
        <w:rPr>
          <w:spacing w:val="1"/>
        </w:rPr>
        <w:t> </w:t>
      </w:r>
      <w:r>
        <w:rPr/>
        <w:t>m</w:t>
      </w:r>
      <w:r>
        <w:rPr>
          <w:spacing w:val="1"/>
        </w:rPr>
        <w:t> </w:t>
      </w:r>
      <w:r>
        <w:rPr/>
        <w:t>respectively.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weathered/fractured</w:t>
      </w:r>
      <w:r>
        <w:rPr>
          <w:spacing w:val="1"/>
        </w:rPr>
        <w:t> </w:t>
      </w:r>
      <w:r>
        <w:rPr/>
        <w:t>column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cretaceous</w:t>
      </w:r>
      <w:r>
        <w:rPr>
          <w:spacing w:val="1"/>
        </w:rPr>
        <w:t> </w:t>
      </w:r>
      <w:r>
        <w:rPr/>
        <w:t>sediments</w:t>
      </w:r>
      <w:r>
        <w:rPr>
          <w:spacing w:val="1"/>
        </w:rPr>
        <w:t> </w:t>
      </w:r>
      <w:r>
        <w:rPr/>
        <w:t>constituted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dominant</w:t>
      </w:r>
      <w:r>
        <w:rPr>
          <w:spacing w:val="2"/>
        </w:rPr>
        <w:t> </w:t>
      </w:r>
      <w:r>
        <w:rPr/>
        <w:t>water</w:t>
      </w:r>
      <w:r>
        <w:rPr>
          <w:spacing w:val="-3"/>
        </w:rPr>
        <w:t> </w:t>
      </w:r>
      <w:r>
        <w:rPr/>
        <w:t>saturated</w:t>
      </w:r>
      <w:r>
        <w:rPr>
          <w:spacing w:val="1"/>
        </w:rPr>
        <w:t> </w:t>
      </w:r>
      <w:r>
        <w:rPr/>
        <w:t>unit.  Resistivity</w:t>
      </w:r>
      <w:r>
        <w:rPr>
          <w:spacing w:val="-7"/>
        </w:rPr>
        <w:t> </w:t>
      </w:r>
      <w:r>
        <w:rPr/>
        <w:t>and thickness thresholds</w:t>
      </w:r>
      <w:r>
        <w:rPr>
          <w:spacing w:val="6"/>
        </w:rPr>
        <w:t> </w:t>
      </w:r>
      <w:r>
        <w:rPr/>
        <w:t>of</w:t>
      </w:r>
      <w:r>
        <w:rPr>
          <w:spacing w:val="-1"/>
        </w:rPr>
        <w:t> </w:t>
      </w:r>
      <w:r>
        <w:rPr/>
        <w:t>37</w:t>
      </w:r>
    </w:p>
    <w:p>
      <w:pPr>
        <w:pStyle w:val="BodyText"/>
        <w:spacing w:line="480" w:lineRule="auto"/>
        <w:ind w:left="307" w:right="429"/>
        <w:jc w:val="both"/>
      </w:pPr>
      <w:r>
        <w:rPr/>
        <w:t>– 511 Ωm and 1.9 - 19.8 m are suggestive of a significant proportion of clay and sand in</w:t>
      </w:r>
      <w:r>
        <w:rPr>
          <w:spacing w:val="-57"/>
        </w:rPr>
        <w:t> </w:t>
      </w:r>
      <w:r>
        <w:rPr/>
        <w:t>the</w:t>
      </w:r>
      <w:r>
        <w:rPr>
          <w:spacing w:val="1"/>
        </w:rPr>
        <w:t> </w:t>
      </w:r>
      <w:r>
        <w:rPr/>
        <w:t>soil</w:t>
      </w:r>
      <w:r>
        <w:rPr>
          <w:spacing w:val="1"/>
        </w:rPr>
        <w:t> </w:t>
      </w:r>
      <w:r>
        <w:rPr/>
        <w:t>identified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Idanre,</w:t>
      </w:r>
      <w:r>
        <w:rPr>
          <w:spacing w:val="1"/>
        </w:rPr>
        <w:t> </w:t>
      </w:r>
      <w:r>
        <w:rPr/>
        <w:t>Oda-Akure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Ondo</w:t>
      </w:r>
      <w:r>
        <w:rPr>
          <w:spacing w:val="1"/>
        </w:rPr>
        <w:t> </w:t>
      </w:r>
      <w:r>
        <w:rPr/>
        <w:t>farm</w:t>
      </w:r>
      <w:r>
        <w:rPr>
          <w:spacing w:val="1"/>
        </w:rPr>
        <w:t> </w:t>
      </w:r>
      <w:r>
        <w:rPr/>
        <w:t>sites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usually</w:t>
      </w:r>
      <w:r>
        <w:rPr>
          <w:spacing w:val="1"/>
        </w:rPr>
        <w:t> </w:t>
      </w:r>
      <w:r>
        <w:rPr/>
        <w:t>gave</w:t>
      </w:r>
      <w:r>
        <w:rPr>
          <w:spacing w:val="1"/>
        </w:rPr>
        <w:t> </w:t>
      </w:r>
      <w:r>
        <w:rPr/>
        <w:t>optimum yields. However, other farm sites as Arimogija, Ikpemen and Ago Panu in</w:t>
      </w:r>
      <w:r>
        <w:rPr>
          <w:spacing w:val="1"/>
        </w:rPr>
        <w:t> </w:t>
      </w:r>
      <w:r>
        <w:rPr/>
        <w:t>Owo, Ibulesoro-Akure and Ile-Oluji soil profiles graded into more sandy soils with</w:t>
      </w:r>
      <w:r>
        <w:rPr>
          <w:spacing w:val="1"/>
        </w:rPr>
        <w:t> </w:t>
      </w:r>
      <w:r>
        <w:rPr/>
        <w:t>resistivity and thickness/depth thresholds of the topsoil and weathered layers between</w:t>
      </w:r>
      <w:r>
        <w:rPr>
          <w:spacing w:val="1"/>
        </w:rPr>
        <w:t> </w:t>
      </w:r>
      <w:r>
        <w:rPr/>
        <w:t>126 – 2306 Ωm and 5.3 – 35.2 m respectively. It was concluded that the relatively thick</w:t>
      </w:r>
      <w:r>
        <w:rPr>
          <w:spacing w:val="1"/>
        </w:rPr>
        <w:t> </w:t>
      </w:r>
      <w:r>
        <w:rPr/>
        <w:t>column of the weather able products of the gray gneiss/charnockitic rocks as sandy</w:t>
      </w:r>
      <w:r>
        <w:rPr>
          <w:spacing w:val="1"/>
        </w:rPr>
        <w:t> </w:t>
      </w:r>
      <w:r>
        <w:rPr/>
        <w:t>clay/clayey</w:t>
      </w:r>
      <w:r>
        <w:rPr>
          <w:spacing w:val="1"/>
        </w:rPr>
        <w:t> </w:t>
      </w:r>
      <w:r>
        <w:rPr/>
        <w:t>sand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upper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layers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remained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underlying</w:t>
      </w:r>
      <w:r>
        <w:rPr>
          <w:spacing w:val="-2"/>
        </w:rPr>
        <w:t> </w:t>
      </w:r>
      <w:r>
        <w:rPr/>
        <w:t>geologic</w:t>
      </w:r>
      <w:r>
        <w:rPr>
          <w:spacing w:val="-1"/>
        </w:rPr>
        <w:t> </w:t>
      </w:r>
      <w:r>
        <w:rPr/>
        <w:t>units for</w:t>
      </w:r>
      <w:r>
        <w:rPr>
          <w:spacing w:val="-2"/>
        </w:rPr>
        <w:t> </w:t>
      </w:r>
      <w:r>
        <w:rPr/>
        <w:t>optimal growth of</w:t>
      </w:r>
      <w:r>
        <w:rPr>
          <w:spacing w:val="-2"/>
        </w:rPr>
        <w:t> </w:t>
      </w:r>
      <w:r>
        <w:rPr/>
        <w:t>cocoa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state.</w:t>
      </w:r>
    </w:p>
    <w:p>
      <w:pPr>
        <w:pStyle w:val="BodyText"/>
        <w:spacing w:line="480" w:lineRule="auto" w:before="1"/>
        <w:ind w:left="307" w:right="433"/>
        <w:jc w:val="both"/>
      </w:pPr>
      <w:r>
        <w:rPr/>
        <w:t>Adeniji </w:t>
      </w:r>
      <w:r>
        <w:rPr>
          <w:i/>
        </w:rPr>
        <w:t>et al., </w:t>
      </w:r>
      <w:r>
        <w:rPr/>
        <w:t>(2014) worked on evaluation of soil corrosivity and aquifer protective</w:t>
      </w:r>
      <w:r>
        <w:rPr>
          <w:spacing w:val="1"/>
        </w:rPr>
        <w:t> </w:t>
      </w:r>
      <w:r>
        <w:rPr/>
        <w:t>capacity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geo-electrical</w:t>
      </w:r>
      <w:r>
        <w:rPr>
          <w:spacing w:val="1"/>
        </w:rPr>
        <w:t> </w:t>
      </w:r>
      <w:r>
        <w:rPr/>
        <w:t>investigation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Bwari,</w:t>
      </w:r>
      <w:r>
        <w:rPr>
          <w:spacing w:val="1"/>
        </w:rPr>
        <w:t> </w:t>
      </w:r>
      <w:r>
        <w:rPr/>
        <w:t>Abuja.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20</w:t>
      </w:r>
      <w:r>
        <w:rPr>
          <w:spacing w:val="1"/>
        </w:rPr>
        <w:t> </w:t>
      </w:r>
      <w:r>
        <w:rPr/>
        <w:t>vertical</w:t>
      </w:r>
      <w:r>
        <w:rPr>
          <w:spacing w:val="1"/>
        </w:rPr>
        <w:t> </w:t>
      </w:r>
      <w:r>
        <w:rPr/>
        <w:t>electrical soundings using schlumberger electrode array with a maximum of half current</w:t>
      </w:r>
      <w:r>
        <w:rPr>
          <w:spacing w:val="-57"/>
        </w:rPr>
        <w:t> </w:t>
      </w:r>
      <w:r>
        <w:rPr/>
        <w:t>electrodes</w:t>
      </w:r>
      <w:r>
        <w:rPr>
          <w:spacing w:val="1"/>
        </w:rPr>
        <w:t> </w:t>
      </w:r>
      <w:r>
        <w:rPr/>
        <w:t>separation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300</w:t>
      </w:r>
      <w:r>
        <w:rPr>
          <w:spacing w:val="1"/>
        </w:rPr>
        <w:t> </w:t>
      </w:r>
      <w:r>
        <w:rPr/>
        <w:t>m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employed.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show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area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characterized by</w:t>
      </w:r>
      <w:r>
        <w:rPr>
          <w:spacing w:val="-7"/>
        </w:rPr>
        <w:t> </w:t>
      </w:r>
      <w:r>
        <w:rPr/>
        <w:t>3</w:t>
      </w:r>
      <w:r>
        <w:rPr>
          <w:spacing w:val="3"/>
        </w:rPr>
        <w:t> </w:t>
      </w:r>
      <w:r>
        <w:rPr/>
        <w:t>- 5</w:t>
      </w:r>
      <w:r>
        <w:rPr>
          <w:spacing w:val="3"/>
        </w:rPr>
        <w:t> </w:t>
      </w:r>
      <w:r>
        <w:rPr/>
        <w:t>geoelectric subsurface</w:t>
      </w:r>
      <w:r>
        <w:rPr>
          <w:spacing w:val="-1"/>
        </w:rPr>
        <w:t> </w:t>
      </w:r>
      <w:r>
        <w:rPr/>
        <w:t>layers.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measured</w:t>
      </w:r>
      <w:r>
        <w:rPr>
          <w:spacing w:val="1"/>
        </w:rPr>
        <w:t> </w:t>
      </w:r>
      <w:r>
        <w:rPr/>
        <w:t>overburden</w:t>
      </w:r>
      <w:r>
        <w:rPr>
          <w:spacing w:val="1"/>
        </w:rPr>
        <w:t> </w:t>
      </w:r>
      <w:r>
        <w:rPr/>
        <w:t>thickness</w:t>
      </w:r>
    </w:p>
    <w:p>
      <w:pPr>
        <w:spacing w:after="0" w:line="480" w:lineRule="auto"/>
        <w:jc w:val="both"/>
        <w:sectPr>
          <w:pgSz w:w="11910" w:h="16840"/>
          <w:pgMar w:header="0" w:footer="1067" w:top="1320" w:bottom="1260" w:left="1680" w:right="980"/>
        </w:sectPr>
      </w:pPr>
    </w:p>
    <w:p>
      <w:pPr>
        <w:pStyle w:val="BodyText"/>
        <w:spacing w:line="480" w:lineRule="auto" w:before="64"/>
        <w:ind w:left="307" w:right="425"/>
        <w:jc w:val="both"/>
      </w:pPr>
      <w:r>
        <w:rPr/>
        <w:t>ranges from 1.0 to 24.3 m, with a mean value of 7.4 m. The resistivity and longitudinal</w:t>
      </w:r>
      <w:r>
        <w:rPr>
          <w:spacing w:val="1"/>
        </w:rPr>
        <w:t> </w:t>
      </w:r>
      <w:r>
        <w:rPr/>
        <w:t>conductance of the overburden units range from 18 to 11,908 Ωm and 0.047 to 0.875</w:t>
      </w:r>
      <w:r>
        <w:rPr>
          <w:spacing w:val="1"/>
        </w:rPr>
        <w:t> </w:t>
      </w:r>
      <w:r>
        <w:rPr/>
        <w:t>mhos, respectively. Areas considered as high corrosivity are the central part with </w:t>
      </w:r>
      <w:r>
        <w:rPr>
          <w:rFonts w:ascii="Cambria Math" w:hAnsi="Cambria Math" w:eastAsia="Cambria Math"/>
        </w:rPr>
        <w:t>𝜌</w:t>
      </w:r>
      <w:r>
        <w:rPr/>
        <w:t>&lt;180</w:t>
      </w:r>
      <w:r>
        <w:rPr>
          <w:spacing w:val="1"/>
        </w:rPr>
        <w:t> </w:t>
      </w:r>
      <w:r>
        <w:rPr/>
        <w:t>Ωm. The characteristic longitudinal unit conductance was used to classify the area into</w:t>
      </w:r>
      <w:r>
        <w:rPr>
          <w:spacing w:val="1"/>
        </w:rPr>
        <w:t> </w:t>
      </w:r>
      <w:r>
        <w:rPr/>
        <w:t>zones of good (0.7 - 4.49 mhos), moderate (0.2 - 0.69 mhos), weak (0.1 - 0.19 hs), and</w:t>
      </w:r>
      <w:r>
        <w:rPr>
          <w:spacing w:val="1"/>
        </w:rPr>
        <w:t> </w:t>
      </w:r>
      <w:r>
        <w:rPr/>
        <w:t>poor (&lt;0.1) aquifer protective capacity. Zones characterised by materials of moderate to</w:t>
      </w:r>
      <w:r>
        <w:rPr>
          <w:spacing w:val="1"/>
        </w:rPr>
        <w:t> </w:t>
      </w:r>
      <w:r>
        <w:rPr/>
        <w:t>good protective capacity serve as sealing potential for the underlying hydrogeological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area.</w:t>
      </w:r>
      <w:r>
        <w:rPr>
          <w:spacing w:val="1"/>
        </w:rPr>
        <w:t> </w:t>
      </w:r>
      <w:r>
        <w:rPr/>
        <w:t>Surface</w:t>
      </w:r>
      <w:r>
        <w:rPr>
          <w:spacing w:val="1"/>
        </w:rPr>
        <w:t> </w:t>
      </w:r>
      <w:r>
        <w:rPr/>
        <w:t>geo-electrical</w:t>
      </w:r>
      <w:r>
        <w:rPr>
          <w:spacing w:val="1"/>
        </w:rPr>
        <w:t> </w:t>
      </w:r>
      <w:r>
        <w:rPr/>
        <w:t>investigation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applied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environmental study of Bwari basement complex area and the result also revealed the</w:t>
      </w:r>
      <w:r>
        <w:rPr>
          <w:spacing w:val="1"/>
        </w:rPr>
        <w:t> </w:t>
      </w:r>
      <w:r>
        <w:rPr/>
        <w:t>efficiency of electrical resistivity survey in delineating different zones of soil corrosivity</w:t>
      </w:r>
      <w:r>
        <w:rPr>
          <w:spacing w:val="-57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topsoil units and the</w:t>
      </w:r>
      <w:r>
        <w:rPr>
          <w:spacing w:val="-1"/>
        </w:rPr>
        <w:t> </w:t>
      </w:r>
      <w:r>
        <w:rPr/>
        <w:t>aquifer</w:t>
      </w:r>
      <w:r>
        <w:rPr>
          <w:spacing w:val="-1"/>
        </w:rPr>
        <w:t> </w:t>
      </w:r>
      <w:r>
        <w:rPr/>
        <w:t>protective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</w:t>
      </w:r>
      <w:r>
        <w:rPr/>
        <w:t>overburden units.</w:t>
      </w:r>
    </w:p>
    <w:p>
      <w:pPr>
        <w:pStyle w:val="BodyText"/>
        <w:spacing w:line="480" w:lineRule="auto" w:before="1"/>
        <w:ind w:left="307" w:right="431"/>
        <w:jc w:val="both"/>
      </w:pPr>
      <w:r>
        <w:rPr/>
        <w:t>Mohammed et </w:t>
      </w:r>
      <w:r>
        <w:rPr>
          <w:i/>
        </w:rPr>
        <w:t>al., </w:t>
      </w:r>
      <w:r>
        <w:rPr/>
        <w:t>(2014) used applied geo-electrical data to demarcate groundwater</w:t>
      </w:r>
      <w:r>
        <w:rPr>
          <w:spacing w:val="1"/>
        </w:rPr>
        <w:t> </w:t>
      </w:r>
      <w:r>
        <w:rPr/>
        <w:t>pocket</w:t>
      </w:r>
      <w:r>
        <w:rPr>
          <w:spacing w:val="1"/>
        </w:rPr>
        <w:t> </w:t>
      </w:r>
      <w:r>
        <w:rPr/>
        <w:t>zones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Kaltungo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environs,</w:t>
      </w:r>
      <w:r>
        <w:rPr>
          <w:spacing w:val="1"/>
        </w:rPr>
        <w:t> </w:t>
      </w:r>
      <w:r>
        <w:rPr/>
        <w:t>north</w:t>
      </w:r>
      <w:r>
        <w:rPr>
          <w:spacing w:val="1"/>
        </w:rPr>
        <w:t> </w:t>
      </w:r>
      <w:r>
        <w:rPr/>
        <w:t>eastern</w:t>
      </w:r>
      <w:r>
        <w:rPr>
          <w:spacing w:val="1"/>
        </w:rPr>
        <w:t> </w:t>
      </w:r>
      <w:r>
        <w:rPr/>
        <w:t>Nigeria.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 revealed</w:t>
      </w:r>
      <w:r>
        <w:rPr>
          <w:spacing w:val="1"/>
        </w:rPr>
        <w:t> </w:t>
      </w:r>
      <w:r>
        <w:rPr/>
        <w:t>Kaltungo town and its environ as basement area with reasonable weathered formation</w:t>
      </w:r>
      <w:r>
        <w:rPr>
          <w:spacing w:val="1"/>
        </w:rPr>
        <w:t> </w:t>
      </w:r>
      <w:r>
        <w:rPr/>
        <w:t>ranging from a total depth of 18.1 m to 54.7 m which makes it possible to demarcate</w:t>
      </w:r>
      <w:r>
        <w:rPr>
          <w:spacing w:val="1"/>
        </w:rPr>
        <w:t> </w:t>
      </w:r>
      <w:r>
        <w:rPr/>
        <w:t>thick soil pockets followed by a considerable thickness of aquifers as recharge pockets.</w:t>
      </w:r>
      <w:r>
        <w:rPr>
          <w:spacing w:val="1"/>
        </w:rPr>
        <w:t> </w:t>
      </w:r>
      <w:r>
        <w:rPr/>
        <w:t>Interpretation of the VES, Iso-resistivity maps and profiles identified some conductive</w:t>
      </w:r>
      <w:r>
        <w:rPr>
          <w:spacing w:val="1"/>
        </w:rPr>
        <w:t> </w:t>
      </w:r>
      <w:r>
        <w:rPr/>
        <w:t>zones</w:t>
      </w:r>
      <w:r>
        <w:rPr>
          <w:spacing w:val="-1"/>
        </w:rPr>
        <w:t> </w:t>
      </w:r>
      <w:r>
        <w:rPr/>
        <w:t>which were considered</w:t>
      </w:r>
      <w:r>
        <w:rPr>
          <w:spacing w:val="-1"/>
        </w:rPr>
        <w:t> </w:t>
      </w:r>
      <w:r>
        <w:rPr/>
        <w:t>as priority</w:t>
      </w:r>
      <w:r>
        <w:rPr>
          <w:spacing w:val="-3"/>
        </w:rPr>
        <w:t> </w:t>
      </w:r>
      <w:r>
        <w:rPr/>
        <w:t>areas</w:t>
      </w:r>
      <w:r>
        <w:rPr>
          <w:spacing w:val="-1"/>
        </w:rPr>
        <w:t> </w:t>
      </w:r>
      <w:r>
        <w:rPr/>
        <w:t>for groundwater exploration.</w:t>
      </w:r>
    </w:p>
    <w:p>
      <w:pPr>
        <w:pStyle w:val="BodyText"/>
        <w:spacing w:line="480" w:lineRule="auto" w:before="1"/>
        <w:ind w:left="307" w:right="429"/>
        <w:jc w:val="both"/>
      </w:pPr>
      <w:r>
        <w:rPr/>
        <w:t>Tsepav</w:t>
      </w:r>
      <w:r>
        <w:rPr>
          <w:i/>
        </w:rPr>
        <w:t>etal.,</w:t>
      </w:r>
      <w:r>
        <w:rPr/>
        <w:t>(2015)</w:t>
      </w:r>
      <w:r>
        <w:rPr>
          <w:spacing w:val="1"/>
        </w:rPr>
        <w:t> </w:t>
      </w:r>
      <w:r>
        <w:rPr/>
        <w:t>carried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evaluation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Aquifer</w:t>
      </w:r>
      <w:r>
        <w:rPr>
          <w:spacing w:val="1"/>
        </w:rPr>
        <w:t> </w:t>
      </w:r>
      <w:r>
        <w:rPr/>
        <w:t>Protective</w:t>
      </w:r>
      <w:r>
        <w:rPr>
          <w:spacing w:val="1"/>
        </w:rPr>
        <w:t> </w:t>
      </w:r>
      <w:r>
        <w:rPr/>
        <w:t>Capacity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Soil</w:t>
      </w:r>
      <w:r>
        <w:rPr>
          <w:spacing w:val="1"/>
        </w:rPr>
        <w:t> </w:t>
      </w:r>
      <w:r>
        <w:rPr/>
        <w:t>Corrosivity Using Geoelectrical Method. A geoelectric survey was carried out in some</w:t>
      </w:r>
      <w:r>
        <w:rPr>
          <w:spacing w:val="1"/>
        </w:rPr>
        <w:t> </w:t>
      </w:r>
      <w:r>
        <w:rPr/>
        <w:t>parts of AngwanGwari, an outskirt of Lapai Local Government Area on Niger State</w:t>
      </w:r>
      <w:r>
        <w:rPr>
          <w:spacing w:val="1"/>
        </w:rPr>
        <w:t> </w:t>
      </w:r>
      <w:r>
        <w:rPr/>
        <w:t>which belongs to the Nigerian Basement Complex, with the aim of evaluating the soil</w:t>
      </w:r>
      <w:r>
        <w:rPr>
          <w:spacing w:val="1"/>
        </w:rPr>
        <w:t> </w:t>
      </w:r>
      <w:r>
        <w:rPr/>
        <w:t>corrosivity,</w:t>
      </w:r>
      <w:r>
        <w:rPr>
          <w:spacing w:val="1"/>
        </w:rPr>
        <w:t> </w:t>
      </w:r>
      <w:r>
        <w:rPr/>
        <w:t>aquifer</w:t>
      </w:r>
      <w:r>
        <w:rPr>
          <w:spacing w:val="1"/>
        </w:rPr>
        <w:t> </w:t>
      </w:r>
      <w:r>
        <w:rPr/>
        <w:t>transmissivity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protective</w:t>
      </w:r>
      <w:r>
        <w:rPr>
          <w:spacing w:val="1"/>
        </w:rPr>
        <w:t> </w:t>
      </w:r>
      <w:r>
        <w:rPr/>
        <w:t>capacity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area</w:t>
      </w:r>
      <w:r>
        <w:rPr>
          <w:spacing w:val="1"/>
        </w:rPr>
        <w:t> </w:t>
      </w:r>
      <w:r>
        <w:rPr/>
        <w:t>from</w:t>
      </w:r>
      <w:r>
        <w:rPr>
          <w:spacing w:val="60"/>
        </w:rPr>
        <w:t> </w:t>
      </w:r>
      <w:r>
        <w:rPr/>
        <w:t>which</w:t>
      </w:r>
      <w:r>
        <w:rPr>
          <w:spacing w:val="1"/>
        </w:rPr>
        <w:t> </w:t>
      </w:r>
      <w:r>
        <w:rPr/>
        <w:t>aquifer characterisation</w:t>
      </w:r>
      <w:r>
        <w:rPr>
          <w:spacing w:val="60"/>
        </w:rPr>
        <w:t> </w:t>
      </w:r>
      <w:r>
        <w:rPr/>
        <w:t>was made. The results show generally low resistivities across</w:t>
      </w:r>
      <w:r>
        <w:rPr>
          <w:spacing w:val="1"/>
        </w:rPr>
        <w:t> </w:t>
      </w:r>
      <w:r>
        <w:rPr/>
        <w:t>the</w:t>
      </w:r>
      <w:r>
        <w:rPr>
          <w:spacing w:val="3"/>
        </w:rPr>
        <w:t> </w:t>
      </w:r>
      <w:r>
        <w:rPr/>
        <w:t>survey</w:t>
      </w:r>
      <w:r>
        <w:rPr>
          <w:spacing w:val="1"/>
        </w:rPr>
        <w:t> </w:t>
      </w:r>
      <w:r>
        <w:rPr/>
        <w:t>area</w:t>
      </w:r>
      <w:r>
        <w:rPr>
          <w:spacing w:val="2"/>
        </w:rPr>
        <w:t> </w:t>
      </w:r>
      <w:r>
        <w:rPr/>
        <w:t>and</w:t>
      </w:r>
      <w:r>
        <w:rPr>
          <w:spacing w:val="3"/>
        </w:rPr>
        <w:t> </w:t>
      </w:r>
      <w:r>
        <w:rPr/>
        <w:t>an</w:t>
      </w:r>
      <w:r>
        <w:rPr>
          <w:spacing w:val="3"/>
        </w:rPr>
        <w:t> </w:t>
      </w:r>
      <w:r>
        <w:rPr/>
        <w:t>average</w:t>
      </w:r>
      <w:r>
        <w:rPr>
          <w:spacing w:val="2"/>
        </w:rPr>
        <w:t> </w:t>
      </w:r>
      <w:r>
        <w:rPr/>
        <w:t>longitudinal</w:t>
      </w:r>
      <w:r>
        <w:rPr>
          <w:spacing w:val="3"/>
        </w:rPr>
        <w:t> </w:t>
      </w:r>
      <w:r>
        <w:rPr/>
        <w:t>conductance</w:t>
      </w:r>
      <w:r>
        <w:rPr>
          <w:spacing w:val="2"/>
        </w:rPr>
        <w:t> </w:t>
      </w:r>
      <w:r>
        <w:rPr/>
        <w:t>variation</w:t>
      </w:r>
      <w:r>
        <w:rPr>
          <w:spacing w:val="3"/>
        </w:rPr>
        <w:t> </w:t>
      </w:r>
      <w:r>
        <w:rPr/>
        <w:t>from</w:t>
      </w:r>
      <w:r>
        <w:rPr>
          <w:spacing w:val="4"/>
        </w:rPr>
        <w:t> </w:t>
      </w:r>
      <w:r>
        <w:rPr/>
        <w:t>0.0237</w:t>
      </w:r>
      <w:r>
        <w:rPr>
          <w:spacing w:val="3"/>
        </w:rPr>
        <w:t> </w:t>
      </w:r>
      <w:r>
        <w:rPr/>
        <w:t>Siemens</w:t>
      </w:r>
    </w:p>
    <w:p>
      <w:pPr>
        <w:spacing w:after="0" w:line="480" w:lineRule="auto"/>
        <w:jc w:val="both"/>
        <w:sectPr>
          <w:pgSz w:w="11910" w:h="16840"/>
          <w:pgMar w:header="0" w:footer="1067" w:top="1320" w:bottom="1260" w:left="1680" w:right="980"/>
        </w:sectPr>
      </w:pPr>
    </w:p>
    <w:p>
      <w:pPr>
        <w:pStyle w:val="BodyText"/>
        <w:spacing w:line="480" w:lineRule="auto" w:before="64"/>
        <w:ind w:left="307" w:right="426"/>
        <w:jc w:val="both"/>
      </w:pPr>
      <w:r>
        <w:rPr/>
        <w:t>in VES 6 to 0.1261 Siemens in VES 15 with almost the entire area giving values less</w:t>
      </w:r>
      <w:r>
        <w:rPr>
          <w:spacing w:val="1"/>
        </w:rPr>
        <w:t> </w:t>
      </w:r>
      <w:r>
        <w:rPr/>
        <w:t>than 1.0 Siemens. The average transmissivity values range from 96.45 </w:t>
      </w:r>
      <w:r>
        <w:rPr>
          <w:rFonts w:ascii="Cambria Math" w:hAnsi="Cambria Math" w:eastAsia="Cambria Math"/>
        </w:rPr>
        <w:t>Ω𝑚</w:t>
      </w:r>
      <w:r>
        <w:rPr>
          <w:rFonts w:ascii="Cambria Math" w:hAnsi="Cambria Math" w:eastAsia="Cambria Math"/>
          <w:vertAlign w:val="superscript"/>
        </w:rPr>
        <w:t>2</w:t>
      </w:r>
      <w:r>
        <w:rPr>
          <w:rFonts w:ascii="Cambria Math" w:hAnsi="Cambria Math" w:eastAsia="Cambria Math"/>
          <w:vertAlign w:val="baseline"/>
        </w:rPr>
        <w:t> </w:t>
      </w:r>
      <w:r>
        <w:rPr>
          <w:vertAlign w:val="baseline"/>
        </w:rPr>
        <w:t>in VES 4 to</w:t>
      </w:r>
      <w:r>
        <w:rPr>
          <w:spacing w:val="1"/>
          <w:vertAlign w:val="baseline"/>
        </w:rPr>
        <w:t> </w:t>
      </w:r>
      <w:r>
        <w:rPr>
          <w:vertAlign w:val="baseline"/>
        </w:rPr>
        <w:t>299070 </w:t>
      </w:r>
      <w:r>
        <w:rPr>
          <w:rFonts w:ascii="Cambria Math" w:hAnsi="Cambria Math" w:eastAsia="Cambria Math"/>
          <w:vertAlign w:val="baseline"/>
        </w:rPr>
        <w:t>Ω𝑚</w:t>
      </w:r>
      <w:r>
        <w:rPr>
          <w:rFonts w:ascii="Cambria Math" w:hAnsi="Cambria Math" w:eastAsia="Cambria Math"/>
          <w:vertAlign w:val="superscript"/>
        </w:rPr>
        <w:t>2</w:t>
      </w:r>
      <w:r>
        <w:rPr>
          <w:rFonts w:ascii="Cambria Math" w:hAnsi="Cambria Math" w:eastAsia="Cambria Math"/>
          <w:vertAlign w:val="baseline"/>
        </w:rPr>
        <w:t> </w:t>
      </w:r>
      <w:r>
        <w:rPr>
          <w:vertAlign w:val="baseline"/>
        </w:rPr>
        <w:t>in VES 1. All but VES 4 and VES 14 had an average overburden greater</w:t>
      </w:r>
      <w:r>
        <w:rPr>
          <w:spacing w:val="1"/>
          <w:vertAlign w:val="baseline"/>
        </w:rPr>
        <w:t> </w:t>
      </w:r>
      <w:r>
        <w:rPr>
          <w:vertAlign w:val="baseline"/>
        </w:rPr>
        <w:t>than 400</w:t>
      </w:r>
      <w:r>
        <w:rPr>
          <w:rFonts w:ascii="Cambria Math" w:hAnsi="Cambria Math" w:eastAsia="Cambria Math"/>
          <w:vertAlign w:val="baseline"/>
        </w:rPr>
        <w:t>Ω𝑚</w:t>
      </w:r>
      <w:r>
        <w:rPr>
          <w:rFonts w:ascii="Cambria Math" w:hAnsi="Cambria Math" w:eastAsia="Cambria Math"/>
          <w:vertAlign w:val="superscript"/>
        </w:rPr>
        <w:t>2</w:t>
      </w:r>
      <w:r>
        <w:rPr>
          <w:vertAlign w:val="baseline"/>
        </w:rPr>
        <w:t>, these results</w:t>
      </w:r>
      <w:r>
        <w:rPr>
          <w:spacing w:val="1"/>
          <w:vertAlign w:val="baseline"/>
        </w:rPr>
        <w:t> </w:t>
      </w:r>
      <w:r>
        <w:rPr>
          <w:vertAlign w:val="baseline"/>
        </w:rPr>
        <w:t>suggest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aquifers</w:t>
      </w:r>
      <w:r>
        <w:rPr>
          <w:spacing w:val="1"/>
          <w:vertAlign w:val="baseline"/>
        </w:rPr>
        <w:t> </w:t>
      </w:r>
      <w:r>
        <w:rPr>
          <w:vertAlign w:val="baseline"/>
        </w:rPr>
        <w:t>are highly permeable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fluid</w:t>
      </w:r>
      <w:r>
        <w:rPr>
          <w:spacing w:val="1"/>
          <w:vertAlign w:val="baseline"/>
        </w:rPr>
        <w:t> </w:t>
      </w:r>
      <w:r>
        <w:rPr>
          <w:vertAlign w:val="baseline"/>
        </w:rPr>
        <w:t>movement within, leading to the possibility of enhanced migration and circulation of</w:t>
      </w:r>
      <w:r>
        <w:rPr>
          <w:spacing w:val="1"/>
          <w:vertAlign w:val="baseline"/>
        </w:rPr>
        <w:t> </w:t>
      </w:r>
      <w:r>
        <w:rPr>
          <w:vertAlign w:val="baseline"/>
        </w:rPr>
        <w:t>contaminants in the groundwater</w:t>
      </w:r>
      <w:r>
        <w:rPr>
          <w:spacing w:val="-1"/>
          <w:vertAlign w:val="baseline"/>
        </w:rPr>
        <w:t> </w:t>
      </w:r>
      <w:r>
        <w:rPr>
          <w:vertAlign w:val="baseline"/>
        </w:rPr>
        <w:t>system and that the</w:t>
      </w:r>
      <w:r>
        <w:rPr>
          <w:spacing w:val="-1"/>
          <w:vertAlign w:val="baseline"/>
        </w:rPr>
        <w:t> </w:t>
      </w:r>
      <w:r>
        <w:rPr>
          <w:vertAlign w:val="baseline"/>
        </w:rPr>
        <w:t>area</w:t>
      </w:r>
      <w:r>
        <w:rPr>
          <w:spacing w:val="-1"/>
          <w:vertAlign w:val="baseline"/>
        </w:rPr>
        <w:t> </w:t>
      </w:r>
      <w:r>
        <w:rPr>
          <w:vertAlign w:val="baseline"/>
        </w:rPr>
        <w:t>is</w:t>
      </w:r>
      <w:r>
        <w:rPr>
          <w:spacing w:val="2"/>
          <w:vertAlign w:val="baseline"/>
        </w:rPr>
        <w:t> </w:t>
      </w:r>
      <w:r>
        <w:rPr>
          <w:vertAlign w:val="baseline"/>
        </w:rPr>
        <w:t>generally</w:t>
      </w:r>
      <w:r>
        <w:rPr>
          <w:spacing w:val="-5"/>
          <w:vertAlign w:val="baseline"/>
        </w:rPr>
        <w:t> </w:t>
      </w:r>
      <w:r>
        <w:rPr>
          <w:vertAlign w:val="baseline"/>
        </w:rPr>
        <w:t>corrosive.</w:t>
      </w:r>
    </w:p>
    <w:p>
      <w:pPr>
        <w:pStyle w:val="BodyText"/>
        <w:spacing w:line="480" w:lineRule="auto" w:before="7"/>
        <w:ind w:left="307" w:right="427"/>
        <w:jc w:val="both"/>
      </w:pPr>
      <w:r>
        <w:rPr/>
        <w:t>Ekpo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(2016)</w:t>
      </w:r>
      <w:r>
        <w:rPr>
          <w:spacing w:val="1"/>
        </w:rPr>
        <w:t> </w:t>
      </w:r>
      <w:r>
        <w:rPr/>
        <w:t>researched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evaluating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protective</w:t>
      </w:r>
      <w:r>
        <w:rPr>
          <w:spacing w:val="1"/>
        </w:rPr>
        <w:t> </w:t>
      </w:r>
      <w:r>
        <w:rPr/>
        <w:t>capacity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aquifersinUyoAkwaIbom</w:t>
      </w:r>
      <w:r>
        <w:rPr>
          <w:spacing w:val="1"/>
        </w:rPr>
        <w:t> </w:t>
      </w:r>
      <w:r>
        <w:rPr/>
        <w:t>State,</w:t>
      </w:r>
      <w:r>
        <w:rPr>
          <w:spacing w:val="1"/>
        </w:rPr>
        <w:t> </w:t>
      </w:r>
      <w:r>
        <w:rPr/>
        <w:t>Southern</w:t>
      </w:r>
      <w:r>
        <w:rPr>
          <w:spacing w:val="1"/>
        </w:rPr>
        <w:t> </w:t>
      </w:r>
      <w:r>
        <w:rPr/>
        <w:t>Nigeria,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vertical</w:t>
      </w:r>
      <w:r>
        <w:rPr>
          <w:spacing w:val="1"/>
        </w:rPr>
        <w:t> </w:t>
      </w:r>
      <w:r>
        <w:rPr/>
        <w:t>electrical</w:t>
      </w:r>
      <w:r>
        <w:rPr>
          <w:spacing w:val="1"/>
        </w:rPr>
        <w:t> </w:t>
      </w:r>
      <w:r>
        <w:rPr/>
        <w:t>sounding</w:t>
      </w:r>
      <w:r>
        <w:rPr>
          <w:spacing w:val="-57"/>
        </w:rPr>
        <w:t> </w:t>
      </w:r>
      <w:r>
        <w:rPr/>
        <w:t>(VES) techniques which was carried out on 17 VES points at various locations within</w:t>
      </w:r>
      <w:r>
        <w:rPr>
          <w:spacing w:val="1"/>
        </w:rPr>
        <w:t> </w:t>
      </w:r>
      <w:r>
        <w:rPr/>
        <w:t>the study area for evaluating the protective capacity of the aquifer. The VES assess the</w:t>
      </w:r>
      <w:r>
        <w:rPr>
          <w:spacing w:val="1"/>
        </w:rPr>
        <w:t> </w:t>
      </w:r>
      <w:r>
        <w:rPr/>
        <w:t>vulnerability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aquifers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resistivity</w:t>
      </w:r>
      <w:r>
        <w:rPr>
          <w:spacing w:val="1"/>
        </w:rPr>
        <w:t> </w:t>
      </w:r>
      <w:r>
        <w:rPr/>
        <w:t>parameters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uppermost</w:t>
      </w:r>
      <w:r>
        <w:rPr>
          <w:spacing w:val="1"/>
        </w:rPr>
        <w:t> </w:t>
      </w:r>
      <w:r>
        <w:rPr/>
        <w:t>geoelectric</w:t>
      </w:r>
      <w:r>
        <w:rPr>
          <w:spacing w:val="1"/>
        </w:rPr>
        <w:t> </w:t>
      </w:r>
      <w:r>
        <w:rPr/>
        <w:t>materials layer overlying the aquifer. The result of the study shows that the longitudinal</w:t>
      </w:r>
      <w:r>
        <w:rPr>
          <w:spacing w:val="1"/>
        </w:rPr>
        <w:t> </w:t>
      </w:r>
      <w:r>
        <w:rPr/>
        <w:t>unit conductance values obtained from the study area range from 0.003864 to 0.059655</w:t>
      </w:r>
      <w:r>
        <w:rPr>
          <w:spacing w:val="1"/>
        </w:rPr>
        <w:t> </w:t>
      </w:r>
      <w:r>
        <w:rPr/>
        <w:t>mhos. The study revealed that aquifers within the area are susceptible to pollution since</w:t>
      </w:r>
      <w:r>
        <w:rPr>
          <w:spacing w:val="1"/>
        </w:rPr>
        <w:t> </w:t>
      </w:r>
      <w:r>
        <w:rPr/>
        <w:t>the protective capacities of the aquifers are generally poor. The results provided reliable</w:t>
      </w:r>
      <w:r>
        <w:rPr>
          <w:spacing w:val="1"/>
        </w:rPr>
        <w:t> </w:t>
      </w:r>
      <w:r>
        <w:rPr/>
        <w:t>information about the protective capacity of the materials overlying the aquifer units</w:t>
      </w:r>
      <w:r>
        <w:rPr>
          <w:spacing w:val="1"/>
        </w:rPr>
        <w:t> </w:t>
      </w:r>
      <w:r>
        <w:rPr/>
        <w:t>which should be considered</w:t>
      </w:r>
      <w:r>
        <w:rPr>
          <w:spacing w:val="1"/>
        </w:rPr>
        <w:t> </w:t>
      </w:r>
      <w:r>
        <w:rPr/>
        <w:t>for planning, development, siting of prospective water</w:t>
      </w:r>
      <w:r>
        <w:rPr>
          <w:spacing w:val="1"/>
        </w:rPr>
        <w:t> </w:t>
      </w:r>
      <w:r>
        <w:rPr/>
        <w:t>resource</w:t>
      </w:r>
      <w:r>
        <w:rPr>
          <w:spacing w:val="-2"/>
        </w:rPr>
        <w:t> </w:t>
      </w:r>
      <w:r>
        <w:rPr/>
        <w:t>projects, and</w:t>
      </w:r>
      <w:r>
        <w:rPr>
          <w:spacing w:val="-1"/>
        </w:rPr>
        <w:t> </w:t>
      </w:r>
      <w:r>
        <w:rPr/>
        <w:t>serves as a guide</w:t>
      </w:r>
      <w:r>
        <w:rPr>
          <w:spacing w:val="1"/>
        </w:rPr>
        <w:t> </w:t>
      </w:r>
      <w:r>
        <w:rPr/>
        <w:t>for groundwater</w:t>
      </w:r>
      <w:r>
        <w:rPr>
          <w:spacing w:val="-3"/>
        </w:rPr>
        <w:t> </w:t>
      </w:r>
      <w:r>
        <w:rPr/>
        <w:t>pollution control.</w:t>
      </w:r>
    </w:p>
    <w:p>
      <w:pPr>
        <w:pStyle w:val="BodyText"/>
        <w:spacing w:line="480" w:lineRule="auto" w:before="2"/>
        <w:ind w:left="307" w:right="428"/>
        <w:jc w:val="both"/>
      </w:pPr>
      <w:r>
        <w:rPr/>
        <w:t>Abdullahi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(2017)</w:t>
      </w:r>
      <w:r>
        <w:rPr>
          <w:spacing w:val="1"/>
        </w:rPr>
        <w:t> </w:t>
      </w:r>
      <w:r>
        <w:rPr/>
        <w:t>researched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evaluation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soil</w:t>
      </w:r>
      <w:r>
        <w:rPr>
          <w:spacing w:val="1"/>
        </w:rPr>
        <w:t> </w:t>
      </w:r>
      <w:r>
        <w:rPr/>
        <w:t>corrosivity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aquifer</w:t>
      </w:r>
      <w:r>
        <w:rPr>
          <w:spacing w:val="1"/>
        </w:rPr>
        <w:t> </w:t>
      </w:r>
      <w:r>
        <w:rPr/>
        <w:t>protective capacity using secondary geo-electric parameters across Gombe metropolis in</w:t>
      </w:r>
      <w:r>
        <w:rPr>
          <w:spacing w:val="-57"/>
        </w:rPr>
        <w:t> </w:t>
      </w:r>
      <w:r>
        <w:rPr/>
        <w:t>North-eastern</w:t>
      </w:r>
      <w:r>
        <w:rPr>
          <w:spacing w:val="1"/>
        </w:rPr>
        <w:t> </w:t>
      </w:r>
      <w:r>
        <w:rPr/>
        <w:t>Nigeria.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geo-electric</w:t>
      </w:r>
      <w:r>
        <w:rPr>
          <w:spacing w:val="1"/>
        </w:rPr>
        <w:t> </w:t>
      </w:r>
      <w:r>
        <w:rPr/>
        <w:t>survey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carried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parts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Gombe</w:t>
      </w:r>
      <w:r>
        <w:rPr>
          <w:spacing w:val="1"/>
        </w:rPr>
        <w:t> </w:t>
      </w:r>
      <w:r>
        <w:rPr/>
        <w:t>metropolitan area, in the north-eastern part of Nigeria, as a means of evaluating both the</w:t>
      </w:r>
      <w:r>
        <w:rPr>
          <w:spacing w:val="-57"/>
        </w:rPr>
        <w:t> </w:t>
      </w:r>
      <w:r>
        <w:rPr/>
        <w:t>soil corrosivity and aquifer protective capacity. 26 Vertical Electrical Sounding data</w:t>
      </w:r>
      <w:r>
        <w:rPr>
          <w:spacing w:val="1"/>
        </w:rPr>
        <w:t> </w:t>
      </w:r>
      <w:r>
        <w:rPr/>
        <w:t>were collected at the study area with AB/2 of 1–100 m. OhmegaTerrameter was used to</w:t>
      </w:r>
      <w:r>
        <w:rPr>
          <w:spacing w:val="1"/>
        </w:rPr>
        <w:t> </w:t>
      </w:r>
      <w:r>
        <w:rPr/>
        <w:t>generate</w:t>
      </w:r>
      <w:r>
        <w:rPr>
          <w:spacing w:val="22"/>
        </w:rPr>
        <w:t> </w:t>
      </w:r>
      <w:r>
        <w:rPr/>
        <w:t>the</w:t>
      </w:r>
      <w:r>
        <w:rPr>
          <w:spacing w:val="22"/>
        </w:rPr>
        <w:t> </w:t>
      </w:r>
      <w:r>
        <w:rPr/>
        <w:t>data</w:t>
      </w:r>
      <w:r>
        <w:rPr>
          <w:spacing w:val="24"/>
        </w:rPr>
        <w:t> </w:t>
      </w:r>
      <w:r>
        <w:rPr/>
        <w:t>and</w:t>
      </w:r>
      <w:r>
        <w:rPr>
          <w:spacing w:val="22"/>
        </w:rPr>
        <w:t> </w:t>
      </w:r>
      <w:r>
        <w:rPr/>
        <w:t>interpretations</w:t>
      </w:r>
      <w:r>
        <w:rPr>
          <w:spacing w:val="23"/>
        </w:rPr>
        <w:t> </w:t>
      </w:r>
      <w:r>
        <w:rPr/>
        <w:t>were</w:t>
      </w:r>
      <w:r>
        <w:rPr>
          <w:spacing w:val="21"/>
        </w:rPr>
        <w:t> </w:t>
      </w:r>
      <w:r>
        <w:rPr/>
        <w:t>made</w:t>
      </w:r>
      <w:r>
        <w:rPr>
          <w:spacing w:val="25"/>
        </w:rPr>
        <w:t> </w:t>
      </w:r>
      <w:r>
        <w:rPr/>
        <w:t>by</w:t>
      </w:r>
      <w:r>
        <w:rPr>
          <w:spacing w:val="17"/>
        </w:rPr>
        <w:t> </w:t>
      </w:r>
      <w:r>
        <w:rPr/>
        <w:t>WinResist</w:t>
      </w:r>
      <w:r>
        <w:rPr>
          <w:spacing w:val="28"/>
        </w:rPr>
        <w:t> </w:t>
      </w:r>
      <w:r>
        <w:rPr/>
        <w:t>and</w:t>
      </w:r>
      <w:r>
        <w:rPr>
          <w:spacing w:val="22"/>
        </w:rPr>
        <w:t> </w:t>
      </w:r>
      <w:r>
        <w:rPr/>
        <w:t>surfer10</w:t>
      </w:r>
      <w:r>
        <w:rPr>
          <w:spacing w:val="23"/>
        </w:rPr>
        <w:t> </w:t>
      </w:r>
      <w:r>
        <w:rPr/>
        <w:t>programs.</w:t>
      </w:r>
    </w:p>
    <w:p>
      <w:pPr>
        <w:spacing w:after="0" w:line="480" w:lineRule="auto"/>
        <w:jc w:val="both"/>
        <w:sectPr>
          <w:pgSz w:w="11910" w:h="16840"/>
          <w:pgMar w:header="0" w:footer="1067" w:top="1320" w:bottom="1260" w:left="1680" w:right="980"/>
        </w:sectPr>
      </w:pPr>
    </w:p>
    <w:p>
      <w:pPr>
        <w:pStyle w:val="BodyText"/>
        <w:spacing w:line="480" w:lineRule="auto" w:before="64"/>
        <w:ind w:left="307" w:right="424"/>
        <w:jc w:val="both"/>
      </w:pPr>
      <w:r>
        <w:rPr/>
        <w:t>Areas considered as slightly too very strongly corrosive are the north–eastern, central,</w:t>
      </w:r>
      <w:r>
        <w:rPr>
          <w:spacing w:val="1"/>
        </w:rPr>
        <w:t> </w:t>
      </w:r>
      <w:r>
        <w:rPr/>
        <w:t>south–eastern, and eastern parts of the study area with resistivity values less than 180</w:t>
      </w:r>
      <w:r>
        <w:rPr>
          <w:spacing w:val="1"/>
        </w:rPr>
        <w:t> </w:t>
      </w:r>
      <w:r>
        <w:rPr/>
        <w:t>Ωm. The longitudinal conductance values are between 0.2 – 0.79 mhos (sandy clay</w:t>
      </w:r>
      <w:r>
        <w:rPr>
          <w:spacing w:val="1"/>
        </w:rPr>
        <w:t> </w:t>
      </w:r>
      <w:r>
        <w:rPr/>
        <w:t>cover)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0.8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14.8</w:t>
      </w:r>
      <w:r>
        <w:rPr>
          <w:spacing w:val="1"/>
        </w:rPr>
        <w:t> </w:t>
      </w:r>
      <w:r>
        <w:rPr/>
        <w:t>Ωm</w:t>
      </w:r>
      <w:r>
        <w:rPr>
          <w:spacing w:val="1"/>
        </w:rPr>
        <w:t> </w:t>
      </w:r>
      <w:r>
        <w:rPr/>
        <w:t>(clay</w:t>
      </w:r>
      <w:r>
        <w:rPr>
          <w:spacing w:val="1"/>
        </w:rPr>
        <w:t> </w:t>
      </w:r>
      <w:r>
        <w:rPr/>
        <w:t>cover)</w:t>
      </w:r>
      <w:r>
        <w:rPr>
          <w:spacing w:val="1"/>
        </w:rPr>
        <w:t> </w:t>
      </w:r>
      <w:r>
        <w:rPr/>
        <w:t>corresponding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moderate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excellent</w:t>
      </w:r>
      <w:r>
        <w:rPr>
          <w:spacing w:val="1"/>
        </w:rPr>
        <w:t> </w:t>
      </w:r>
      <w:r>
        <w:rPr/>
        <w:t>protective capacity respectively. The western part is practically non–corrosive having</w:t>
      </w:r>
      <w:r>
        <w:rPr>
          <w:spacing w:val="1"/>
        </w:rPr>
        <w:t> </w:t>
      </w:r>
      <w:r>
        <w:rPr/>
        <w:t>resistivity values greater than 180 Ωm. Part of the study area characterised by materials</w:t>
      </w:r>
      <w:r>
        <w:rPr>
          <w:spacing w:val="1"/>
        </w:rPr>
        <w:t> </w:t>
      </w:r>
      <w:r>
        <w:rPr/>
        <w:t>of poor to weak protective capacity has longitudinal conductance values of less than 0.2</w:t>
      </w:r>
      <w:r>
        <w:rPr>
          <w:spacing w:val="1"/>
        </w:rPr>
        <w:t> </w:t>
      </w:r>
      <w:r>
        <w:rPr/>
        <w:t>Ωm. The aquifers are characterized by thick overburden, moderate to good protective</w:t>
      </w:r>
      <w:r>
        <w:rPr>
          <w:spacing w:val="1"/>
        </w:rPr>
        <w:t> </w:t>
      </w:r>
      <w:r>
        <w:rPr/>
        <w:t>capacity and exhibit moderate to relatively high-value coefficients of anisotropy, and a</w:t>
      </w:r>
      <w:r>
        <w:rPr>
          <w:spacing w:val="1"/>
        </w:rPr>
        <w:t> </w:t>
      </w:r>
      <w:r>
        <w:rPr/>
        <w:t>transverse unit resistance which suggests that the materials above the aquifers act as</w:t>
      </w:r>
      <w:r>
        <w:rPr>
          <w:spacing w:val="1"/>
        </w:rPr>
        <w:t> </w:t>
      </w:r>
      <w:r>
        <w:rPr/>
        <w:t>seals.</w:t>
      </w:r>
    </w:p>
    <w:p>
      <w:pPr>
        <w:pStyle w:val="BodyText"/>
        <w:spacing w:line="480" w:lineRule="auto" w:before="2"/>
        <w:ind w:left="307" w:right="428"/>
        <w:jc w:val="both"/>
      </w:pPr>
      <w:r>
        <w:rPr/>
        <w:t>Oyedele </w:t>
      </w:r>
      <w:r>
        <w:rPr>
          <w:i/>
        </w:rPr>
        <w:t>et al.,</w:t>
      </w:r>
      <w:r>
        <w:rPr/>
        <w:t>(2017) carried out research on soil corrosivity and aquifer protective</w:t>
      </w:r>
      <w:r>
        <w:rPr>
          <w:spacing w:val="1"/>
        </w:rPr>
        <w:t> </w:t>
      </w:r>
      <w:r>
        <w:rPr/>
        <w:t>capacity of overburden units in Ado-Ekiti, Southwestern Nigeria. Vertical electrical</w:t>
      </w:r>
      <w:r>
        <w:rPr>
          <w:spacing w:val="1"/>
        </w:rPr>
        <w:t> </w:t>
      </w:r>
      <w:r>
        <w:rPr/>
        <w:t>sounding, well inventory and physicochemical analysis were conducted to evaluate soil</w:t>
      </w:r>
      <w:r>
        <w:rPr>
          <w:spacing w:val="1"/>
        </w:rPr>
        <w:t> </w:t>
      </w:r>
      <w:r>
        <w:rPr/>
        <w:t>corrosivity and aquifer protective capacity of overburden units in the basement complex</w:t>
      </w:r>
      <w:r>
        <w:rPr>
          <w:spacing w:val="-57"/>
        </w:rPr>
        <w:t> </w:t>
      </w:r>
      <w:r>
        <w:rPr/>
        <w:t>terrain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Ado-Ekiti,</w:t>
      </w:r>
      <w:r>
        <w:rPr>
          <w:spacing w:val="1"/>
        </w:rPr>
        <w:t> </w:t>
      </w:r>
      <w:r>
        <w:rPr/>
        <w:t>southwestern</w:t>
      </w:r>
      <w:r>
        <w:rPr>
          <w:spacing w:val="1"/>
        </w:rPr>
        <w:t> </w:t>
      </w:r>
      <w:r>
        <w:rPr/>
        <w:t>Nigeria.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topsoil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composed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slightly</w:t>
      </w:r>
      <w:r>
        <w:rPr>
          <w:spacing w:val="1"/>
        </w:rPr>
        <w:t> </w:t>
      </w:r>
      <w:r>
        <w:rPr/>
        <w:t>corrosive materials at the eastern, southern and north eastern flanks and the central</w:t>
      </w:r>
      <w:r>
        <w:rPr>
          <w:spacing w:val="1"/>
        </w:rPr>
        <w:t> </w:t>
      </w:r>
      <w:r>
        <w:rPr/>
        <w:t>portion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resistivity</w:t>
      </w:r>
      <w:r>
        <w:rPr>
          <w:spacing w:val="1"/>
        </w:rPr>
        <w:t> </w:t>
      </w:r>
      <w:r>
        <w:rPr/>
        <w:t>values</w:t>
      </w:r>
      <w:r>
        <w:rPr>
          <w:spacing w:val="1"/>
        </w:rPr>
        <w:t> </w:t>
      </w:r>
      <w:r>
        <w:rPr/>
        <w:t>ranging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60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180</w:t>
      </w:r>
      <w:r>
        <w:rPr>
          <w:spacing w:val="1"/>
        </w:rPr>
        <w:t> </w:t>
      </w:r>
      <w:r>
        <w:rPr/>
        <w:t>Ωm.</w:t>
      </w:r>
      <w:r>
        <w:rPr>
          <w:spacing w:val="61"/>
        </w:rPr>
        <w:t> </w:t>
      </w:r>
      <w:r>
        <w:rPr/>
        <w:t>Moderately</w:t>
      </w:r>
      <w:r>
        <w:rPr>
          <w:spacing w:val="1"/>
        </w:rPr>
        <w:t> </w:t>
      </w:r>
      <w:r>
        <w:rPr/>
        <w:t>corrosive/slightly</w:t>
      </w:r>
      <w:r>
        <w:rPr>
          <w:spacing w:val="1"/>
        </w:rPr>
        <w:t> </w:t>
      </w:r>
      <w:r>
        <w:rPr/>
        <w:t>corrosive</w:t>
      </w:r>
      <w:r>
        <w:rPr>
          <w:spacing w:val="1"/>
        </w:rPr>
        <w:t> </w:t>
      </w:r>
      <w:r>
        <w:rPr/>
        <w:t>materials</w:t>
      </w:r>
      <w:r>
        <w:rPr>
          <w:spacing w:val="1"/>
        </w:rPr>
        <w:t> </w:t>
      </w:r>
      <w:r>
        <w:rPr/>
        <w:t>(with</w:t>
      </w:r>
      <w:r>
        <w:rPr>
          <w:spacing w:val="1"/>
        </w:rPr>
        <w:t> </w:t>
      </w:r>
      <w:r>
        <w:rPr/>
        <w:t>resistivity</w:t>
      </w:r>
      <w:r>
        <w:rPr>
          <w:spacing w:val="1"/>
        </w:rPr>
        <w:t> </w:t>
      </w:r>
      <w:r>
        <w:rPr/>
        <w:t>values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10</w:t>
      </w:r>
      <w:r>
        <w:rPr>
          <w:spacing w:val="1"/>
        </w:rPr>
        <w:t> </w:t>
      </w:r>
      <w:r>
        <w:rPr/>
        <w:t>&lt;</w:t>
      </w:r>
      <w:r>
        <w:rPr>
          <w:spacing w:val="1"/>
        </w:rPr>
        <w:t> </w:t>
      </w:r>
      <w:r>
        <w:rPr/>
        <w:t>ρ</w:t>
      </w:r>
      <w:r>
        <w:rPr>
          <w:spacing w:val="1"/>
        </w:rPr>
        <w:t> </w:t>
      </w:r>
      <w:r>
        <w:rPr/>
        <w:t>&lt;</w:t>
      </w:r>
      <w:r>
        <w:rPr>
          <w:spacing w:val="1"/>
        </w:rPr>
        <w:t> </w:t>
      </w:r>
      <w:r>
        <w:rPr/>
        <w:t>60</w:t>
      </w:r>
      <w:r>
        <w:rPr>
          <w:spacing w:val="1"/>
        </w:rPr>
        <w:t> </w:t>
      </w:r>
      <w:r>
        <w:rPr/>
        <w:t>Ωm)</w:t>
      </w:r>
      <w:r>
        <w:rPr>
          <w:spacing w:val="-57"/>
        </w:rPr>
        <w:t> </w:t>
      </w:r>
      <w:r>
        <w:rPr/>
        <w:t>constitute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second</w:t>
      </w:r>
      <w:r>
        <w:rPr>
          <w:spacing w:val="1"/>
        </w:rPr>
        <w:t> </w:t>
      </w:r>
      <w:r>
        <w:rPr/>
        <w:t>layer</w:t>
      </w:r>
      <w:r>
        <w:rPr>
          <w:spacing w:val="1"/>
        </w:rPr>
        <w:t> </w:t>
      </w:r>
      <w:r>
        <w:rPr/>
        <w:t>around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eastern,</w:t>
      </w:r>
      <w:r>
        <w:rPr>
          <w:spacing w:val="1"/>
        </w:rPr>
        <w:t> </w:t>
      </w:r>
      <w:r>
        <w:rPr/>
        <w:t>southern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north</w:t>
      </w:r>
      <w:r>
        <w:rPr>
          <w:spacing w:val="1"/>
        </w:rPr>
        <w:t> </w:t>
      </w:r>
      <w:r>
        <w:rPr/>
        <w:t>eastern</w:t>
      </w:r>
      <w:r>
        <w:rPr>
          <w:spacing w:val="60"/>
        </w:rPr>
        <w:t> </w:t>
      </w:r>
      <w:r>
        <w:rPr/>
        <w:t>flanks.</w:t>
      </w:r>
      <w:r>
        <w:rPr>
          <w:spacing w:val="1"/>
        </w:rPr>
        <w:t> </w:t>
      </w:r>
      <w:r>
        <w:rPr/>
        <w:t>Pockets of areas in the north western, south eastern, eastern and central parts of the</w:t>
      </w:r>
      <w:r>
        <w:rPr>
          <w:spacing w:val="1"/>
        </w:rPr>
        <w:t> </w:t>
      </w:r>
      <w:r>
        <w:rPr/>
        <w:t>metropolis are practically non-corrosive with resistivity values in excess of 200 Ωm.</w:t>
      </w:r>
      <w:r>
        <w:rPr>
          <w:spacing w:val="1"/>
        </w:rPr>
        <w:t> </w:t>
      </w:r>
      <w:r>
        <w:rPr/>
        <w:t>Zones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good,</w:t>
      </w:r>
      <w:r>
        <w:rPr>
          <w:spacing w:val="1"/>
        </w:rPr>
        <w:t> </w:t>
      </w:r>
      <w:r>
        <w:rPr/>
        <w:t>moderate,</w:t>
      </w:r>
      <w:r>
        <w:rPr>
          <w:spacing w:val="1"/>
        </w:rPr>
        <w:t> </w:t>
      </w:r>
      <w:r>
        <w:rPr/>
        <w:t>weak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poor</w:t>
      </w:r>
      <w:r>
        <w:rPr>
          <w:spacing w:val="1"/>
        </w:rPr>
        <w:t> </w:t>
      </w:r>
      <w:r>
        <w:rPr/>
        <w:t>overburden</w:t>
      </w:r>
      <w:r>
        <w:rPr>
          <w:spacing w:val="1"/>
        </w:rPr>
        <w:t> </w:t>
      </w:r>
      <w:r>
        <w:rPr/>
        <w:t>protective</w:t>
      </w:r>
      <w:r>
        <w:rPr>
          <w:spacing w:val="1"/>
        </w:rPr>
        <w:t> </w:t>
      </w:r>
      <w:r>
        <w:rPr/>
        <w:t>capacity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delineated,</w:t>
      </w:r>
      <w:r>
        <w:rPr>
          <w:spacing w:val="-1"/>
        </w:rPr>
        <w:t> </w:t>
      </w:r>
      <w:r>
        <w:rPr/>
        <w:t>with longitudinal conductance</w:t>
      </w:r>
      <w:r>
        <w:rPr>
          <w:spacing w:val="-2"/>
        </w:rPr>
        <w:t> </w:t>
      </w:r>
      <w:r>
        <w:rPr/>
        <w:t>(S) values of</w:t>
      </w:r>
      <w:r>
        <w:rPr>
          <w:spacing w:val="-1"/>
        </w:rPr>
        <w:t> </w:t>
      </w:r>
      <w:r>
        <w:rPr/>
        <w:t>0.7 &lt;</w:t>
      </w:r>
      <w:r>
        <w:rPr>
          <w:spacing w:val="-2"/>
        </w:rPr>
        <w:t> </w:t>
      </w:r>
      <w:r>
        <w:rPr/>
        <w:t>S</w:t>
      </w:r>
      <w:r>
        <w:rPr>
          <w:spacing w:val="-1"/>
        </w:rPr>
        <w:t> </w:t>
      </w:r>
      <w:r>
        <w:rPr/>
        <w:t>&lt;</w:t>
      </w:r>
      <w:r>
        <w:rPr>
          <w:spacing w:val="-1"/>
        </w:rPr>
        <w:t> </w:t>
      </w:r>
      <w:r>
        <w:rPr/>
        <w:t>4.9, 0.2</w:t>
      </w:r>
      <w:r>
        <w:rPr>
          <w:spacing w:val="2"/>
        </w:rPr>
        <w:t> </w:t>
      </w:r>
      <w:r>
        <w:rPr/>
        <w:t>&lt; S &lt;</w:t>
      </w:r>
      <w:r>
        <w:rPr>
          <w:spacing w:val="-1"/>
        </w:rPr>
        <w:t> </w:t>
      </w:r>
      <w:r>
        <w:rPr/>
        <w:t>0.69,</w:t>
      </w:r>
      <w:r>
        <w:rPr>
          <w:spacing w:val="-1"/>
        </w:rPr>
        <w:t> </w:t>
      </w:r>
      <w:r>
        <w:rPr/>
        <w:t>0.1</w:t>
      </w:r>
    </w:p>
    <w:p>
      <w:pPr>
        <w:pStyle w:val="BodyText"/>
        <w:spacing w:line="275" w:lineRule="exact"/>
        <w:ind w:left="307"/>
        <w:jc w:val="both"/>
      </w:pPr>
      <w:r>
        <w:rPr/>
        <w:t>&lt;</w:t>
      </w:r>
      <w:r>
        <w:rPr>
          <w:spacing w:val="54"/>
        </w:rPr>
        <w:t> </w:t>
      </w:r>
      <w:r>
        <w:rPr/>
        <w:t>S</w:t>
      </w:r>
      <w:r>
        <w:rPr>
          <w:spacing w:val="57"/>
        </w:rPr>
        <w:t> </w:t>
      </w:r>
      <w:r>
        <w:rPr/>
        <w:t>&lt;</w:t>
      </w:r>
      <w:r>
        <w:rPr>
          <w:spacing w:val="54"/>
        </w:rPr>
        <w:t> </w:t>
      </w:r>
      <w:r>
        <w:rPr/>
        <w:t>0.19</w:t>
      </w:r>
      <w:r>
        <w:rPr>
          <w:spacing w:val="53"/>
        </w:rPr>
        <w:t> </w:t>
      </w:r>
      <w:r>
        <w:rPr/>
        <w:t>and</w:t>
      </w:r>
      <w:r>
        <w:rPr>
          <w:spacing w:val="56"/>
        </w:rPr>
        <w:t> </w:t>
      </w:r>
      <w:r>
        <w:rPr/>
        <w:t>S</w:t>
      </w:r>
      <w:r>
        <w:rPr>
          <w:spacing w:val="56"/>
        </w:rPr>
        <w:t> </w:t>
      </w:r>
      <w:r>
        <w:rPr/>
        <w:t>&lt;</w:t>
      </w:r>
      <w:r>
        <w:rPr>
          <w:spacing w:val="53"/>
        </w:rPr>
        <w:t> </w:t>
      </w:r>
      <w:r>
        <w:rPr/>
        <w:t>0.1</w:t>
      </w:r>
      <w:r>
        <w:rPr>
          <w:spacing w:val="56"/>
        </w:rPr>
        <w:t> </w:t>
      </w:r>
      <w:r>
        <w:rPr/>
        <w:t>mhos,</w:t>
      </w:r>
      <w:r>
        <w:rPr>
          <w:spacing w:val="55"/>
        </w:rPr>
        <w:t> </w:t>
      </w:r>
      <w:r>
        <w:rPr/>
        <w:t>respectively.</w:t>
      </w:r>
      <w:r>
        <w:rPr>
          <w:spacing w:val="56"/>
        </w:rPr>
        <w:t> </w:t>
      </w:r>
      <w:r>
        <w:rPr/>
        <w:t>On</w:t>
      </w:r>
      <w:r>
        <w:rPr>
          <w:spacing w:val="55"/>
        </w:rPr>
        <w:t> </w:t>
      </w:r>
      <w:r>
        <w:rPr/>
        <w:t>a</w:t>
      </w:r>
      <w:r>
        <w:rPr>
          <w:spacing w:val="55"/>
        </w:rPr>
        <w:t> </w:t>
      </w:r>
      <w:r>
        <w:rPr/>
        <w:t>regional</w:t>
      </w:r>
      <w:r>
        <w:rPr>
          <w:spacing w:val="56"/>
        </w:rPr>
        <w:t> </w:t>
      </w:r>
      <w:r>
        <w:rPr/>
        <w:t>consideration,</w:t>
      </w:r>
      <w:r>
        <w:rPr>
          <w:spacing w:val="55"/>
        </w:rPr>
        <w:t> </w:t>
      </w:r>
      <w:r>
        <w:rPr/>
        <w:t>23.31%,</w:t>
      </w:r>
    </w:p>
    <w:p>
      <w:pPr>
        <w:spacing w:after="0" w:line="275" w:lineRule="exact"/>
        <w:jc w:val="both"/>
        <w:sectPr>
          <w:pgSz w:w="11910" w:h="16840"/>
          <w:pgMar w:header="0" w:footer="1067" w:top="1320" w:bottom="1260" w:left="1680" w:right="980"/>
        </w:sectPr>
      </w:pPr>
    </w:p>
    <w:p>
      <w:pPr>
        <w:pStyle w:val="BodyText"/>
        <w:spacing w:line="480" w:lineRule="auto" w:before="64"/>
        <w:ind w:left="307" w:right="433"/>
        <w:jc w:val="both"/>
      </w:pPr>
      <w:r>
        <w:rPr/>
        <w:t>18.80% and 57.9% of the study area is characterised by overburden materials of poor,</w:t>
      </w:r>
      <w:r>
        <w:rPr>
          <w:spacing w:val="1"/>
        </w:rPr>
        <w:t> </w:t>
      </w:r>
      <w:r>
        <w:rPr/>
        <w:t>weak and moderate protective capacity, respectively. Only 6.02% of the area indicates</w:t>
      </w:r>
      <w:r>
        <w:rPr>
          <w:spacing w:val="1"/>
        </w:rPr>
        <w:t> </w:t>
      </w:r>
      <w:r>
        <w:rPr/>
        <w:t>good</w:t>
      </w:r>
      <w:r>
        <w:rPr>
          <w:spacing w:val="-1"/>
        </w:rPr>
        <w:t> </w:t>
      </w:r>
      <w:r>
        <w:rPr/>
        <w:t>overburden protective</w:t>
      </w:r>
      <w:r>
        <w:rPr>
          <w:spacing w:val="-1"/>
        </w:rPr>
        <w:t> </w:t>
      </w:r>
      <w:r>
        <w:rPr/>
        <w:t>capacity.</w:t>
      </w:r>
    </w:p>
    <w:p>
      <w:pPr>
        <w:spacing w:after="0" w:line="480" w:lineRule="auto"/>
        <w:jc w:val="both"/>
        <w:sectPr>
          <w:pgSz w:w="11910" w:h="16840"/>
          <w:pgMar w:header="0" w:footer="1067" w:top="1320" w:bottom="1260" w:left="1680" w:right="980"/>
        </w:sectPr>
      </w:pPr>
    </w:p>
    <w:p>
      <w:pPr>
        <w:pStyle w:val="Heading2"/>
        <w:ind w:left="385" w:right="509" w:firstLine="0"/>
        <w:jc w:val="center"/>
      </w:pPr>
      <w:r>
        <w:rPr/>
        <w:t>CHAPTER</w:t>
      </w:r>
      <w:r>
        <w:rPr>
          <w:spacing w:val="-2"/>
        </w:rPr>
        <w:t> </w:t>
      </w:r>
      <w:r>
        <w:rPr/>
        <w:t>THREE</w:t>
      </w:r>
    </w:p>
    <w:p>
      <w:pPr>
        <w:pStyle w:val="BodyText"/>
        <w:spacing w:before="6"/>
        <w:rPr>
          <w:b/>
          <w:sz w:val="34"/>
        </w:rPr>
      </w:pPr>
    </w:p>
    <w:p>
      <w:pPr>
        <w:pStyle w:val="ListParagraph"/>
        <w:numPr>
          <w:ilvl w:val="1"/>
          <w:numId w:val="8"/>
        </w:numPr>
        <w:tabs>
          <w:tab w:pos="1627" w:val="left" w:leader="none"/>
          <w:tab w:pos="1628" w:val="left" w:leader="none"/>
        </w:tabs>
        <w:spacing w:line="240" w:lineRule="auto" w:before="0" w:after="0"/>
        <w:ind w:left="1627" w:right="0" w:hanging="1321"/>
        <w:jc w:val="both"/>
        <w:rPr>
          <w:b/>
          <w:sz w:val="24"/>
        </w:rPr>
      </w:pPr>
      <w:r>
        <w:rPr>
          <w:b/>
          <w:sz w:val="24"/>
        </w:rPr>
        <w:t>MATERIALS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METHODS</w:t>
      </w:r>
    </w:p>
    <w:p>
      <w:pPr>
        <w:pStyle w:val="BodyText"/>
        <w:spacing w:before="11"/>
        <w:rPr>
          <w:b/>
          <w:sz w:val="37"/>
        </w:rPr>
      </w:pPr>
    </w:p>
    <w:p>
      <w:pPr>
        <w:pStyle w:val="Heading2"/>
        <w:numPr>
          <w:ilvl w:val="1"/>
          <w:numId w:val="8"/>
        </w:numPr>
        <w:tabs>
          <w:tab w:pos="1028" w:val="left" w:leader="none"/>
        </w:tabs>
        <w:spacing w:line="240" w:lineRule="auto" w:before="0" w:after="0"/>
        <w:ind w:left="1027" w:right="0" w:hanging="721"/>
        <w:jc w:val="both"/>
      </w:pPr>
      <w:r>
        <w:rPr/>
        <w:t>Materials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ind w:left="307"/>
        <w:jc w:val="both"/>
      </w:pPr>
      <w:r>
        <w:rPr/>
        <w:t>Materials</w:t>
      </w:r>
      <w:r>
        <w:rPr>
          <w:spacing w:val="-1"/>
        </w:rPr>
        <w:t> </w:t>
      </w:r>
      <w:r>
        <w:rPr/>
        <w:t>used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this</w:t>
      </w:r>
      <w:r>
        <w:rPr>
          <w:spacing w:val="-1"/>
        </w:rPr>
        <w:t> </w:t>
      </w:r>
      <w:r>
        <w:rPr/>
        <w:t>research</w:t>
      </w:r>
      <w:r>
        <w:rPr>
          <w:spacing w:val="-1"/>
        </w:rPr>
        <w:t> </w:t>
      </w:r>
      <w:r>
        <w:rPr/>
        <w:t>project</w:t>
      </w:r>
      <w:r>
        <w:rPr>
          <w:spacing w:val="-1"/>
        </w:rPr>
        <w:t> </w:t>
      </w:r>
      <w:r>
        <w:rPr/>
        <w:t>comprises</w:t>
      </w:r>
      <w:r>
        <w:rPr>
          <w:spacing w:val="1"/>
        </w:rPr>
        <w:t> </w:t>
      </w:r>
      <w:r>
        <w:rPr/>
        <w:t>of;</w:t>
      </w:r>
    </w:p>
    <w:p>
      <w:pPr>
        <w:pStyle w:val="BodyText"/>
        <w:spacing w:before="11"/>
        <w:rPr>
          <w:sz w:val="37"/>
        </w:rPr>
      </w:pPr>
    </w:p>
    <w:p>
      <w:pPr>
        <w:pStyle w:val="ListParagraph"/>
        <w:numPr>
          <w:ilvl w:val="2"/>
          <w:numId w:val="8"/>
        </w:numPr>
        <w:tabs>
          <w:tab w:pos="1028" w:val="left" w:leader="none"/>
        </w:tabs>
        <w:spacing w:line="240" w:lineRule="auto" w:before="0" w:after="0"/>
        <w:ind w:left="1027" w:right="0" w:hanging="361"/>
        <w:jc w:val="left"/>
        <w:rPr>
          <w:sz w:val="24"/>
        </w:rPr>
      </w:pPr>
      <w:r>
        <w:rPr>
          <w:sz w:val="24"/>
        </w:rPr>
        <w:t>Geotron</w:t>
      </w:r>
      <w:r>
        <w:rPr>
          <w:spacing w:val="-1"/>
          <w:sz w:val="24"/>
        </w:rPr>
        <w:t> </w:t>
      </w:r>
      <w:r>
        <w:rPr>
          <w:sz w:val="24"/>
        </w:rPr>
        <w:t>Resistivity</w:t>
      </w:r>
      <w:r>
        <w:rPr>
          <w:spacing w:val="-5"/>
          <w:sz w:val="24"/>
        </w:rPr>
        <w:t> </w:t>
      </w:r>
      <w:r>
        <w:rPr>
          <w:sz w:val="24"/>
        </w:rPr>
        <w:t>Metre</w:t>
      </w:r>
    </w:p>
    <w:p>
      <w:pPr>
        <w:pStyle w:val="ListParagraph"/>
        <w:numPr>
          <w:ilvl w:val="2"/>
          <w:numId w:val="8"/>
        </w:numPr>
        <w:tabs>
          <w:tab w:pos="1028" w:val="left" w:leader="none"/>
        </w:tabs>
        <w:spacing w:line="240" w:lineRule="auto" w:before="139" w:after="0"/>
        <w:ind w:left="1027" w:right="0" w:hanging="361"/>
        <w:jc w:val="left"/>
        <w:rPr>
          <w:sz w:val="24"/>
        </w:rPr>
      </w:pPr>
      <w:r>
        <w:rPr>
          <w:sz w:val="24"/>
        </w:rPr>
        <w:t>Electrodes</w:t>
      </w:r>
    </w:p>
    <w:p>
      <w:pPr>
        <w:pStyle w:val="ListParagraph"/>
        <w:numPr>
          <w:ilvl w:val="2"/>
          <w:numId w:val="8"/>
        </w:numPr>
        <w:tabs>
          <w:tab w:pos="1028" w:val="left" w:leader="none"/>
        </w:tabs>
        <w:spacing w:line="240" w:lineRule="auto" w:before="137" w:after="0"/>
        <w:ind w:left="1027" w:right="0" w:hanging="361"/>
        <w:jc w:val="left"/>
        <w:rPr>
          <w:sz w:val="24"/>
        </w:rPr>
      </w:pPr>
      <w:r>
        <w:rPr>
          <w:sz w:val="24"/>
        </w:rPr>
        <w:t>Geologic</w:t>
      </w:r>
      <w:r>
        <w:rPr>
          <w:spacing w:val="-3"/>
          <w:sz w:val="24"/>
        </w:rPr>
        <w:t> </w:t>
      </w:r>
      <w:r>
        <w:rPr>
          <w:sz w:val="24"/>
        </w:rPr>
        <w:t>Hammer</w:t>
      </w:r>
    </w:p>
    <w:p>
      <w:pPr>
        <w:pStyle w:val="ListParagraph"/>
        <w:numPr>
          <w:ilvl w:val="2"/>
          <w:numId w:val="8"/>
        </w:numPr>
        <w:tabs>
          <w:tab w:pos="1028" w:val="left" w:leader="none"/>
        </w:tabs>
        <w:spacing w:line="240" w:lineRule="auto" w:before="138" w:after="0"/>
        <w:ind w:left="1027" w:right="0" w:hanging="361"/>
        <w:jc w:val="left"/>
        <w:rPr>
          <w:sz w:val="24"/>
        </w:rPr>
      </w:pPr>
      <w:r>
        <w:rPr>
          <w:sz w:val="24"/>
        </w:rPr>
        <w:t>Global</w:t>
      </w:r>
      <w:r>
        <w:rPr>
          <w:spacing w:val="-1"/>
          <w:sz w:val="24"/>
        </w:rPr>
        <w:t> </w:t>
      </w:r>
      <w:r>
        <w:rPr>
          <w:sz w:val="24"/>
        </w:rPr>
        <w:t>Position</w:t>
      </w:r>
      <w:r>
        <w:rPr>
          <w:spacing w:val="-1"/>
          <w:sz w:val="24"/>
        </w:rPr>
        <w:t> </w:t>
      </w:r>
      <w:r>
        <w:rPr>
          <w:sz w:val="24"/>
        </w:rPr>
        <w:t>System</w:t>
      </w:r>
      <w:r>
        <w:rPr>
          <w:spacing w:val="-1"/>
          <w:sz w:val="24"/>
        </w:rPr>
        <w:t> </w:t>
      </w:r>
      <w:r>
        <w:rPr>
          <w:sz w:val="24"/>
        </w:rPr>
        <w:t>(GPS)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2"/>
          <w:numId w:val="8"/>
        </w:numPr>
        <w:tabs>
          <w:tab w:pos="1028" w:val="left" w:leader="none"/>
        </w:tabs>
        <w:spacing w:line="240" w:lineRule="auto" w:before="0" w:after="0"/>
        <w:ind w:left="1027" w:right="0" w:hanging="361"/>
        <w:jc w:val="left"/>
        <w:rPr>
          <w:sz w:val="24"/>
        </w:rPr>
      </w:pPr>
      <w:r>
        <w:rPr>
          <w:sz w:val="24"/>
        </w:rPr>
        <w:t>Measuring</w:t>
      </w:r>
      <w:r>
        <w:rPr>
          <w:spacing w:val="-4"/>
          <w:sz w:val="24"/>
        </w:rPr>
        <w:t> </w:t>
      </w:r>
      <w:r>
        <w:rPr>
          <w:sz w:val="24"/>
        </w:rPr>
        <w:t>tapes</w:t>
      </w:r>
    </w:p>
    <w:p>
      <w:pPr>
        <w:pStyle w:val="BodyText"/>
      </w:pPr>
    </w:p>
    <w:p>
      <w:pPr>
        <w:pStyle w:val="ListParagraph"/>
        <w:numPr>
          <w:ilvl w:val="2"/>
          <w:numId w:val="8"/>
        </w:numPr>
        <w:tabs>
          <w:tab w:pos="1028" w:val="left" w:leader="none"/>
        </w:tabs>
        <w:spacing w:line="240" w:lineRule="auto" w:before="0" w:after="0"/>
        <w:ind w:left="1027" w:right="0" w:hanging="361"/>
        <w:jc w:val="left"/>
        <w:rPr>
          <w:sz w:val="24"/>
        </w:rPr>
      </w:pPr>
      <w:r>
        <w:rPr>
          <w:sz w:val="24"/>
        </w:rPr>
        <w:t>Ribbons</w:t>
      </w:r>
    </w:p>
    <w:p>
      <w:pPr>
        <w:pStyle w:val="BodyText"/>
      </w:pPr>
    </w:p>
    <w:p>
      <w:pPr>
        <w:pStyle w:val="ListParagraph"/>
        <w:numPr>
          <w:ilvl w:val="2"/>
          <w:numId w:val="8"/>
        </w:numPr>
        <w:tabs>
          <w:tab w:pos="1028" w:val="left" w:leader="none"/>
        </w:tabs>
        <w:spacing w:line="240" w:lineRule="auto" w:before="0" w:after="0"/>
        <w:ind w:left="1027" w:right="0" w:hanging="361"/>
        <w:jc w:val="left"/>
        <w:rPr>
          <w:sz w:val="24"/>
        </w:rPr>
      </w:pPr>
      <w:r>
        <w:rPr>
          <w:sz w:val="24"/>
        </w:rPr>
        <w:t>Pegs</w:t>
      </w:r>
    </w:p>
    <w:p>
      <w:pPr>
        <w:pStyle w:val="BodyText"/>
      </w:pPr>
    </w:p>
    <w:p>
      <w:pPr>
        <w:pStyle w:val="ListParagraph"/>
        <w:numPr>
          <w:ilvl w:val="2"/>
          <w:numId w:val="8"/>
        </w:numPr>
        <w:tabs>
          <w:tab w:pos="1028" w:val="left" w:leader="none"/>
        </w:tabs>
        <w:spacing w:line="240" w:lineRule="auto" w:before="0" w:after="0"/>
        <w:ind w:left="1027" w:right="0" w:hanging="361"/>
        <w:jc w:val="left"/>
        <w:rPr>
          <w:sz w:val="24"/>
        </w:rPr>
      </w:pPr>
      <w:r>
        <w:rPr>
          <w:sz w:val="24"/>
        </w:rPr>
        <w:t>Microsoft</w:t>
      </w:r>
      <w:r>
        <w:rPr>
          <w:spacing w:val="-1"/>
          <w:sz w:val="24"/>
        </w:rPr>
        <w:t> </w:t>
      </w:r>
      <w:r>
        <w:rPr>
          <w:sz w:val="24"/>
        </w:rPr>
        <w:t>Excel</w:t>
      </w:r>
      <w:r>
        <w:rPr>
          <w:spacing w:val="-1"/>
          <w:sz w:val="24"/>
        </w:rPr>
        <w:t> </w:t>
      </w:r>
      <w:r>
        <w:rPr>
          <w:sz w:val="24"/>
        </w:rPr>
        <w:t>2010</w:t>
      </w:r>
    </w:p>
    <w:p>
      <w:pPr>
        <w:pStyle w:val="BodyText"/>
        <w:spacing w:before="10"/>
        <w:rPr>
          <w:sz w:val="23"/>
        </w:rPr>
      </w:pPr>
    </w:p>
    <w:p>
      <w:pPr>
        <w:pStyle w:val="Heading1"/>
        <w:numPr>
          <w:ilvl w:val="2"/>
          <w:numId w:val="8"/>
        </w:numPr>
        <w:tabs>
          <w:tab w:pos="1028" w:val="left" w:leader="none"/>
        </w:tabs>
        <w:spacing w:line="240" w:lineRule="auto" w:before="1" w:after="0"/>
        <w:ind w:left="1027" w:right="0" w:hanging="361"/>
        <w:jc w:val="left"/>
      </w:pPr>
      <w:r>
        <w:rPr/>
        <w:t>WinResist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Golding</w:t>
      </w:r>
      <w:r>
        <w:rPr>
          <w:spacing w:val="-3"/>
        </w:rPr>
        <w:t> </w:t>
      </w:r>
      <w:r>
        <w:rPr/>
        <w:t>Suffer11</w:t>
      </w:r>
    </w:p>
    <w:p>
      <w:pPr>
        <w:pStyle w:val="BodyText"/>
        <w:spacing w:before="5"/>
        <w:rPr>
          <w:sz w:val="42"/>
        </w:rPr>
      </w:pPr>
    </w:p>
    <w:p>
      <w:pPr>
        <w:pStyle w:val="Heading2"/>
        <w:numPr>
          <w:ilvl w:val="1"/>
          <w:numId w:val="8"/>
        </w:numPr>
        <w:tabs>
          <w:tab w:pos="1028" w:val="left" w:leader="none"/>
        </w:tabs>
        <w:spacing w:line="240" w:lineRule="auto" w:before="0" w:after="0"/>
        <w:ind w:left="1027" w:right="0" w:hanging="721"/>
        <w:jc w:val="both"/>
      </w:pPr>
      <w:r>
        <w:rPr/>
        <w:t>Methodology</w:t>
      </w:r>
    </w:p>
    <w:p>
      <w:pPr>
        <w:pStyle w:val="BodyText"/>
        <w:spacing w:before="4"/>
        <w:rPr>
          <w:b/>
          <w:sz w:val="23"/>
        </w:rPr>
      </w:pPr>
    </w:p>
    <w:p>
      <w:pPr>
        <w:pStyle w:val="BodyText"/>
        <w:spacing w:line="480" w:lineRule="auto"/>
        <w:ind w:left="307" w:right="423"/>
        <w:jc w:val="both"/>
      </w:pPr>
      <w:r>
        <w:rPr/>
        <w:t>Forty vertical electrical soundings were made on ten profiles (A – J) using Getron (G41)</w:t>
      </w:r>
      <w:r>
        <w:rPr>
          <w:spacing w:val="-57"/>
        </w:rPr>
        <w:t> </w:t>
      </w:r>
      <w:r>
        <w:rPr/>
        <w:t>model</w:t>
      </w:r>
      <w:r>
        <w:rPr>
          <w:spacing w:val="1"/>
        </w:rPr>
        <w:t> </w:t>
      </w:r>
      <w:r>
        <w:rPr/>
        <w:t>Terrameter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accessories.</w:t>
      </w:r>
      <w:r>
        <w:rPr>
          <w:spacing w:val="1"/>
        </w:rPr>
        <w:t> </w:t>
      </w:r>
      <w:r>
        <w:rPr/>
        <w:t>Schlumberger</w:t>
      </w:r>
      <w:r>
        <w:rPr>
          <w:spacing w:val="1"/>
        </w:rPr>
        <w:t> </w:t>
      </w:r>
      <w:r>
        <w:rPr/>
        <w:t>array</w:t>
      </w:r>
      <w:r>
        <w:rPr>
          <w:spacing w:val="1"/>
        </w:rPr>
        <w:t> </w:t>
      </w:r>
      <w:r>
        <w:rPr/>
        <w:t>electrode</w:t>
      </w:r>
      <w:r>
        <w:rPr>
          <w:spacing w:val="1"/>
        </w:rPr>
        <w:t> </w:t>
      </w:r>
      <w:r>
        <w:rPr/>
        <w:t>configuration</w:t>
      </w:r>
      <w:r>
        <w:rPr>
          <w:spacing w:val="1"/>
        </w:rPr>
        <w:t> </w:t>
      </w:r>
      <w:r>
        <w:rPr/>
        <w:t>pattern with half inter current electrode spacing (AB/2) varying from 1 to 100 m was</w:t>
      </w:r>
      <w:r>
        <w:rPr>
          <w:spacing w:val="1"/>
        </w:rPr>
        <w:t> </w:t>
      </w:r>
      <w:r>
        <w:rPr/>
        <w:t>adopted. The</w:t>
      </w:r>
      <w:r>
        <w:rPr>
          <w:spacing w:val="1"/>
        </w:rPr>
        <w:t> </w:t>
      </w:r>
      <w:r>
        <w:rPr/>
        <w:t>apparent resistivity values obtained</w:t>
      </w:r>
      <w:r>
        <w:rPr>
          <w:spacing w:val="1"/>
        </w:rPr>
        <w:t> </w:t>
      </w:r>
      <w:r>
        <w:rPr/>
        <w:t>were plotted against</w:t>
      </w:r>
      <w:r>
        <w:rPr>
          <w:spacing w:val="60"/>
        </w:rPr>
        <w:t> </w:t>
      </w:r>
      <w:r>
        <w:rPr/>
        <w:t>the AB/2 using</w:t>
      </w:r>
      <w:r>
        <w:rPr>
          <w:spacing w:val="1"/>
        </w:rPr>
        <w:t> </w:t>
      </w:r>
      <w:r>
        <w:rPr/>
        <w:t>the winResist software. From the plots, layer resistivity, depth and thickness; number of</w:t>
      </w:r>
      <w:r>
        <w:rPr>
          <w:spacing w:val="1"/>
        </w:rPr>
        <w:t> </w:t>
      </w:r>
      <w:r>
        <w:rPr/>
        <w:t>layers and curve types were deduced, also, geologic cross sections and iso-resistivity</w:t>
      </w:r>
      <w:r>
        <w:rPr>
          <w:spacing w:val="1"/>
        </w:rPr>
        <w:t> </w:t>
      </w:r>
      <w:r>
        <w:rPr/>
        <w:t>maps</w:t>
      </w:r>
      <w:r>
        <w:rPr>
          <w:spacing w:val="-2"/>
        </w:rPr>
        <w:t> </w:t>
      </w:r>
      <w:r>
        <w:rPr/>
        <w:t>were</w:t>
      </w:r>
      <w:r>
        <w:rPr>
          <w:spacing w:val="-2"/>
        </w:rPr>
        <w:t> </w:t>
      </w:r>
      <w:r>
        <w:rPr/>
        <w:t>made.</w:t>
      </w:r>
    </w:p>
    <w:p>
      <w:pPr>
        <w:pStyle w:val="Heading2"/>
        <w:spacing w:before="6"/>
        <w:ind w:left="307" w:firstLine="0"/>
      </w:pPr>
      <w:r>
        <w:rPr/>
        <w:t>3.2.1</w:t>
      </w:r>
      <w:r>
        <w:rPr>
          <w:spacing w:val="118"/>
        </w:rPr>
        <w:t> </w:t>
      </w:r>
      <w:r>
        <w:rPr/>
        <w:t>Resistivity</w:t>
      </w:r>
      <w:r>
        <w:rPr>
          <w:spacing w:val="-1"/>
        </w:rPr>
        <w:t> </w:t>
      </w:r>
      <w:r>
        <w:rPr/>
        <w:t>Surveying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07" w:right="429"/>
        <w:jc w:val="both"/>
      </w:pPr>
      <w:r>
        <w:rPr/>
        <w:t>Resistivity survey investigates horizontal and vertical variations of electrical resistance</w:t>
      </w:r>
      <w:r>
        <w:rPr>
          <w:spacing w:val="1"/>
        </w:rPr>
        <w:t> </w:t>
      </w:r>
      <w:r>
        <w:rPr/>
        <w:t>(or conductivity, the inverse of resistivity) of the subsurface by causing an electrical</w:t>
      </w:r>
      <w:r>
        <w:rPr>
          <w:spacing w:val="1"/>
        </w:rPr>
        <w:t> </w:t>
      </w:r>
      <w:r>
        <w:rPr/>
        <w:t>current</w:t>
      </w:r>
      <w:r>
        <w:rPr>
          <w:spacing w:val="35"/>
        </w:rPr>
        <w:t> </w:t>
      </w:r>
      <w:r>
        <w:rPr/>
        <w:t>to</w:t>
      </w:r>
      <w:r>
        <w:rPr>
          <w:spacing w:val="37"/>
        </w:rPr>
        <w:t> </w:t>
      </w:r>
      <w:r>
        <w:rPr/>
        <w:t>flow</w:t>
      </w:r>
      <w:r>
        <w:rPr>
          <w:spacing w:val="34"/>
        </w:rPr>
        <w:t> </w:t>
      </w:r>
      <w:r>
        <w:rPr/>
        <w:t>through</w:t>
      </w:r>
      <w:r>
        <w:rPr>
          <w:spacing w:val="38"/>
        </w:rPr>
        <w:t> </w:t>
      </w:r>
      <w:r>
        <w:rPr/>
        <w:t>the</w:t>
      </w:r>
      <w:r>
        <w:rPr>
          <w:spacing w:val="34"/>
        </w:rPr>
        <w:t> </w:t>
      </w:r>
      <w:r>
        <w:rPr/>
        <w:t>ground,</w:t>
      </w:r>
      <w:r>
        <w:rPr>
          <w:spacing w:val="34"/>
        </w:rPr>
        <w:t> </w:t>
      </w:r>
      <w:r>
        <w:rPr/>
        <w:t>using</w:t>
      </w:r>
      <w:r>
        <w:rPr>
          <w:spacing w:val="33"/>
        </w:rPr>
        <w:t> </w:t>
      </w:r>
      <w:r>
        <w:rPr/>
        <w:t>wires</w:t>
      </w:r>
      <w:r>
        <w:rPr>
          <w:spacing w:val="37"/>
        </w:rPr>
        <w:t> </w:t>
      </w:r>
      <w:r>
        <w:rPr/>
        <w:t>connected</w:t>
      </w:r>
      <w:r>
        <w:rPr>
          <w:spacing w:val="34"/>
        </w:rPr>
        <w:t> </w:t>
      </w:r>
      <w:r>
        <w:rPr/>
        <w:t>to</w:t>
      </w:r>
      <w:r>
        <w:rPr>
          <w:spacing w:val="35"/>
        </w:rPr>
        <w:t> </w:t>
      </w:r>
      <w:r>
        <w:rPr/>
        <w:t>it.</w:t>
      </w:r>
      <w:r>
        <w:rPr>
          <w:spacing w:val="35"/>
        </w:rPr>
        <w:t> </w:t>
      </w:r>
      <w:r>
        <w:rPr/>
        <w:t>The</w:t>
      </w:r>
      <w:r>
        <w:rPr>
          <w:spacing w:val="33"/>
        </w:rPr>
        <w:t> </w:t>
      </w:r>
      <w:r>
        <w:rPr/>
        <w:t>procedure</w:t>
      </w:r>
      <w:r>
        <w:rPr>
          <w:spacing w:val="35"/>
        </w:rPr>
        <w:t> </w:t>
      </w:r>
      <w:r>
        <w:rPr/>
        <w:t>is</w:t>
      </w:r>
      <w:r>
        <w:rPr>
          <w:spacing w:val="36"/>
        </w:rPr>
        <w:t> </w:t>
      </w:r>
      <w:r>
        <w:rPr/>
        <w:t>to</w:t>
      </w:r>
    </w:p>
    <w:p>
      <w:pPr>
        <w:spacing w:after="0" w:line="480" w:lineRule="auto"/>
        <w:jc w:val="both"/>
        <w:sectPr>
          <w:pgSz w:w="11910" w:h="16840"/>
          <w:pgMar w:header="0" w:footer="1067" w:top="1320" w:bottom="1260" w:left="1680" w:right="980"/>
        </w:sectPr>
      </w:pPr>
    </w:p>
    <w:p>
      <w:pPr>
        <w:pStyle w:val="BodyText"/>
        <w:spacing w:line="480" w:lineRule="auto" w:before="64"/>
        <w:ind w:left="307" w:right="428"/>
        <w:jc w:val="both"/>
      </w:pPr>
      <w:r>
        <w:rPr/>
        <w:t>measure potentials at other electrodes in the vicinity of the current as shown in(Figure</w:t>
      </w:r>
      <w:r>
        <w:rPr>
          <w:spacing w:val="1"/>
        </w:rPr>
        <w:t> </w:t>
      </w:r>
      <w:r>
        <w:rPr/>
        <w:t>3.1). Since the current is also measured, the apparent resistivity of the subsurface can be</w:t>
      </w:r>
      <w:r>
        <w:rPr>
          <w:spacing w:val="-57"/>
        </w:rPr>
        <w:t> </w:t>
      </w:r>
      <w:r>
        <w:rPr/>
        <w:t>effectively</w:t>
      </w:r>
      <w:r>
        <w:rPr>
          <w:spacing w:val="-6"/>
        </w:rPr>
        <w:t> </w:t>
      </w:r>
      <w:r>
        <w:rPr/>
        <w:t>determined</w:t>
      </w:r>
      <w:r>
        <w:rPr>
          <w:spacing w:val="2"/>
        </w:rPr>
        <w:t> </w:t>
      </w:r>
      <w:r>
        <w:rPr/>
        <w:t>(Telford</w:t>
      </w:r>
      <w:r>
        <w:rPr>
          <w:spacing w:val="2"/>
        </w:rPr>
        <w:t> </w:t>
      </w:r>
      <w:r>
        <w:rPr>
          <w:i/>
        </w:rPr>
        <w:t>et al., </w:t>
      </w:r>
      <w:r>
        <w:rPr/>
        <w:t>2011).</w:t>
      </w:r>
    </w:p>
    <w:p>
      <w:pPr>
        <w:pStyle w:val="BodyText"/>
        <w:spacing w:line="480" w:lineRule="auto" w:before="1"/>
        <w:ind w:left="307" w:right="430"/>
        <w:jc w:val="both"/>
      </w:pPr>
      <w:r>
        <w:rPr/>
        <w:t>Electrical resistivity surveys are based on Ohm’s Law which holds for simple circuits as</w:t>
      </w:r>
      <w:r>
        <w:rPr>
          <w:spacing w:val="-57"/>
        </w:rPr>
        <w:t> </w:t>
      </w:r>
      <w:r>
        <w:rPr/>
        <w:t>well as earth materials. Resistivity by definition, is the product of the resistance, R and</w:t>
      </w:r>
      <w:r>
        <w:rPr>
          <w:spacing w:val="1"/>
        </w:rPr>
        <w:t> </w:t>
      </w:r>
      <w:r>
        <w:rPr/>
        <w:t>the unit cross sectional area, a of a material divided by a unit length of the material</w:t>
      </w:r>
      <w:r>
        <w:rPr>
          <w:spacing w:val="1"/>
        </w:rPr>
        <w:t> </w:t>
      </w:r>
      <w:r>
        <w:rPr/>
        <w:t>through</w:t>
      </w:r>
      <w:r>
        <w:rPr>
          <w:spacing w:val="-1"/>
        </w:rPr>
        <w:t> </w:t>
      </w:r>
      <w:r>
        <w:rPr/>
        <w:t>which the current passes. i.e.</w:t>
      </w:r>
    </w:p>
    <w:p>
      <w:pPr>
        <w:spacing w:after="0" w:line="480" w:lineRule="auto"/>
        <w:jc w:val="both"/>
        <w:sectPr>
          <w:pgSz w:w="11910" w:h="16840"/>
          <w:pgMar w:header="0" w:footer="1067" w:top="1320" w:bottom="1260" w:left="1680" w:right="980"/>
        </w:sectPr>
      </w:pPr>
    </w:p>
    <w:p>
      <w:pPr>
        <w:spacing w:line="168" w:lineRule="auto" w:before="134"/>
        <w:ind w:left="307" w:right="0" w:firstLine="0"/>
        <w:jc w:val="left"/>
        <w:rPr>
          <w:rFonts w:ascii="Cambria Math" w:eastAsia="Cambria Math"/>
          <w:sz w:val="17"/>
        </w:rPr>
      </w:pPr>
      <w:r>
        <w:rPr/>
        <w:pict>
          <v:rect style="position:absolute;margin-left:124.580002pt;margin-top:16.739981pt;width:11.28pt;height:.84003pt;mso-position-horizontal-relative:page;mso-position-vertical-relative:paragraph;z-index:-18536960" filled="true" fillcolor="#000000" stroked="false">
            <v:fill type="solid"/>
            <w10:wrap type="none"/>
          </v:rect>
        </w:pict>
      </w:r>
      <w:r>
        <w:rPr>
          <w:rFonts w:ascii="Cambria Math" w:eastAsia="Cambria Math"/>
          <w:position w:val="-13"/>
          <w:sz w:val="24"/>
        </w:rPr>
        <w:t>𝜌</w:t>
      </w:r>
      <w:r>
        <w:rPr>
          <w:rFonts w:ascii="Cambria Math" w:eastAsia="Cambria Math"/>
          <w:spacing w:val="17"/>
          <w:position w:val="-13"/>
          <w:sz w:val="24"/>
        </w:rPr>
        <w:t> </w:t>
      </w:r>
      <w:r>
        <w:rPr>
          <w:rFonts w:ascii="Cambria Math" w:eastAsia="Cambria Math"/>
          <w:position w:val="-13"/>
          <w:sz w:val="24"/>
        </w:rPr>
        <w:t>=</w:t>
      </w:r>
      <w:r>
        <w:rPr>
          <w:rFonts w:ascii="Cambria Math" w:eastAsia="Cambria Math"/>
          <w:spacing w:val="73"/>
          <w:position w:val="-13"/>
          <w:sz w:val="24"/>
        </w:rPr>
        <w:t> </w:t>
      </w:r>
      <w:r>
        <w:rPr>
          <w:rFonts w:ascii="Cambria Math" w:eastAsia="Cambria Math"/>
          <w:sz w:val="17"/>
        </w:rPr>
        <w:t>𝑅𝐴</w:t>
      </w:r>
    </w:p>
    <w:p>
      <w:pPr>
        <w:spacing w:line="162" w:lineRule="exact" w:before="0"/>
        <w:ind w:left="0" w:right="108" w:firstLine="0"/>
        <w:jc w:val="right"/>
        <w:rPr>
          <w:rFonts w:ascii="Cambria Math" w:eastAsia="Cambria Math"/>
          <w:sz w:val="17"/>
        </w:rPr>
      </w:pPr>
      <w:r>
        <w:rPr>
          <w:rFonts w:ascii="Cambria Math" w:eastAsia="Cambria Math"/>
          <w:w w:val="105"/>
          <w:sz w:val="17"/>
        </w:rPr>
        <w:t>𝐿</w:t>
      </w:r>
    </w:p>
    <w:p>
      <w:pPr>
        <w:pStyle w:val="BodyText"/>
        <w:spacing w:before="188"/>
        <w:ind w:left="307"/>
      </w:pPr>
      <w:r>
        <w:rPr/>
        <w:br w:type="column"/>
      </w:r>
      <w:r>
        <w:rPr/>
        <w:t>(3.1)</w:t>
      </w:r>
    </w:p>
    <w:p>
      <w:pPr>
        <w:spacing w:after="0"/>
        <w:sectPr>
          <w:type w:val="continuous"/>
          <w:pgSz w:w="11910" w:h="16840"/>
          <w:pgMar w:top="1320" w:bottom="280" w:left="1680" w:right="980"/>
          <w:cols w:num="2" w:equalWidth="0">
            <w:col w:w="1079" w:space="6843"/>
            <w:col w:w="1328"/>
          </w:cols>
        </w:sectPr>
      </w:pPr>
    </w:p>
    <w:p>
      <w:pPr>
        <w:pStyle w:val="BodyText"/>
        <w:spacing w:before="8"/>
        <w:rPr>
          <w:sz w:val="23"/>
        </w:rPr>
      </w:pPr>
    </w:p>
    <w:p>
      <w:pPr>
        <w:spacing w:after="0"/>
        <w:rPr>
          <w:sz w:val="23"/>
        </w:rPr>
        <w:sectPr>
          <w:type w:val="continuous"/>
          <w:pgSz w:w="11910" w:h="16840"/>
          <w:pgMar w:top="1320" w:bottom="280" w:left="1680" w:right="980"/>
        </w:sectPr>
      </w:pPr>
    </w:p>
    <w:p>
      <w:pPr>
        <w:spacing w:line="289" w:lineRule="exact" w:before="73"/>
        <w:ind w:left="307" w:right="0" w:firstLine="0"/>
        <w:jc w:val="left"/>
        <w:rPr>
          <w:rFonts w:ascii="Cambria Math" w:eastAsia="Cambria Math"/>
          <w:sz w:val="24"/>
        </w:rPr>
      </w:pPr>
      <w:r>
        <w:rPr/>
        <w:pict>
          <v:rect style="position:absolute;margin-left:124.940002pt;margin-top:14.886661pt;width:5.64pt;height:.84pt;mso-position-horizontal-relative:page;mso-position-vertical-relative:paragraph;z-index:-18536448" filled="true" fillcolor="#000000" stroked="false">
            <v:fill type="solid"/>
            <w10:wrap type="none"/>
          </v:rect>
        </w:pict>
      </w:r>
      <w:r>
        <w:rPr/>
        <w:pict>
          <v:rect style="position:absolute;margin-left:143.300003pt;margin-top:14.886661pt;width:11.28pt;height:.84pt;mso-position-horizontal-relative:page;mso-position-vertical-relative:paragraph;z-index:-18535936" filled="true" fillcolor="#000000" stroked="false">
            <v:fill type="solid"/>
            <w10:wrap type="none"/>
          </v:rect>
        </w:pict>
      </w:r>
      <w:r>
        <w:rPr>
          <w:rFonts w:ascii="Cambria Math" w:eastAsia="Cambria Math"/>
          <w:sz w:val="24"/>
        </w:rPr>
        <w:t>𝜎</w:t>
      </w:r>
      <w:r>
        <w:rPr>
          <w:rFonts w:ascii="Cambria Math" w:eastAsia="Cambria Math"/>
          <w:spacing w:val="21"/>
          <w:sz w:val="24"/>
        </w:rPr>
        <w:t> </w:t>
      </w:r>
      <w:r>
        <w:rPr>
          <w:rFonts w:ascii="Cambria Math" w:eastAsia="Cambria Math"/>
          <w:sz w:val="24"/>
        </w:rPr>
        <w:t>=</w:t>
      </w:r>
      <w:r>
        <w:rPr>
          <w:rFonts w:ascii="Cambria Math" w:eastAsia="Cambria Math"/>
          <w:spacing w:val="87"/>
          <w:sz w:val="24"/>
        </w:rPr>
        <w:t> </w:t>
      </w:r>
      <w:r>
        <w:rPr>
          <w:rFonts w:ascii="Cambria Math" w:eastAsia="Cambria Math"/>
          <w:position w:val="14"/>
          <w:sz w:val="17"/>
        </w:rPr>
        <w:t>𝐼</w:t>
      </w:r>
      <w:r>
        <w:rPr>
          <w:rFonts w:ascii="Cambria Math" w:eastAsia="Cambria Math"/>
          <w:spacing w:val="51"/>
          <w:position w:val="14"/>
          <w:sz w:val="17"/>
        </w:rPr>
        <w:t> </w:t>
      </w:r>
      <w:r>
        <w:rPr>
          <w:sz w:val="24"/>
        </w:rPr>
        <w:t>=</w:t>
      </w:r>
      <w:r>
        <w:rPr>
          <w:spacing w:val="64"/>
          <w:sz w:val="24"/>
        </w:rPr>
        <w:t> </w:t>
      </w:r>
      <w:r>
        <w:rPr>
          <w:rFonts w:ascii="Cambria Math" w:eastAsia="Cambria Math"/>
          <w:sz w:val="24"/>
          <w:vertAlign w:val="superscript"/>
        </w:rPr>
        <w:t>𝐿</w:t>
      </w:r>
    </w:p>
    <w:p>
      <w:pPr>
        <w:pStyle w:val="BodyText"/>
        <w:spacing w:line="211" w:lineRule="exact" w:before="150"/>
        <w:ind w:left="307"/>
      </w:pPr>
      <w:r>
        <w:rPr/>
        <w:br w:type="column"/>
      </w:r>
      <w:r>
        <w:rPr/>
        <w:t>(3.2)</w:t>
      </w:r>
    </w:p>
    <w:p>
      <w:pPr>
        <w:spacing w:after="0" w:line="211" w:lineRule="exact"/>
        <w:sectPr>
          <w:type w:val="continuous"/>
          <w:pgSz w:w="11910" w:h="16840"/>
          <w:pgMar w:top="1320" w:bottom="280" w:left="1680" w:right="980"/>
          <w:cols w:num="2" w:equalWidth="0">
            <w:col w:w="1382" w:space="6539"/>
            <w:col w:w="1329"/>
          </w:cols>
        </w:sectPr>
      </w:pPr>
    </w:p>
    <w:p>
      <w:pPr>
        <w:tabs>
          <w:tab w:pos="1185" w:val="left" w:leader="none"/>
        </w:tabs>
        <w:spacing w:line="170" w:lineRule="exact" w:before="0"/>
        <w:ind w:left="818" w:right="0" w:firstLine="0"/>
        <w:jc w:val="left"/>
        <w:rPr>
          <w:rFonts w:ascii="Cambria Math" w:eastAsia="Cambria Math"/>
          <w:sz w:val="17"/>
        </w:rPr>
      </w:pPr>
      <w:r>
        <w:rPr>
          <w:rFonts w:ascii="Cambria Math" w:eastAsia="Cambria Math"/>
          <w:w w:val="110"/>
          <w:sz w:val="17"/>
        </w:rPr>
        <w:t>𝜌</w:t>
        <w:tab/>
        <w:t>𝑅𝐴</w:t>
      </w:r>
    </w:p>
    <w:p>
      <w:pPr>
        <w:pStyle w:val="BodyText"/>
        <w:spacing w:before="10"/>
        <w:rPr>
          <w:rFonts w:ascii="Cambria Math"/>
          <w:sz w:val="25"/>
        </w:rPr>
      </w:pPr>
    </w:p>
    <w:p>
      <w:pPr>
        <w:pStyle w:val="BodyText"/>
        <w:spacing w:before="90"/>
        <w:ind w:left="307"/>
      </w:pPr>
      <w:r>
        <w:rPr/>
        <w:t>But,</w:t>
      </w:r>
      <w:r>
        <w:rPr>
          <w:spacing w:val="-2"/>
        </w:rPr>
        <w:t> </w:t>
      </w:r>
      <w:r>
        <w:rPr/>
        <w:t>V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IR</w:t>
      </w:r>
      <w:r>
        <w:rPr>
          <w:spacing w:val="-1"/>
        </w:rPr>
        <w:t> </w:t>
      </w:r>
      <w:r>
        <w:rPr/>
        <w:t>(Ohms Law)</w:t>
      </w:r>
    </w:p>
    <w:p>
      <w:pPr>
        <w:pStyle w:val="BodyText"/>
        <w:spacing w:before="5"/>
        <w:rPr>
          <w:sz w:val="34"/>
        </w:rPr>
      </w:pPr>
    </w:p>
    <w:p>
      <w:pPr>
        <w:pStyle w:val="BodyText"/>
        <w:spacing w:line="480" w:lineRule="auto"/>
        <w:ind w:left="307"/>
      </w:pPr>
      <w:r>
        <w:rPr/>
        <w:t>where</w:t>
      </w:r>
      <w:r>
        <w:rPr>
          <w:spacing w:val="28"/>
        </w:rPr>
        <w:t> </w:t>
      </w:r>
      <w:r>
        <w:rPr/>
        <w:t>V=potential</w:t>
      </w:r>
      <w:r>
        <w:rPr>
          <w:spacing w:val="30"/>
        </w:rPr>
        <w:t> </w:t>
      </w:r>
      <w:r>
        <w:rPr/>
        <w:t>difference,</w:t>
      </w:r>
      <w:r>
        <w:rPr>
          <w:spacing w:val="32"/>
        </w:rPr>
        <w:t> </w:t>
      </w:r>
      <w:r>
        <w:rPr/>
        <w:t>L=current</w:t>
      </w:r>
      <w:r>
        <w:rPr>
          <w:spacing w:val="31"/>
        </w:rPr>
        <w:t> </w:t>
      </w:r>
      <w:r>
        <w:rPr/>
        <w:t>electrode</w:t>
      </w:r>
      <w:r>
        <w:rPr>
          <w:spacing w:val="29"/>
        </w:rPr>
        <w:t> </w:t>
      </w:r>
      <w:r>
        <w:rPr/>
        <w:t>separation,</w:t>
      </w:r>
      <w:r>
        <w:rPr>
          <w:spacing w:val="30"/>
        </w:rPr>
        <w:t> </w:t>
      </w:r>
      <w:r>
        <w:rPr/>
        <w:t>A=cross</w:t>
      </w:r>
      <w:r>
        <w:rPr>
          <w:spacing w:val="28"/>
        </w:rPr>
        <w:t> </w:t>
      </w:r>
      <w:r>
        <w:rPr/>
        <w:t>sectional</w:t>
      </w:r>
      <w:r>
        <w:rPr>
          <w:spacing w:val="28"/>
        </w:rPr>
        <w:t> </w:t>
      </w:r>
      <w:r>
        <w:rPr/>
        <w:t>area,</w:t>
      </w:r>
      <w:r>
        <w:rPr>
          <w:spacing w:val="-57"/>
        </w:rPr>
        <w:t> </w:t>
      </w:r>
      <w:r>
        <w:rPr/>
        <w:t>I=current</w:t>
      </w:r>
      <w:r>
        <w:rPr>
          <w:spacing w:val="-1"/>
        </w:rPr>
        <w:t> </w:t>
      </w:r>
      <w:r>
        <w:rPr/>
        <w:t>and R=</w:t>
      </w:r>
      <w:r>
        <w:rPr>
          <w:spacing w:val="1"/>
        </w:rPr>
        <w:t> </w:t>
      </w:r>
      <w:r>
        <w:rPr/>
        <w:t>resistant</w:t>
      </w:r>
    </w:p>
    <w:p>
      <w:pPr>
        <w:spacing w:after="0" w:line="480" w:lineRule="auto"/>
        <w:sectPr>
          <w:type w:val="continuous"/>
          <w:pgSz w:w="11910" w:h="16840"/>
          <w:pgMar w:top="1320" w:bottom="280" w:left="1680" w:right="980"/>
        </w:sectPr>
      </w:pPr>
    </w:p>
    <w:p>
      <w:pPr>
        <w:spacing w:line="158" w:lineRule="auto" w:before="137"/>
        <w:ind w:left="317" w:right="0" w:firstLine="0"/>
        <w:jc w:val="left"/>
        <w:rPr>
          <w:rFonts w:ascii="Cambria Math" w:eastAsia="Cambria Math"/>
          <w:sz w:val="17"/>
        </w:rPr>
      </w:pPr>
      <w:r>
        <w:rPr/>
        <w:pict>
          <v:rect style="position:absolute;margin-left:99.384003pt;margin-top:16.745567pt;width:5.88pt;height:.84pt;mso-position-horizontal-relative:page;mso-position-vertical-relative:paragraph;z-index:-18535424" filled="true" fillcolor="#000000" stroked="false">
            <v:fill type="solid"/>
            <w10:wrap type="none"/>
          </v:rect>
        </w:pict>
      </w:r>
      <w:r>
        <w:rPr/>
        <w:pict>
          <v:rect style="position:absolute;margin-left:123.5pt;margin-top:16.745567pt;width:5.76pt;height:.84pt;mso-position-horizontal-relative:page;mso-position-vertical-relative:paragraph;z-index:-18534912" filled="true" fillcolor="#000000" stroked="false">
            <v:fill type="solid"/>
            <w10:wrap type="none"/>
          </v:rect>
        </w:pict>
      </w:r>
      <w:r>
        <w:rPr>
          <w:rFonts w:ascii="Cambria Math" w:eastAsia="Cambria Math"/>
          <w:w w:val="105"/>
          <w:sz w:val="17"/>
        </w:rPr>
        <w:t>1</w:t>
      </w:r>
      <w:r>
        <w:rPr>
          <w:rFonts w:ascii="Cambria Math" w:eastAsia="Cambria Math"/>
          <w:spacing w:val="31"/>
          <w:w w:val="105"/>
          <w:sz w:val="17"/>
        </w:rPr>
        <w:t> </w:t>
      </w:r>
      <w:r>
        <w:rPr>
          <w:rFonts w:ascii="Cambria Math" w:eastAsia="Cambria Math"/>
          <w:w w:val="105"/>
          <w:position w:val="-13"/>
          <w:sz w:val="24"/>
        </w:rPr>
        <w:t>= </w:t>
      </w:r>
      <w:r>
        <w:rPr>
          <w:rFonts w:ascii="Cambria Math" w:eastAsia="Cambria Math"/>
          <w:spacing w:val="25"/>
          <w:w w:val="105"/>
          <w:position w:val="-13"/>
          <w:sz w:val="24"/>
        </w:rPr>
        <w:t> </w:t>
      </w:r>
      <w:r>
        <w:rPr>
          <w:rFonts w:ascii="Cambria Math" w:eastAsia="Cambria Math"/>
          <w:w w:val="105"/>
          <w:sz w:val="17"/>
        </w:rPr>
        <w:t>𝐼</w:t>
      </w:r>
    </w:p>
    <w:p>
      <w:pPr>
        <w:pStyle w:val="BodyText"/>
        <w:spacing w:line="211" w:lineRule="exact" w:before="188"/>
        <w:ind w:left="317"/>
      </w:pPr>
      <w:r>
        <w:rPr/>
        <w:br w:type="column"/>
      </w:r>
      <w:r>
        <w:rPr/>
        <w:t>(3.3)</w:t>
      </w:r>
    </w:p>
    <w:p>
      <w:pPr>
        <w:spacing w:after="0" w:line="211" w:lineRule="exact"/>
        <w:sectPr>
          <w:type w:val="continuous"/>
          <w:pgSz w:w="11910" w:h="16840"/>
          <w:pgMar w:top="1320" w:bottom="280" w:left="1680" w:right="980"/>
          <w:cols w:num="2" w:equalWidth="0">
            <w:col w:w="919" w:space="6993"/>
            <w:col w:w="1338"/>
          </w:cols>
        </w:sectPr>
      </w:pPr>
    </w:p>
    <w:p>
      <w:pPr>
        <w:tabs>
          <w:tab w:pos="789" w:val="left" w:leader="none"/>
        </w:tabs>
        <w:spacing w:line="171" w:lineRule="exact" w:before="0"/>
        <w:ind w:left="307" w:right="0" w:firstLine="0"/>
        <w:jc w:val="left"/>
        <w:rPr>
          <w:rFonts w:ascii="Cambria Math" w:eastAsia="Cambria Math"/>
          <w:sz w:val="17"/>
        </w:rPr>
      </w:pPr>
      <w:r>
        <w:rPr>
          <w:rFonts w:ascii="Cambria Math" w:eastAsia="Cambria Math"/>
          <w:w w:val="105"/>
          <w:sz w:val="17"/>
        </w:rPr>
        <w:t>𝑅</w:t>
        <w:tab/>
        <w:t>𝑉</w:t>
      </w:r>
    </w:p>
    <w:p>
      <w:pPr>
        <w:pStyle w:val="BodyText"/>
        <w:rPr>
          <w:rFonts w:ascii="Cambria Math"/>
          <w:sz w:val="23"/>
        </w:rPr>
      </w:pPr>
    </w:p>
    <w:p>
      <w:pPr>
        <w:pStyle w:val="BodyText"/>
        <w:spacing w:before="90"/>
        <w:ind w:left="307"/>
      </w:pPr>
      <w:r>
        <w:rPr/>
        <w:t>Therefore,</w:t>
      </w:r>
    </w:p>
    <w:p>
      <w:pPr>
        <w:pStyle w:val="BodyText"/>
        <w:rPr>
          <w:sz w:val="27"/>
        </w:rPr>
      </w:pPr>
    </w:p>
    <w:p>
      <w:pPr>
        <w:spacing w:after="0"/>
        <w:rPr>
          <w:sz w:val="27"/>
        </w:rPr>
        <w:sectPr>
          <w:type w:val="continuous"/>
          <w:pgSz w:w="11910" w:h="16840"/>
          <w:pgMar w:top="1320" w:bottom="280" w:left="1680" w:right="980"/>
        </w:sectPr>
      </w:pPr>
    </w:p>
    <w:p>
      <w:pPr>
        <w:spacing w:line="158" w:lineRule="auto" w:before="100"/>
        <w:ind w:left="307" w:right="0" w:firstLine="0"/>
        <w:jc w:val="left"/>
        <w:rPr>
          <w:rFonts w:ascii="Cambria Math" w:eastAsia="Cambria Math"/>
          <w:sz w:val="17"/>
        </w:rPr>
      </w:pPr>
      <w:r>
        <w:rPr/>
        <w:pict>
          <v:rect style="position:absolute;margin-left:124.940002pt;margin-top:14.895597pt;width:5.64pt;height:.83997pt;mso-position-horizontal-relative:page;mso-position-vertical-relative:paragraph;z-index:-18534400" filled="true" fillcolor="#000000" stroked="false">
            <v:fill type="solid"/>
            <w10:wrap type="none"/>
          </v:rect>
        </w:pict>
      </w:r>
      <w:r>
        <w:rPr/>
        <w:pict>
          <v:rect style="position:absolute;margin-left:143.300003pt;margin-top:14.895597pt;width:11.28pt;height:.83997pt;mso-position-horizontal-relative:page;mso-position-vertical-relative:paragraph;z-index:-18533888" filled="true" fillcolor="#000000" stroked="false">
            <v:fill type="solid"/>
            <w10:wrap type="none"/>
          </v:rect>
        </w:pict>
      </w:r>
      <w:r>
        <w:rPr>
          <w:rFonts w:ascii="Cambria Math" w:eastAsia="Cambria Math"/>
          <w:position w:val="-13"/>
          <w:sz w:val="24"/>
        </w:rPr>
        <w:t>𝜎</w:t>
      </w:r>
      <w:r>
        <w:rPr>
          <w:rFonts w:ascii="Cambria Math" w:eastAsia="Cambria Math"/>
          <w:spacing w:val="21"/>
          <w:position w:val="-13"/>
          <w:sz w:val="24"/>
        </w:rPr>
        <w:t> </w:t>
      </w:r>
      <w:r>
        <w:rPr>
          <w:rFonts w:ascii="Cambria Math" w:eastAsia="Cambria Math"/>
          <w:position w:val="-13"/>
          <w:sz w:val="24"/>
        </w:rPr>
        <w:t>=</w:t>
      </w:r>
      <w:r>
        <w:rPr>
          <w:rFonts w:ascii="Cambria Math" w:eastAsia="Cambria Math"/>
          <w:spacing w:val="86"/>
          <w:position w:val="-13"/>
          <w:sz w:val="24"/>
        </w:rPr>
        <w:t> </w:t>
      </w:r>
      <w:r>
        <w:rPr>
          <w:rFonts w:ascii="Cambria Math" w:eastAsia="Cambria Math"/>
          <w:sz w:val="17"/>
        </w:rPr>
        <w:t>𝐼</w:t>
      </w:r>
      <w:r>
        <w:rPr>
          <w:rFonts w:ascii="Cambria Math" w:eastAsia="Cambria Math"/>
          <w:spacing w:val="51"/>
          <w:sz w:val="17"/>
        </w:rPr>
        <w:t> </w:t>
      </w:r>
      <w:r>
        <w:rPr>
          <w:position w:val="-13"/>
          <w:sz w:val="24"/>
        </w:rPr>
        <w:t>=</w:t>
      </w:r>
      <w:r>
        <w:rPr>
          <w:spacing w:val="28"/>
          <w:position w:val="-13"/>
          <w:sz w:val="24"/>
        </w:rPr>
        <w:t> </w:t>
      </w:r>
      <w:r>
        <w:rPr>
          <w:rFonts w:ascii="Cambria Math" w:eastAsia="Cambria Math"/>
          <w:sz w:val="17"/>
        </w:rPr>
        <w:t>𝐿𝐼</w:t>
      </w:r>
    </w:p>
    <w:p>
      <w:pPr>
        <w:pStyle w:val="BodyText"/>
        <w:spacing w:line="211" w:lineRule="exact" w:before="150"/>
        <w:ind w:left="307"/>
      </w:pPr>
      <w:r>
        <w:rPr/>
        <w:br w:type="column"/>
      </w:r>
      <w:r>
        <w:rPr/>
        <w:t>(3.4)</w:t>
      </w:r>
    </w:p>
    <w:p>
      <w:pPr>
        <w:spacing w:after="0" w:line="211" w:lineRule="exact"/>
        <w:sectPr>
          <w:type w:val="continuous"/>
          <w:pgSz w:w="11910" w:h="16840"/>
          <w:pgMar w:top="1320" w:bottom="280" w:left="1680" w:right="980"/>
          <w:cols w:num="2" w:equalWidth="0">
            <w:col w:w="1416" w:space="6506"/>
            <w:col w:w="1328"/>
          </w:cols>
        </w:sectPr>
      </w:pPr>
    </w:p>
    <w:p>
      <w:pPr>
        <w:tabs>
          <w:tab w:pos="1185" w:val="left" w:leader="none"/>
        </w:tabs>
        <w:spacing w:line="170" w:lineRule="exact" w:before="0"/>
        <w:ind w:left="818" w:right="0" w:firstLine="0"/>
        <w:jc w:val="left"/>
        <w:rPr>
          <w:rFonts w:ascii="Cambria Math" w:eastAsia="Cambria Math"/>
          <w:sz w:val="17"/>
        </w:rPr>
      </w:pPr>
      <w:r>
        <w:rPr>
          <w:rFonts w:ascii="Cambria Math" w:eastAsia="Cambria Math"/>
          <w:w w:val="110"/>
          <w:sz w:val="17"/>
        </w:rPr>
        <w:t>𝜌</w:t>
        <w:tab/>
        <w:t>𝑉𝐴</w:t>
      </w:r>
    </w:p>
    <w:p>
      <w:pPr>
        <w:pStyle w:val="BodyText"/>
        <w:spacing w:before="3"/>
        <w:rPr>
          <w:rFonts w:ascii="Cambria Math"/>
          <w:sz w:val="26"/>
        </w:rPr>
      </w:pPr>
    </w:p>
    <w:p>
      <w:pPr>
        <w:pStyle w:val="BodyText"/>
        <w:tabs>
          <w:tab w:pos="8229" w:val="left" w:leader="none"/>
        </w:tabs>
        <w:spacing w:line="289" w:lineRule="exact" w:before="73"/>
        <w:ind w:left="307"/>
      </w:pPr>
      <w:r>
        <w:rPr/>
        <w:pict>
          <v:rect style="position:absolute;margin-left:124.940002pt;margin-top:14.886704pt;width:5.64pt;height:.83997pt;mso-position-horizontal-relative:page;mso-position-vertical-relative:paragraph;z-index:-18533376" filled="true" fillcolor="#000000" stroked="false">
            <v:fill type="solid"/>
            <w10:wrap type="none"/>
          </v:rect>
        </w:pict>
      </w:r>
      <w:r>
        <w:rPr/>
        <w:pict>
          <v:rect style="position:absolute;margin-left:143.300003pt;margin-top:14.886704pt;width:5.76pt;height:.83997pt;mso-position-horizontal-relative:page;mso-position-vertical-relative:paragraph;z-index:-18532864" filled="true" fillcolor="#000000" stroked="false">
            <v:fill type="solid"/>
            <w10:wrap type="none"/>
          </v:rect>
        </w:pict>
      </w:r>
      <w:r>
        <w:rPr>
          <w:rFonts w:ascii="Cambria Math" w:eastAsia="Cambria Math"/>
        </w:rPr>
        <w:t>𝜎</w:t>
      </w:r>
      <w:r>
        <w:rPr>
          <w:rFonts w:ascii="Cambria Math" w:eastAsia="Cambria Math"/>
          <w:spacing w:val="21"/>
        </w:rPr>
        <w:t> </w:t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86"/>
        </w:rPr>
        <w:t> </w:t>
      </w:r>
      <w:r>
        <w:rPr>
          <w:rFonts w:ascii="Cambria Math" w:eastAsia="Cambria Math"/>
          <w:position w:val="14"/>
          <w:sz w:val="17"/>
        </w:rPr>
        <w:t>𝐼</w:t>
      </w:r>
      <w:r>
        <w:rPr>
          <w:rFonts w:ascii="Cambria Math" w:eastAsia="Cambria Math"/>
          <w:spacing w:val="51"/>
          <w:position w:val="14"/>
          <w:sz w:val="17"/>
        </w:rPr>
        <w:t> </w:t>
      </w:r>
      <w:r>
        <w:rPr/>
        <w:t>=</w:t>
      </w:r>
      <w:r>
        <w:rPr>
          <w:spacing w:val="7"/>
        </w:rPr>
        <w:t> </w:t>
      </w:r>
      <w:r>
        <w:rPr>
          <w:rFonts w:ascii="Cambria Math" w:eastAsia="Cambria Math"/>
          <w:vertAlign w:val="superscript"/>
        </w:rPr>
        <w:t>𝐿</w:t>
      </w:r>
      <w:r>
        <w:rPr>
          <w:rFonts w:ascii="Cambria Math" w:eastAsia="Cambria Math"/>
          <w:spacing w:val="3"/>
          <w:vertAlign w:val="baseline"/>
        </w:rPr>
        <w:t> </w:t>
      </w:r>
      <w:r>
        <w:rPr>
          <w:rFonts w:ascii="Cambria Math" w:eastAsia="Cambria Math"/>
          <w:vertAlign w:val="baseline"/>
        </w:rPr>
        <w:t>𝐽</w:t>
        <w:tab/>
      </w:r>
      <w:r>
        <w:rPr>
          <w:vertAlign w:val="baseline"/>
        </w:rPr>
        <w:t>(3.5)</w:t>
      </w:r>
    </w:p>
    <w:p>
      <w:pPr>
        <w:tabs>
          <w:tab w:pos="1185" w:val="left" w:leader="none"/>
        </w:tabs>
        <w:spacing w:line="170" w:lineRule="exact" w:before="0"/>
        <w:ind w:left="818" w:right="0" w:firstLine="0"/>
        <w:jc w:val="left"/>
        <w:rPr>
          <w:rFonts w:ascii="Cambria Math" w:eastAsia="Cambria Math"/>
          <w:sz w:val="17"/>
        </w:rPr>
      </w:pPr>
      <w:r>
        <w:rPr>
          <w:rFonts w:ascii="Cambria Math" w:eastAsia="Cambria Math"/>
          <w:w w:val="110"/>
          <w:sz w:val="17"/>
        </w:rPr>
        <w:t>𝜌</w:t>
        <w:tab/>
        <w:t>𝑉</w:t>
      </w:r>
    </w:p>
    <w:p>
      <w:pPr>
        <w:spacing w:after="0" w:line="170" w:lineRule="exact"/>
        <w:jc w:val="left"/>
        <w:rPr>
          <w:rFonts w:ascii="Cambria Math" w:eastAsia="Cambria Math"/>
          <w:sz w:val="17"/>
        </w:rPr>
        <w:sectPr>
          <w:type w:val="continuous"/>
          <w:pgSz w:w="11910" w:h="16840"/>
          <w:pgMar w:top="1320" w:bottom="280" w:left="1680" w:right="980"/>
        </w:sect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spacing w:before="11"/>
        <w:rPr>
          <w:rFonts w:ascii="Cambria Math"/>
          <w:sz w:val="18"/>
        </w:rPr>
      </w:pPr>
    </w:p>
    <w:p>
      <w:pPr>
        <w:pStyle w:val="BodyText"/>
        <w:ind w:left="572"/>
        <w:rPr>
          <w:rFonts w:ascii="Cambria Math"/>
          <w:sz w:val="20"/>
        </w:rPr>
      </w:pPr>
      <w:r>
        <w:rPr>
          <w:rFonts w:ascii="Cambria Math"/>
          <w:sz w:val="20"/>
        </w:rPr>
        <w:drawing>
          <wp:inline distT="0" distB="0" distL="0" distR="0">
            <wp:extent cx="5318463" cy="4337685"/>
            <wp:effectExtent l="0" t="0" r="0" b="0"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8463" cy="433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 Math"/>
          <w:sz w:val="20"/>
        </w:rPr>
      </w: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spacing w:before="1"/>
        <w:rPr>
          <w:rFonts w:ascii="Cambria Math"/>
          <w:sz w:val="28"/>
        </w:rPr>
      </w:pPr>
    </w:p>
    <w:p>
      <w:pPr>
        <w:pStyle w:val="BodyText"/>
        <w:spacing w:before="90"/>
        <w:ind w:left="385" w:right="509"/>
        <w:jc w:val="center"/>
      </w:pPr>
      <w:r>
        <w:rPr/>
        <w:t>Figure</w:t>
      </w:r>
      <w:r>
        <w:rPr>
          <w:spacing w:val="-5"/>
        </w:rPr>
        <w:t> </w:t>
      </w:r>
      <w:r>
        <w:rPr/>
        <w:t>3.1 electrode</w:t>
      </w:r>
      <w:r>
        <w:rPr>
          <w:spacing w:val="-3"/>
        </w:rPr>
        <w:t> </w:t>
      </w:r>
      <w:r>
        <w:rPr/>
        <w:t>configuration</w:t>
      </w:r>
    </w:p>
    <w:p>
      <w:pPr>
        <w:spacing w:after="0"/>
        <w:jc w:val="center"/>
        <w:sectPr>
          <w:pgSz w:w="11910" w:h="16840"/>
          <w:pgMar w:header="0" w:footer="1067" w:top="1580" w:bottom="1260" w:left="1680" w:right="980"/>
        </w:sectPr>
      </w:pPr>
    </w:p>
    <w:p>
      <w:pPr>
        <w:pStyle w:val="BodyText"/>
        <w:tabs>
          <w:tab w:pos="8229" w:val="left" w:leader="none"/>
        </w:tabs>
        <w:spacing w:line="308" w:lineRule="exact" w:before="52"/>
        <w:ind w:left="307"/>
      </w:pPr>
      <w:r>
        <w:rPr/>
        <w:pict>
          <v:rect style="position:absolute;margin-left:122.419998pt;margin-top:13.836667pt;width:5.76pt;height:.84pt;mso-position-horizontal-relative:page;mso-position-vertical-relative:paragraph;z-index:-18532352" filled="true" fillcolor="#000000" stroked="false">
            <v:fill type="solid"/>
            <w10:wrap type="none"/>
          </v:rect>
        </w:pict>
      </w:r>
      <w:r>
        <w:rPr>
          <w:rFonts w:ascii="Cambria Math" w:eastAsia="Cambria Math"/>
        </w:rPr>
        <w:t>𝐽</w:t>
      </w:r>
      <w:r>
        <w:rPr>
          <w:rFonts w:ascii="Cambria Math" w:eastAsia="Cambria Math"/>
          <w:spacing w:val="18"/>
        </w:rPr>
        <w:t> </w:t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66"/>
        </w:rPr>
        <w:t> </w:t>
      </w:r>
      <w:r>
        <w:rPr>
          <w:rFonts w:ascii="Cambria Math" w:eastAsia="Cambria Math"/>
          <w:position w:val="14"/>
          <w:sz w:val="17"/>
        </w:rPr>
        <w:t>𝑉</w:t>
      </w:r>
      <w:r>
        <w:rPr>
          <w:rFonts w:ascii="Cambria Math" w:eastAsia="Cambria Math"/>
          <w:spacing w:val="8"/>
          <w:position w:val="14"/>
          <w:sz w:val="17"/>
        </w:rPr>
        <w:t> </w:t>
      </w:r>
      <w:r>
        <w:rPr>
          <w:rFonts w:ascii="Cambria Math" w:eastAsia="Cambria Math"/>
        </w:rPr>
        <w:t>𝜎</w:t>
        <w:tab/>
      </w:r>
      <w:r>
        <w:rPr/>
        <w:t>(3.6)</w:t>
      </w:r>
    </w:p>
    <w:p>
      <w:pPr>
        <w:spacing w:line="152" w:lineRule="exact" w:before="0"/>
        <w:ind w:left="775" w:right="0" w:firstLine="0"/>
        <w:jc w:val="left"/>
        <w:rPr>
          <w:rFonts w:ascii="Cambria Math" w:eastAsia="Cambria Math"/>
          <w:sz w:val="17"/>
        </w:rPr>
      </w:pPr>
      <w:r>
        <w:rPr>
          <w:rFonts w:ascii="Cambria Math" w:eastAsia="Cambria Math"/>
          <w:w w:val="105"/>
          <w:sz w:val="17"/>
        </w:rPr>
        <w:t>𝐿</w:t>
      </w:r>
    </w:p>
    <w:p>
      <w:pPr>
        <w:pStyle w:val="BodyText"/>
        <w:rPr>
          <w:rFonts w:ascii="Cambria Math"/>
        </w:rPr>
      </w:pPr>
    </w:p>
    <w:p>
      <w:pPr>
        <w:pStyle w:val="BodyText"/>
        <w:spacing w:line="289" w:lineRule="exact" w:before="73"/>
        <w:ind w:left="307"/>
        <w:rPr>
          <w:rFonts w:ascii="Cambria Math" w:eastAsia="Cambria Math"/>
        </w:rPr>
      </w:pPr>
      <w:r>
        <w:rPr/>
        <w:pict>
          <v:rect style="position:absolute;margin-left:122.419998pt;margin-top:14.886655pt;width:5.76pt;height:.84pt;mso-position-horizontal-relative:page;mso-position-vertical-relative:paragraph;z-index:-18531840" filled="true" fillcolor="#000000" stroked="false">
            <v:fill type="solid"/>
            <w10:wrap type="none"/>
          </v:rect>
        </w:pict>
      </w:r>
      <w:r>
        <w:rPr/>
        <w:pict>
          <v:rect style="position:absolute;margin-left:140.899994pt;margin-top:14.886655pt;width:15.96pt;height:.84pt;mso-position-horizontal-relative:page;mso-position-vertical-relative:paragraph;z-index:-18531328" filled="true" fillcolor="#000000" stroked="false">
            <v:fill type="solid"/>
            <w10:wrap type="none"/>
          </v:rect>
        </w:pict>
      </w:r>
      <w:r>
        <w:rPr/>
        <w:pict>
          <v:rect style="position:absolute;margin-left:184.25pt;margin-top:14.886655pt;width:5.76pt;height:.84pt;mso-position-horizontal-relative:page;mso-position-vertical-relative:paragraph;z-index:-18530816" filled="true" fillcolor="#000000" stroked="false">
            <v:fill type="solid"/>
            <w10:wrap type="none"/>
          </v:rect>
        </w:pict>
      </w:r>
      <w:r>
        <w:rPr/>
        <w:pict>
          <v:rect style="position:absolute;margin-left:214.130005pt;margin-top:14.886655pt;width:5.76pt;height:.84pt;mso-position-horizontal-relative:page;mso-position-vertical-relative:paragraph;z-index:-18530304" filled="true" fillcolor="#000000" stroked="false">
            <v:fill type="solid"/>
            <w10:wrap type="none"/>
          </v:rect>
        </w:pict>
      </w:r>
      <w:r>
        <w:rPr>
          <w:rFonts w:ascii="Cambria Math" w:eastAsia="Cambria Math"/>
        </w:rPr>
        <w:t>𝐽</w:t>
      </w:r>
      <w:r>
        <w:rPr>
          <w:rFonts w:ascii="Cambria Math" w:eastAsia="Cambria Math"/>
          <w:spacing w:val="22"/>
        </w:rPr>
        <w:t> </w:t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97"/>
        </w:rPr>
        <w:t> </w:t>
      </w:r>
      <w:r>
        <w:rPr>
          <w:rFonts w:ascii="Cambria Math" w:eastAsia="Cambria Math"/>
          <w:position w:val="14"/>
          <w:sz w:val="17"/>
        </w:rPr>
        <w:t>𝐼</w:t>
      </w:r>
      <w:r>
        <w:rPr>
          <w:rFonts w:ascii="Cambria Math" w:eastAsia="Cambria Math"/>
          <w:spacing w:val="55"/>
          <w:position w:val="14"/>
          <w:sz w:val="17"/>
        </w:rPr>
        <w:t> </w:t>
      </w:r>
      <w:r>
        <w:rPr/>
        <w:t>=</w:t>
      </w:r>
      <w:r>
        <w:rPr>
          <w:spacing w:val="3"/>
        </w:rPr>
        <w:t> </w:t>
      </w:r>
      <w:r>
        <w:rPr>
          <w:rFonts w:ascii="Cambria Math" w:eastAsia="Cambria Math"/>
          <w:vertAlign w:val="superscript"/>
        </w:rPr>
        <w:t>𝜎𝑑𝑣</w:t>
      </w:r>
      <w:r>
        <w:rPr>
          <w:vertAlign w:val="baseline"/>
        </w:rPr>
        <w:t>but,</w:t>
      </w:r>
      <w:r>
        <w:rPr>
          <w:spacing w:val="75"/>
          <w:vertAlign w:val="baseline"/>
        </w:rPr>
        <w:t> </w:t>
      </w:r>
      <w:r>
        <w:rPr>
          <w:rFonts w:ascii="Cambria Math" w:eastAsia="Cambria Math"/>
          <w:vertAlign w:val="superscript"/>
        </w:rPr>
        <w:t>𝑉</w:t>
      </w:r>
      <w:r>
        <w:rPr>
          <w:rFonts w:ascii="Cambria Math" w:eastAsia="Cambria Math"/>
          <w:spacing w:val="16"/>
          <w:vertAlign w:val="baseline"/>
        </w:rPr>
        <w:t> </w:t>
      </w:r>
      <w:r>
        <w:rPr>
          <w:vertAlign w:val="baseline"/>
        </w:rPr>
        <w:t>=</w:t>
      </w:r>
      <w:r>
        <w:rPr>
          <w:spacing w:val="3"/>
          <w:vertAlign w:val="baseline"/>
        </w:rPr>
        <w:t> </w:t>
      </w:r>
      <w:r>
        <w:rPr>
          <w:i/>
          <w:vertAlign w:val="baseline"/>
        </w:rPr>
        <w:t>E;</w:t>
      </w:r>
      <w:r>
        <w:rPr>
          <w:i/>
          <w:spacing w:val="-35"/>
          <w:vertAlign w:val="baseline"/>
        </w:rPr>
        <w:t> </w:t>
      </w:r>
      <w:r>
        <w:rPr>
          <w:rFonts w:ascii="Cambria Math" w:eastAsia="Cambria Math"/>
          <w:vertAlign w:val="superscript"/>
        </w:rPr>
        <w:t>𝐼</w:t>
      </w:r>
      <w:r>
        <w:rPr>
          <w:rFonts w:ascii="Cambria Math" w:eastAsia="Cambria Math"/>
          <w:spacing w:val="45"/>
          <w:vertAlign w:val="baseline"/>
        </w:rPr>
        <w:t> </w:t>
      </w:r>
      <w:r>
        <w:rPr>
          <w:rFonts w:ascii="Cambria Math" w:eastAsia="Cambria Math"/>
          <w:vertAlign w:val="baseline"/>
        </w:rPr>
        <w:t>=</w:t>
      </w:r>
      <w:r>
        <w:rPr>
          <w:rFonts w:ascii="Cambria Math" w:eastAsia="Cambria Math"/>
          <w:spacing w:val="16"/>
          <w:vertAlign w:val="baseline"/>
        </w:rPr>
        <w:t> </w:t>
      </w:r>
      <w:r>
        <w:rPr>
          <w:rFonts w:ascii="Cambria Math" w:eastAsia="Cambria Math"/>
          <w:vertAlign w:val="baseline"/>
        </w:rPr>
        <w:t>𝐽</w:t>
      </w:r>
    </w:p>
    <w:p>
      <w:pPr>
        <w:tabs>
          <w:tab w:pos="1209" w:val="left" w:leader="none"/>
          <w:tab w:pos="2012" w:val="left" w:leader="none"/>
          <w:tab w:pos="2602" w:val="left" w:leader="none"/>
        </w:tabs>
        <w:spacing w:line="170" w:lineRule="exact" w:before="0"/>
        <w:ind w:left="768" w:right="0" w:firstLine="0"/>
        <w:jc w:val="left"/>
        <w:rPr>
          <w:rFonts w:ascii="Cambria Math" w:eastAsia="Cambria Math"/>
          <w:sz w:val="17"/>
        </w:rPr>
      </w:pPr>
      <w:r>
        <w:rPr>
          <w:rFonts w:ascii="Cambria Math" w:eastAsia="Cambria Math"/>
          <w:w w:val="110"/>
          <w:sz w:val="17"/>
        </w:rPr>
        <w:t>𝐴</w:t>
        <w:tab/>
        <w:t>𝑑𝑙</w:t>
        <w:tab/>
        <w:t>𝐿</w:t>
        <w:tab/>
        <w:t>𝐴</w:t>
      </w:r>
    </w:p>
    <w:p>
      <w:pPr>
        <w:pStyle w:val="BodyText"/>
        <w:spacing w:before="9"/>
        <w:rPr>
          <w:rFonts w:ascii="Cambria Math"/>
          <w:sz w:val="22"/>
        </w:rPr>
      </w:pPr>
    </w:p>
    <w:p>
      <w:pPr>
        <w:pStyle w:val="BodyText"/>
        <w:spacing w:line="480" w:lineRule="auto" w:before="90"/>
        <w:ind w:left="307"/>
      </w:pPr>
      <w:r>
        <w:rPr/>
        <w:t>where</w:t>
      </w:r>
      <w:r>
        <w:rPr>
          <w:spacing w:val="11"/>
        </w:rPr>
        <w:t> </w:t>
      </w:r>
      <w:r>
        <w:rPr/>
        <w:t>J</w:t>
      </w:r>
      <w:r>
        <w:rPr>
          <w:spacing w:val="14"/>
        </w:rPr>
        <w:t> </w:t>
      </w:r>
      <w:r>
        <w:rPr/>
        <w:t>is</w:t>
      </w:r>
      <w:r>
        <w:rPr>
          <w:spacing w:val="12"/>
        </w:rPr>
        <w:t> </w:t>
      </w:r>
      <w:r>
        <w:rPr/>
        <w:t>the</w:t>
      </w:r>
      <w:r>
        <w:rPr>
          <w:spacing w:val="10"/>
        </w:rPr>
        <w:t> </w:t>
      </w:r>
      <w:r>
        <w:rPr/>
        <w:t>current</w:t>
      </w:r>
      <w:r>
        <w:rPr>
          <w:spacing w:val="12"/>
        </w:rPr>
        <w:t> </w:t>
      </w:r>
      <w:r>
        <w:rPr/>
        <w:t>density</w:t>
      </w:r>
      <w:r>
        <w:rPr>
          <w:spacing w:val="6"/>
        </w:rPr>
        <w:t> </w:t>
      </w:r>
      <w:r>
        <w:rPr/>
        <w:t>(current</w:t>
      </w:r>
      <w:r>
        <w:rPr>
          <w:spacing w:val="13"/>
        </w:rPr>
        <w:t> </w:t>
      </w:r>
      <w:r>
        <w:rPr/>
        <w:t>divided</w:t>
      </w:r>
      <w:r>
        <w:rPr>
          <w:spacing w:val="11"/>
        </w:rPr>
        <w:t> </w:t>
      </w:r>
      <w:r>
        <w:rPr/>
        <w:t>by</w:t>
      </w:r>
      <w:r>
        <w:rPr>
          <w:spacing w:val="9"/>
        </w:rPr>
        <w:t> </w:t>
      </w:r>
      <w:r>
        <w:rPr/>
        <w:t>area).</w:t>
      </w:r>
      <w:r>
        <w:rPr>
          <w:spacing w:val="10"/>
        </w:rPr>
        <w:t> </w:t>
      </w:r>
      <w:r>
        <w:rPr/>
        <w:t>Three</w:t>
      </w:r>
      <w:r>
        <w:rPr>
          <w:spacing w:val="10"/>
        </w:rPr>
        <w:t> </w:t>
      </w:r>
      <w:r>
        <w:rPr/>
        <w:t>dimensional</w:t>
      </w:r>
      <w:r>
        <w:rPr>
          <w:spacing w:val="12"/>
        </w:rPr>
        <w:t> </w:t>
      </w:r>
      <w:r>
        <w:rPr/>
        <w:t>in</w:t>
      </w:r>
      <w:r>
        <w:rPr>
          <w:spacing w:val="11"/>
        </w:rPr>
        <w:t> </w:t>
      </w:r>
      <w:r>
        <w:rPr/>
        <w:t>electrical</w:t>
      </w:r>
      <w:r>
        <w:rPr>
          <w:spacing w:val="-57"/>
        </w:rPr>
        <w:t> </w:t>
      </w:r>
      <w:r>
        <w:rPr/>
        <w:t>resistivity</w:t>
      </w:r>
      <w:r>
        <w:rPr>
          <w:spacing w:val="-8"/>
        </w:rPr>
        <w:t> </w:t>
      </w:r>
      <w:r>
        <w:rPr/>
        <w:t>in the</w:t>
      </w:r>
      <w:r>
        <w:rPr>
          <w:spacing w:val="-1"/>
        </w:rPr>
        <w:t> </w:t>
      </w:r>
      <w:r>
        <w:rPr/>
        <w:t>direction of J.</w:t>
      </w:r>
    </w:p>
    <w:p>
      <w:pPr>
        <w:pStyle w:val="BodyText"/>
        <w:tabs>
          <w:tab w:pos="8349" w:val="left" w:leader="none"/>
        </w:tabs>
        <w:spacing w:before="123"/>
        <w:ind w:left="307"/>
      </w:pPr>
      <w:r>
        <w:rPr/>
        <w:t>E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– </w:t>
      </w:r>
      <w:r>
        <w:rPr>
          <w:rFonts w:ascii="Cambria Math" w:hAnsi="Cambria Math"/>
        </w:rPr>
        <w:t>∇</w:t>
      </w:r>
      <w:r>
        <w:rPr/>
        <w:t>V</w:t>
        <w:tab/>
        <w:t>(3.7)</w:t>
      </w:r>
    </w:p>
    <w:p>
      <w:pPr>
        <w:pStyle w:val="BodyText"/>
        <w:spacing w:before="9"/>
        <w:rPr>
          <w:sz w:val="34"/>
        </w:rPr>
      </w:pPr>
    </w:p>
    <w:p>
      <w:pPr>
        <w:pStyle w:val="BodyText"/>
        <w:ind w:left="307"/>
      </w:pPr>
      <w:r>
        <w:rPr/>
        <w:t>This</w:t>
      </w:r>
      <w:r>
        <w:rPr>
          <w:spacing w:val="-1"/>
        </w:rPr>
        <w:t> </w:t>
      </w:r>
      <w:r>
        <w:rPr/>
        <w:t>implies that:</w:t>
      </w:r>
    </w:p>
    <w:p>
      <w:pPr>
        <w:pStyle w:val="BodyText"/>
        <w:rPr>
          <w:sz w:val="35"/>
        </w:rPr>
      </w:pPr>
    </w:p>
    <w:p>
      <w:pPr>
        <w:tabs>
          <w:tab w:pos="8229" w:val="left" w:leader="none"/>
        </w:tabs>
        <w:spacing w:line="289" w:lineRule="exact" w:before="1"/>
        <w:ind w:left="307" w:right="0" w:firstLine="0"/>
        <w:jc w:val="left"/>
        <w:rPr>
          <w:sz w:val="24"/>
        </w:rPr>
      </w:pPr>
      <w:r>
        <w:rPr/>
        <w:pict>
          <v:rect style="position:absolute;margin-left:144.139999pt;margin-top:11.286653pt;width:10.56pt;height:.84pt;mso-position-horizontal-relative:page;mso-position-vertical-relative:paragraph;z-index:-18529792" filled="true" fillcolor="#000000" stroked="false">
            <v:fill type="solid"/>
            <w10:wrap type="none"/>
          </v:rect>
        </w:pict>
      </w:r>
      <w:r>
        <w:rPr/>
        <w:pict>
          <v:rect style="position:absolute;margin-left:175.460007pt;margin-top:11.286653pt;width:10.824pt;height:.84pt;mso-position-horizontal-relative:page;mso-position-vertical-relative:paragraph;z-index:-18529280" filled="true" fillcolor="#000000" stroked="false">
            <v:fill type="solid"/>
            <w10:wrap type="none"/>
          </v:rect>
        </w:pict>
      </w:r>
      <w:r>
        <w:rPr/>
        <w:pict>
          <v:rect style="position:absolute;margin-left:209.690002pt;margin-top:11.286653pt;width:10.32pt;height:.84pt;mso-position-horizontal-relative:page;mso-position-vertical-relative:paragraph;z-index:-18528768" filled="true" fillcolor="#000000" stroked="false">
            <v:fill type="solid"/>
            <w10:wrap type="none"/>
          </v:rect>
        </w:pict>
      </w:r>
      <w:r>
        <w:rPr>
          <w:sz w:val="24"/>
        </w:rPr>
        <w:t>J</w:t>
      </w:r>
      <w:r>
        <w:rPr>
          <w:spacing w:val="7"/>
          <w:sz w:val="24"/>
        </w:rPr>
        <w:t> </w:t>
      </w:r>
      <w:r>
        <w:rPr>
          <w:sz w:val="24"/>
        </w:rPr>
        <w:t>=</w:t>
      </w:r>
      <w:r>
        <w:rPr>
          <w:spacing w:val="4"/>
          <w:sz w:val="24"/>
        </w:rPr>
        <w:t> </w:t>
      </w:r>
      <w:r>
        <w:rPr>
          <w:sz w:val="24"/>
        </w:rPr>
        <w:t>–</w:t>
      </w:r>
      <w:r>
        <w:rPr>
          <w:rFonts w:ascii="Cambria Math" w:hAnsi="Cambria Math" w:eastAsia="Cambria Math"/>
          <w:sz w:val="24"/>
        </w:rPr>
        <w:t>𝜎</w:t>
      </w:r>
      <w:r>
        <w:rPr>
          <w:rFonts w:ascii="Cambria Math" w:hAnsi="Cambria Math" w:eastAsia="Cambria Math"/>
          <w:spacing w:val="-2"/>
          <w:sz w:val="24"/>
        </w:rPr>
        <w:t> </w:t>
      </w:r>
      <w:r>
        <w:rPr>
          <w:rFonts w:ascii="Cambria Math" w:hAnsi="Cambria Math" w:eastAsia="Cambria Math"/>
          <w:sz w:val="24"/>
        </w:rPr>
        <w:t>(𝑖</w:t>
      </w:r>
      <w:r>
        <w:rPr>
          <w:rFonts w:ascii="Cambria Math" w:hAnsi="Cambria Math" w:eastAsia="Cambria Math"/>
          <w:spacing w:val="-1"/>
          <w:sz w:val="24"/>
        </w:rPr>
        <w:t> </w:t>
      </w:r>
      <w:r>
        <w:rPr>
          <w:rFonts w:ascii="Cambria Math" w:hAnsi="Cambria Math" w:eastAsia="Cambria Math"/>
          <w:position w:val="14"/>
          <w:sz w:val="17"/>
        </w:rPr>
        <w:t>𝜕𝑣</w:t>
      </w:r>
      <w:r>
        <w:rPr>
          <w:rFonts w:ascii="Cambria Math" w:hAnsi="Cambria Math" w:eastAsia="Cambria Math"/>
          <w:spacing w:val="27"/>
          <w:position w:val="14"/>
          <w:sz w:val="17"/>
        </w:rPr>
        <w:t> </w:t>
      </w:r>
      <w:r>
        <w:rPr>
          <w:rFonts w:ascii="Cambria Math" w:hAnsi="Cambria Math" w:eastAsia="Cambria Math"/>
          <w:sz w:val="24"/>
        </w:rPr>
        <w:t>+</w:t>
      </w:r>
      <w:r>
        <w:rPr>
          <w:rFonts w:ascii="Cambria Math" w:hAnsi="Cambria Math" w:eastAsia="Cambria Math"/>
          <w:spacing w:val="5"/>
          <w:sz w:val="24"/>
        </w:rPr>
        <w:t> </w:t>
      </w:r>
      <w:r>
        <w:rPr>
          <w:rFonts w:ascii="Cambria Math" w:hAnsi="Cambria Math" w:eastAsia="Cambria Math"/>
          <w:sz w:val="24"/>
        </w:rPr>
        <w:t>𝑗</w:t>
      </w:r>
      <w:r>
        <w:rPr>
          <w:rFonts w:ascii="Cambria Math" w:hAnsi="Cambria Math" w:eastAsia="Cambria Math"/>
          <w:spacing w:val="-1"/>
          <w:sz w:val="24"/>
        </w:rPr>
        <w:t> </w:t>
      </w:r>
      <w:r>
        <w:rPr>
          <w:rFonts w:ascii="Cambria Math" w:hAnsi="Cambria Math" w:eastAsia="Cambria Math"/>
          <w:position w:val="14"/>
          <w:sz w:val="17"/>
        </w:rPr>
        <w:t>𝜕𝑣</w:t>
      </w:r>
      <w:r>
        <w:rPr>
          <w:rFonts w:ascii="Cambria Math" w:hAnsi="Cambria Math" w:eastAsia="Cambria Math"/>
          <w:spacing w:val="33"/>
          <w:position w:val="14"/>
          <w:sz w:val="17"/>
        </w:rPr>
        <w:t> </w:t>
      </w:r>
      <w:r>
        <w:rPr>
          <w:rFonts w:ascii="Cambria Math" w:hAnsi="Cambria Math" w:eastAsia="Cambria Math"/>
          <w:sz w:val="24"/>
        </w:rPr>
        <w:t>+</w:t>
      </w:r>
      <w:r>
        <w:rPr>
          <w:rFonts w:ascii="Cambria Math" w:hAnsi="Cambria Math" w:eastAsia="Cambria Math"/>
          <w:spacing w:val="5"/>
          <w:sz w:val="24"/>
        </w:rPr>
        <w:t> </w:t>
      </w:r>
      <w:r>
        <w:rPr>
          <w:rFonts w:ascii="Cambria Math" w:hAnsi="Cambria Math" w:eastAsia="Cambria Math"/>
          <w:sz w:val="24"/>
        </w:rPr>
        <w:t>𝑘</w:t>
      </w:r>
      <w:r>
        <w:rPr>
          <w:rFonts w:ascii="Cambria Math" w:hAnsi="Cambria Math" w:eastAsia="Cambria Math"/>
          <w:spacing w:val="-2"/>
          <w:sz w:val="24"/>
        </w:rPr>
        <w:t> </w:t>
      </w:r>
      <w:r>
        <w:rPr>
          <w:rFonts w:ascii="Cambria Math" w:hAnsi="Cambria Math" w:eastAsia="Cambria Math"/>
          <w:position w:val="14"/>
          <w:sz w:val="17"/>
        </w:rPr>
        <w:t>𝜕𝑣</w:t>
      </w:r>
      <w:r>
        <w:rPr>
          <w:rFonts w:ascii="Cambria Math" w:hAnsi="Cambria Math" w:eastAsia="Cambria Math"/>
          <w:sz w:val="24"/>
        </w:rPr>
        <w:t>)</w:t>
      </w:r>
      <w:r>
        <w:rPr>
          <w:rFonts w:ascii="Cambria Math" w:hAnsi="Cambria Math" w:eastAsia="Cambria Math"/>
          <w:spacing w:val="17"/>
          <w:sz w:val="24"/>
        </w:rPr>
        <w:t> </w:t>
      </w:r>
      <w:r>
        <w:rPr>
          <w:rFonts w:ascii="Cambria Math" w:hAnsi="Cambria Math" w:eastAsia="Cambria Math"/>
          <w:sz w:val="24"/>
        </w:rPr>
        <w:t>=</w:t>
      </w:r>
      <w:r>
        <w:rPr>
          <w:rFonts w:ascii="Cambria Math" w:hAnsi="Cambria Math" w:eastAsia="Cambria Math"/>
          <w:spacing w:val="5"/>
          <w:sz w:val="24"/>
        </w:rPr>
        <w:t> </w:t>
      </w:r>
      <w:r>
        <w:rPr>
          <w:rFonts w:ascii="Cambria Math" w:hAnsi="Cambria Math" w:eastAsia="Cambria Math"/>
          <w:sz w:val="24"/>
        </w:rPr>
        <w:t>–</w:t>
      </w:r>
      <w:r>
        <w:rPr>
          <w:rFonts w:ascii="Cambria Math" w:hAnsi="Cambria Math" w:eastAsia="Cambria Math"/>
          <w:spacing w:val="-10"/>
          <w:sz w:val="24"/>
        </w:rPr>
        <w:t> </w:t>
      </w:r>
      <w:r>
        <w:rPr>
          <w:rFonts w:ascii="Cambria Math" w:hAnsi="Cambria Math" w:eastAsia="Cambria Math"/>
          <w:sz w:val="24"/>
        </w:rPr>
        <w:t>σ∇V</w:t>
        <w:tab/>
      </w:r>
      <w:r>
        <w:rPr>
          <w:sz w:val="24"/>
        </w:rPr>
        <w:t>(3.8)</w:t>
      </w:r>
    </w:p>
    <w:p>
      <w:pPr>
        <w:spacing w:after="0" w:line="289" w:lineRule="exact"/>
        <w:jc w:val="left"/>
        <w:rPr>
          <w:sz w:val="24"/>
        </w:rPr>
        <w:sectPr>
          <w:pgSz w:w="11910" w:h="16840"/>
          <w:pgMar w:header="0" w:footer="1067" w:top="1320" w:bottom="1260" w:left="1680" w:right="980"/>
        </w:sectPr>
      </w:pPr>
    </w:p>
    <w:p>
      <w:pPr>
        <w:spacing w:line="170" w:lineRule="exact" w:before="0"/>
        <w:ind w:left="0" w:right="0" w:firstLine="0"/>
        <w:jc w:val="right"/>
        <w:rPr>
          <w:rFonts w:ascii="Cambria Math" w:eastAsia="Cambria Math"/>
          <w:sz w:val="17"/>
        </w:rPr>
      </w:pPr>
      <w:r>
        <w:rPr>
          <w:rFonts w:ascii="Cambria Math" w:eastAsia="Cambria Math"/>
          <w:w w:val="110"/>
          <w:sz w:val="17"/>
        </w:rPr>
        <w:t>𝜕𝑥</w:t>
      </w:r>
    </w:p>
    <w:p>
      <w:pPr>
        <w:spacing w:line="170" w:lineRule="exact" w:before="0"/>
        <w:ind w:left="379" w:right="0" w:firstLine="0"/>
        <w:jc w:val="left"/>
        <w:rPr>
          <w:rFonts w:ascii="Cambria Math" w:eastAsia="Cambria Math"/>
          <w:sz w:val="17"/>
        </w:rPr>
      </w:pPr>
      <w:r>
        <w:rPr/>
        <w:br w:type="column"/>
      </w:r>
      <w:r>
        <w:rPr>
          <w:rFonts w:ascii="Cambria Math" w:eastAsia="Cambria Math"/>
          <w:w w:val="110"/>
          <w:sz w:val="17"/>
        </w:rPr>
        <w:t>𝜕𝑦</w:t>
      </w:r>
    </w:p>
    <w:p>
      <w:pPr>
        <w:spacing w:line="170" w:lineRule="exact" w:before="0"/>
        <w:ind w:left="433" w:right="0" w:firstLine="0"/>
        <w:jc w:val="left"/>
        <w:rPr>
          <w:rFonts w:ascii="Cambria Math" w:eastAsia="Cambria Math"/>
          <w:sz w:val="17"/>
        </w:rPr>
      </w:pPr>
      <w:r>
        <w:rPr/>
        <w:br w:type="column"/>
      </w:r>
      <w:r>
        <w:rPr>
          <w:rFonts w:ascii="Cambria Math" w:eastAsia="Cambria Math"/>
          <w:w w:val="110"/>
          <w:sz w:val="17"/>
        </w:rPr>
        <w:t>𝜕𝑧</w:t>
      </w:r>
    </w:p>
    <w:p>
      <w:pPr>
        <w:spacing w:after="0" w:line="170" w:lineRule="exact"/>
        <w:jc w:val="left"/>
        <w:rPr>
          <w:rFonts w:ascii="Cambria Math" w:eastAsia="Cambria Math"/>
          <w:sz w:val="17"/>
        </w:rPr>
        <w:sectPr>
          <w:type w:val="continuous"/>
          <w:pgSz w:w="11910" w:h="16840"/>
          <w:pgMar w:top="1320" w:bottom="280" w:left="1680" w:right="980"/>
          <w:cols w:num="3" w:equalWidth="0">
            <w:col w:w="1410" w:space="40"/>
            <w:col w:w="594" w:space="39"/>
            <w:col w:w="7167"/>
          </w:cols>
        </w:sectPr>
      </w:pPr>
    </w:p>
    <w:p>
      <w:pPr>
        <w:pStyle w:val="BodyText"/>
        <w:spacing w:before="5"/>
        <w:rPr>
          <w:rFonts w:ascii="Cambria Math"/>
          <w:sz w:val="25"/>
        </w:rPr>
      </w:pPr>
    </w:p>
    <w:p>
      <w:pPr>
        <w:pStyle w:val="BodyText"/>
        <w:spacing w:line="480" w:lineRule="auto" w:before="90"/>
        <w:ind w:left="307" w:right="429"/>
        <w:jc w:val="both"/>
      </w:pPr>
      <w:r>
        <w:rPr/>
        <w:t>The</w:t>
      </w:r>
      <w:r>
        <w:rPr>
          <w:spacing w:val="1"/>
        </w:rPr>
        <w:t> </w:t>
      </w:r>
      <w:r>
        <w:rPr/>
        <w:t>electrical</w:t>
      </w:r>
      <w:r>
        <w:rPr>
          <w:spacing w:val="1"/>
        </w:rPr>
        <w:t> </w:t>
      </w:r>
      <w:r>
        <w:rPr/>
        <w:t>resistivity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active</w:t>
      </w:r>
      <w:r>
        <w:rPr>
          <w:spacing w:val="1"/>
        </w:rPr>
        <w:t> </w:t>
      </w:r>
      <w:r>
        <w:rPr/>
        <w:t>geophysical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employs</w:t>
      </w:r>
      <w:r>
        <w:rPr>
          <w:spacing w:val="1"/>
        </w:rPr>
        <w:t> </w:t>
      </w:r>
      <w:r>
        <w:rPr/>
        <w:t>an</w:t>
      </w:r>
      <w:r>
        <w:rPr>
          <w:spacing w:val="-57"/>
        </w:rPr>
        <w:t> </w:t>
      </w:r>
      <w:r>
        <w:rPr/>
        <w:t>artificial source which is introduced in to the ground through a pair of electrodes. The</w:t>
      </w:r>
      <w:r>
        <w:rPr>
          <w:spacing w:val="1"/>
        </w:rPr>
        <w:t> </w:t>
      </w:r>
      <w:r>
        <w:rPr/>
        <w:t>procedure involves measurement of potential difference between other two electrodes in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vicinity</w:t>
      </w:r>
      <w:r>
        <w:rPr>
          <w:spacing w:val="-5"/>
        </w:rPr>
        <w:t> </w:t>
      </w:r>
      <w:r>
        <w:rPr/>
        <w:t>of current</w:t>
      </w:r>
      <w:r>
        <w:rPr>
          <w:spacing w:val="2"/>
        </w:rPr>
        <w:t> </w:t>
      </w:r>
      <w:r>
        <w:rPr/>
        <w:t>flow.</w:t>
      </w:r>
    </w:p>
    <w:p>
      <w:pPr>
        <w:pStyle w:val="BodyText"/>
        <w:spacing w:line="480" w:lineRule="auto" w:before="124"/>
        <w:ind w:left="307" w:right="429"/>
        <w:jc w:val="both"/>
      </w:pPr>
      <w:r>
        <w:rPr/>
        <w:t>Apparent resistivity </w:t>
      </w:r>
      <w:r>
        <w:rPr>
          <w:rFonts w:ascii="Cambria Math" w:hAnsi="Cambria Math"/>
        </w:rPr>
        <w:t>ρα </w:t>
      </w:r>
      <w:r>
        <w:rPr/>
        <w:t>is defined as the resistivity of an electrically homogeneous and</w:t>
      </w:r>
      <w:r>
        <w:rPr>
          <w:spacing w:val="1"/>
        </w:rPr>
        <w:t> </w:t>
      </w:r>
      <w:r>
        <w:rPr/>
        <w:t>isotropic half-space that would yield the measured relationship between the applied</w:t>
      </w:r>
      <w:r>
        <w:rPr>
          <w:spacing w:val="1"/>
        </w:rPr>
        <w:t> </w:t>
      </w:r>
      <w:r>
        <w:rPr/>
        <w:t>current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potential</w:t>
      </w:r>
      <w:r>
        <w:rPr>
          <w:spacing w:val="1"/>
        </w:rPr>
        <w:t> </w:t>
      </w:r>
      <w:r>
        <w:rPr/>
        <w:t>deference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particular</w:t>
      </w:r>
      <w:r>
        <w:rPr>
          <w:spacing w:val="1"/>
        </w:rPr>
        <w:t> </w:t>
      </w:r>
      <w:r>
        <w:rPr/>
        <w:t>arrangement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spacing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electrodes (Stummer, </w:t>
      </w:r>
      <w:r>
        <w:rPr>
          <w:i/>
        </w:rPr>
        <w:t>et al., </w:t>
      </w:r>
      <w:r>
        <w:rPr/>
        <w:t>2004). An equation giving the apparent resistivity in terms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applied</w:t>
      </w:r>
      <w:r>
        <w:rPr>
          <w:spacing w:val="1"/>
        </w:rPr>
        <w:t> </w:t>
      </w:r>
      <w:r>
        <w:rPr/>
        <w:t>current,</w:t>
      </w:r>
      <w:r>
        <w:rPr>
          <w:spacing w:val="1"/>
        </w:rPr>
        <w:t> </w:t>
      </w:r>
      <w:r>
        <w:rPr/>
        <w:t>distribution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potential,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arrangement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electrodes</w:t>
      </w:r>
      <w:r>
        <w:rPr>
          <w:spacing w:val="1"/>
        </w:rPr>
        <w:t> </w:t>
      </w:r>
      <w:r>
        <w:rPr/>
        <w:t>can</w:t>
      </w:r>
      <w:r>
        <w:rPr>
          <w:spacing w:val="60"/>
        </w:rPr>
        <w:t> </w:t>
      </w:r>
      <w:r>
        <w:rPr/>
        <w:t>be</w:t>
      </w:r>
      <w:r>
        <w:rPr>
          <w:spacing w:val="1"/>
        </w:rPr>
        <w:t> </w:t>
      </w:r>
      <w:r>
        <w:rPr/>
        <w:t>arrived at through an examination of the potential distribution due to a single current</w:t>
      </w:r>
      <w:r>
        <w:rPr>
          <w:spacing w:val="1"/>
        </w:rPr>
        <w:t> </w:t>
      </w:r>
      <w:r>
        <w:rPr/>
        <w:t>electrode. The effect of an electrode pair (or any other combination) can be found by</w:t>
      </w:r>
      <w:r>
        <w:rPr>
          <w:spacing w:val="1"/>
        </w:rPr>
        <w:t> </w:t>
      </w:r>
      <w:r>
        <w:rPr/>
        <w:t>superposition.</w:t>
      </w:r>
    </w:p>
    <w:p>
      <w:pPr>
        <w:pStyle w:val="BodyText"/>
        <w:spacing w:line="480" w:lineRule="auto"/>
        <w:ind w:left="307" w:right="425"/>
        <w:jc w:val="both"/>
      </w:pPr>
      <w:r>
        <w:rPr/>
        <w:t>Consider a single point electrode, located on the boundary of a semi-infinite, electrically</w:t>
      </w:r>
      <w:r>
        <w:rPr>
          <w:spacing w:val="-57"/>
        </w:rPr>
        <w:t> </w:t>
      </w:r>
      <w:r>
        <w:rPr/>
        <w:t>homogeneous medium, which represents a fictitious homogeneous earth. If the electrode</w:t>
      </w:r>
      <w:r>
        <w:rPr>
          <w:spacing w:val="-57"/>
        </w:rPr>
        <w:t> </w:t>
      </w:r>
      <w:r>
        <w:rPr/>
        <w:t>carries a current I, measured in ampere (A), the potential at any point in the medium or</w:t>
      </w:r>
      <w:r>
        <w:rPr>
          <w:spacing w:val="1"/>
        </w:rPr>
        <w:t> </w:t>
      </w:r>
      <w:r>
        <w:rPr/>
        <w:t>on</w:t>
      </w:r>
      <w:r>
        <w:rPr>
          <w:spacing w:val="-1"/>
        </w:rPr>
        <w:t> </w:t>
      </w:r>
      <w:r>
        <w:rPr/>
        <w:t>the boundary</w:t>
      </w:r>
      <w:r>
        <w:rPr>
          <w:spacing w:val="-5"/>
        </w:rPr>
        <w:t> </w:t>
      </w:r>
      <w:r>
        <w:rPr/>
        <w:t>is</w:t>
      </w:r>
      <w:r>
        <w:rPr>
          <w:spacing w:val="2"/>
        </w:rPr>
        <w:t> </w:t>
      </w:r>
      <w:r>
        <w:rPr/>
        <w:t>giving by:</w:t>
      </w:r>
    </w:p>
    <w:p>
      <w:pPr>
        <w:spacing w:after="0" w:line="480" w:lineRule="auto"/>
        <w:jc w:val="both"/>
        <w:sectPr>
          <w:type w:val="continuous"/>
          <w:pgSz w:w="11910" w:h="16840"/>
          <w:pgMar w:top="1320" w:bottom="280" w:left="1680" w:right="980"/>
        </w:sectPr>
      </w:pPr>
    </w:p>
    <w:p>
      <w:pPr>
        <w:spacing w:line="172" w:lineRule="auto" w:before="74"/>
        <w:ind w:left="307" w:right="0" w:firstLine="0"/>
        <w:jc w:val="left"/>
        <w:rPr>
          <w:rFonts w:ascii="Cambria Math" w:eastAsia="Cambria Math"/>
          <w:sz w:val="17"/>
        </w:rPr>
      </w:pPr>
      <w:r>
        <w:rPr/>
        <w:pict>
          <v:rect style="position:absolute;margin-left:122.18pt;margin-top:13.839809pt;width:15.24pt;height:.84pt;mso-position-horizontal-relative:page;mso-position-vertical-relative:paragraph;z-index:-18528256" filled="true" fillcolor="#000000" stroked="false">
            <v:fill type="solid"/>
            <w10:wrap type="none"/>
          </v:rect>
        </w:pict>
      </w:r>
      <w:r>
        <w:rPr>
          <w:i/>
          <w:w w:val="105"/>
          <w:position w:val="-13"/>
          <w:sz w:val="24"/>
        </w:rPr>
        <w:t>U</w:t>
      </w:r>
      <w:r>
        <w:rPr>
          <w:i/>
          <w:spacing w:val="-6"/>
          <w:w w:val="105"/>
          <w:position w:val="-13"/>
          <w:sz w:val="24"/>
        </w:rPr>
        <w:t> </w:t>
      </w:r>
      <w:r>
        <w:rPr>
          <w:i/>
          <w:w w:val="105"/>
          <w:position w:val="-13"/>
          <w:sz w:val="24"/>
        </w:rPr>
        <w:t>=</w:t>
      </w:r>
      <w:r>
        <w:rPr>
          <w:i/>
          <w:spacing w:val="53"/>
          <w:w w:val="105"/>
          <w:position w:val="-13"/>
          <w:sz w:val="24"/>
        </w:rPr>
        <w:t> </w:t>
      </w:r>
      <w:r>
        <w:rPr>
          <w:rFonts w:ascii="Cambria Math" w:eastAsia="Cambria Math"/>
          <w:w w:val="105"/>
          <w:sz w:val="17"/>
        </w:rPr>
        <w:t>𝜌𝐼</w:t>
      </w:r>
    </w:p>
    <w:p>
      <w:pPr>
        <w:spacing w:line="162" w:lineRule="exact" w:before="0"/>
        <w:ind w:left="763" w:right="0" w:firstLine="0"/>
        <w:jc w:val="left"/>
        <w:rPr>
          <w:rFonts w:ascii="Cambria Math" w:eastAsia="Cambria Math"/>
          <w:sz w:val="17"/>
        </w:rPr>
      </w:pPr>
      <w:r>
        <w:rPr>
          <w:rFonts w:ascii="Cambria Math" w:eastAsia="Cambria Math"/>
          <w:w w:val="110"/>
          <w:sz w:val="17"/>
        </w:rPr>
        <w:t>2𝜋𝑟</w:t>
      </w:r>
    </w:p>
    <w:p>
      <w:pPr>
        <w:pStyle w:val="BodyText"/>
        <w:rPr>
          <w:rFonts w:ascii="Cambria Math"/>
          <w:sz w:val="19"/>
        </w:rPr>
      </w:pPr>
    </w:p>
    <w:p>
      <w:pPr>
        <w:pStyle w:val="BodyText"/>
        <w:ind w:left="307"/>
      </w:pPr>
      <w:r>
        <w:rPr/>
        <w:t>where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ind w:left="307"/>
      </w:pPr>
      <w:r>
        <w:rPr/>
        <w:t>U</w:t>
      </w:r>
      <w:r>
        <w:rPr>
          <w:spacing w:val="-1"/>
        </w:rPr>
        <w:t> </w:t>
      </w:r>
      <w:r>
        <w:rPr/>
        <w:t>=</w:t>
      </w:r>
      <w:r>
        <w:rPr>
          <w:spacing w:val="-2"/>
        </w:rPr>
        <w:t> </w:t>
      </w:r>
      <w:r>
        <w:rPr/>
        <w:t>potential, in V,</w:t>
      </w:r>
    </w:p>
    <w:p>
      <w:pPr>
        <w:pStyle w:val="BodyText"/>
        <w:spacing w:before="8"/>
        <w:rPr>
          <w:sz w:val="34"/>
        </w:rPr>
      </w:pPr>
    </w:p>
    <w:p>
      <w:pPr>
        <w:pStyle w:val="BodyText"/>
        <w:spacing w:line="578" w:lineRule="auto" w:before="1"/>
        <w:ind w:left="307" w:right="38"/>
      </w:pPr>
      <w:r>
        <w:rPr>
          <w:rFonts w:ascii="Cambria Math" w:eastAsia="Cambria Math"/>
        </w:rPr>
        <w:t>𝜌</w:t>
      </w:r>
      <w:r>
        <w:rPr>
          <w:rFonts w:ascii="Cambria Math" w:eastAsia="Cambria Math"/>
          <w:spacing w:val="24"/>
        </w:rPr>
        <w:t> </w:t>
      </w:r>
      <w:r>
        <w:rPr/>
        <w:t>=</w:t>
      </w:r>
      <w:r>
        <w:rPr>
          <w:spacing w:val="13"/>
        </w:rPr>
        <w:t> </w:t>
      </w:r>
      <w:r>
        <w:rPr/>
        <w:t>resistivity</w:t>
      </w:r>
      <w:r>
        <w:rPr>
          <w:spacing w:val="9"/>
        </w:rPr>
        <w:t> </w:t>
      </w:r>
      <w:r>
        <w:rPr/>
        <w:t>of</w:t>
      </w:r>
      <w:r>
        <w:rPr>
          <w:spacing w:val="14"/>
        </w:rPr>
        <w:t> </w:t>
      </w:r>
      <w:r>
        <w:rPr/>
        <w:t>the</w:t>
      </w:r>
      <w:r>
        <w:rPr>
          <w:spacing w:val="12"/>
        </w:rPr>
        <w:t> </w:t>
      </w:r>
      <w:r>
        <w:rPr/>
        <w:t>medium,</w:t>
      </w:r>
      <w:r>
        <w:rPr>
          <w:spacing w:val="1"/>
        </w:rPr>
        <w:t> </w:t>
      </w:r>
      <w:r>
        <w:rPr/>
        <w:t>r</w:t>
      </w:r>
      <w:r>
        <w:rPr>
          <w:spacing w:val="-4"/>
        </w:rPr>
        <w:t> </w:t>
      </w:r>
      <w:r>
        <w:rPr/>
        <w:t>=</w:t>
      </w:r>
      <w:r>
        <w:rPr>
          <w:spacing w:val="-5"/>
        </w:rPr>
        <w:t> </w:t>
      </w:r>
      <w:r>
        <w:rPr/>
        <w:t>distance</w:t>
      </w:r>
      <w:r>
        <w:rPr>
          <w:spacing w:val="-2"/>
        </w:rPr>
        <w:t> </w:t>
      </w:r>
      <w:r>
        <w:rPr/>
        <w:t>from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electrode.</w:t>
      </w:r>
    </w:p>
    <w:p>
      <w:pPr>
        <w:pStyle w:val="BodyText"/>
        <w:spacing w:before="129"/>
        <w:ind w:left="307"/>
      </w:pPr>
      <w:r>
        <w:rPr/>
        <w:br w:type="column"/>
      </w:r>
      <w:r>
        <w:rPr/>
        <w:t>(3.9)</w:t>
      </w:r>
    </w:p>
    <w:p>
      <w:pPr>
        <w:spacing w:after="0"/>
        <w:sectPr>
          <w:pgSz w:w="11910" w:h="16840"/>
          <w:pgMar w:header="0" w:footer="1067" w:top="1320" w:bottom="1260" w:left="1680" w:right="980"/>
          <w:cols w:num="2" w:equalWidth="0">
            <w:col w:w="3347" w:space="4575"/>
            <w:col w:w="1328"/>
          </w:cols>
        </w:sectPr>
      </w:pPr>
    </w:p>
    <w:p>
      <w:pPr>
        <w:pStyle w:val="BodyText"/>
        <w:spacing w:line="480" w:lineRule="auto" w:before="7"/>
        <w:ind w:left="307" w:right="366"/>
      </w:pPr>
      <w:r>
        <w:rPr/>
        <w:pict>
          <v:rect style="position:absolute;margin-left:268.970001pt;margin-top:73.983147pt;width:14.16pt;height:.95999pt;mso-position-horizontal-relative:page;mso-position-vertical-relative:paragraph;z-index:-18526208" filled="true" fillcolor="#000000" stroked="false">
            <v:fill type="solid"/>
            <w10:wrap type="none"/>
          </v:rect>
        </w:pict>
      </w:r>
      <w:r>
        <w:rPr/>
        <w:t>For</w:t>
      </w:r>
      <w:r>
        <w:rPr>
          <w:spacing w:val="2"/>
        </w:rPr>
        <w:t> </w:t>
      </w:r>
      <w:r>
        <w:rPr/>
        <w:t>an</w:t>
      </w:r>
      <w:r>
        <w:rPr>
          <w:spacing w:val="6"/>
        </w:rPr>
        <w:t> </w:t>
      </w:r>
      <w:r>
        <w:rPr/>
        <w:t>electrode</w:t>
      </w:r>
      <w:r>
        <w:rPr>
          <w:spacing w:val="2"/>
        </w:rPr>
        <w:t> </w:t>
      </w:r>
      <w:r>
        <w:rPr/>
        <w:t>pair</w:t>
      </w:r>
      <w:r>
        <w:rPr>
          <w:spacing w:val="3"/>
        </w:rPr>
        <w:t> </w:t>
      </w:r>
      <w:r>
        <w:rPr/>
        <w:t>with</w:t>
      </w:r>
      <w:r>
        <w:rPr>
          <w:spacing w:val="3"/>
        </w:rPr>
        <w:t> </w:t>
      </w:r>
      <w:r>
        <w:rPr/>
        <w:t>current</w:t>
      </w:r>
      <w:r>
        <w:rPr>
          <w:spacing w:val="7"/>
        </w:rPr>
        <w:t> </w:t>
      </w:r>
      <w:r>
        <w:rPr/>
        <w:t>I</w:t>
      </w:r>
      <w:r>
        <w:rPr>
          <w:spacing w:val="2"/>
        </w:rPr>
        <w:t> </w:t>
      </w:r>
      <w:r>
        <w:rPr/>
        <w:t>at</w:t>
      </w:r>
      <w:r>
        <w:rPr>
          <w:spacing w:val="4"/>
        </w:rPr>
        <w:t> </w:t>
      </w:r>
      <w:r>
        <w:rPr/>
        <w:t>electrode</w:t>
      </w:r>
      <w:r>
        <w:rPr>
          <w:spacing w:val="2"/>
        </w:rPr>
        <w:t> </w:t>
      </w:r>
      <w:r>
        <w:rPr/>
        <w:t>A,</w:t>
      </w:r>
      <w:r>
        <w:rPr>
          <w:spacing w:val="3"/>
        </w:rPr>
        <w:t> </w:t>
      </w:r>
      <w:r>
        <w:rPr/>
        <w:t>and</w:t>
      </w:r>
      <w:r>
        <w:rPr>
          <w:spacing w:val="8"/>
        </w:rPr>
        <w:t> </w:t>
      </w:r>
      <w:r>
        <w:rPr/>
        <w:t>–I at</w:t>
      </w:r>
      <w:r>
        <w:rPr>
          <w:spacing w:val="4"/>
        </w:rPr>
        <w:t> </w:t>
      </w:r>
      <w:r>
        <w:rPr/>
        <w:t>electrode</w:t>
      </w:r>
      <w:r>
        <w:rPr>
          <w:spacing w:val="4"/>
        </w:rPr>
        <w:t> </w:t>
      </w:r>
      <w:r>
        <w:rPr/>
        <w:t>B,</w:t>
      </w:r>
      <w:r>
        <w:rPr>
          <w:spacing w:val="3"/>
        </w:rPr>
        <w:t> </w:t>
      </w:r>
      <w:r>
        <w:rPr/>
        <w:t>the</w:t>
      </w:r>
      <w:r>
        <w:rPr>
          <w:spacing w:val="3"/>
        </w:rPr>
        <w:t> </w:t>
      </w:r>
      <w:r>
        <w:rPr/>
        <w:t>potential</w:t>
      </w:r>
      <w:r>
        <w:rPr>
          <w:spacing w:val="4"/>
        </w:rPr>
        <w:t> </w:t>
      </w:r>
      <w:r>
        <w:rPr/>
        <w:t>at</w:t>
      </w:r>
      <w:r>
        <w:rPr>
          <w:spacing w:val="-57"/>
        </w:rPr>
        <w:t> </w:t>
      </w:r>
      <w:r>
        <w:rPr/>
        <w:t>a</w:t>
      </w:r>
      <w:r>
        <w:rPr>
          <w:spacing w:val="-2"/>
        </w:rPr>
        <w:t> </w:t>
      </w:r>
      <w:r>
        <w:rPr/>
        <w:t>point is giving</w:t>
      </w:r>
      <w:r>
        <w:rPr>
          <w:spacing w:val="-3"/>
        </w:rPr>
        <w:t> </w:t>
      </w:r>
      <w:r>
        <w:rPr/>
        <w:t>by</w:t>
      </w:r>
      <w:r>
        <w:rPr>
          <w:spacing w:val="-5"/>
        </w:rPr>
        <w:t> </w:t>
      </w:r>
      <w:r>
        <w:rPr/>
        <w:t>the</w:t>
      </w:r>
      <w:r>
        <w:rPr>
          <w:spacing w:val="1"/>
        </w:rPr>
        <w:t> </w:t>
      </w:r>
      <w:r>
        <w:rPr/>
        <w:t>algebraic sum of the</w:t>
      </w:r>
      <w:r>
        <w:rPr>
          <w:spacing w:val="-1"/>
        </w:rPr>
        <w:t> </w:t>
      </w:r>
      <w:r>
        <w:rPr/>
        <w:t>individual contributions:</w:t>
      </w:r>
    </w:p>
    <w:p>
      <w:pPr>
        <w:spacing w:after="0" w:line="480" w:lineRule="auto"/>
        <w:sectPr>
          <w:type w:val="continuous"/>
          <w:pgSz w:w="11910" w:h="16840"/>
          <w:pgMar w:top="1320" w:bottom="280" w:left="1680" w:right="980"/>
        </w:sectPr>
      </w:pPr>
    </w:p>
    <w:p>
      <w:pPr>
        <w:tabs>
          <w:tab w:pos="941" w:val="left" w:leader="none"/>
          <w:tab w:pos="1557" w:val="left" w:leader="none"/>
        </w:tabs>
        <w:spacing w:line="163" w:lineRule="auto" w:before="117"/>
        <w:ind w:left="307" w:right="0" w:firstLine="0"/>
        <w:jc w:val="left"/>
        <w:rPr>
          <w:rFonts w:ascii="Cambria Math" w:eastAsia="Cambria Math"/>
          <w:sz w:val="20"/>
        </w:rPr>
      </w:pPr>
      <w:r>
        <w:rPr/>
        <w:pict>
          <v:shape style="position:absolute;margin-left:122.180008pt;margin-top:18.407928pt;width:59.35pt;height:1pt;mso-position-horizontal-relative:page;mso-position-vertical-relative:paragraph;z-index:-18527744" coordorigin="2444,368" coordsize="1187,20" path="m3012,368l2444,368,2444,387,3012,387,3012,368xm3630,368l3060,368,3060,387,3630,387,3630,368xe" filled="true" fillcolor="#000000" stroked="false">
            <v:path arrowok="t"/>
            <v:fill type="solid"/>
            <w10:wrap type="none"/>
          </v:shape>
        </w:pict>
      </w:r>
      <w:r>
        <w:rPr>
          <w:i/>
          <w:w w:val="105"/>
          <w:position w:val="-16"/>
          <w:sz w:val="24"/>
        </w:rPr>
        <w:t>U</w:t>
      </w:r>
      <w:r>
        <w:rPr>
          <w:i/>
          <w:spacing w:val="-8"/>
          <w:w w:val="105"/>
          <w:position w:val="-16"/>
          <w:sz w:val="24"/>
        </w:rPr>
        <w:t> </w:t>
      </w:r>
      <w:r>
        <w:rPr>
          <w:i/>
          <w:w w:val="105"/>
          <w:position w:val="-16"/>
          <w:sz w:val="24"/>
        </w:rPr>
        <w:t>=</w:t>
        <w:tab/>
      </w:r>
      <w:r>
        <w:rPr>
          <w:rFonts w:ascii="Cambria Math" w:eastAsia="Cambria Math"/>
          <w:w w:val="105"/>
          <w:sz w:val="20"/>
        </w:rPr>
        <w:t>𝜌𝐼</w:t>
        <w:tab/>
        <w:t>𝜌𝐼</w:t>
      </w:r>
    </w:p>
    <w:p>
      <w:pPr>
        <w:tabs>
          <w:tab w:pos="677" w:val="left" w:leader="none"/>
        </w:tabs>
        <w:spacing w:line="156" w:lineRule="auto" w:before="135"/>
        <w:ind w:left="307" w:right="0" w:firstLine="0"/>
        <w:jc w:val="left"/>
        <w:rPr>
          <w:rFonts w:ascii="Cambria Math" w:eastAsia="Cambria Math"/>
          <w:sz w:val="20"/>
        </w:rPr>
      </w:pPr>
      <w:r>
        <w:rPr/>
        <w:br w:type="column"/>
      </w:r>
      <w:r>
        <w:rPr>
          <w:w w:val="105"/>
          <w:position w:val="-16"/>
          <w:sz w:val="28"/>
        </w:rPr>
        <w:t>=</w:t>
        <w:tab/>
      </w:r>
      <w:r>
        <w:rPr>
          <w:rFonts w:ascii="Cambria Math" w:eastAsia="Cambria Math"/>
          <w:w w:val="105"/>
          <w:sz w:val="20"/>
        </w:rPr>
        <w:t>𝜌𝐼 </w:t>
      </w:r>
      <w:r>
        <w:rPr>
          <w:rFonts w:ascii="Cambria Math" w:eastAsia="Cambria Math"/>
          <w:spacing w:val="25"/>
          <w:w w:val="105"/>
          <w:sz w:val="20"/>
        </w:rPr>
        <w:t> </w:t>
      </w:r>
      <w:r>
        <w:rPr>
          <w:rFonts w:ascii="Cambria Math" w:eastAsia="Cambria Math"/>
          <w:w w:val="105"/>
          <w:position w:val="-16"/>
          <w:sz w:val="28"/>
        </w:rPr>
        <w:t>[</w:t>
      </w:r>
      <w:r>
        <w:rPr>
          <w:rFonts w:ascii="Cambria Math" w:eastAsia="Cambria Math"/>
          <w:spacing w:val="12"/>
          <w:w w:val="105"/>
          <w:position w:val="-16"/>
          <w:sz w:val="28"/>
        </w:rPr>
        <w:t> </w:t>
      </w:r>
      <w:r>
        <w:rPr>
          <w:rFonts w:ascii="Cambria Math" w:eastAsia="Cambria Math"/>
          <w:w w:val="105"/>
          <w:sz w:val="20"/>
        </w:rPr>
        <w:t>1</w:t>
      </w:r>
    </w:p>
    <w:p>
      <w:pPr>
        <w:tabs>
          <w:tab w:pos="583" w:val="left" w:leader="none"/>
          <w:tab w:pos="5029" w:val="left" w:leader="none"/>
        </w:tabs>
        <w:spacing w:line="347" w:lineRule="exact" w:before="97"/>
        <w:ind w:left="166" w:right="0" w:firstLine="0"/>
        <w:jc w:val="left"/>
        <w:rPr>
          <w:sz w:val="24"/>
        </w:rPr>
      </w:pPr>
      <w:r>
        <w:rPr/>
        <w:br w:type="column"/>
      </w:r>
      <w:r>
        <w:rPr>
          <w:rFonts w:ascii="Cambria Math" w:hAnsi="Cambria Math"/>
          <w:sz w:val="28"/>
        </w:rPr>
        <w:t>−</w:t>
        <w:tab/>
      </w:r>
      <w:r>
        <w:rPr>
          <w:rFonts w:ascii="Cambria Math" w:hAnsi="Cambria Math"/>
          <w:position w:val="17"/>
          <w:sz w:val="20"/>
        </w:rPr>
        <w:t>1</w:t>
      </w:r>
      <w:r>
        <w:rPr>
          <w:rFonts w:ascii="Cambria Math" w:hAnsi="Cambria Math"/>
          <w:spacing w:val="40"/>
          <w:position w:val="17"/>
          <w:sz w:val="20"/>
        </w:rPr>
        <w:t> </w:t>
      </w:r>
      <w:r>
        <w:rPr>
          <w:rFonts w:ascii="Cambria Math" w:hAnsi="Cambria Math"/>
          <w:sz w:val="28"/>
        </w:rPr>
        <w:t>]</w:t>
        <w:tab/>
      </w:r>
      <w:r>
        <w:rPr>
          <w:sz w:val="24"/>
        </w:rPr>
        <w:t>(3.10)</w:t>
      </w:r>
    </w:p>
    <w:p>
      <w:pPr>
        <w:spacing w:after="0" w:line="347" w:lineRule="exact"/>
        <w:jc w:val="left"/>
        <w:rPr>
          <w:sz w:val="24"/>
        </w:rPr>
        <w:sectPr>
          <w:type w:val="continuous"/>
          <w:pgSz w:w="11910" w:h="16840"/>
          <w:pgMar w:top="1320" w:bottom="280" w:left="1680" w:right="980"/>
          <w:cols w:num="3" w:equalWidth="0">
            <w:col w:w="1803" w:space="48"/>
            <w:col w:w="1309" w:space="39"/>
            <w:col w:w="6051"/>
          </w:cols>
        </w:sectPr>
      </w:pPr>
    </w:p>
    <w:p>
      <w:pPr>
        <w:spacing w:line="194" w:lineRule="auto" w:before="0"/>
        <w:ind w:left="763" w:right="0" w:firstLine="0"/>
        <w:jc w:val="left"/>
        <w:rPr>
          <w:rFonts w:ascii="Cambria Math" w:eastAsia="Cambria Math"/>
          <w:sz w:val="16"/>
        </w:rPr>
      </w:pPr>
      <w:r>
        <w:rPr/>
        <w:pict>
          <v:rect style="position:absolute;margin-left:206.809998pt;margin-top:-3.088371pt;width:18pt;height:.95999pt;mso-position-horizontal-relative:page;mso-position-vertical-relative:paragraph;z-index:-18527232" filled="true" fillcolor="#000000" stroked="false">
            <v:fill type="solid"/>
            <w10:wrap type="none"/>
          </v:rect>
        </w:pict>
      </w:r>
      <w:r>
        <w:rPr/>
        <w:pict>
          <v:rect style="position:absolute;margin-left:232.009995pt;margin-top:-3.088371pt;width:14.16pt;height:.95999pt;mso-position-horizontal-relative:page;mso-position-vertical-relative:paragraph;z-index:-18526720" filled="true" fillcolor="#000000" stroked="false">
            <v:fill type="solid"/>
            <w10:wrap type="none"/>
          </v:rect>
        </w:pict>
      </w:r>
      <w:r>
        <w:rPr>
          <w:rFonts w:ascii="Cambria Math" w:eastAsia="Cambria Math"/>
          <w:w w:val="110"/>
          <w:sz w:val="20"/>
        </w:rPr>
        <w:t>2𝜋𝑟</w:t>
      </w:r>
      <w:r>
        <w:rPr>
          <w:rFonts w:ascii="Cambria Math" w:eastAsia="Cambria Math"/>
          <w:w w:val="110"/>
          <w:position w:val="-3"/>
          <w:sz w:val="16"/>
        </w:rPr>
        <w:t>𝐶</w:t>
      </w:r>
      <w:r>
        <w:rPr>
          <w:rFonts w:ascii="Cambria Math" w:eastAsia="Cambria Math"/>
          <w:w w:val="110"/>
          <w:position w:val="-7"/>
          <w:sz w:val="16"/>
        </w:rPr>
        <w:t>1</w:t>
      </w:r>
      <w:r>
        <w:rPr>
          <w:rFonts w:ascii="Cambria Math" w:eastAsia="Cambria Math"/>
          <w:spacing w:val="14"/>
          <w:w w:val="110"/>
          <w:position w:val="-7"/>
          <w:sz w:val="16"/>
        </w:rPr>
        <w:t> </w:t>
      </w:r>
      <w:r>
        <w:rPr>
          <w:rFonts w:ascii="Cambria Math" w:eastAsia="Cambria Math"/>
          <w:w w:val="110"/>
          <w:sz w:val="20"/>
        </w:rPr>
        <w:t>2𝜋𝑟</w:t>
      </w:r>
      <w:r>
        <w:rPr>
          <w:rFonts w:ascii="Cambria Math" w:eastAsia="Cambria Math"/>
          <w:w w:val="110"/>
          <w:position w:val="-3"/>
          <w:sz w:val="16"/>
        </w:rPr>
        <w:t>𝐶</w:t>
      </w:r>
      <w:r>
        <w:rPr>
          <w:rFonts w:ascii="Cambria Math" w:eastAsia="Cambria Math"/>
          <w:w w:val="110"/>
          <w:position w:val="-7"/>
          <w:sz w:val="16"/>
        </w:rPr>
        <w:t>2</w:t>
      </w:r>
    </w:p>
    <w:p>
      <w:pPr>
        <w:pStyle w:val="BodyText"/>
        <w:spacing w:before="2"/>
        <w:rPr>
          <w:rFonts w:ascii="Cambria Math"/>
          <w:sz w:val="21"/>
        </w:rPr>
      </w:pPr>
    </w:p>
    <w:p>
      <w:pPr>
        <w:pStyle w:val="BodyText"/>
        <w:spacing w:before="1"/>
        <w:ind w:left="307"/>
      </w:pPr>
      <w:r>
        <w:rPr/>
        <w:t>where</w:t>
      </w:r>
    </w:p>
    <w:p>
      <w:pPr>
        <w:spacing w:line="194" w:lineRule="auto" w:before="0"/>
        <w:ind w:left="307" w:right="0" w:firstLine="0"/>
        <w:jc w:val="left"/>
        <w:rPr>
          <w:rFonts w:ascii="Cambria Math" w:eastAsia="Cambria Math"/>
          <w:sz w:val="16"/>
        </w:rPr>
      </w:pPr>
      <w:r>
        <w:rPr/>
        <w:br w:type="column"/>
      </w:r>
      <w:r>
        <w:rPr>
          <w:rFonts w:ascii="Cambria Math" w:eastAsia="Cambria Math"/>
          <w:w w:val="110"/>
          <w:sz w:val="20"/>
        </w:rPr>
        <w:t>2𝜋𝑟 </w:t>
      </w:r>
      <w:r>
        <w:rPr>
          <w:rFonts w:ascii="Cambria Math" w:eastAsia="Cambria Math"/>
          <w:spacing w:val="31"/>
          <w:w w:val="110"/>
          <w:sz w:val="20"/>
        </w:rPr>
        <w:t> </w:t>
      </w:r>
      <w:r>
        <w:rPr>
          <w:rFonts w:ascii="Cambria Math" w:eastAsia="Cambria Math"/>
          <w:w w:val="110"/>
          <w:sz w:val="20"/>
        </w:rPr>
        <w:t>𝑟</w:t>
      </w:r>
      <w:r>
        <w:rPr>
          <w:rFonts w:ascii="Cambria Math" w:eastAsia="Cambria Math"/>
          <w:w w:val="110"/>
          <w:position w:val="-3"/>
          <w:sz w:val="16"/>
        </w:rPr>
        <w:t>𝑐</w:t>
      </w:r>
      <w:r>
        <w:rPr>
          <w:rFonts w:ascii="Cambria Math" w:eastAsia="Cambria Math"/>
          <w:w w:val="110"/>
          <w:position w:val="-7"/>
          <w:sz w:val="16"/>
        </w:rPr>
        <w:t>1</w:t>
      </w:r>
    </w:p>
    <w:p>
      <w:pPr>
        <w:spacing w:line="194" w:lineRule="auto" w:before="0"/>
        <w:ind w:left="307" w:right="0" w:firstLine="0"/>
        <w:jc w:val="left"/>
        <w:rPr>
          <w:rFonts w:ascii="Cambria Math" w:eastAsia="Cambria Math"/>
          <w:sz w:val="16"/>
        </w:rPr>
      </w:pPr>
      <w:r>
        <w:rPr/>
        <w:br w:type="column"/>
      </w:r>
      <w:r>
        <w:rPr>
          <w:rFonts w:ascii="Cambria Math" w:eastAsia="Cambria Math"/>
          <w:w w:val="110"/>
          <w:sz w:val="20"/>
        </w:rPr>
        <w:t>𝑟</w:t>
      </w:r>
      <w:r>
        <w:rPr>
          <w:rFonts w:ascii="Cambria Math" w:eastAsia="Cambria Math"/>
          <w:w w:val="110"/>
          <w:position w:val="-3"/>
          <w:sz w:val="16"/>
        </w:rPr>
        <w:t>𝑐</w:t>
      </w:r>
      <w:r>
        <w:rPr>
          <w:rFonts w:ascii="Cambria Math" w:eastAsia="Cambria Math"/>
          <w:w w:val="110"/>
          <w:position w:val="-7"/>
          <w:sz w:val="16"/>
        </w:rPr>
        <w:t>2</w:t>
      </w:r>
    </w:p>
    <w:p>
      <w:pPr>
        <w:spacing w:after="0" w:line="194" w:lineRule="auto"/>
        <w:jc w:val="left"/>
        <w:rPr>
          <w:rFonts w:ascii="Cambria Math" w:eastAsia="Cambria Math"/>
          <w:sz w:val="16"/>
        </w:rPr>
        <w:sectPr>
          <w:type w:val="continuous"/>
          <w:pgSz w:w="11910" w:h="16840"/>
          <w:pgMar w:top="1320" w:bottom="280" w:left="1680" w:right="980"/>
          <w:cols w:num="3" w:equalWidth="0">
            <w:col w:w="1977" w:space="171"/>
            <w:col w:w="1121" w:space="123"/>
            <w:col w:w="5858"/>
          </w:cols>
        </w:sectPr>
      </w:pPr>
    </w:p>
    <w:p>
      <w:pPr>
        <w:pStyle w:val="BodyText"/>
        <w:spacing w:before="1"/>
        <w:rPr>
          <w:rFonts w:ascii="Cambria Math"/>
          <w:sz w:val="27"/>
        </w:rPr>
      </w:pPr>
    </w:p>
    <w:p>
      <w:pPr>
        <w:pStyle w:val="BodyText"/>
        <w:spacing w:before="86"/>
        <w:ind w:left="307"/>
        <w:jc w:val="both"/>
        <w:rPr>
          <w:rFonts w:ascii="Cambria Math" w:eastAsia="Cambria Math"/>
        </w:rPr>
      </w:pPr>
      <w:r>
        <w:rPr>
          <w:rFonts w:ascii="Cambria Math" w:eastAsia="Cambria Math"/>
        </w:rPr>
        <w:t>𝑟</w:t>
      </w:r>
      <w:r>
        <w:rPr>
          <w:rFonts w:ascii="Cambria Math" w:eastAsia="Cambria Math"/>
          <w:vertAlign w:val="subscript"/>
        </w:rPr>
        <w:t>𝐶</w:t>
      </w:r>
      <w:r>
        <w:rPr>
          <w:rFonts w:ascii="Cambria Math" w:eastAsia="Cambria Math"/>
          <w:position w:val="-7"/>
          <w:sz w:val="14"/>
          <w:vertAlign w:val="baseline"/>
        </w:rPr>
        <w:t>1</w:t>
      </w:r>
      <w:r>
        <w:rPr>
          <w:rFonts w:ascii="Cambria Math" w:eastAsia="Cambria Math"/>
          <w:spacing w:val="11"/>
          <w:position w:val="-7"/>
          <w:sz w:val="14"/>
          <w:vertAlign w:val="baseline"/>
        </w:rPr>
        <w:t> </w:t>
      </w:r>
      <w:r>
        <w:rPr>
          <w:vertAlign w:val="baseline"/>
        </w:rPr>
        <w:t>and</w:t>
      </w:r>
      <w:r>
        <w:rPr>
          <w:spacing w:val="-3"/>
          <w:vertAlign w:val="baseline"/>
        </w:rPr>
        <w:t> </w:t>
      </w:r>
      <w:r>
        <w:rPr>
          <w:rFonts w:ascii="Cambria Math" w:eastAsia="Cambria Math"/>
          <w:vertAlign w:val="baseline"/>
        </w:rPr>
        <w:t>𝑟</w:t>
      </w:r>
      <w:r>
        <w:rPr>
          <w:rFonts w:ascii="Cambria Math" w:eastAsia="Cambria Math"/>
          <w:vertAlign w:val="subscript"/>
        </w:rPr>
        <w:t>𝐶</w:t>
      </w:r>
      <w:r>
        <w:rPr>
          <w:rFonts w:ascii="Cambria Math" w:eastAsia="Cambria Math"/>
          <w:position w:val="-7"/>
          <w:sz w:val="14"/>
          <w:vertAlign w:val="baseline"/>
        </w:rPr>
        <w:t>2</w:t>
      </w:r>
      <w:r>
        <w:rPr>
          <w:rFonts w:ascii="Cambria Math" w:eastAsia="Cambria Math"/>
          <w:spacing w:val="11"/>
          <w:position w:val="-7"/>
          <w:sz w:val="14"/>
          <w:vertAlign w:val="baseline"/>
        </w:rPr>
        <w:t> </w:t>
      </w:r>
      <w:r>
        <w:rPr>
          <w:vertAlign w:val="baseline"/>
        </w:rPr>
        <w:t>=</w:t>
      </w:r>
      <w:r>
        <w:rPr>
          <w:spacing w:val="-3"/>
          <w:vertAlign w:val="baseline"/>
        </w:rPr>
        <w:t> </w:t>
      </w:r>
      <w:r>
        <w:rPr>
          <w:vertAlign w:val="baseline"/>
        </w:rPr>
        <w:t>Distance</w:t>
      </w:r>
      <w:r>
        <w:rPr>
          <w:spacing w:val="-3"/>
          <w:vertAlign w:val="baseline"/>
        </w:rPr>
        <w:t> </w:t>
      </w:r>
      <w:r>
        <w:rPr>
          <w:vertAlign w:val="baseline"/>
        </w:rPr>
        <w:t>from</w:t>
      </w:r>
      <w:r>
        <w:rPr>
          <w:spacing w:val="-2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point</w:t>
      </w:r>
      <w:r>
        <w:rPr>
          <w:spacing w:val="-2"/>
          <w:vertAlign w:val="baseline"/>
        </w:rPr>
        <w:t> </w:t>
      </w:r>
      <w:r>
        <w:rPr>
          <w:vertAlign w:val="baseline"/>
        </w:rPr>
        <w:t>to</w:t>
      </w:r>
      <w:r>
        <w:rPr>
          <w:spacing w:val="-2"/>
          <w:vertAlign w:val="baseline"/>
        </w:rPr>
        <w:t> </w:t>
      </w:r>
      <w:r>
        <w:rPr>
          <w:vertAlign w:val="baseline"/>
        </w:rPr>
        <w:t>electrode</w:t>
      </w:r>
      <w:r>
        <w:rPr>
          <w:spacing w:val="116"/>
          <w:vertAlign w:val="baseline"/>
        </w:rPr>
        <w:t> </w:t>
      </w:r>
      <w:r>
        <w:rPr>
          <w:rFonts w:ascii="Cambria Math" w:eastAsia="Cambria Math"/>
          <w:vertAlign w:val="baseline"/>
        </w:rPr>
        <w:t>c</w:t>
      </w:r>
      <w:r>
        <w:rPr>
          <w:rFonts w:ascii="Cambria Math" w:eastAsia="Cambria Math"/>
          <w:vertAlign w:val="subscript"/>
        </w:rPr>
        <w:t>1</w:t>
      </w:r>
      <w:r>
        <w:rPr>
          <w:rFonts w:ascii="Cambria Math" w:eastAsia="Cambria Math"/>
          <w:spacing w:val="14"/>
          <w:vertAlign w:val="baseline"/>
        </w:rPr>
        <w:t> </w:t>
      </w:r>
      <w:r>
        <w:rPr>
          <w:vertAlign w:val="baseline"/>
        </w:rPr>
        <w:t>and</w:t>
      </w:r>
      <w:r>
        <w:rPr>
          <w:spacing w:val="-2"/>
          <w:vertAlign w:val="baseline"/>
        </w:rPr>
        <w:t> </w:t>
      </w:r>
      <w:r>
        <w:rPr>
          <w:rFonts w:ascii="Cambria Math" w:eastAsia="Cambria Math"/>
          <w:vertAlign w:val="baseline"/>
        </w:rPr>
        <w:t>c</w:t>
      </w:r>
      <w:r>
        <w:rPr>
          <w:rFonts w:ascii="Cambria Math" w:eastAsia="Cambria Math"/>
          <w:vertAlign w:val="subscript"/>
        </w:rPr>
        <w:t>2</w:t>
      </w:r>
    </w:p>
    <w:p>
      <w:pPr>
        <w:pStyle w:val="BodyText"/>
        <w:spacing w:before="2"/>
        <w:rPr>
          <w:rFonts w:ascii="Cambria Math"/>
          <w:sz w:val="31"/>
        </w:rPr>
      </w:pPr>
    </w:p>
    <w:p>
      <w:pPr>
        <w:pStyle w:val="BodyText"/>
        <w:spacing w:line="480" w:lineRule="auto"/>
        <w:ind w:left="307" w:right="434"/>
        <w:jc w:val="both"/>
      </w:pPr>
      <w:r>
        <w:rPr/>
        <w:t>These distances are always actual distances between the respective electrodes, whether</w:t>
      </w:r>
      <w:r>
        <w:rPr>
          <w:spacing w:val="1"/>
        </w:rPr>
        <w:t> </w:t>
      </w:r>
      <w:r>
        <w:rPr/>
        <w:t>or not</w:t>
      </w:r>
      <w:r>
        <w:rPr>
          <w:spacing w:val="1"/>
        </w:rPr>
        <w:t> </w:t>
      </w:r>
      <w:r>
        <w:rPr/>
        <w:t>they lie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a line. The</w:t>
      </w:r>
      <w:r>
        <w:rPr>
          <w:spacing w:val="1"/>
        </w:rPr>
        <w:t> </w:t>
      </w:r>
      <w:r>
        <w:rPr/>
        <w:t>quantity inside the brackets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60"/>
        </w:rPr>
        <w:t> </w:t>
      </w:r>
      <w:r>
        <w:rPr/>
        <w:t>function only of the</w:t>
      </w:r>
      <w:r>
        <w:rPr>
          <w:spacing w:val="1"/>
        </w:rPr>
        <w:t> </w:t>
      </w:r>
      <w:r>
        <w:rPr/>
        <w:t>various</w:t>
      </w:r>
      <w:r>
        <w:rPr>
          <w:spacing w:val="-1"/>
        </w:rPr>
        <w:t> </w:t>
      </w:r>
      <w:r>
        <w:rPr/>
        <w:t>electrode</w:t>
      </w:r>
      <w:r>
        <w:rPr>
          <w:spacing w:val="-1"/>
        </w:rPr>
        <w:t> </w:t>
      </w:r>
      <w:r>
        <w:rPr/>
        <w:t>spacing’s.</w:t>
      </w:r>
    </w:p>
    <w:p>
      <w:pPr>
        <w:pStyle w:val="BodyText"/>
        <w:spacing w:line="480" w:lineRule="auto" w:before="121"/>
        <w:ind w:left="307" w:right="426"/>
        <w:jc w:val="both"/>
      </w:pPr>
      <w:r>
        <w:rPr/>
        <w:t>Whether measurements are made over a real heterogeneous earth, as distinguished from</w:t>
      </w:r>
      <w:r>
        <w:rPr>
          <w:spacing w:val="1"/>
        </w:rPr>
        <w:t> </w:t>
      </w:r>
      <w:r>
        <w:rPr/>
        <w:t>the fictitious homogeneous half-space, the symbol </w:t>
      </w:r>
      <w:r>
        <w:rPr>
          <w:rFonts w:ascii="Cambria Math" w:hAnsi="Cambria Math"/>
        </w:rPr>
        <w:t>ρ</w:t>
      </w:r>
      <w:r>
        <w:rPr>
          <w:rFonts w:ascii="Cambria Math" w:hAnsi="Cambria Math"/>
          <w:spacing w:val="1"/>
        </w:rPr>
        <w:t> </w:t>
      </w:r>
      <w:r>
        <w:rPr/>
        <w:t>is replaced by </w:t>
      </w:r>
      <w:r>
        <w:rPr>
          <w:rFonts w:ascii="Cambria Math" w:hAnsi="Cambria Math"/>
        </w:rPr>
        <w:t>ρ</w:t>
      </w:r>
      <w:r>
        <w:rPr>
          <w:i/>
        </w:rPr>
        <w:t>a </w:t>
      </w:r>
      <w:r>
        <w:rPr/>
        <w:t>for apparent</w:t>
      </w:r>
      <w:r>
        <w:rPr>
          <w:spacing w:val="1"/>
        </w:rPr>
        <w:t> </w:t>
      </w:r>
      <w:r>
        <w:rPr/>
        <w:t>resistivity. The resistivity surveying problem is then reduced to its essence, the use of</w:t>
      </w:r>
      <w:r>
        <w:rPr>
          <w:spacing w:val="1"/>
        </w:rPr>
        <w:t> </w:t>
      </w:r>
      <w:r>
        <w:rPr/>
        <w:t>apparent resistivity values from field observation at various locations and with various</w:t>
      </w:r>
      <w:r>
        <w:rPr>
          <w:spacing w:val="1"/>
        </w:rPr>
        <w:t> </w:t>
      </w:r>
      <w:r>
        <w:rPr/>
        <w:t>electrode configurations to estimate the true resistivities of the several earth materials</w:t>
      </w:r>
      <w:r>
        <w:rPr>
          <w:spacing w:val="1"/>
        </w:rPr>
        <w:t> </w:t>
      </w:r>
      <w:r>
        <w:rPr/>
        <w:t>present at a site to locate their boundaries spatially below the surface of the site (Tsepav,</w:t>
      </w:r>
      <w:r>
        <w:rPr>
          <w:spacing w:val="-57"/>
        </w:rPr>
        <w:t> </w:t>
      </w:r>
      <w:r>
        <w:rPr>
          <w:i/>
        </w:rPr>
        <w:t>et al., </w:t>
      </w:r>
      <w:r>
        <w:rPr/>
        <w:t>2014). An electrode array with constant spacing is used to investigate lateral</w:t>
      </w:r>
      <w:r>
        <w:rPr>
          <w:spacing w:val="1"/>
        </w:rPr>
        <w:t> </w:t>
      </w:r>
      <w:r>
        <w:rPr/>
        <w:t>changes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apparent</w:t>
      </w:r>
      <w:r>
        <w:rPr>
          <w:spacing w:val="1"/>
        </w:rPr>
        <w:t> </w:t>
      </w:r>
      <w:r>
        <w:rPr/>
        <w:t>resistivity</w:t>
      </w:r>
      <w:r>
        <w:rPr>
          <w:spacing w:val="1"/>
        </w:rPr>
        <w:t> </w:t>
      </w:r>
      <w:r>
        <w:rPr/>
        <w:t>reflecting</w:t>
      </w:r>
      <w:r>
        <w:rPr>
          <w:spacing w:val="1"/>
        </w:rPr>
        <w:t> </w:t>
      </w:r>
      <w:r>
        <w:rPr/>
        <w:t>lateral</w:t>
      </w:r>
      <w:r>
        <w:rPr>
          <w:spacing w:val="1"/>
        </w:rPr>
        <w:t> </w:t>
      </w:r>
      <w:r>
        <w:rPr/>
        <w:t>geologic</w:t>
      </w:r>
      <w:r>
        <w:rPr>
          <w:spacing w:val="1"/>
        </w:rPr>
        <w:t> </w:t>
      </w:r>
      <w:r>
        <w:rPr/>
        <w:t>variability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localized</w:t>
      </w:r>
      <w:r>
        <w:rPr>
          <w:spacing w:val="1"/>
        </w:rPr>
        <w:t> </w:t>
      </w:r>
      <w:r>
        <w:rPr/>
        <w:t>anomalous</w:t>
      </w:r>
      <w:r>
        <w:rPr>
          <w:spacing w:val="36"/>
        </w:rPr>
        <w:t> </w:t>
      </w:r>
      <w:r>
        <w:rPr/>
        <w:t>features</w:t>
      </w:r>
      <w:r>
        <w:rPr>
          <w:spacing w:val="38"/>
        </w:rPr>
        <w:t> </w:t>
      </w:r>
      <w:r>
        <w:rPr/>
        <w:t>while</w:t>
      </w:r>
      <w:r>
        <w:rPr>
          <w:spacing w:val="35"/>
        </w:rPr>
        <w:t> </w:t>
      </w:r>
      <w:r>
        <w:rPr/>
        <w:t>the</w:t>
      </w:r>
      <w:r>
        <w:rPr>
          <w:spacing w:val="37"/>
        </w:rPr>
        <w:t> </w:t>
      </w:r>
      <w:r>
        <w:rPr/>
        <w:t>electrode</w:t>
      </w:r>
      <w:r>
        <w:rPr>
          <w:spacing w:val="34"/>
        </w:rPr>
        <w:t> </w:t>
      </w:r>
      <w:r>
        <w:rPr/>
        <w:t>spacing</w:t>
      </w:r>
      <w:r>
        <w:rPr>
          <w:spacing w:val="35"/>
        </w:rPr>
        <w:t> </w:t>
      </w:r>
      <w:r>
        <w:rPr/>
        <w:t>is</w:t>
      </w:r>
      <w:r>
        <w:rPr>
          <w:spacing w:val="36"/>
        </w:rPr>
        <w:t> </w:t>
      </w:r>
      <w:r>
        <w:rPr/>
        <w:t>varied</w:t>
      </w:r>
      <w:r>
        <w:rPr>
          <w:spacing w:val="35"/>
        </w:rPr>
        <w:t> </w:t>
      </w:r>
      <w:r>
        <w:rPr/>
        <w:t>if</w:t>
      </w:r>
      <w:r>
        <w:rPr>
          <w:spacing w:val="35"/>
        </w:rPr>
        <w:t> </w:t>
      </w:r>
      <w:r>
        <w:rPr/>
        <w:t>the</w:t>
      </w:r>
      <w:r>
        <w:rPr>
          <w:spacing w:val="37"/>
        </w:rPr>
        <w:t> </w:t>
      </w:r>
      <w:r>
        <w:rPr/>
        <w:t>changes</w:t>
      </w:r>
      <w:r>
        <w:rPr>
          <w:spacing w:val="38"/>
        </w:rPr>
        <w:t> </w:t>
      </w:r>
      <w:r>
        <w:rPr/>
        <w:t>in</w:t>
      </w:r>
      <w:r>
        <w:rPr>
          <w:spacing w:val="36"/>
        </w:rPr>
        <w:t> </w:t>
      </w:r>
      <w:r>
        <w:rPr/>
        <w:t>resistivity</w:t>
      </w:r>
      <w:r>
        <w:rPr>
          <w:spacing w:val="-57"/>
        </w:rPr>
        <w:t> </w:t>
      </w:r>
      <w:r>
        <w:rPr/>
        <w:t>with</w:t>
      </w:r>
      <w:r>
        <w:rPr>
          <w:spacing w:val="-1"/>
        </w:rPr>
        <w:t> </w:t>
      </w:r>
      <w:r>
        <w:rPr/>
        <w:t>depth are</w:t>
      </w:r>
      <w:r>
        <w:rPr>
          <w:spacing w:val="-2"/>
        </w:rPr>
        <w:t> </w:t>
      </w:r>
      <w:r>
        <w:rPr/>
        <w:t>to be investigated.</w:t>
      </w:r>
    </w:p>
    <w:p>
      <w:pPr>
        <w:spacing w:after="0" w:line="480" w:lineRule="auto"/>
        <w:jc w:val="both"/>
        <w:sectPr>
          <w:type w:val="continuous"/>
          <w:pgSz w:w="11910" w:h="16840"/>
          <w:pgMar w:top="1320" w:bottom="280" w:left="1680" w:right="980"/>
        </w:sectPr>
      </w:pPr>
    </w:p>
    <w:p>
      <w:pPr>
        <w:pStyle w:val="BodyText"/>
        <w:spacing w:line="480" w:lineRule="auto" w:before="64"/>
        <w:ind w:left="307" w:right="429"/>
        <w:jc w:val="both"/>
      </w:pPr>
      <w:r>
        <w:rPr/>
        <w:t>The types of electrode</w:t>
      </w:r>
      <w:r>
        <w:rPr>
          <w:spacing w:val="1"/>
        </w:rPr>
        <w:t> </w:t>
      </w:r>
      <w:r>
        <w:rPr/>
        <w:t>arrays</w:t>
      </w:r>
      <w:r>
        <w:rPr>
          <w:spacing w:val="1"/>
        </w:rPr>
        <w:t> </w:t>
      </w:r>
      <w:r>
        <w:rPr/>
        <w:t>that are most commonly used</w:t>
      </w:r>
      <w:r>
        <w:rPr>
          <w:spacing w:val="1"/>
        </w:rPr>
        <w:t> </w:t>
      </w:r>
      <w:r>
        <w:rPr/>
        <w:t>are Schlumberger and</w:t>
      </w:r>
      <w:r>
        <w:rPr>
          <w:spacing w:val="1"/>
        </w:rPr>
        <w:t> </w:t>
      </w:r>
      <w:r>
        <w:rPr/>
        <w:t>Wenner as illustrated in Figure 1. In each case, direct current is passed into the earth</w:t>
      </w:r>
      <w:r>
        <w:rPr>
          <w:spacing w:val="1"/>
        </w:rPr>
        <w:t> </w:t>
      </w:r>
      <w:r>
        <w:rPr/>
        <w:t>ground </w:t>
      </w:r>
      <w:r>
        <w:rPr>
          <w:rFonts w:ascii="Cambria Math" w:hAnsi="Cambria Math" w:eastAsia="Cambria Math"/>
        </w:rPr>
        <w:t>𝑐</w:t>
      </w:r>
      <w:r>
        <w:rPr>
          <w:rFonts w:ascii="Cambria Math" w:hAnsi="Cambria Math" w:eastAsia="Cambria Math"/>
          <w:vertAlign w:val="subscript"/>
        </w:rPr>
        <w:t>1</w:t>
      </w:r>
      <w:r>
        <w:rPr>
          <w:rFonts w:ascii="Cambria Math" w:hAnsi="Cambria Math" w:eastAsia="Cambria Math"/>
          <w:spacing w:val="1"/>
          <w:vertAlign w:val="baseline"/>
        </w:rPr>
        <w:t> </w:t>
      </w:r>
      <w:r>
        <w:rPr>
          <w:vertAlign w:val="baseline"/>
        </w:rPr>
        <w:t>and received at </w:t>
      </w:r>
      <w:r>
        <w:rPr>
          <w:rFonts w:ascii="Cambria Math" w:hAnsi="Cambria Math" w:eastAsia="Cambria Math"/>
          <w:vertAlign w:val="baseline"/>
        </w:rPr>
        <w:t>𝑐</w:t>
      </w:r>
      <w:r>
        <w:rPr>
          <w:rFonts w:ascii="Cambria Math" w:hAnsi="Cambria Math" w:eastAsia="Cambria Math"/>
          <w:vertAlign w:val="subscript"/>
        </w:rPr>
        <w:t>2</w:t>
      </w:r>
      <w:r>
        <w:rPr>
          <w:vertAlign w:val="baseline"/>
        </w:rPr>
        <w:t>. The potential generated in the earth as a result of this</w:t>
      </w:r>
      <w:r>
        <w:rPr>
          <w:spacing w:val="1"/>
          <w:vertAlign w:val="baseline"/>
        </w:rPr>
        <w:t> </w:t>
      </w:r>
      <w:r>
        <w:rPr>
          <w:vertAlign w:val="baseline"/>
        </w:rPr>
        <w:t>current</w:t>
      </w:r>
      <w:r>
        <w:rPr>
          <w:spacing w:val="-4"/>
          <w:vertAlign w:val="baseline"/>
        </w:rPr>
        <w:t> </w:t>
      </w:r>
      <w:r>
        <w:rPr>
          <w:vertAlign w:val="baseline"/>
        </w:rPr>
        <w:t>is</w:t>
      </w:r>
      <w:r>
        <w:rPr>
          <w:spacing w:val="-4"/>
          <w:vertAlign w:val="baseline"/>
        </w:rPr>
        <w:t> </w:t>
      </w:r>
      <w:r>
        <w:rPr>
          <w:vertAlign w:val="baseline"/>
        </w:rPr>
        <w:t>measured</w:t>
      </w:r>
      <w:r>
        <w:rPr>
          <w:spacing w:val="-3"/>
          <w:vertAlign w:val="baseline"/>
        </w:rPr>
        <w:t> </w:t>
      </w:r>
      <w:r>
        <w:rPr>
          <w:vertAlign w:val="baseline"/>
        </w:rPr>
        <w:t>between</w:t>
      </w:r>
      <w:r>
        <w:rPr>
          <w:spacing w:val="-4"/>
          <w:vertAlign w:val="baseline"/>
        </w:rPr>
        <w:t> </w:t>
      </w:r>
      <w:r>
        <w:rPr>
          <w:vertAlign w:val="baseline"/>
        </w:rPr>
        <w:t>the</w:t>
      </w:r>
      <w:r>
        <w:rPr>
          <w:spacing w:val="-4"/>
          <w:vertAlign w:val="baseline"/>
        </w:rPr>
        <w:t> </w:t>
      </w:r>
      <w:r>
        <w:rPr>
          <w:vertAlign w:val="baseline"/>
        </w:rPr>
        <w:t>potential</w:t>
      </w:r>
      <w:r>
        <w:rPr>
          <w:spacing w:val="-3"/>
          <w:vertAlign w:val="baseline"/>
        </w:rPr>
        <w:t> </w:t>
      </w:r>
      <w:r>
        <w:rPr>
          <w:vertAlign w:val="baseline"/>
        </w:rPr>
        <w:t>electrodes</w:t>
      </w:r>
      <w:r>
        <w:rPr>
          <w:spacing w:val="-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𝑃</w:t>
      </w:r>
      <w:r>
        <w:rPr>
          <w:rFonts w:ascii="Cambria Math" w:hAnsi="Cambria Math" w:eastAsia="Cambria Math"/>
          <w:vertAlign w:val="subscript"/>
        </w:rPr>
        <w:t>1</w:t>
      </w:r>
      <w:r>
        <w:rPr>
          <w:rFonts w:ascii="Cambria Math" w:hAnsi="Cambria Math" w:eastAsia="Cambria Math"/>
          <w:spacing w:val="12"/>
          <w:vertAlign w:val="baseline"/>
        </w:rPr>
        <w:t> </w:t>
      </w:r>
      <w:r>
        <w:rPr>
          <w:vertAlign w:val="baseline"/>
        </w:rPr>
        <w:t>and</w:t>
      </w:r>
      <w:r>
        <w:rPr>
          <w:spacing w:val="-2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𝑃</w:t>
      </w:r>
      <w:r>
        <w:rPr>
          <w:rFonts w:ascii="Cambria Math" w:hAnsi="Cambria Math" w:eastAsia="Cambria Math"/>
          <w:vertAlign w:val="subscript"/>
        </w:rPr>
        <w:t>2</w:t>
      </w:r>
      <w:r>
        <w:rPr>
          <w:vertAlign w:val="baseline"/>
        </w:rPr>
        <w:t>.</w:t>
      </w:r>
      <w:r>
        <w:rPr>
          <w:spacing w:val="-4"/>
          <w:vertAlign w:val="baseline"/>
        </w:rPr>
        <w:t> </w:t>
      </w:r>
      <w:r>
        <w:rPr>
          <w:vertAlign w:val="baseline"/>
        </w:rPr>
        <w:t>The</w:t>
      </w:r>
      <w:r>
        <w:rPr>
          <w:spacing w:val="-5"/>
          <w:vertAlign w:val="baseline"/>
        </w:rPr>
        <w:t> </w:t>
      </w:r>
      <w:r>
        <w:rPr>
          <w:vertAlign w:val="baseline"/>
        </w:rPr>
        <w:t>electrical</w:t>
      </w:r>
      <w:r>
        <w:rPr>
          <w:spacing w:val="-4"/>
          <w:vertAlign w:val="baseline"/>
        </w:rPr>
        <w:t> </w:t>
      </w:r>
      <w:r>
        <w:rPr>
          <w:vertAlign w:val="baseline"/>
        </w:rPr>
        <w:t>resistivity,</w:t>
      </w:r>
      <w:r>
        <w:rPr>
          <w:spacing w:val="-57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ρ</w:t>
      </w:r>
      <w:r>
        <w:rPr>
          <w:rFonts w:ascii="Cambria Math" w:hAnsi="Cambria Math" w:eastAsia="Cambria Math"/>
          <w:spacing w:val="5"/>
          <w:vertAlign w:val="baseline"/>
        </w:rPr>
        <w:t> </w:t>
      </w:r>
      <w:r>
        <w:rPr>
          <w:vertAlign w:val="baseline"/>
        </w:rPr>
        <w:t>of the</w:t>
      </w:r>
      <w:r>
        <w:rPr>
          <w:spacing w:val="-2"/>
          <w:vertAlign w:val="baseline"/>
        </w:rPr>
        <w:t> </w:t>
      </w:r>
      <w:r>
        <w:rPr>
          <w:vertAlign w:val="baseline"/>
        </w:rPr>
        <w:t>material medium</w:t>
      </w:r>
      <w:r>
        <w:rPr>
          <w:spacing w:val="-1"/>
          <w:vertAlign w:val="baseline"/>
        </w:rPr>
        <w:t> </w:t>
      </w:r>
      <w:r>
        <w:rPr>
          <w:vertAlign w:val="baseline"/>
        </w:rPr>
        <w:t>through</w:t>
      </w:r>
      <w:r>
        <w:rPr>
          <w:spacing w:val="2"/>
          <w:vertAlign w:val="baseline"/>
        </w:rPr>
        <w:t> </w:t>
      </w:r>
      <w:r>
        <w:rPr>
          <w:vertAlign w:val="baseline"/>
        </w:rPr>
        <w:t>which current is</w:t>
      </w:r>
      <w:r>
        <w:rPr>
          <w:spacing w:val="1"/>
          <w:vertAlign w:val="baseline"/>
        </w:rPr>
        <w:t> </w:t>
      </w:r>
      <w:r>
        <w:rPr>
          <w:vertAlign w:val="baseline"/>
        </w:rPr>
        <w:t>given by:</w:t>
      </w:r>
    </w:p>
    <w:p>
      <w:pPr>
        <w:spacing w:after="0" w:line="480" w:lineRule="auto"/>
        <w:jc w:val="both"/>
        <w:sectPr>
          <w:pgSz w:w="11910" w:h="16840"/>
          <w:pgMar w:header="0" w:footer="1067" w:top="1320" w:bottom="1260" w:left="1680" w:right="980"/>
        </w:sectPr>
      </w:pPr>
    </w:p>
    <w:p>
      <w:pPr>
        <w:spacing w:line="168" w:lineRule="auto" w:before="134"/>
        <w:ind w:left="307" w:right="0" w:firstLine="0"/>
        <w:jc w:val="left"/>
        <w:rPr>
          <w:rFonts w:ascii="Cambria Math" w:eastAsia="Cambria Math"/>
          <w:sz w:val="17"/>
        </w:rPr>
      </w:pPr>
      <w:r>
        <w:rPr/>
        <w:pict>
          <v:rect style="position:absolute;margin-left:119.059998pt;margin-top:16.739992pt;width:11.28pt;height:.84pt;mso-position-horizontal-relative:page;mso-position-vertical-relative:paragraph;z-index:-18525696" filled="true" fillcolor="#000000" stroked="false">
            <v:fill type="solid"/>
            <w10:wrap type="none"/>
          </v:rect>
        </w:pict>
      </w:r>
      <w:r>
        <w:rPr>
          <w:rFonts w:ascii="Cambria Math" w:eastAsia="Cambria Math"/>
          <w:position w:val="-13"/>
          <w:sz w:val="24"/>
        </w:rPr>
        <w:t>𝜌</w:t>
      </w:r>
      <w:r>
        <w:rPr>
          <w:rFonts w:ascii="Cambria Math" w:eastAsia="Cambria Math"/>
          <w:spacing w:val="13"/>
          <w:position w:val="-13"/>
          <w:sz w:val="24"/>
        </w:rPr>
        <w:t> </w:t>
      </w:r>
      <w:r>
        <w:rPr>
          <w:position w:val="-13"/>
          <w:sz w:val="24"/>
        </w:rPr>
        <w:t>=</w:t>
      </w:r>
      <w:r>
        <w:rPr>
          <w:spacing w:val="2"/>
          <w:position w:val="-13"/>
          <w:sz w:val="24"/>
        </w:rPr>
        <w:t> </w:t>
      </w:r>
      <w:r>
        <w:rPr>
          <w:rFonts w:ascii="Cambria Math" w:eastAsia="Cambria Math"/>
          <w:sz w:val="17"/>
        </w:rPr>
        <w:t>𝑅𝐴</w:t>
      </w:r>
    </w:p>
    <w:p>
      <w:pPr>
        <w:spacing w:line="162" w:lineRule="exact" w:before="0"/>
        <w:ind w:left="0" w:right="108" w:firstLine="0"/>
        <w:jc w:val="right"/>
        <w:rPr>
          <w:rFonts w:ascii="Cambria Math" w:eastAsia="Cambria Math"/>
          <w:sz w:val="17"/>
        </w:rPr>
      </w:pPr>
      <w:r>
        <w:rPr>
          <w:rFonts w:ascii="Cambria Math" w:eastAsia="Cambria Math"/>
          <w:w w:val="105"/>
          <w:sz w:val="17"/>
        </w:rPr>
        <w:t>𝐿</w:t>
      </w:r>
    </w:p>
    <w:p>
      <w:pPr>
        <w:pStyle w:val="BodyText"/>
        <w:spacing w:before="187"/>
        <w:ind w:left="307"/>
      </w:pPr>
      <w:r>
        <w:rPr/>
        <w:br w:type="column"/>
      </w:r>
      <w:r>
        <w:rPr/>
        <w:t>(3.11)</w:t>
      </w:r>
    </w:p>
    <w:p>
      <w:pPr>
        <w:spacing w:after="0"/>
        <w:sectPr>
          <w:type w:val="continuous"/>
          <w:pgSz w:w="11910" w:h="16840"/>
          <w:pgMar w:top="1320" w:bottom="280" w:left="1680" w:right="980"/>
          <w:cols w:num="2" w:equalWidth="0">
            <w:col w:w="968" w:space="6953"/>
            <w:col w:w="1329"/>
          </w:cols>
        </w:sectPr>
      </w:pPr>
    </w:p>
    <w:p>
      <w:pPr>
        <w:pStyle w:val="BodyText"/>
        <w:spacing w:before="5"/>
        <w:rPr>
          <w:sz w:val="23"/>
        </w:rPr>
      </w:pPr>
    </w:p>
    <w:p>
      <w:pPr>
        <w:spacing w:before="90"/>
        <w:ind w:left="307" w:right="0" w:firstLine="0"/>
        <w:jc w:val="left"/>
        <w:rPr>
          <w:i/>
          <w:sz w:val="24"/>
        </w:rPr>
      </w:pPr>
      <w:r>
        <w:rPr>
          <w:i/>
          <w:sz w:val="24"/>
        </w:rPr>
        <w:t>V =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 R</w:t>
      </w:r>
    </w:p>
    <w:p>
      <w:pPr>
        <w:pStyle w:val="BodyText"/>
        <w:rPr>
          <w:i/>
          <w:sz w:val="26"/>
        </w:rPr>
      </w:pPr>
    </w:p>
    <w:p>
      <w:pPr>
        <w:spacing w:line="234" w:lineRule="exact" w:before="156"/>
        <w:ind w:left="307" w:right="0" w:firstLine="0"/>
        <w:jc w:val="left"/>
        <w:rPr>
          <w:rFonts w:ascii="Cambria Math" w:eastAsia="Cambria Math"/>
          <w:sz w:val="24"/>
        </w:rPr>
      </w:pPr>
      <w:r>
        <w:rPr/>
        <w:pict>
          <v:rect style="position:absolute;margin-left:120.860001pt;margin-top:15.362322pt;width:5.76pt;height:.84pt;mso-position-horizontal-relative:page;mso-position-vertical-relative:paragraph;z-index:-18525184" filled="true" fillcolor="#000000" stroked="false">
            <v:fill type="solid"/>
            <w10:wrap type="none"/>
          </v:rect>
        </w:pict>
      </w:r>
      <w:r>
        <w:rPr>
          <w:i/>
          <w:sz w:val="24"/>
        </w:rPr>
        <w:t>R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=</w:t>
      </w:r>
      <w:r>
        <w:rPr>
          <w:i/>
          <w:spacing w:val="6"/>
          <w:sz w:val="24"/>
        </w:rPr>
        <w:t> </w:t>
      </w:r>
      <w:r>
        <w:rPr>
          <w:rFonts w:ascii="Cambria Math" w:eastAsia="Cambria Math"/>
          <w:sz w:val="24"/>
          <w:vertAlign w:val="superscript"/>
        </w:rPr>
        <w:t>𝑉</w:t>
      </w:r>
    </w:p>
    <w:p>
      <w:pPr>
        <w:spacing w:line="152" w:lineRule="exact" w:before="0"/>
        <w:ind w:left="758" w:right="0" w:firstLine="0"/>
        <w:jc w:val="left"/>
        <w:rPr>
          <w:rFonts w:ascii="Cambria Math" w:eastAsia="Cambria Math"/>
          <w:sz w:val="17"/>
        </w:rPr>
      </w:pPr>
      <w:r>
        <w:rPr>
          <w:rFonts w:ascii="Cambria Math" w:eastAsia="Cambria Math"/>
          <w:w w:val="105"/>
          <w:sz w:val="17"/>
        </w:rPr>
        <w:t>𝐼</w:t>
      </w:r>
    </w:p>
    <w:p>
      <w:pPr>
        <w:pStyle w:val="BodyText"/>
        <w:rPr>
          <w:rFonts w:ascii="Cambria Math"/>
          <w:sz w:val="23"/>
        </w:rPr>
      </w:pPr>
    </w:p>
    <w:p>
      <w:pPr>
        <w:pStyle w:val="BodyText"/>
        <w:spacing w:line="480" w:lineRule="auto" w:before="90"/>
        <w:ind w:left="307" w:right="434"/>
      </w:pPr>
      <w:r>
        <w:rPr/>
        <w:t>If</w:t>
      </w:r>
      <w:r>
        <w:rPr>
          <w:spacing w:val="5"/>
        </w:rPr>
        <w:t> </w:t>
      </w:r>
      <w:r>
        <w:rPr/>
        <w:t>the</w:t>
      </w:r>
      <w:r>
        <w:rPr>
          <w:spacing w:val="5"/>
        </w:rPr>
        <w:t> </w:t>
      </w:r>
      <w:r>
        <w:rPr/>
        <w:t>voltage</w:t>
      </w:r>
      <w:r>
        <w:rPr>
          <w:spacing w:val="6"/>
        </w:rPr>
        <w:t> </w:t>
      </w:r>
      <w:r>
        <w:rPr/>
        <w:t>applied</w:t>
      </w:r>
      <w:r>
        <w:rPr>
          <w:spacing w:val="3"/>
        </w:rPr>
        <w:t> </w:t>
      </w:r>
      <w:r>
        <w:rPr/>
        <w:t>across</w:t>
      </w:r>
      <w:r>
        <w:rPr>
          <w:spacing w:val="5"/>
        </w:rPr>
        <w:t> </w:t>
      </w:r>
      <w:r>
        <w:rPr/>
        <w:t>the</w:t>
      </w:r>
      <w:r>
        <w:rPr>
          <w:spacing w:val="3"/>
        </w:rPr>
        <w:t> </w:t>
      </w:r>
      <w:r>
        <w:rPr/>
        <w:t>potential</w:t>
      </w:r>
      <w:r>
        <w:rPr>
          <w:spacing w:val="4"/>
        </w:rPr>
        <w:t> </w:t>
      </w:r>
      <w:r>
        <w:rPr/>
        <w:t>electrodes</w:t>
      </w:r>
      <w:r>
        <w:rPr>
          <w:spacing w:val="3"/>
        </w:rPr>
        <w:t> </w:t>
      </w:r>
      <w:r>
        <w:rPr/>
        <w:t>is</w:t>
      </w:r>
      <w:r>
        <w:rPr>
          <w:spacing w:val="5"/>
        </w:rPr>
        <w:t> </w:t>
      </w:r>
      <w:r>
        <w:rPr/>
        <w:t>V</w:t>
      </w:r>
      <w:r>
        <w:rPr>
          <w:spacing w:val="3"/>
        </w:rPr>
        <w:t> </w:t>
      </w:r>
      <w:r>
        <w:rPr/>
        <w:t>volts</w:t>
      </w:r>
      <w:r>
        <w:rPr>
          <w:spacing w:val="4"/>
        </w:rPr>
        <w:t> </w:t>
      </w:r>
      <w:r>
        <w:rPr/>
        <w:t>due</w:t>
      </w:r>
      <w:r>
        <w:rPr>
          <w:spacing w:val="2"/>
        </w:rPr>
        <w:t> </w:t>
      </w:r>
      <w:r>
        <w:rPr/>
        <w:t>to</w:t>
      </w:r>
      <w:r>
        <w:rPr>
          <w:spacing w:val="5"/>
        </w:rPr>
        <w:t> </w:t>
      </w:r>
      <w:r>
        <w:rPr/>
        <w:t>the</w:t>
      </w:r>
      <w:r>
        <w:rPr>
          <w:spacing w:val="5"/>
        </w:rPr>
        <w:t> </w:t>
      </w:r>
      <w:r>
        <w:rPr/>
        <w:t>current</w:t>
      </w:r>
      <w:r>
        <w:rPr>
          <w:spacing w:val="5"/>
        </w:rPr>
        <w:t> </w:t>
      </w:r>
      <w:r>
        <w:rPr/>
        <w:t>flow,</w:t>
      </w:r>
      <w:r>
        <w:rPr>
          <w:spacing w:val="8"/>
        </w:rPr>
        <w:t> </w:t>
      </w:r>
      <w:r>
        <w:rPr/>
        <w:t>I</w:t>
      </w:r>
      <w:r>
        <w:rPr>
          <w:spacing w:val="-57"/>
        </w:rPr>
        <w:t> </w:t>
      </w:r>
      <w:r>
        <w:rPr/>
        <w:t>(amperes)</w:t>
      </w:r>
      <w:r>
        <w:rPr>
          <w:spacing w:val="-2"/>
        </w:rPr>
        <w:t> </w:t>
      </w:r>
      <w:r>
        <w:rPr/>
        <w:t>then from Ohm’s</w:t>
      </w:r>
      <w:r>
        <w:rPr>
          <w:spacing w:val="2"/>
        </w:rPr>
        <w:t> </w:t>
      </w:r>
      <w:r>
        <w:rPr/>
        <w:t>Law:</w:t>
      </w:r>
    </w:p>
    <w:p>
      <w:pPr>
        <w:spacing w:after="0" w:line="480" w:lineRule="auto"/>
        <w:sectPr>
          <w:type w:val="continuous"/>
          <w:pgSz w:w="11910" w:h="16840"/>
          <w:pgMar w:top="1320" w:bottom="280" w:left="1680" w:right="980"/>
        </w:sectPr>
      </w:pPr>
    </w:p>
    <w:p>
      <w:pPr>
        <w:spacing w:line="307" w:lineRule="exact" w:before="115"/>
        <w:ind w:left="307" w:right="0" w:firstLine="0"/>
        <w:jc w:val="left"/>
        <w:rPr>
          <w:rFonts w:ascii="Cambria Math" w:hAnsi="Cambria Math" w:eastAsia="Cambria Math"/>
          <w:sz w:val="17"/>
        </w:rPr>
      </w:pPr>
      <w:r>
        <w:rPr/>
        <w:pict>
          <v:rect style="position:absolute;margin-left:131.779999pt;margin-top:16.986664pt;width:10.92pt;height:.84pt;mso-position-horizontal-relative:page;mso-position-vertical-relative:paragraph;z-index:-18524672" filled="true" fillcolor="#000000" stroked="false">
            <v:fill type="solid"/>
            <w10:wrap type="none"/>
          </v:rect>
        </w:pict>
      </w:r>
      <w:r>
        <w:rPr>
          <w:i/>
          <w:sz w:val="24"/>
        </w:rPr>
        <w:t>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=</w:t>
      </w:r>
      <w:r>
        <w:rPr>
          <w:i/>
          <w:spacing w:val="1"/>
          <w:sz w:val="24"/>
        </w:rPr>
        <w:t> </w:t>
      </w:r>
      <w:r>
        <w:rPr>
          <w:rFonts w:ascii="Cambria Math" w:hAnsi="Cambria Math" w:eastAsia="Cambria Math"/>
          <w:sz w:val="24"/>
        </w:rPr>
        <w:t>−</w:t>
      </w:r>
      <w:r>
        <w:rPr>
          <w:rFonts w:ascii="Cambria Math" w:hAnsi="Cambria Math" w:eastAsia="Cambria Math"/>
          <w:spacing w:val="-13"/>
          <w:sz w:val="24"/>
        </w:rPr>
        <w:t> </w:t>
      </w:r>
      <w:r>
        <w:rPr>
          <w:rFonts w:ascii="Cambria Math" w:hAnsi="Cambria Math" w:eastAsia="Cambria Math"/>
          <w:position w:val="14"/>
          <w:sz w:val="17"/>
        </w:rPr>
        <w:t>∆𝑉</w:t>
      </w:r>
    </w:p>
    <w:p>
      <w:pPr>
        <w:spacing w:line="152" w:lineRule="exact" w:before="0"/>
        <w:ind w:left="0" w:right="111" w:firstLine="0"/>
        <w:jc w:val="right"/>
        <w:rPr>
          <w:rFonts w:ascii="Cambria Math" w:eastAsia="Cambria Math"/>
          <w:sz w:val="17"/>
        </w:rPr>
      </w:pPr>
      <w:r>
        <w:rPr>
          <w:rFonts w:ascii="Cambria Math" w:eastAsia="Cambria Math"/>
          <w:w w:val="105"/>
          <w:sz w:val="17"/>
        </w:rPr>
        <w:t>𝐼</w:t>
      </w:r>
    </w:p>
    <w:p>
      <w:pPr>
        <w:pStyle w:val="BodyText"/>
        <w:spacing w:before="192"/>
        <w:ind w:left="307"/>
      </w:pPr>
      <w:r>
        <w:rPr/>
        <w:br w:type="column"/>
      </w:r>
      <w:r>
        <w:rPr/>
        <w:t>(3.12)</w:t>
      </w:r>
    </w:p>
    <w:p>
      <w:pPr>
        <w:spacing w:after="0"/>
        <w:sectPr>
          <w:type w:val="continuous"/>
          <w:pgSz w:w="11910" w:h="16840"/>
          <w:pgMar w:top="1320" w:bottom="280" w:left="1680" w:right="980"/>
          <w:cols w:num="2" w:equalWidth="0">
            <w:col w:w="1208" w:space="6714"/>
            <w:col w:w="1328"/>
          </w:cols>
        </w:sectPr>
      </w:pPr>
    </w:p>
    <w:p>
      <w:pPr>
        <w:pStyle w:val="BodyText"/>
        <w:spacing w:before="1"/>
      </w:pPr>
    </w:p>
    <w:p>
      <w:pPr>
        <w:pStyle w:val="BodyText"/>
        <w:spacing w:line="477" w:lineRule="auto" w:before="86"/>
        <w:ind w:left="307" w:right="433"/>
        <w:jc w:val="both"/>
      </w:pPr>
      <w:r>
        <w:rPr/>
        <w:t>where </w:t>
      </w:r>
      <w:r>
        <w:rPr>
          <w:rFonts w:ascii="Cambria Math" w:hAnsi="Cambria Math"/>
        </w:rPr>
        <w:t>∆</w:t>
      </w:r>
      <w:r>
        <w:rPr/>
        <w:t>V is potential difference across the ends of the conductor and the negative sign</w:t>
      </w:r>
      <w:r>
        <w:rPr>
          <w:spacing w:val="1"/>
        </w:rPr>
        <w:t> </w:t>
      </w:r>
      <w:r>
        <w:rPr/>
        <w:t>means that potential decreases in the direction of electric field current flow (i.e. current</w:t>
      </w:r>
      <w:r>
        <w:rPr>
          <w:spacing w:val="1"/>
        </w:rPr>
        <w:t> </w:t>
      </w:r>
      <w:r>
        <w:rPr/>
        <w:t>flow</w:t>
      </w:r>
      <w:r>
        <w:rPr>
          <w:spacing w:val="-2"/>
        </w:rPr>
        <w:t> </w:t>
      </w:r>
      <w:r>
        <w:rPr/>
        <w:t>from high to low potential).</w:t>
      </w:r>
    </w:p>
    <w:p>
      <w:pPr>
        <w:pStyle w:val="BodyText"/>
        <w:spacing w:before="4"/>
        <w:ind w:left="307"/>
        <w:jc w:val="both"/>
      </w:pPr>
      <w:r>
        <w:rPr/>
        <w:t>Putting</w:t>
      </w:r>
      <w:r>
        <w:rPr>
          <w:spacing w:val="-3"/>
        </w:rPr>
        <w:t> </w:t>
      </w:r>
      <w:r>
        <w:rPr/>
        <w:t>equation (3.11)</w:t>
      </w:r>
      <w:r>
        <w:rPr>
          <w:spacing w:val="-1"/>
        </w:rPr>
        <w:t> </w:t>
      </w:r>
      <w:r>
        <w:rPr/>
        <w:t>in (3.10)</w:t>
      </w:r>
    </w:p>
    <w:p>
      <w:pPr>
        <w:pStyle w:val="BodyText"/>
        <w:spacing w:before="7"/>
        <w:rPr>
          <w:sz w:val="27"/>
        </w:rPr>
      </w:pPr>
    </w:p>
    <w:p>
      <w:pPr>
        <w:spacing w:after="0"/>
        <w:rPr>
          <w:sz w:val="27"/>
        </w:rPr>
        <w:sectPr>
          <w:type w:val="continuous"/>
          <w:pgSz w:w="11910" w:h="16840"/>
          <w:pgMar w:top="1320" w:bottom="280" w:left="1680" w:right="980"/>
        </w:sectPr>
      </w:pPr>
    </w:p>
    <w:p>
      <w:pPr>
        <w:spacing w:line="289" w:lineRule="exact" w:before="73"/>
        <w:ind w:left="307" w:right="0" w:firstLine="0"/>
        <w:jc w:val="left"/>
        <w:rPr>
          <w:rFonts w:ascii="Cambria Math" w:hAnsi="Cambria Math" w:eastAsia="Cambria Math"/>
          <w:sz w:val="24"/>
        </w:rPr>
      </w:pPr>
      <w:r>
        <w:rPr/>
        <w:pict>
          <v:rect style="position:absolute;margin-left:131.419998pt;margin-top:14.886677pt;width:10.92pt;height:.83997pt;mso-position-horizontal-relative:page;mso-position-vertical-relative:paragraph;z-index:-18524160" filled="true" fillcolor="#000000" stroked="false">
            <v:fill type="solid"/>
            <w10:wrap type="none"/>
          </v:rect>
        </w:pict>
      </w:r>
      <w:r>
        <w:rPr/>
        <w:pict>
          <v:rect style="position:absolute;margin-left:151.220001pt;margin-top:14.886677pt;width:5.76pt;height:.83997pt;mso-position-horizontal-relative:page;mso-position-vertical-relative:paragraph;z-index:-18523648" filled="true" fillcolor="#000000" stroked="false">
            <v:fill type="solid"/>
            <w10:wrap type="none"/>
          </v:rect>
        </w:pict>
      </w:r>
      <w:r>
        <w:rPr>
          <w:rFonts w:ascii="Cambria Math" w:hAnsi="Cambria Math" w:eastAsia="Cambria Math"/>
          <w:sz w:val="24"/>
        </w:rPr>
        <w:t>𝜌</w:t>
      </w:r>
      <w:r>
        <w:rPr>
          <w:rFonts w:ascii="Cambria Math" w:hAnsi="Cambria Math" w:eastAsia="Cambria Math"/>
          <w:spacing w:val="13"/>
          <w:sz w:val="24"/>
        </w:rPr>
        <w:t> </w:t>
      </w:r>
      <w:r>
        <w:rPr>
          <w:i/>
          <w:sz w:val="24"/>
        </w:rPr>
        <w:t>= </w:t>
      </w:r>
      <w:r>
        <w:rPr>
          <w:rFonts w:ascii="Cambria Math" w:hAnsi="Cambria Math" w:eastAsia="Cambria Math"/>
          <w:sz w:val="24"/>
        </w:rPr>
        <w:t>−</w:t>
      </w:r>
      <w:r>
        <w:rPr>
          <w:rFonts w:ascii="Cambria Math" w:hAnsi="Cambria Math" w:eastAsia="Cambria Math"/>
          <w:spacing w:val="-10"/>
          <w:sz w:val="24"/>
        </w:rPr>
        <w:t> </w:t>
      </w:r>
      <w:r>
        <w:rPr>
          <w:rFonts w:ascii="Cambria Math" w:hAnsi="Cambria Math" w:eastAsia="Cambria Math"/>
          <w:position w:val="14"/>
          <w:sz w:val="17"/>
        </w:rPr>
        <w:t>∆𝑉</w:t>
      </w:r>
      <w:r>
        <w:rPr>
          <w:rFonts w:ascii="Cambria Math" w:hAnsi="Cambria Math" w:eastAsia="Cambria Math"/>
          <w:spacing w:val="30"/>
          <w:position w:val="14"/>
          <w:sz w:val="17"/>
        </w:rPr>
        <w:t> </w:t>
      </w:r>
      <w:r>
        <w:rPr>
          <w:sz w:val="24"/>
        </w:rPr>
        <w:t>.</w:t>
      </w:r>
      <w:r>
        <w:rPr>
          <w:spacing w:val="3"/>
          <w:sz w:val="24"/>
        </w:rPr>
        <w:t> </w:t>
      </w:r>
      <w:r>
        <w:rPr>
          <w:rFonts w:ascii="Cambria Math" w:hAnsi="Cambria Math" w:eastAsia="Cambria Math"/>
          <w:sz w:val="24"/>
          <w:vertAlign w:val="superscript"/>
        </w:rPr>
        <w:t>𝐴</w:t>
      </w:r>
    </w:p>
    <w:p>
      <w:pPr>
        <w:pStyle w:val="BodyText"/>
        <w:spacing w:line="211" w:lineRule="exact" w:before="151"/>
        <w:ind w:left="307"/>
      </w:pPr>
      <w:r>
        <w:rPr/>
        <w:br w:type="column"/>
      </w:r>
      <w:r>
        <w:rPr/>
        <w:t>(3.13)</w:t>
      </w:r>
    </w:p>
    <w:p>
      <w:pPr>
        <w:spacing w:after="0" w:line="211" w:lineRule="exact"/>
        <w:sectPr>
          <w:type w:val="continuous"/>
          <w:pgSz w:w="11910" w:h="16840"/>
          <w:pgMar w:top="1320" w:bottom="280" w:left="1680" w:right="980"/>
          <w:cols w:num="2" w:equalWidth="0">
            <w:col w:w="1498" w:space="6424"/>
            <w:col w:w="1328"/>
          </w:cols>
        </w:sectPr>
      </w:pPr>
    </w:p>
    <w:p>
      <w:pPr>
        <w:tabs>
          <w:tab w:pos="1365" w:val="left" w:leader="none"/>
        </w:tabs>
        <w:spacing w:line="171" w:lineRule="exact" w:before="0"/>
        <w:ind w:left="1008" w:right="0" w:firstLine="0"/>
        <w:jc w:val="left"/>
        <w:rPr>
          <w:rFonts w:ascii="Cambria Math" w:eastAsia="Cambria Math"/>
          <w:sz w:val="17"/>
        </w:rPr>
      </w:pPr>
      <w:r>
        <w:rPr>
          <w:rFonts w:ascii="Cambria Math" w:eastAsia="Cambria Math"/>
          <w:w w:val="105"/>
          <w:sz w:val="17"/>
        </w:rPr>
        <w:t>𝐿</w:t>
        <w:tab/>
        <w:t>𝐼</w:t>
      </w: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spacing w:before="4"/>
        <w:rPr>
          <w:rFonts w:ascii="Cambria Math"/>
          <w:sz w:val="20"/>
        </w:rPr>
      </w:pPr>
    </w:p>
    <w:p>
      <w:pPr>
        <w:pStyle w:val="BodyText"/>
        <w:spacing w:before="90"/>
        <w:ind w:left="307"/>
      </w:pPr>
      <w:r>
        <w:rPr/>
        <w:t>But</w:t>
      </w:r>
    </w:p>
    <w:p>
      <w:pPr>
        <w:pStyle w:val="BodyText"/>
        <w:rPr>
          <w:sz w:val="26"/>
        </w:rPr>
      </w:pPr>
    </w:p>
    <w:p>
      <w:pPr>
        <w:pStyle w:val="BodyText"/>
        <w:spacing w:line="215" w:lineRule="exact" w:before="158"/>
        <w:ind w:left="307"/>
      </w:pPr>
      <w:r>
        <w:rPr/>
        <w:pict>
          <v:rect style="position:absolute;margin-left:118.82pt;margin-top:15.462373pt;width:5.76pt;height:.83997pt;mso-position-horizontal-relative:page;mso-position-vertical-relative:paragraph;z-index:-18523136" filled="true" fillcolor="#000000" stroked="false">
            <v:fill type="solid"/>
            <w10:wrap type="none"/>
          </v:rect>
        </w:pict>
      </w:r>
      <w:r>
        <w:rPr/>
        <w:pict>
          <v:rect style="position:absolute;margin-left:253.850006pt;margin-top:15.462373pt;width:5.76pt;height:.83997pt;mso-position-horizontal-relative:page;mso-position-vertical-relative:paragraph;z-index:-18522624" filled="true" fillcolor="#000000" stroked="false">
            <v:fill type="solid"/>
            <w10:wrap type="none"/>
          </v:rect>
        </w:pict>
      </w:r>
      <w:r>
        <w:rPr>
          <w:i/>
        </w:rPr>
        <w:t>J =</w:t>
      </w:r>
      <w:r>
        <w:rPr>
          <w:i/>
          <w:spacing w:val="23"/>
        </w:rPr>
        <w:t> </w:t>
      </w:r>
      <w:r>
        <w:rPr>
          <w:rFonts w:ascii="Cambria Math" w:eastAsia="Cambria Math"/>
          <w:vertAlign w:val="superscript"/>
        </w:rPr>
        <w:t>𝐼</w:t>
      </w:r>
      <w:r>
        <w:rPr>
          <w:rFonts w:ascii="Cambria Math" w:eastAsia="Cambria Math"/>
          <w:spacing w:val="35"/>
          <w:vertAlign w:val="baseline"/>
        </w:rPr>
        <w:t> </w:t>
      </w:r>
      <w:r>
        <w:rPr>
          <w:vertAlign w:val="baseline"/>
        </w:rPr>
        <w:t>= current</w:t>
      </w:r>
      <w:r>
        <w:rPr>
          <w:spacing w:val="1"/>
          <w:vertAlign w:val="baseline"/>
        </w:rPr>
        <w:t> </w:t>
      </w:r>
      <w:r>
        <w:rPr>
          <w:vertAlign w:val="baseline"/>
        </w:rPr>
        <w:t>density</w:t>
      </w:r>
      <w:r>
        <w:rPr>
          <w:spacing w:val="-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E</w:t>
      </w:r>
      <w:r>
        <w:rPr>
          <w:spacing w:val="2"/>
          <w:vertAlign w:val="baseline"/>
        </w:rPr>
        <w:t> </w:t>
      </w:r>
      <w:r>
        <w:rPr>
          <w:i/>
          <w:vertAlign w:val="baseline"/>
        </w:rPr>
        <w:t>=</w:t>
      </w:r>
      <w:r>
        <w:rPr>
          <w:i/>
          <w:spacing w:val="2"/>
          <w:vertAlign w:val="baseline"/>
        </w:rPr>
        <w:t> </w:t>
      </w:r>
      <w:r>
        <w:rPr>
          <w:rFonts w:ascii="Cambria Math" w:eastAsia="Cambria Math"/>
          <w:vertAlign w:val="superscript"/>
        </w:rPr>
        <w:t>𝑉</w:t>
      </w:r>
      <w:r>
        <w:rPr>
          <w:vertAlign w:val="baseline"/>
        </w:rPr>
        <w:t>=</w:t>
      </w:r>
      <w:r>
        <w:rPr>
          <w:spacing w:val="2"/>
          <w:vertAlign w:val="baseline"/>
        </w:rPr>
        <w:t> </w:t>
      </w:r>
      <w:r>
        <w:rPr>
          <w:vertAlign w:val="baseline"/>
        </w:rPr>
        <w:t>electrical</w:t>
      </w:r>
      <w:r>
        <w:rPr>
          <w:spacing w:val="1"/>
          <w:vertAlign w:val="baseline"/>
        </w:rPr>
        <w:t> </w:t>
      </w:r>
      <w:r>
        <w:rPr>
          <w:vertAlign w:val="baseline"/>
        </w:rPr>
        <w:t>field</w:t>
      </w:r>
      <w:r>
        <w:rPr>
          <w:spacing w:val="1"/>
          <w:vertAlign w:val="baseline"/>
        </w:rPr>
        <w:t> </w:t>
      </w:r>
      <w:r>
        <w:rPr>
          <w:vertAlign w:val="baseline"/>
        </w:rPr>
        <w:t>resistivity</w:t>
      </w:r>
      <w:r>
        <w:rPr>
          <w:spacing w:val="-7"/>
          <w:vertAlign w:val="baseline"/>
        </w:rPr>
        <w:t> </w:t>
      </w:r>
      <w:r>
        <w:rPr>
          <w:vertAlign w:val="baseline"/>
        </w:rPr>
        <w:t>in</w:t>
      </w:r>
      <w:r>
        <w:rPr>
          <w:spacing w:val="3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direction</w:t>
      </w:r>
      <w:r>
        <w:rPr>
          <w:spacing w:val="3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J.</w:t>
      </w:r>
    </w:p>
    <w:p>
      <w:pPr>
        <w:tabs>
          <w:tab w:pos="3404" w:val="left" w:leader="none"/>
        </w:tabs>
        <w:spacing w:line="171" w:lineRule="exact" w:before="0"/>
        <w:ind w:left="696" w:right="0" w:firstLine="0"/>
        <w:jc w:val="left"/>
        <w:rPr>
          <w:rFonts w:ascii="Cambria Math" w:eastAsia="Cambria Math"/>
          <w:sz w:val="17"/>
        </w:rPr>
      </w:pPr>
      <w:r>
        <w:rPr>
          <w:rFonts w:ascii="Cambria Math" w:eastAsia="Cambria Math"/>
          <w:w w:val="105"/>
          <w:sz w:val="17"/>
        </w:rPr>
        <w:t>𝐴</w:t>
        <w:tab/>
        <w:t>𝐿</w:t>
      </w:r>
    </w:p>
    <w:p>
      <w:pPr>
        <w:pStyle w:val="BodyText"/>
        <w:spacing w:before="9"/>
        <w:rPr>
          <w:rFonts w:ascii="Cambria Math"/>
          <w:sz w:val="22"/>
        </w:rPr>
      </w:pPr>
    </w:p>
    <w:p>
      <w:pPr>
        <w:pStyle w:val="BodyText"/>
        <w:spacing w:before="90"/>
        <w:ind w:left="307"/>
      </w:pPr>
      <w:r>
        <w:rPr/>
        <w:t>Equation</w:t>
      </w:r>
      <w:r>
        <w:rPr>
          <w:spacing w:val="-2"/>
        </w:rPr>
        <w:t> </w:t>
      </w:r>
      <w:r>
        <w:rPr/>
        <w:t>3.13</w:t>
      </w:r>
      <w:r>
        <w:rPr>
          <w:spacing w:val="-1"/>
        </w:rPr>
        <w:t> </w:t>
      </w:r>
      <w:r>
        <w:rPr/>
        <w:t>becomes</w:t>
      </w:r>
    </w:p>
    <w:p>
      <w:pPr>
        <w:pStyle w:val="BodyText"/>
        <w:spacing w:before="5"/>
        <w:rPr>
          <w:sz w:val="27"/>
        </w:rPr>
      </w:pPr>
    </w:p>
    <w:p>
      <w:pPr>
        <w:spacing w:after="0"/>
        <w:rPr>
          <w:sz w:val="27"/>
        </w:rPr>
        <w:sectPr>
          <w:type w:val="continuous"/>
          <w:pgSz w:w="11910" w:h="16840"/>
          <w:pgMar w:top="1320" w:bottom="280" w:left="1680" w:right="980"/>
        </w:sectPr>
      </w:pPr>
    </w:p>
    <w:p>
      <w:pPr>
        <w:pStyle w:val="BodyText"/>
        <w:spacing w:line="234" w:lineRule="exact" w:before="146"/>
        <w:ind w:left="307"/>
        <w:rPr>
          <w:rFonts w:ascii="Cambria Math"/>
        </w:rPr>
      </w:pPr>
      <w:r>
        <w:rPr/>
        <w:pict>
          <v:rect style="position:absolute;margin-left:116.779999pt;margin-top:14.862317pt;width:5.4pt;height:.84003pt;mso-position-horizontal-relative:page;mso-position-vertical-relative:paragraph;z-index:-18522112" filled="true" fillcolor="#000000" stroked="false">
            <v:fill type="solid"/>
            <w10:wrap type="none"/>
          </v:rect>
        </w:pict>
      </w:r>
      <w:r>
        <w:rPr>
          <w:w w:val="105"/>
        </w:rPr>
        <w:t>J</w:t>
      </w:r>
      <w:r>
        <w:rPr>
          <w:spacing w:val="-1"/>
          <w:w w:val="105"/>
        </w:rPr>
        <w:t> </w:t>
      </w:r>
      <w:r>
        <w:rPr>
          <w:w w:val="105"/>
        </w:rPr>
        <w:t>=</w:t>
      </w:r>
      <w:r>
        <w:rPr>
          <w:spacing w:val="-7"/>
          <w:w w:val="105"/>
        </w:rPr>
        <w:t> </w:t>
      </w:r>
      <w:r>
        <w:rPr>
          <w:rFonts w:ascii="Cambria Math"/>
          <w:w w:val="105"/>
          <w:vertAlign w:val="superscript"/>
        </w:rPr>
        <w:t>E</w:t>
      </w:r>
    </w:p>
    <w:p>
      <w:pPr>
        <w:spacing w:line="152" w:lineRule="exact" w:before="0"/>
        <w:ind w:left="0" w:right="42" w:firstLine="0"/>
        <w:jc w:val="right"/>
        <w:rPr>
          <w:rFonts w:ascii="Cambria Math" w:hAnsi="Cambria Math"/>
          <w:sz w:val="17"/>
        </w:rPr>
      </w:pPr>
      <w:r>
        <w:rPr>
          <w:rFonts w:ascii="Cambria Math" w:hAnsi="Cambria Math"/>
          <w:w w:val="112"/>
          <w:sz w:val="17"/>
        </w:rPr>
        <w:t>ρ</w:t>
      </w:r>
    </w:p>
    <w:p>
      <w:pPr>
        <w:pStyle w:val="BodyText"/>
        <w:spacing w:before="150"/>
        <w:ind w:left="307"/>
      </w:pPr>
      <w:r>
        <w:rPr/>
        <w:br w:type="column"/>
      </w:r>
      <w:r>
        <w:rPr/>
        <w:t>(3.14)</w:t>
      </w:r>
    </w:p>
    <w:p>
      <w:pPr>
        <w:spacing w:after="0"/>
        <w:sectPr>
          <w:type w:val="continuous"/>
          <w:pgSz w:w="11910" w:h="16840"/>
          <w:pgMar w:top="1320" w:bottom="280" w:left="1680" w:right="980"/>
          <w:cols w:num="2" w:equalWidth="0">
            <w:col w:w="805" w:space="7116"/>
            <w:col w:w="1329"/>
          </w:cols>
        </w:sectPr>
      </w:pPr>
    </w:p>
    <w:p>
      <w:pPr>
        <w:pStyle w:val="BodyText"/>
        <w:spacing w:line="585" w:lineRule="auto" w:before="64"/>
        <w:ind w:left="307" w:right="3052"/>
      </w:pPr>
      <w:r>
        <w:rPr/>
        <w:t>Since the electric field is the gradient of a scalar potential i.e.</w:t>
      </w:r>
      <w:r>
        <w:rPr>
          <w:spacing w:val="-57"/>
        </w:rPr>
        <w:t> </w:t>
      </w:r>
      <w:r>
        <w:rPr/>
        <w:t>Eqn.</w:t>
      </w:r>
      <w:r>
        <w:rPr>
          <w:spacing w:val="-1"/>
        </w:rPr>
        <w:t> </w:t>
      </w:r>
      <w:r>
        <w:rPr/>
        <w:t>3.13</w:t>
      </w:r>
      <w:r>
        <w:rPr>
          <w:spacing w:val="-1"/>
        </w:rPr>
        <w:t> </w:t>
      </w:r>
      <w:r>
        <w:rPr/>
        <w:t>can be</w:t>
      </w:r>
      <w:r>
        <w:rPr>
          <w:spacing w:val="1"/>
        </w:rPr>
        <w:t> </w:t>
      </w:r>
      <w:r>
        <w:rPr/>
        <w:t>written</w:t>
      </w:r>
      <w:r>
        <w:rPr>
          <w:spacing w:val="1"/>
        </w:rPr>
        <w:t> </w:t>
      </w:r>
      <w:r>
        <w:rPr/>
        <w:t>as:</w:t>
      </w:r>
    </w:p>
    <w:p>
      <w:pPr>
        <w:spacing w:after="0" w:line="585" w:lineRule="auto"/>
        <w:sectPr>
          <w:pgSz w:w="11910" w:h="16840"/>
          <w:pgMar w:header="0" w:footer="1067" w:top="1320" w:bottom="1260" w:left="1680" w:right="980"/>
        </w:sectPr>
      </w:pPr>
    </w:p>
    <w:p>
      <w:pPr>
        <w:spacing w:line="234" w:lineRule="exact" w:before="59"/>
        <w:ind w:left="307" w:right="0" w:firstLine="0"/>
        <w:jc w:val="left"/>
        <w:rPr>
          <w:rFonts w:ascii="Cambria Math" w:eastAsia="Cambria Math"/>
          <w:sz w:val="24"/>
        </w:rPr>
      </w:pPr>
      <w:r>
        <w:rPr/>
        <w:pict>
          <v:rect style="position:absolute;margin-left:118.82pt;margin-top:10.51232pt;width:16.440pt;height:.84pt;mso-position-horizontal-relative:page;mso-position-vertical-relative:paragraph;z-index:-18520576" filled="true" fillcolor="#000000" stroked="false">
            <v:fill type="solid"/>
            <w10:wrap type="none"/>
          </v:rect>
        </w:pict>
      </w:r>
      <w:r>
        <w:rPr>
          <w:i/>
          <w:sz w:val="24"/>
        </w:rPr>
        <w:t>J =</w:t>
      </w:r>
      <w:r>
        <w:rPr>
          <w:i/>
          <w:spacing w:val="72"/>
          <w:sz w:val="24"/>
        </w:rPr>
        <w:t> </w:t>
      </w:r>
      <w:r>
        <w:rPr>
          <w:rFonts w:ascii="Cambria Math" w:eastAsia="Cambria Math"/>
          <w:sz w:val="24"/>
          <w:vertAlign w:val="superscript"/>
        </w:rPr>
        <w:t>𝐼</w:t>
      </w:r>
    </w:p>
    <w:p>
      <w:pPr>
        <w:spacing w:line="152" w:lineRule="exact" w:before="0"/>
        <w:ind w:left="696" w:right="0" w:firstLine="0"/>
        <w:jc w:val="left"/>
        <w:rPr>
          <w:rFonts w:ascii="Cambria Math" w:hAnsi="Cambria Math" w:eastAsia="Cambria Math"/>
          <w:sz w:val="17"/>
        </w:rPr>
      </w:pPr>
      <w:r>
        <w:rPr>
          <w:rFonts w:ascii="Cambria Math" w:hAnsi="Cambria Math" w:eastAsia="Cambria Math"/>
          <w:w w:val="105"/>
          <w:sz w:val="17"/>
        </w:rPr>
        <w:t>𝜌∇𝖴</w:t>
      </w:r>
    </w:p>
    <w:p>
      <w:pPr>
        <w:pStyle w:val="BodyText"/>
        <w:spacing w:before="63"/>
        <w:ind w:left="307"/>
      </w:pPr>
      <w:r>
        <w:rPr/>
        <w:br w:type="column"/>
      </w:r>
      <w:r>
        <w:rPr/>
        <w:t>(3.15)</w:t>
      </w:r>
    </w:p>
    <w:p>
      <w:pPr>
        <w:spacing w:after="0"/>
        <w:sectPr>
          <w:type w:val="continuous"/>
          <w:pgSz w:w="11910" w:h="16840"/>
          <w:pgMar w:top="1320" w:bottom="280" w:left="1680" w:right="980"/>
          <w:cols w:num="2" w:equalWidth="0">
            <w:col w:w="1067" w:space="6135"/>
            <w:col w:w="2048"/>
          </w:cols>
        </w:sectPr>
      </w:pPr>
    </w:p>
    <w:p>
      <w:pPr>
        <w:pStyle w:val="BodyText"/>
        <w:spacing w:before="4"/>
        <w:rPr>
          <w:sz w:val="26"/>
        </w:rPr>
      </w:pPr>
    </w:p>
    <w:p>
      <w:pPr>
        <w:pStyle w:val="BodyText"/>
        <w:spacing w:line="480" w:lineRule="auto" w:before="90"/>
        <w:ind w:left="307" w:right="428"/>
        <w:jc w:val="both"/>
      </w:pPr>
      <w:r>
        <w:rPr/>
        <w:t>It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noted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electric</w:t>
      </w:r>
      <w:r>
        <w:rPr>
          <w:spacing w:val="1"/>
        </w:rPr>
        <w:t> </w:t>
      </w:r>
      <w:r>
        <w:rPr/>
        <w:t>potential</w:t>
      </w:r>
      <w:r>
        <w:rPr>
          <w:spacing w:val="1"/>
        </w:rPr>
        <w:t> </w:t>
      </w:r>
      <w:r>
        <w:rPr/>
        <w:t>distribution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D.C.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flows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homogeneous</w:t>
      </w:r>
      <w:r>
        <w:rPr>
          <w:spacing w:val="-1"/>
        </w:rPr>
        <w:t> </w:t>
      </w:r>
      <w:r>
        <w:rPr/>
        <w:t>medium satisfies</w:t>
      </w:r>
      <w:r>
        <w:rPr>
          <w:spacing w:val="-1"/>
        </w:rPr>
        <w:t> </w:t>
      </w:r>
      <w:r>
        <w:rPr/>
        <w:t>the</w:t>
      </w:r>
      <w:r>
        <w:rPr>
          <w:spacing w:val="2"/>
        </w:rPr>
        <w:t> </w:t>
      </w:r>
      <w:r>
        <w:rPr/>
        <w:t>Laplace’s equation.</w:t>
      </w:r>
    </w:p>
    <w:p>
      <w:pPr>
        <w:pStyle w:val="BodyText"/>
        <w:spacing w:before="126"/>
        <w:ind w:left="307"/>
        <w:jc w:val="both"/>
      </w:pPr>
      <w:r>
        <w:rPr>
          <w:rFonts w:ascii="Cambria Math" w:hAnsi="Cambria Math" w:eastAsia="Cambria Math"/>
          <w:w w:val="105"/>
        </w:rPr>
        <w:t>∇</w:t>
      </w:r>
      <w:r>
        <w:rPr>
          <w:rFonts w:ascii="Cambria Math" w:hAnsi="Cambria Math" w:eastAsia="Cambria Math"/>
          <w:w w:val="105"/>
          <w:vertAlign w:val="superscript"/>
        </w:rPr>
        <w:t>2</w:t>
      </w:r>
      <w:r>
        <w:rPr>
          <w:rFonts w:ascii="Cambria Math" w:hAnsi="Cambria Math" w:eastAsia="Cambria Math"/>
          <w:spacing w:val="3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𝖴</w:t>
      </w:r>
      <w:r>
        <w:rPr>
          <w:rFonts w:ascii="Cambria Math" w:hAnsi="Cambria Math" w:eastAsia="Cambria Math"/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=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0</w:t>
      </w:r>
    </w:p>
    <w:p>
      <w:pPr>
        <w:pStyle w:val="BodyText"/>
        <w:spacing w:before="9"/>
        <w:rPr>
          <w:sz w:val="34"/>
        </w:rPr>
      </w:pPr>
    </w:p>
    <w:p>
      <w:pPr>
        <w:pStyle w:val="BodyText"/>
        <w:spacing w:line="480" w:lineRule="auto"/>
        <w:ind w:left="307" w:right="427"/>
        <w:jc w:val="both"/>
      </w:pPr>
      <w:r>
        <w:rPr/>
        <w:t>Current</w:t>
      </w:r>
      <w:r>
        <w:rPr>
          <w:spacing w:val="1"/>
        </w:rPr>
        <w:t> </w:t>
      </w:r>
      <w:r>
        <w:rPr/>
        <w:t>flows</w:t>
      </w:r>
      <w:r>
        <w:rPr>
          <w:spacing w:val="1"/>
        </w:rPr>
        <w:t> </w:t>
      </w:r>
      <w:r>
        <w:rPr/>
        <w:t>readily</w:t>
      </w:r>
      <w:r>
        <w:rPr>
          <w:spacing w:val="1"/>
        </w:rPr>
        <w:t> </w:t>
      </w:r>
      <w:r>
        <w:rPr/>
        <w:t>away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electrodes</w:t>
      </w:r>
      <w:r>
        <w:rPr>
          <w:spacing w:val="1"/>
        </w:rPr>
        <w:t> </w:t>
      </w:r>
      <w:r>
        <w:rPr/>
        <w:t>so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current</w:t>
      </w:r>
      <w:r>
        <w:rPr>
          <w:spacing w:val="1"/>
        </w:rPr>
        <w:t> </w:t>
      </w:r>
      <w:r>
        <w:rPr/>
        <w:t>distribution</w:t>
      </w:r>
      <w:r>
        <w:rPr>
          <w:spacing w:val="60"/>
        </w:rPr>
        <w:t> </w:t>
      </w:r>
      <w:r>
        <w:rPr/>
        <w:t>is</w:t>
      </w:r>
      <w:r>
        <w:rPr>
          <w:spacing w:val="1"/>
        </w:rPr>
        <w:t> </w:t>
      </w:r>
      <w:r>
        <w:rPr/>
        <w:t>uniform over hemispherical shell has a surface in the lower medium. At a distance, r</w:t>
      </w:r>
      <w:r>
        <w:rPr>
          <w:spacing w:val="1"/>
        </w:rPr>
        <w:t> </w:t>
      </w:r>
      <w:r>
        <w:rPr/>
        <w:t>from the electrode, the hemispherical shell has a surface area A = 2</w:t>
      </w:r>
      <w:r>
        <w:rPr>
          <w:rFonts w:ascii="Cambria Math" w:hAnsi="Cambria Math"/>
        </w:rPr>
        <w:t>π</w:t>
      </w:r>
      <w:r>
        <w:rPr/>
        <w:t>r</w:t>
      </w:r>
      <w:r>
        <w:rPr>
          <w:vertAlign w:val="superscript"/>
        </w:rPr>
        <w:t>2</w:t>
      </w:r>
      <w:r>
        <w:rPr>
          <w:vertAlign w:val="baseline"/>
        </w:rPr>
        <w:t>, so that the</w:t>
      </w:r>
      <w:r>
        <w:rPr>
          <w:spacing w:val="1"/>
          <w:vertAlign w:val="baseline"/>
        </w:rPr>
        <w:t> </w:t>
      </w:r>
      <w:r>
        <w:rPr>
          <w:vertAlign w:val="baseline"/>
        </w:rPr>
        <w:t>current</w:t>
      </w:r>
      <w:r>
        <w:rPr>
          <w:spacing w:val="-1"/>
          <w:vertAlign w:val="baseline"/>
        </w:rPr>
        <w:t> </w:t>
      </w:r>
      <w:r>
        <w:rPr>
          <w:vertAlign w:val="baseline"/>
        </w:rPr>
        <w:t>density</w:t>
      </w:r>
      <w:r>
        <w:rPr>
          <w:spacing w:val="-5"/>
          <w:vertAlign w:val="baseline"/>
        </w:rPr>
        <w:t> </w:t>
      </w:r>
      <w:r>
        <w:rPr>
          <w:vertAlign w:val="baseline"/>
        </w:rPr>
        <w:t>J</w:t>
      </w:r>
      <w:r>
        <w:rPr>
          <w:spacing w:val="2"/>
          <w:vertAlign w:val="baseline"/>
        </w:rPr>
        <w:t> </w:t>
      </w:r>
      <w:r>
        <w:rPr>
          <w:vertAlign w:val="baseline"/>
        </w:rPr>
        <w:t>is given</w:t>
      </w:r>
      <w:r>
        <w:rPr>
          <w:spacing w:val="1"/>
          <w:vertAlign w:val="baseline"/>
        </w:rPr>
        <w:t> </w:t>
      </w:r>
      <w:r>
        <w:rPr>
          <w:vertAlign w:val="baseline"/>
        </w:rPr>
        <w:t>by:</w:t>
      </w:r>
    </w:p>
    <w:p>
      <w:pPr>
        <w:spacing w:after="0" w:line="480" w:lineRule="auto"/>
        <w:jc w:val="both"/>
        <w:sectPr>
          <w:type w:val="continuous"/>
          <w:pgSz w:w="11910" w:h="16840"/>
          <w:pgMar w:top="1320" w:bottom="280" w:left="1680" w:right="980"/>
        </w:sectPr>
      </w:pPr>
    </w:p>
    <w:p>
      <w:pPr>
        <w:pStyle w:val="BodyText"/>
        <w:tabs>
          <w:tab w:pos="816" w:val="left" w:leader="none"/>
        </w:tabs>
        <w:spacing w:line="223" w:lineRule="exact" w:before="187"/>
        <w:ind w:left="307"/>
        <w:rPr>
          <w:rFonts w:ascii="Cambria Math"/>
        </w:rPr>
      </w:pPr>
      <w:r>
        <w:rPr/>
        <w:pict>
          <v:rect style="position:absolute;margin-left:116.779999pt;margin-top:16.912342pt;width:19.2pt;height:.84pt;mso-position-horizontal-relative:page;mso-position-vertical-relative:paragraph;z-index:-18520064" filled="true" fillcolor="#000000" stroked="false">
            <v:fill type="solid"/>
            <w10:wrap type="none"/>
          </v:rect>
        </w:pict>
      </w:r>
      <w:r>
        <w:rPr>
          <w:w w:val="105"/>
        </w:rPr>
        <w:t>J</w:t>
      </w:r>
      <w:r>
        <w:rPr>
          <w:spacing w:val="-5"/>
          <w:w w:val="105"/>
        </w:rPr>
        <w:t> </w:t>
      </w:r>
      <w:r>
        <w:rPr>
          <w:w w:val="105"/>
        </w:rPr>
        <w:t>=</w:t>
        <w:tab/>
      </w:r>
      <w:r>
        <w:rPr>
          <w:rFonts w:ascii="Cambria Math"/>
          <w:w w:val="105"/>
          <w:vertAlign w:val="superscript"/>
        </w:rPr>
        <w:t>I</w:t>
      </w:r>
    </w:p>
    <w:p>
      <w:pPr>
        <w:spacing w:line="163" w:lineRule="exact" w:before="0"/>
        <w:ind w:left="655" w:right="0" w:firstLine="0"/>
        <w:jc w:val="left"/>
        <w:rPr>
          <w:rFonts w:ascii="Cambria Math" w:hAnsi="Cambria Math"/>
          <w:sz w:val="14"/>
        </w:rPr>
      </w:pPr>
      <w:r>
        <w:rPr>
          <w:rFonts w:ascii="Cambria Math" w:hAnsi="Cambria Math"/>
          <w:w w:val="110"/>
          <w:sz w:val="17"/>
        </w:rPr>
        <w:t>2πr</w:t>
      </w:r>
      <w:r>
        <w:rPr>
          <w:rFonts w:ascii="Cambria Math" w:hAnsi="Cambria Math"/>
          <w:w w:val="110"/>
          <w:position w:val="5"/>
          <w:sz w:val="14"/>
        </w:rPr>
        <w:t>2</w:t>
      </w:r>
    </w:p>
    <w:p>
      <w:pPr>
        <w:pStyle w:val="BodyText"/>
        <w:spacing w:before="191"/>
        <w:ind w:left="307"/>
      </w:pPr>
      <w:r>
        <w:rPr/>
        <w:br w:type="column"/>
      </w:r>
      <w:r>
        <w:rPr/>
        <w:t>(3.16)</w:t>
      </w:r>
    </w:p>
    <w:p>
      <w:pPr>
        <w:spacing w:after="0"/>
        <w:sectPr>
          <w:type w:val="continuous"/>
          <w:pgSz w:w="11910" w:h="16840"/>
          <w:pgMar w:top="1320" w:bottom="280" w:left="1680" w:right="980"/>
          <w:cols w:num="2" w:equalWidth="0">
            <w:col w:w="1072" w:space="6850"/>
            <w:col w:w="1328"/>
          </w:cols>
        </w:sectPr>
      </w:pPr>
    </w:p>
    <w:p>
      <w:pPr>
        <w:pStyle w:val="BodyText"/>
        <w:spacing w:before="6"/>
        <w:rPr>
          <w:sz w:val="23"/>
        </w:rPr>
      </w:pPr>
    </w:p>
    <w:p>
      <w:pPr>
        <w:pStyle w:val="BodyText"/>
        <w:spacing w:line="480" w:lineRule="auto" w:before="90"/>
        <w:ind w:left="307"/>
      </w:pP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3"/>
        </w:rPr>
        <w:t> </w:t>
      </w:r>
      <w:r>
        <w:rPr/>
        <w:t>symmetry</w:t>
      </w:r>
      <w:r>
        <w:rPr>
          <w:spacing w:val="-3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2"/>
        </w:rPr>
        <w:t> </w:t>
      </w:r>
      <w:r>
        <w:rPr/>
        <w:t>system,</w:t>
      </w:r>
      <w:r>
        <w:rPr>
          <w:spacing w:val="2"/>
        </w:rPr>
        <w:t> </w:t>
      </w:r>
      <w:r>
        <w:rPr/>
        <w:t>the</w:t>
      </w:r>
      <w:r>
        <w:rPr>
          <w:spacing w:val="3"/>
        </w:rPr>
        <w:t> </w:t>
      </w:r>
      <w:r>
        <w:rPr/>
        <w:t>potential</w:t>
      </w:r>
      <w:r>
        <w:rPr>
          <w:spacing w:val="2"/>
        </w:rPr>
        <w:t> </w:t>
      </w:r>
      <w:r>
        <w:rPr/>
        <w:t>will</w:t>
      </w:r>
      <w:r>
        <w:rPr>
          <w:spacing w:val="3"/>
        </w:rPr>
        <w:t> </w:t>
      </w:r>
      <w:r>
        <w:rPr/>
        <w:t>be</w:t>
      </w:r>
      <w:r>
        <w:rPr>
          <w:spacing w:val="1"/>
        </w:rPr>
        <w:t> </w:t>
      </w:r>
      <w:r>
        <w:rPr/>
        <w:t>a</w:t>
      </w:r>
      <w:r>
        <w:rPr>
          <w:spacing w:val="3"/>
        </w:rPr>
        <w:t> </w:t>
      </w:r>
      <w:r>
        <w:rPr/>
        <w:t>function</w:t>
      </w:r>
      <w:r>
        <w:rPr>
          <w:spacing w:val="2"/>
        </w:rPr>
        <w:t> </w:t>
      </w:r>
      <w:r>
        <w:rPr/>
        <w:t>of</w:t>
      </w:r>
      <w:r>
        <w:rPr>
          <w:spacing w:val="2"/>
        </w:rPr>
        <w:t> </w:t>
      </w:r>
      <w:r>
        <w:rPr/>
        <w:t>r</w:t>
      </w:r>
      <w:r>
        <w:rPr>
          <w:spacing w:val="3"/>
        </w:rPr>
        <w:t> </w:t>
      </w:r>
      <w:r>
        <w:rPr/>
        <w:t>only.</w:t>
      </w:r>
      <w:r>
        <w:rPr>
          <w:spacing w:val="2"/>
        </w:rPr>
        <w:t> </w:t>
      </w:r>
      <w:r>
        <w:rPr/>
        <w:t>Under</w:t>
      </w:r>
      <w:r>
        <w:rPr>
          <w:spacing w:val="3"/>
        </w:rPr>
        <w:t> </w:t>
      </w:r>
      <w:r>
        <w:rPr/>
        <w:t>these</w:t>
      </w:r>
      <w:r>
        <w:rPr>
          <w:spacing w:val="-57"/>
        </w:rPr>
        <w:t> </w:t>
      </w:r>
      <w:r>
        <w:rPr/>
        <w:t>conditions,</w:t>
      </w:r>
      <w:r>
        <w:rPr>
          <w:spacing w:val="1"/>
        </w:rPr>
        <w:t> </w:t>
      </w:r>
      <w:r>
        <w:rPr/>
        <w:t>Laplace’s</w:t>
      </w:r>
      <w:r>
        <w:rPr>
          <w:spacing w:val="1"/>
        </w:rPr>
        <w:t> </w:t>
      </w:r>
      <w:r>
        <w:rPr/>
        <w:t>equation in</w:t>
      </w:r>
      <w:r>
        <w:rPr>
          <w:spacing w:val="1"/>
        </w:rPr>
        <w:t> </w:t>
      </w:r>
      <w:r>
        <w:rPr/>
        <w:t>spherical coordinates simplify</w:t>
      </w:r>
      <w:r>
        <w:rPr>
          <w:spacing w:val="-6"/>
        </w:rPr>
        <w:t> </w:t>
      </w:r>
      <w:r>
        <w:rPr/>
        <w:t>to:</w:t>
      </w:r>
    </w:p>
    <w:p>
      <w:pPr>
        <w:spacing w:after="0" w:line="480" w:lineRule="auto"/>
        <w:sectPr>
          <w:type w:val="continuous"/>
          <w:pgSz w:w="11910" w:h="16840"/>
          <w:pgMar w:top="1320" w:bottom="280" w:left="1680" w:right="980"/>
        </w:sectPr>
      </w:pPr>
    </w:p>
    <w:p>
      <w:pPr>
        <w:pStyle w:val="BodyText"/>
        <w:spacing w:line="307" w:lineRule="exact" w:before="148"/>
        <w:ind w:left="307"/>
        <w:rPr>
          <w:rFonts w:ascii="Cambria Math" w:hAnsi="Cambria Math" w:eastAsia="Cambria Math"/>
          <w:sz w:val="17"/>
        </w:rPr>
      </w:pPr>
      <w:r>
        <w:rPr/>
        <w:pict>
          <v:rect style="position:absolute;margin-left:140.419998pt;margin-top:18.636641pt;width:9.36pt;height:.84003pt;mso-position-horizontal-relative:page;mso-position-vertical-relative:paragraph;z-index:-18519552" filled="true" fillcolor="#000000" stroked="false">
            <v:fill type="solid"/>
            <w10:wrap type="none"/>
          </v:rect>
        </w:pict>
      </w:r>
      <w:r>
        <w:rPr>
          <w:rFonts w:ascii="Cambria Math" w:hAnsi="Cambria Math" w:eastAsia="Cambria Math"/>
          <w:w w:val="105"/>
        </w:rPr>
        <w:t>∇</w:t>
      </w:r>
      <w:r>
        <w:rPr>
          <w:rFonts w:ascii="Cambria Math" w:hAnsi="Cambria Math" w:eastAsia="Cambria Math"/>
          <w:w w:val="105"/>
          <w:vertAlign w:val="superscript"/>
        </w:rPr>
        <w:t>2</w:t>
      </w:r>
      <w:r>
        <w:rPr>
          <w:rFonts w:ascii="Cambria Math" w:hAnsi="Cambria Math" w:eastAsia="Cambria Math"/>
          <w:spacing w:val="6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𝖴</w:t>
      </w:r>
      <w:r>
        <w:rPr>
          <w:rFonts w:ascii="Cambria Math" w:hAnsi="Cambria Math" w:eastAsia="Cambria Math"/>
          <w:spacing w:val="-4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= </w:t>
      </w:r>
      <w:r>
        <w:rPr>
          <w:rFonts w:ascii="Cambria Math" w:hAnsi="Cambria Math" w:eastAsia="Cambria Math"/>
          <w:spacing w:val="50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position w:val="14"/>
          <w:sz w:val="17"/>
          <w:vertAlign w:val="baseline"/>
        </w:rPr>
        <w:t>d</w:t>
      </w:r>
    </w:p>
    <w:p>
      <w:pPr>
        <w:spacing w:line="152" w:lineRule="exact" w:before="0"/>
        <w:ind w:left="0" w:right="0" w:firstLine="0"/>
        <w:jc w:val="right"/>
        <w:rPr>
          <w:rFonts w:ascii="Cambria Math"/>
          <w:sz w:val="17"/>
        </w:rPr>
      </w:pPr>
      <w:r>
        <w:rPr>
          <w:rFonts w:ascii="Cambria Math"/>
          <w:w w:val="115"/>
          <w:sz w:val="17"/>
        </w:rPr>
        <w:t>dr</w:t>
      </w:r>
    </w:p>
    <w:p>
      <w:pPr>
        <w:spacing w:line="169" w:lineRule="exact" w:before="115"/>
        <w:ind w:left="118" w:right="0" w:firstLine="0"/>
        <w:jc w:val="left"/>
        <w:rPr>
          <w:rFonts w:ascii="Cambria Math"/>
          <w:sz w:val="17"/>
        </w:rPr>
      </w:pPr>
      <w:r>
        <w:rPr/>
        <w:br w:type="column"/>
      </w:r>
      <w:r>
        <w:rPr>
          <w:rFonts w:ascii="Cambria Math"/>
          <w:w w:val="110"/>
          <w:sz w:val="17"/>
        </w:rPr>
        <w:t>r</w:t>
      </w:r>
      <w:r>
        <w:rPr>
          <w:rFonts w:ascii="Cambria Math"/>
          <w:w w:val="110"/>
          <w:position w:val="6"/>
          <w:sz w:val="14"/>
        </w:rPr>
        <w:t>2</w:t>
      </w:r>
      <w:r>
        <w:rPr>
          <w:rFonts w:ascii="Cambria Math"/>
          <w:w w:val="110"/>
          <w:sz w:val="17"/>
        </w:rPr>
        <w:t>du</w:t>
      </w:r>
    </w:p>
    <w:p>
      <w:pPr>
        <w:pStyle w:val="BodyText"/>
        <w:spacing w:line="172" w:lineRule="exact"/>
        <w:rPr>
          <w:rFonts w:ascii="Cambria Math"/>
        </w:rPr>
      </w:pPr>
      <w:r>
        <w:rPr/>
        <w:pict>
          <v:rect style="position:absolute;margin-left:157.580002pt;margin-top:4.456932pt;width:19.080pt;height:.84003pt;mso-position-horizontal-relative:page;mso-position-vertical-relative:paragraph;z-index:15747072" filled="true" fillcolor="#000000" stroked="false">
            <v:fill type="solid"/>
            <w10:wrap type="none"/>
          </v:rect>
        </w:pict>
      </w:r>
      <w:r>
        <w:rPr>
          <w:rFonts w:ascii="Cambria Math"/>
          <w:w w:val="118"/>
        </w:rPr>
        <w:t>(</w:t>
      </w:r>
    </w:p>
    <w:p>
      <w:pPr>
        <w:spacing w:line="152" w:lineRule="exact" w:before="0"/>
        <w:ind w:left="214" w:right="0" w:firstLine="0"/>
        <w:jc w:val="left"/>
        <w:rPr>
          <w:rFonts w:ascii="Cambria Math"/>
          <w:sz w:val="17"/>
        </w:rPr>
      </w:pPr>
      <w:r>
        <w:rPr>
          <w:rFonts w:ascii="Cambria Math"/>
          <w:w w:val="115"/>
          <w:sz w:val="17"/>
        </w:rPr>
        <w:t>dr</w:t>
      </w:r>
    </w:p>
    <w:p>
      <w:pPr>
        <w:pStyle w:val="BodyText"/>
        <w:tabs>
          <w:tab w:pos="5616" w:val="left" w:leader="none"/>
        </w:tabs>
        <w:spacing w:before="221"/>
        <w:ind w:left="-40"/>
      </w:pPr>
      <w:r>
        <w:rPr/>
        <w:br w:type="column"/>
      </w:r>
      <w:r>
        <w:rPr>
          <w:rFonts w:ascii="Cambria Math"/>
          <w:w w:val="105"/>
        </w:rPr>
        <w:t>)</w:t>
      </w:r>
      <w:r>
        <w:rPr>
          <w:rFonts w:ascii="Cambria Math"/>
          <w:spacing w:val="10"/>
          <w:w w:val="105"/>
        </w:rPr>
        <w:t> </w:t>
      </w:r>
      <w:r>
        <w:rPr>
          <w:rFonts w:ascii="Cambria Math"/>
          <w:w w:val="105"/>
        </w:rPr>
        <w:t>=</w:t>
      </w:r>
      <w:r>
        <w:rPr>
          <w:rFonts w:ascii="Cambria Math"/>
          <w:spacing w:val="12"/>
          <w:w w:val="105"/>
        </w:rPr>
        <w:t> </w:t>
      </w:r>
      <w:r>
        <w:rPr>
          <w:rFonts w:ascii="Cambria Math"/>
          <w:w w:val="105"/>
        </w:rPr>
        <w:t>0</w:t>
        <w:tab/>
      </w:r>
      <w:r>
        <w:rPr>
          <w:w w:val="105"/>
        </w:rPr>
        <w:t>(3.17)</w:t>
      </w:r>
    </w:p>
    <w:p>
      <w:pPr>
        <w:spacing w:after="0"/>
        <w:sectPr>
          <w:type w:val="continuous"/>
          <w:pgSz w:w="11910" w:h="16840"/>
          <w:pgMar w:top="1320" w:bottom="280" w:left="1680" w:right="980"/>
          <w:cols w:num="3" w:equalWidth="0">
            <w:col w:w="1314" w:space="40"/>
            <w:col w:w="500" w:space="39"/>
            <w:col w:w="7357"/>
          </w:cols>
        </w:sectPr>
      </w:pP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before="90"/>
        <w:ind w:left="307"/>
      </w:pPr>
      <w:r>
        <w:rPr/>
        <w:t>Integrating</w:t>
      </w:r>
      <w:r>
        <w:rPr>
          <w:spacing w:val="-4"/>
        </w:rPr>
        <w:t> </w:t>
      </w:r>
      <w:r>
        <w:rPr/>
        <w:t>equation</w:t>
      </w:r>
      <w:r>
        <w:rPr>
          <w:spacing w:val="-1"/>
        </w:rPr>
        <w:t> </w:t>
      </w:r>
      <w:r>
        <w:rPr/>
        <w:t>(3.17)</w:t>
      </w:r>
    </w:p>
    <w:p>
      <w:pPr>
        <w:pStyle w:val="BodyText"/>
        <w:rPr>
          <w:sz w:val="27"/>
        </w:rPr>
      </w:pPr>
    </w:p>
    <w:p>
      <w:pPr>
        <w:spacing w:after="0"/>
        <w:rPr>
          <w:sz w:val="27"/>
        </w:rPr>
        <w:sectPr>
          <w:type w:val="continuous"/>
          <w:pgSz w:w="11910" w:h="16840"/>
          <w:pgMar w:top="1320" w:bottom="280" w:left="1680" w:right="980"/>
        </w:sectPr>
      </w:pPr>
    </w:p>
    <w:p>
      <w:pPr>
        <w:pStyle w:val="BodyText"/>
      </w:pPr>
    </w:p>
    <w:p>
      <w:pPr>
        <w:pStyle w:val="BodyText"/>
        <w:ind w:left="307"/>
        <w:rPr>
          <w:rFonts w:ascii="Cambria Math" w:hAnsi="Cambria Math" w:eastAsia="Cambria Math"/>
        </w:rPr>
      </w:pPr>
      <w:r>
        <w:rPr>
          <w:rFonts w:ascii="Cambria Math" w:hAnsi="Cambria Math" w:eastAsia="Cambria Math"/>
          <w:w w:val="105"/>
        </w:rPr>
        <w:t>∫</w:t>
      </w:r>
      <w:r>
        <w:rPr>
          <w:rFonts w:ascii="Cambria Math" w:hAnsi="Cambria Math" w:eastAsia="Cambria Math"/>
          <w:spacing w:val="1"/>
          <w:w w:val="105"/>
        </w:rPr>
        <w:t> </w:t>
      </w:r>
      <w:r>
        <w:rPr>
          <w:rFonts w:ascii="Cambria Math" w:hAnsi="Cambria Math" w:eastAsia="Cambria Math"/>
          <w:spacing w:val="-123"/>
          <w:w w:val="105"/>
        </w:rPr>
        <w:t>2𝑟</w:t>
      </w:r>
    </w:p>
    <w:p>
      <w:pPr>
        <w:pStyle w:val="BodyText"/>
        <w:spacing w:before="94"/>
        <w:ind w:left="6"/>
        <w:rPr>
          <w:rFonts w:ascii="Cambria Math" w:eastAsia="Cambria Math"/>
        </w:rPr>
      </w:pPr>
      <w:r>
        <w:rPr/>
        <w:br w:type="column"/>
      </w:r>
      <w:r>
        <w:rPr>
          <w:rFonts w:ascii="Cambria Math" w:eastAsia="Cambria Math"/>
        </w:rPr>
        <w:t>𝑑𝑢</w:t>
      </w:r>
    </w:p>
    <w:p>
      <w:pPr>
        <w:pStyle w:val="BodyText"/>
        <w:spacing w:before="5"/>
        <w:rPr>
          <w:rFonts w:ascii="Cambria Math"/>
          <w:sz w:val="4"/>
        </w:rPr>
      </w:pPr>
    </w:p>
    <w:p>
      <w:pPr>
        <w:pStyle w:val="BodyText"/>
        <w:spacing w:line="20" w:lineRule="exact"/>
        <w:ind w:left="6" w:right="-72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14.2pt;height:.85pt;mso-position-horizontal-relative:char;mso-position-vertical-relative:line" coordorigin="0,0" coordsize="284,17">
            <v:rect style="position:absolute;left:0;top:0;width:284;height:17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pStyle w:val="BodyText"/>
        <w:ind w:left="18"/>
        <w:rPr>
          <w:rFonts w:ascii="Cambria Math" w:eastAsia="Cambria Math"/>
        </w:rPr>
      </w:pPr>
      <w:r>
        <w:rPr>
          <w:rFonts w:ascii="Cambria Math" w:eastAsia="Cambria Math"/>
        </w:rPr>
        <w:t>𝑑𝑟</w:t>
      </w:r>
    </w:p>
    <w:p>
      <w:pPr>
        <w:spacing w:line="156" w:lineRule="auto" w:before="120"/>
        <w:ind w:left="585" w:right="0" w:firstLine="0"/>
        <w:jc w:val="left"/>
        <w:rPr>
          <w:rFonts w:ascii="Cambria Math" w:eastAsia="Cambria Math"/>
          <w:sz w:val="17"/>
        </w:rPr>
      </w:pPr>
      <w:r>
        <w:rPr/>
        <w:br w:type="column"/>
      </w:r>
      <w:r>
        <w:rPr>
          <w:rFonts w:ascii="Cambria Math" w:eastAsia="Cambria Math"/>
          <w:position w:val="-8"/>
          <w:sz w:val="24"/>
        </w:rPr>
        <w:t>𝑑</w:t>
      </w:r>
      <w:r>
        <w:rPr>
          <w:rFonts w:ascii="Cambria Math" w:eastAsia="Cambria Math"/>
          <w:sz w:val="17"/>
        </w:rPr>
        <w:t>2</w:t>
      </w:r>
    </w:p>
    <w:p>
      <w:pPr>
        <w:pStyle w:val="BodyText"/>
        <w:tabs>
          <w:tab w:pos="937" w:val="left" w:leader="none"/>
        </w:tabs>
        <w:spacing w:line="171" w:lineRule="exact"/>
        <w:ind w:left="19"/>
        <w:rPr>
          <w:rFonts w:ascii="Cambria Math" w:eastAsia="Cambria Math"/>
        </w:rPr>
      </w:pPr>
      <w:r>
        <w:rPr>
          <w:rFonts w:ascii="Cambria Math" w:eastAsia="Cambria Math"/>
        </w:rPr>
        <w:t>+</w:t>
      </w:r>
      <w:r>
        <w:rPr>
          <w:rFonts w:ascii="Cambria Math" w:eastAsia="Cambria Math"/>
          <w:spacing w:val="5"/>
        </w:rPr>
        <w:t> </w:t>
      </w:r>
      <w:r>
        <w:rPr>
          <w:rFonts w:ascii="Cambria Math" w:eastAsia="Cambria Math"/>
        </w:rPr>
        <w:t>𝑟</w:t>
      </w:r>
      <w:r>
        <w:rPr>
          <w:rFonts w:ascii="Cambria Math" w:eastAsia="Cambria Math"/>
          <w:vertAlign w:val="superscript"/>
        </w:rPr>
        <w:t>2</w:t>
      </w:r>
      <w:r>
        <w:rPr>
          <w:u w:val="single"/>
          <w:vertAlign w:val="baseline"/>
        </w:rPr>
        <w:tab/>
      </w:r>
      <w:r>
        <w:rPr>
          <w:rFonts w:ascii="Cambria Math" w:eastAsia="Cambria Math"/>
          <w:vertAlign w:val="baseline"/>
        </w:rPr>
        <w:t>𝑑𝑟</w:t>
      </w:r>
    </w:p>
    <w:p>
      <w:pPr>
        <w:pStyle w:val="BodyText"/>
        <w:spacing w:line="221" w:lineRule="exact"/>
        <w:ind w:left="525"/>
        <w:rPr>
          <w:rFonts w:ascii="Cambria Math" w:eastAsia="Cambria Math"/>
        </w:rPr>
      </w:pPr>
      <w:r>
        <w:rPr>
          <w:rFonts w:ascii="Cambria Math" w:eastAsia="Cambria Math"/>
          <w:w w:val="105"/>
        </w:rPr>
        <w:t>𝑑𝑟</w:t>
      </w:r>
      <w:r>
        <w:rPr>
          <w:rFonts w:ascii="Cambria Math" w:eastAsia="Cambria Math"/>
          <w:w w:val="105"/>
          <w:vertAlign w:val="superscript"/>
        </w:rPr>
        <w:t>2</w:t>
      </w:r>
    </w:p>
    <w:p>
      <w:pPr>
        <w:spacing w:after="0" w:line="221" w:lineRule="exact"/>
        <w:rPr>
          <w:rFonts w:ascii="Cambria Math" w:eastAsia="Cambria Math"/>
        </w:rPr>
        <w:sectPr>
          <w:type w:val="continuous"/>
          <w:pgSz w:w="11910" w:h="16840"/>
          <w:pgMar w:top="1320" w:bottom="280" w:left="1680" w:right="980"/>
          <w:cols w:num="3" w:equalWidth="0">
            <w:col w:w="787" w:space="40"/>
            <w:col w:w="284" w:space="39"/>
            <w:col w:w="8100"/>
          </w:cols>
        </w:sectPr>
      </w:pPr>
    </w:p>
    <w:p>
      <w:pPr>
        <w:pStyle w:val="BodyText"/>
        <w:spacing w:before="8"/>
        <w:rPr>
          <w:rFonts w:ascii="Cambria Math"/>
          <w:sz w:val="23"/>
        </w:rPr>
      </w:pPr>
    </w:p>
    <w:p>
      <w:pPr>
        <w:spacing w:line="302" w:lineRule="exact" w:before="72"/>
        <w:ind w:left="307" w:right="0" w:firstLine="0"/>
        <w:jc w:val="left"/>
        <w:rPr>
          <w:rFonts w:ascii="Cambria Math" w:hAnsi="Cambria Math" w:eastAsia="Cambria Math"/>
          <w:sz w:val="24"/>
        </w:rPr>
      </w:pPr>
      <w:r>
        <w:rPr/>
        <w:pict>
          <v:rect style="position:absolute;margin-left:122.419998pt;margin-top:16.811403pt;width:11.04pt;height:.83997pt;mso-position-horizontal-relative:page;mso-position-vertical-relative:paragraph;z-index:15747584" filled="true" fillcolor="#000000" stroked="false">
            <v:fill type="solid"/>
            <w10:wrap type="none"/>
          </v:rect>
        </w:pict>
      </w:r>
      <w:r>
        <w:rPr/>
        <w:pict>
          <v:rect style="position:absolute;margin-left:170.539993pt;margin-top:16.811403pt;width:14.904pt;height:.83997pt;mso-position-horizontal-relative:page;mso-position-vertical-relative:paragraph;z-index:15748096" filled="true" fillcolor="#000000" stroked="false">
            <v:fill type="solid"/>
            <w10:wrap type="none"/>
          </v:rect>
        </w:pict>
      </w:r>
      <w:r>
        <w:rPr>
          <w:position w:val="1"/>
          <w:sz w:val="24"/>
        </w:rPr>
        <w:t>2</w:t>
      </w:r>
      <w:r>
        <w:rPr>
          <w:rFonts w:ascii="Cambria Math" w:hAnsi="Cambria Math" w:eastAsia="Cambria Math"/>
          <w:sz w:val="24"/>
        </w:rPr>
        <w:t>∫</w:t>
      </w:r>
      <w:r>
        <w:rPr>
          <w:rFonts w:ascii="Cambria Math" w:hAnsi="Cambria Math" w:eastAsia="Cambria Math"/>
          <w:spacing w:val="-10"/>
          <w:sz w:val="24"/>
        </w:rPr>
        <w:t> </w:t>
      </w:r>
      <w:r>
        <w:rPr>
          <w:rFonts w:ascii="Cambria Math" w:hAnsi="Cambria Math" w:eastAsia="Cambria Math"/>
          <w:position w:val="1"/>
          <w:sz w:val="24"/>
        </w:rPr>
        <w:t>𝑟</w:t>
      </w:r>
      <w:r>
        <w:rPr>
          <w:rFonts w:ascii="Cambria Math" w:hAnsi="Cambria Math" w:eastAsia="Cambria Math"/>
          <w:spacing w:val="-1"/>
          <w:position w:val="1"/>
          <w:sz w:val="24"/>
        </w:rPr>
        <w:t> </w:t>
      </w:r>
      <w:r>
        <w:rPr>
          <w:rFonts w:ascii="Cambria Math" w:hAnsi="Cambria Math" w:eastAsia="Cambria Math"/>
          <w:position w:val="15"/>
          <w:sz w:val="17"/>
        </w:rPr>
        <w:t>𝑑𝑢</w:t>
      </w:r>
      <w:r>
        <w:rPr>
          <w:rFonts w:ascii="Cambria Math" w:hAnsi="Cambria Math" w:eastAsia="Cambria Math"/>
          <w:spacing w:val="24"/>
          <w:position w:val="15"/>
          <w:sz w:val="17"/>
        </w:rPr>
        <w:t> </w:t>
      </w:r>
      <w:r>
        <w:rPr>
          <w:rFonts w:ascii="Cambria Math" w:hAnsi="Cambria Math" w:eastAsia="Cambria Math"/>
          <w:position w:val="1"/>
          <w:sz w:val="24"/>
        </w:rPr>
        <w:t>+</w:t>
      </w:r>
      <w:r>
        <w:rPr>
          <w:rFonts w:ascii="Cambria Math" w:hAnsi="Cambria Math" w:eastAsia="Cambria Math"/>
          <w:spacing w:val="7"/>
          <w:position w:val="1"/>
          <w:sz w:val="24"/>
        </w:rPr>
        <w:t> </w:t>
      </w:r>
      <w:r>
        <w:rPr>
          <w:rFonts w:ascii="Cambria Math" w:hAnsi="Cambria Math" w:eastAsia="Cambria Math"/>
          <w:sz w:val="24"/>
        </w:rPr>
        <w:t>∫</w:t>
      </w:r>
      <w:r>
        <w:rPr>
          <w:rFonts w:ascii="Cambria Math" w:hAnsi="Cambria Math" w:eastAsia="Cambria Math"/>
          <w:spacing w:val="-7"/>
          <w:sz w:val="24"/>
        </w:rPr>
        <w:t> </w:t>
      </w:r>
      <w:r>
        <w:rPr>
          <w:rFonts w:ascii="Cambria Math" w:hAnsi="Cambria Math" w:eastAsia="Cambria Math"/>
          <w:position w:val="1"/>
          <w:sz w:val="24"/>
        </w:rPr>
        <w:t>𝑟</w:t>
      </w:r>
      <w:r>
        <w:rPr>
          <w:rFonts w:ascii="Cambria Math" w:hAnsi="Cambria Math" w:eastAsia="Cambria Math"/>
          <w:position w:val="1"/>
          <w:sz w:val="24"/>
          <w:vertAlign w:val="superscript"/>
        </w:rPr>
        <w:t>2</w:t>
      </w:r>
      <w:r>
        <w:rPr>
          <w:rFonts w:ascii="Cambria Math" w:hAnsi="Cambria Math" w:eastAsia="Cambria Math"/>
          <w:spacing w:val="52"/>
          <w:position w:val="1"/>
          <w:sz w:val="24"/>
          <w:vertAlign w:val="baseline"/>
        </w:rPr>
        <w:t> </w:t>
      </w:r>
      <w:r>
        <w:rPr>
          <w:rFonts w:ascii="Cambria Math" w:hAnsi="Cambria Math" w:eastAsia="Cambria Math"/>
          <w:position w:val="15"/>
          <w:sz w:val="17"/>
          <w:vertAlign w:val="baseline"/>
        </w:rPr>
        <w:t>𝑑</w:t>
      </w:r>
      <w:r>
        <w:rPr>
          <w:rFonts w:ascii="Cambria Math" w:hAnsi="Cambria Math" w:eastAsia="Cambria Math"/>
          <w:position w:val="22"/>
          <w:sz w:val="14"/>
          <w:vertAlign w:val="baseline"/>
        </w:rPr>
        <w:t>2</w:t>
      </w:r>
      <w:r>
        <w:rPr>
          <w:rFonts w:ascii="Cambria Math" w:hAnsi="Cambria Math" w:eastAsia="Cambria Math"/>
          <w:spacing w:val="15"/>
          <w:position w:val="22"/>
          <w:sz w:val="14"/>
          <w:vertAlign w:val="baseline"/>
        </w:rPr>
        <w:t> </w:t>
      </w:r>
      <w:r>
        <w:rPr>
          <w:rFonts w:ascii="Cambria Math" w:hAnsi="Cambria Math" w:eastAsia="Cambria Math"/>
          <w:position w:val="1"/>
          <w:sz w:val="24"/>
          <w:vertAlign w:val="baseline"/>
        </w:rPr>
        <w:t>𝑑𝑟</w:t>
      </w:r>
    </w:p>
    <w:p>
      <w:pPr>
        <w:spacing w:after="0" w:line="302" w:lineRule="exact"/>
        <w:jc w:val="left"/>
        <w:rPr>
          <w:rFonts w:ascii="Cambria Math" w:hAnsi="Cambria Math" w:eastAsia="Cambria Math"/>
          <w:sz w:val="24"/>
        </w:rPr>
        <w:sectPr>
          <w:type w:val="continuous"/>
          <w:pgSz w:w="11910" w:h="16840"/>
          <w:pgMar w:top="1320" w:bottom="280" w:left="1680" w:right="980"/>
        </w:sectPr>
      </w:pPr>
    </w:p>
    <w:p>
      <w:pPr>
        <w:spacing w:line="197" w:lineRule="exact" w:before="0"/>
        <w:ind w:left="0" w:right="0" w:firstLine="0"/>
        <w:jc w:val="right"/>
        <w:rPr>
          <w:rFonts w:ascii="Cambria Math" w:eastAsia="Cambria Math"/>
          <w:sz w:val="17"/>
        </w:rPr>
      </w:pPr>
      <w:r>
        <w:rPr>
          <w:rFonts w:ascii="Cambria Math" w:eastAsia="Cambria Math"/>
          <w:w w:val="110"/>
          <w:sz w:val="17"/>
        </w:rPr>
        <w:t>𝑑𝑟</w:t>
      </w:r>
    </w:p>
    <w:p>
      <w:pPr>
        <w:spacing w:line="197" w:lineRule="exact" w:before="0"/>
        <w:ind w:left="717" w:right="0" w:firstLine="0"/>
        <w:jc w:val="left"/>
        <w:rPr>
          <w:rFonts w:ascii="Cambria Math" w:eastAsia="Cambria Math"/>
          <w:sz w:val="14"/>
        </w:rPr>
      </w:pPr>
      <w:r>
        <w:rPr/>
        <w:br w:type="column"/>
      </w:r>
      <w:r>
        <w:rPr>
          <w:rFonts w:ascii="Cambria Math" w:eastAsia="Cambria Math"/>
          <w:w w:val="110"/>
          <w:sz w:val="17"/>
        </w:rPr>
        <w:t>𝑑𝑟</w:t>
      </w:r>
      <w:r>
        <w:rPr>
          <w:rFonts w:ascii="Cambria Math" w:eastAsia="Cambria Math"/>
          <w:w w:val="110"/>
          <w:position w:val="5"/>
          <w:sz w:val="14"/>
        </w:rPr>
        <w:t>2</w:t>
      </w:r>
    </w:p>
    <w:p>
      <w:pPr>
        <w:spacing w:after="0" w:line="197" w:lineRule="exact"/>
        <w:jc w:val="left"/>
        <w:rPr>
          <w:rFonts w:ascii="Cambria Math" w:eastAsia="Cambria Math"/>
          <w:sz w:val="14"/>
        </w:rPr>
        <w:sectPr>
          <w:type w:val="continuous"/>
          <w:pgSz w:w="11910" w:h="16840"/>
          <w:pgMar w:top="1320" w:bottom="280" w:left="1680" w:right="980"/>
          <w:cols w:num="2" w:equalWidth="0">
            <w:col w:w="973" w:space="40"/>
            <w:col w:w="8237"/>
          </w:cols>
        </w:sectPr>
      </w:pPr>
    </w:p>
    <w:p>
      <w:pPr>
        <w:pStyle w:val="BodyText"/>
        <w:rPr>
          <w:rFonts w:ascii="Cambria Math"/>
          <w:sz w:val="23"/>
        </w:rPr>
      </w:pPr>
    </w:p>
    <w:p>
      <w:pPr>
        <w:pStyle w:val="BodyText"/>
        <w:spacing w:before="90"/>
        <w:ind w:left="307"/>
      </w:pPr>
      <w:r>
        <w:rPr/>
        <w:t>But,</w:t>
      </w:r>
    </w:p>
    <w:p>
      <w:pPr>
        <w:pStyle w:val="BodyText"/>
        <w:rPr>
          <w:sz w:val="27"/>
        </w:rPr>
      </w:pPr>
    </w:p>
    <w:p>
      <w:pPr>
        <w:spacing w:after="0"/>
        <w:rPr>
          <w:sz w:val="27"/>
        </w:rPr>
        <w:sectPr>
          <w:type w:val="continuous"/>
          <w:pgSz w:w="11910" w:h="16840"/>
          <w:pgMar w:top="1320" w:bottom="280" w:left="1680" w:right="980"/>
        </w:sectPr>
      </w:pPr>
    </w:p>
    <w:p>
      <w:pPr>
        <w:pStyle w:val="BodyText"/>
        <w:spacing w:line="232" w:lineRule="exact" w:before="93"/>
        <w:ind w:left="307"/>
        <w:rPr>
          <w:rFonts w:ascii="Cambria Math" w:eastAsia="Cambria Math"/>
        </w:rPr>
      </w:pPr>
      <w:r>
        <w:rPr>
          <w:rFonts w:ascii="Cambria Math" w:eastAsia="Cambria Math"/>
        </w:rPr>
        <w:t>𝑑𝑢</w:t>
      </w:r>
    </w:p>
    <w:p>
      <w:pPr>
        <w:pStyle w:val="BodyText"/>
        <w:spacing w:line="172" w:lineRule="exact"/>
        <w:ind w:left="658"/>
        <w:rPr>
          <w:rFonts w:ascii="Cambria Math"/>
        </w:rPr>
      </w:pPr>
      <w:r>
        <w:rPr/>
        <w:pict>
          <v:rect style="position:absolute;margin-left:99.384003pt;margin-top:5.088134pt;width:14.16pt;height:.84003pt;mso-position-horizontal-relative:page;mso-position-vertical-relative:paragraph;z-index:15748608" filled="true" fillcolor="#000000" stroked="false">
            <v:fill type="solid"/>
            <w10:wrap type="none"/>
          </v:rect>
        </w:pict>
      </w:r>
      <w:r>
        <w:rPr>
          <w:rFonts w:ascii="Cambria Math"/>
        </w:rPr>
        <w:t>=</w:t>
      </w:r>
    </w:p>
    <w:p>
      <w:pPr>
        <w:pStyle w:val="BodyText"/>
        <w:spacing w:line="221" w:lineRule="exact"/>
        <w:ind w:left="319"/>
        <w:rPr>
          <w:rFonts w:ascii="Cambria Math" w:eastAsia="Cambria Math"/>
        </w:rPr>
      </w:pPr>
      <w:r>
        <w:rPr>
          <w:rFonts w:ascii="Cambria Math" w:eastAsia="Cambria Math"/>
        </w:rPr>
        <w:t>𝑑𝑟</w:t>
      </w:r>
    </w:p>
    <w:p>
      <w:pPr>
        <w:spacing w:before="93"/>
        <w:ind w:left="119" w:right="0" w:firstLine="0"/>
        <w:jc w:val="left"/>
        <w:rPr>
          <w:rFonts w:ascii="Cambria Math" w:eastAsia="Cambria Math"/>
          <w:sz w:val="24"/>
        </w:rPr>
      </w:pPr>
      <w:r>
        <w:rPr/>
        <w:br w:type="column"/>
      </w:r>
      <w:r>
        <w:rPr>
          <w:rFonts w:ascii="Cambria Math" w:eastAsia="Cambria Math"/>
          <w:sz w:val="24"/>
        </w:rPr>
        <w:t>𝐴</w:t>
      </w:r>
    </w:p>
    <w:p>
      <w:pPr>
        <w:pStyle w:val="BodyText"/>
        <w:spacing w:before="6"/>
        <w:rPr>
          <w:rFonts w:ascii="Cambria Math"/>
          <w:sz w:val="4"/>
        </w:rPr>
      </w:pPr>
    </w:p>
    <w:p>
      <w:pPr>
        <w:pStyle w:val="BodyText"/>
        <w:spacing w:line="20" w:lineRule="exact"/>
        <w:ind w:left="78" w:right="-72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11.8pt;height:.85pt;mso-position-horizontal-relative:char;mso-position-vertical-relative:line" coordorigin="0,0" coordsize="236,17">
            <v:rect style="position:absolute;left:0;top:0;width:236;height:17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spacing w:before="0"/>
        <w:ind w:left="78" w:right="0" w:firstLine="0"/>
        <w:jc w:val="left"/>
        <w:rPr>
          <w:rFonts w:ascii="Cambria Math" w:eastAsia="Cambria Math"/>
          <w:sz w:val="17"/>
        </w:rPr>
      </w:pPr>
      <w:r>
        <w:rPr>
          <w:rFonts w:ascii="Cambria Math" w:eastAsia="Cambria Math"/>
          <w:position w:val="-6"/>
          <w:sz w:val="24"/>
        </w:rPr>
        <w:t>𝑟</w:t>
      </w:r>
      <w:r>
        <w:rPr>
          <w:rFonts w:ascii="Cambria Math" w:eastAsia="Cambria Math"/>
          <w:sz w:val="17"/>
        </w:rPr>
        <w:t>2</w:t>
      </w:r>
    </w:p>
    <w:p>
      <w:pPr>
        <w:spacing w:line="156" w:lineRule="auto" w:before="119"/>
        <w:ind w:left="0" w:right="6778" w:firstLine="0"/>
        <w:jc w:val="center"/>
        <w:rPr>
          <w:rFonts w:ascii="Cambria Math" w:eastAsia="Cambria Math"/>
          <w:sz w:val="17"/>
        </w:rPr>
      </w:pPr>
      <w:r>
        <w:rPr/>
        <w:br w:type="column"/>
      </w:r>
      <w:r>
        <w:rPr>
          <w:rFonts w:ascii="Cambria Math" w:eastAsia="Cambria Math"/>
          <w:position w:val="-8"/>
          <w:sz w:val="24"/>
        </w:rPr>
        <w:t>𝑑</w:t>
      </w:r>
      <w:r>
        <w:rPr>
          <w:rFonts w:ascii="Cambria Math" w:eastAsia="Cambria Math"/>
          <w:sz w:val="17"/>
        </w:rPr>
        <w:t>2</w:t>
      </w:r>
    </w:p>
    <w:p>
      <w:pPr>
        <w:pStyle w:val="BodyText"/>
        <w:tabs>
          <w:tab w:pos="844" w:val="left" w:leader="none"/>
        </w:tabs>
        <w:spacing w:line="171" w:lineRule="exact"/>
        <w:ind w:right="6757"/>
        <w:jc w:val="center"/>
        <w:rPr>
          <w:rFonts w:ascii="Cambria Math" w:eastAsia="Cambria Math"/>
        </w:rPr>
      </w:pPr>
      <w:r>
        <w:rPr>
          <w:rFonts w:ascii="Cambria Math" w:eastAsia="Cambria Math"/>
        </w:rPr>
        <w:t>;</w:t>
      </w:r>
      <w:r>
        <w:rPr>
          <w:rFonts w:ascii="Cambria Math" w:eastAsia="Cambria Math"/>
          <w:spacing w:val="48"/>
        </w:rPr>
        <w:t> </w:t>
      </w:r>
      <w:r>
        <w:rPr>
          <w:rFonts w:ascii="Cambria Math" w:eastAsia="Cambria Math"/>
        </w:rPr>
        <w:t>𝑟</w:t>
      </w:r>
      <w:r>
        <w:rPr>
          <w:rFonts w:ascii="Cambria Math" w:eastAsia="Cambria Math"/>
          <w:vertAlign w:val="superscript"/>
        </w:rPr>
        <w:t>2</w:t>
      </w:r>
      <w:r>
        <w:rPr>
          <w:u w:val="single"/>
          <w:vertAlign w:val="baseline"/>
        </w:rPr>
        <w:tab/>
      </w:r>
      <w:r>
        <w:rPr>
          <w:rFonts w:ascii="Cambria Math" w:eastAsia="Cambria Math"/>
          <w:vertAlign w:val="baseline"/>
        </w:rPr>
        <w:t>=</w:t>
      </w:r>
      <w:r>
        <w:rPr>
          <w:rFonts w:ascii="Cambria Math" w:eastAsia="Cambria Math"/>
          <w:spacing w:val="12"/>
          <w:vertAlign w:val="baseline"/>
        </w:rPr>
        <w:t> </w:t>
      </w:r>
      <w:r>
        <w:rPr>
          <w:rFonts w:ascii="Cambria Math" w:eastAsia="Cambria Math"/>
          <w:vertAlign w:val="baseline"/>
        </w:rPr>
        <w:t>𝑎</w:t>
      </w:r>
    </w:p>
    <w:p>
      <w:pPr>
        <w:pStyle w:val="BodyText"/>
        <w:spacing w:line="221" w:lineRule="exact"/>
        <w:ind w:right="6778"/>
        <w:jc w:val="center"/>
        <w:rPr>
          <w:rFonts w:ascii="Cambria Math" w:eastAsia="Cambria Math"/>
        </w:rPr>
      </w:pPr>
      <w:r>
        <w:rPr>
          <w:rFonts w:ascii="Cambria Math" w:eastAsia="Cambria Math"/>
          <w:w w:val="105"/>
        </w:rPr>
        <w:t>𝑑𝑟</w:t>
      </w:r>
      <w:r>
        <w:rPr>
          <w:rFonts w:ascii="Cambria Math" w:eastAsia="Cambria Math"/>
          <w:w w:val="105"/>
          <w:vertAlign w:val="superscript"/>
        </w:rPr>
        <w:t>2</w:t>
      </w:r>
    </w:p>
    <w:p>
      <w:pPr>
        <w:spacing w:after="0" w:line="221" w:lineRule="exact"/>
        <w:jc w:val="center"/>
        <w:rPr>
          <w:rFonts w:ascii="Cambria Math" w:eastAsia="Cambria Math"/>
        </w:rPr>
        <w:sectPr>
          <w:type w:val="continuous"/>
          <w:pgSz w:w="11910" w:h="16840"/>
          <w:pgMar w:top="1320" w:bottom="280" w:left="1680" w:right="980"/>
          <w:cols w:num="3" w:equalWidth="0">
            <w:col w:w="838" w:space="40"/>
            <w:col w:w="305" w:space="39"/>
            <w:col w:w="8028"/>
          </w:cols>
        </w:sectPr>
      </w:pPr>
    </w:p>
    <w:p>
      <w:pPr>
        <w:pStyle w:val="BodyText"/>
        <w:spacing w:before="1"/>
        <w:rPr>
          <w:rFonts w:ascii="Cambria Math"/>
          <w:sz w:val="21"/>
        </w:rPr>
      </w:pPr>
    </w:p>
    <w:p>
      <w:pPr>
        <w:pStyle w:val="BodyText"/>
        <w:spacing w:line="311" w:lineRule="exact" w:before="75"/>
        <w:ind w:left="307"/>
        <w:rPr>
          <w:rFonts w:ascii="Cambria Math" w:hAnsi="Cambria Math" w:eastAsia="Cambria Math"/>
        </w:rPr>
      </w:pPr>
      <w:r>
        <w:rPr/>
        <w:pict>
          <v:rect style="position:absolute;margin-left:122.419998pt;margin-top:14.886688pt;width:9.36pt;height:.83997pt;mso-position-horizontal-relative:page;mso-position-vertical-relative:paragraph;z-index:-18516992" filled="true" fillcolor="#000000" stroked="false">
            <v:fill type="solid"/>
            <w10:wrap type="none"/>
          </v:rect>
        </w:pict>
      </w:r>
      <w:r>
        <w:rPr/>
        <w:pict>
          <v:shape style="position:absolute;margin-left:127.339996pt;margin-top:16.78615pt;width:4.150pt;height:7pt;mso-position-horizontal-relative:page;mso-position-vertical-relative:paragraph;z-index:-18516480" type="#_x0000_t202" filled="false" stroked="false">
            <v:textbox inset="0,0,0,0">
              <w:txbxContent>
                <w:p>
                  <w:pPr>
                    <w:spacing w:line="139" w:lineRule="exact" w:before="0"/>
                    <w:ind w:left="0" w:right="0" w:firstLine="0"/>
                    <w:jc w:val="left"/>
                    <w:rPr>
                      <w:rFonts w:ascii="Cambria Math"/>
                      <w:sz w:val="14"/>
                    </w:rPr>
                  </w:pPr>
                  <w:r>
                    <w:rPr>
                      <w:rFonts w:ascii="Cambria Math"/>
                      <w:w w:val="106"/>
                      <w:sz w:val="14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position w:val="1"/>
        </w:rPr>
        <w:t>2</w:t>
      </w:r>
      <w:r>
        <w:rPr>
          <w:rFonts w:ascii="Cambria Math" w:hAnsi="Cambria Math" w:eastAsia="Cambria Math"/>
        </w:rPr>
        <w:t>∫</w:t>
      </w:r>
      <w:r>
        <w:rPr>
          <w:rFonts w:ascii="Cambria Math" w:hAnsi="Cambria Math" w:eastAsia="Cambria Math"/>
          <w:spacing w:val="-12"/>
        </w:rPr>
        <w:t> </w:t>
      </w:r>
      <w:r>
        <w:rPr>
          <w:rFonts w:ascii="Cambria Math" w:hAnsi="Cambria Math" w:eastAsia="Cambria Math"/>
          <w:position w:val="1"/>
        </w:rPr>
        <w:t>𝑟</w:t>
      </w:r>
      <w:r>
        <w:rPr>
          <w:rFonts w:ascii="Cambria Math" w:hAnsi="Cambria Math" w:eastAsia="Cambria Math"/>
          <w:spacing w:val="33"/>
          <w:position w:val="1"/>
        </w:rPr>
        <w:t> </w:t>
      </w:r>
      <w:r>
        <w:rPr>
          <w:rFonts w:ascii="Cambria Math" w:hAnsi="Cambria Math" w:eastAsia="Cambria Math"/>
          <w:position w:val="15"/>
          <w:sz w:val="17"/>
        </w:rPr>
        <w:t>𝐴</w:t>
      </w:r>
      <w:r>
        <w:rPr>
          <w:rFonts w:ascii="Cambria Math" w:hAnsi="Cambria Math" w:eastAsia="Cambria Math"/>
          <w:spacing w:val="22"/>
          <w:position w:val="15"/>
          <w:sz w:val="17"/>
        </w:rPr>
        <w:t> </w:t>
      </w:r>
      <w:r>
        <w:rPr>
          <w:rFonts w:ascii="Cambria Math" w:hAnsi="Cambria Math" w:eastAsia="Cambria Math"/>
          <w:position w:val="1"/>
        </w:rPr>
        <w:t>+</w:t>
      </w:r>
      <w:r>
        <w:rPr>
          <w:rFonts w:ascii="Cambria Math" w:hAnsi="Cambria Math" w:eastAsia="Cambria Math"/>
          <w:spacing w:val="3"/>
          <w:position w:val="1"/>
        </w:rPr>
        <w:t> </w:t>
      </w:r>
      <w:r>
        <w:rPr>
          <w:rFonts w:ascii="Cambria Math" w:hAnsi="Cambria Math" w:eastAsia="Cambria Math"/>
        </w:rPr>
        <w:t>∫</w:t>
      </w:r>
      <w:r>
        <w:rPr>
          <w:rFonts w:ascii="Cambria Math" w:hAnsi="Cambria Math" w:eastAsia="Cambria Math"/>
          <w:spacing w:val="-10"/>
        </w:rPr>
        <w:t> </w:t>
      </w:r>
      <w:r>
        <w:rPr>
          <w:rFonts w:ascii="Cambria Math" w:hAnsi="Cambria Math" w:eastAsia="Cambria Math"/>
          <w:position w:val="1"/>
        </w:rPr>
        <w:t>𝑟</w:t>
      </w:r>
      <w:r>
        <w:rPr>
          <w:rFonts w:ascii="Cambria Math" w:hAnsi="Cambria Math" w:eastAsia="Cambria Math"/>
          <w:position w:val="1"/>
          <w:vertAlign w:val="superscript"/>
        </w:rPr>
        <w:t>2</w:t>
      </w:r>
      <w:r>
        <w:rPr>
          <w:rFonts w:ascii="Cambria Math" w:hAnsi="Cambria Math" w:eastAsia="Cambria Math"/>
          <w:spacing w:val="-3"/>
          <w:position w:val="1"/>
          <w:vertAlign w:val="baseline"/>
        </w:rPr>
        <w:t> </w:t>
      </w:r>
      <w:r>
        <w:rPr>
          <w:rFonts w:ascii="Cambria Math" w:hAnsi="Cambria Math" w:eastAsia="Cambria Math"/>
          <w:position w:val="1"/>
          <w:vertAlign w:val="baseline"/>
        </w:rPr>
        <w:t>𝑎</w:t>
      </w:r>
      <w:r>
        <w:rPr>
          <w:rFonts w:ascii="Cambria Math" w:hAnsi="Cambria Math" w:eastAsia="Cambria Math"/>
          <w:spacing w:val="8"/>
          <w:position w:val="1"/>
          <w:vertAlign w:val="baseline"/>
        </w:rPr>
        <w:t> </w:t>
      </w:r>
      <w:r>
        <w:rPr>
          <w:rFonts w:ascii="Cambria Math" w:hAnsi="Cambria Math" w:eastAsia="Cambria Math"/>
          <w:position w:val="1"/>
          <w:vertAlign w:val="baseline"/>
        </w:rPr>
        <w:t>𝑑𝑟</w:t>
      </w:r>
    </w:p>
    <w:p>
      <w:pPr>
        <w:spacing w:line="146" w:lineRule="exact" w:before="0"/>
        <w:ind w:left="768" w:right="0" w:firstLine="0"/>
        <w:jc w:val="left"/>
        <w:rPr>
          <w:rFonts w:ascii="Cambria Math" w:eastAsia="Cambria Math"/>
          <w:sz w:val="17"/>
        </w:rPr>
      </w:pPr>
      <w:r>
        <w:rPr>
          <w:rFonts w:ascii="Cambria Math" w:eastAsia="Cambria Math"/>
          <w:w w:val="110"/>
          <w:sz w:val="17"/>
        </w:rPr>
        <w:t>𝑟</w:t>
      </w:r>
    </w:p>
    <w:p>
      <w:pPr>
        <w:spacing w:after="0" w:line="146" w:lineRule="exact"/>
        <w:jc w:val="left"/>
        <w:rPr>
          <w:rFonts w:ascii="Cambria Math" w:eastAsia="Cambria Math"/>
          <w:sz w:val="17"/>
        </w:rPr>
        <w:sectPr>
          <w:type w:val="continuous"/>
          <w:pgSz w:w="11910" w:h="16840"/>
          <w:pgMar w:top="1320" w:bottom="280" w:left="1680" w:right="980"/>
        </w:sectPr>
      </w:pPr>
    </w:p>
    <w:p>
      <w:pPr>
        <w:pStyle w:val="BodyText"/>
        <w:spacing w:line="312" w:lineRule="exact" w:before="56"/>
        <w:ind w:left="307"/>
        <w:rPr>
          <w:rFonts w:ascii="Cambria Math" w:hAnsi="Cambria Math" w:eastAsia="Cambria Math"/>
        </w:rPr>
      </w:pPr>
      <w:r>
        <w:rPr/>
        <w:pict>
          <v:rect style="position:absolute;margin-left:114.379997pt;margin-top:13.936636pt;width:5.76pt;height:.84pt;mso-position-horizontal-relative:page;mso-position-vertical-relative:paragraph;z-index:-18514944" filled="true" fillcolor="#000000" stroked="false">
            <v:fill type="solid"/>
            <w10:wrap type="none"/>
          </v:rect>
        </w:pict>
      </w:r>
      <w:r>
        <w:rPr>
          <w:position w:val="1"/>
        </w:rPr>
        <w:t>2</w:t>
      </w:r>
      <w:r>
        <w:rPr>
          <w:rFonts w:ascii="Cambria Math" w:hAnsi="Cambria Math" w:eastAsia="Cambria Math"/>
        </w:rPr>
        <w:t>∫</w:t>
      </w:r>
      <w:r>
        <w:rPr>
          <w:rFonts w:ascii="Cambria Math" w:hAnsi="Cambria Math" w:eastAsia="Cambria Math"/>
          <w:spacing w:val="-12"/>
        </w:rPr>
        <w:t> </w:t>
      </w:r>
      <w:r>
        <w:rPr>
          <w:rFonts w:ascii="Cambria Math" w:hAnsi="Cambria Math" w:eastAsia="Cambria Math"/>
          <w:position w:val="15"/>
          <w:sz w:val="17"/>
        </w:rPr>
        <w:t>𝐴</w:t>
      </w:r>
      <w:r>
        <w:rPr>
          <w:rFonts w:ascii="Cambria Math" w:hAnsi="Cambria Math" w:eastAsia="Cambria Math"/>
          <w:spacing w:val="8"/>
          <w:position w:val="15"/>
          <w:sz w:val="17"/>
        </w:rPr>
        <w:t> </w:t>
      </w:r>
      <w:r>
        <w:rPr>
          <w:rFonts w:ascii="Cambria Math" w:hAnsi="Cambria Math" w:eastAsia="Cambria Math"/>
          <w:position w:val="1"/>
        </w:rPr>
        <w:t>𝑑𝑟</w:t>
      </w:r>
      <w:r>
        <w:rPr>
          <w:rFonts w:ascii="Cambria Math" w:hAnsi="Cambria Math" w:eastAsia="Cambria Math"/>
          <w:spacing w:val="9"/>
          <w:position w:val="1"/>
        </w:rPr>
        <w:t> </w:t>
      </w:r>
      <w:r>
        <w:rPr>
          <w:rFonts w:ascii="Cambria Math" w:hAnsi="Cambria Math" w:eastAsia="Cambria Math"/>
          <w:position w:val="1"/>
        </w:rPr>
        <w:t>+</w:t>
      </w:r>
      <w:r>
        <w:rPr>
          <w:rFonts w:ascii="Cambria Math" w:hAnsi="Cambria Math" w:eastAsia="Cambria Math"/>
          <w:spacing w:val="1"/>
          <w:position w:val="1"/>
        </w:rPr>
        <w:t> </w:t>
      </w:r>
      <w:r>
        <w:rPr>
          <w:rFonts w:ascii="Cambria Math" w:hAnsi="Cambria Math" w:eastAsia="Cambria Math"/>
        </w:rPr>
        <w:t>∫</w:t>
      </w:r>
      <w:r>
        <w:rPr>
          <w:rFonts w:ascii="Cambria Math" w:hAnsi="Cambria Math" w:eastAsia="Cambria Math"/>
          <w:spacing w:val="-9"/>
        </w:rPr>
        <w:t> </w:t>
      </w:r>
      <w:r>
        <w:rPr>
          <w:rFonts w:ascii="Cambria Math" w:hAnsi="Cambria Math" w:eastAsia="Cambria Math"/>
          <w:position w:val="1"/>
        </w:rPr>
        <w:t>𝑟</w:t>
      </w:r>
      <w:r>
        <w:rPr>
          <w:rFonts w:ascii="Cambria Math" w:hAnsi="Cambria Math" w:eastAsia="Cambria Math"/>
          <w:position w:val="1"/>
          <w:vertAlign w:val="superscript"/>
        </w:rPr>
        <w:t>2</w:t>
      </w:r>
      <w:r>
        <w:rPr>
          <w:rFonts w:ascii="Cambria Math" w:hAnsi="Cambria Math" w:eastAsia="Cambria Math"/>
          <w:spacing w:val="-3"/>
          <w:position w:val="1"/>
          <w:vertAlign w:val="baseline"/>
        </w:rPr>
        <w:t> </w:t>
      </w:r>
      <w:r>
        <w:rPr>
          <w:rFonts w:ascii="Cambria Math" w:hAnsi="Cambria Math" w:eastAsia="Cambria Math"/>
          <w:position w:val="1"/>
          <w:vertAlign w:val="baseline"/>
        </w:rPr>
        <w:t>𝑎</w:t>
      </w:r>
      <w:r>
        <w:rPr>
          <w:rFonts w:ascii="Cambria Math" w:hAnsi="Cambria Math" w:eastAsia="Cambria Math"/>
          <w:spacing w:val="10"/>
          <w:position w:val="1"/>
          <w:vertAlign w:val="baseline"/>
        </w:rPr>
        <w:t> </w:t>
      </w:r>
      <w:r>
        <w:rPr>
          <w:rFonts w:ascii="Cambria Math" w:hAnsi="Cambria Math" w:eastAsia="Cambria Math"/>
          <w:position w:val="1"/>
          <w:vertAlign w:val="baseline"/>
        </w:rPr>
        <w:t>𝑑𝑟</w:t>
      </w:r>
    </w:p>
    <w:p>
      <w:pPr>
        <w:spacing w:line="146" w:lineRule="exact" w:before="0"/>
        <w:ind w:left="617" w:right="0" w:firstLine="0"/>
        <w:jc w:val="left"/>
        <w:rPr>
          <w:rFonts w:ascii="Cambria Math" w:eastAsia="Cambria Math"/>
          <w:sz w:val="17"/>
        </w:rPr>
      </w:pPr>
      <w:r>
        <w:rPr>
          <w:rFonts w:ascii="Cambria Math" w:eastAsia="Cambria Math"/>
          <w:w w:val="110"/>
          <w:sz w:val="17"/>
        </w:rPr>
        <w:t>𝑟</w:t>
      </w:r>
    </w:p>
    <w:p>
      <w:pPr>
        <w:pStyle w:val="BodyText"/>
        <w:spacing w:before="7"/>
        <w:rPr>
          <w:rFonts w:ascii="Cambria Math"/>
          <w:sz w:val="23"/>
        </w:rPr>
      </w:pPr>
    </w:p>
    <w:p>
      <w:pPr>
        <w:pStyle w:val="BodyText"/>
        <w:spacing w:before="96"/>
        <w:ind w:left="307"/>
        <w:rPr>
          <w:rFonts w:ascii="Cambria Math" w:hAnsi="Cambria Math" w:eastAsia="Cambria Math"/>
        </w:rPr>
      </w:pPr>
      <w:r>
        <w:rPr>
          <w:position w:val="1"/>
        </w:rPr>
        <w:t>2A</w:t>
      </w:r>
      <w:r>
        <w:rPr>
          <w:rFonts w:ascii="Cambria Math" w:hAnsi="Cambria Math" w:eastAsia="Cambria Math"/>
        </w:rPr>
        <w:t>∫</w:t>
      </w:r>
      <w:r>
        <w:rPr>
          <w:rFonts w:ascii="Cambria Math" w:hAnsi="Cambria Math" w:eastAsia="Cambria Math"/>
          <w:spacing w:val="-8"/>
        </w:rPr>
        <w:t> </w:t>
      </w:r>
      <w:r>
        <w:rPr>
          <w:rFonts w:ascii="Cambria Math" w:hAnsi="Cambria Math" w:eastAsia="Cambria Math"/>
          <w:position w:val="1"/>
        </w:rPr>
        <w:t>𝑟</w:t>
      </w:r>
      <w:r>
        <w:rPr>
          <w:rFonts w:ascii="Cambria Math" w:hAnsi="Cambria Math" w:eastAsia="Cambria Math"/>
          <w:position w:val="1"/>
          <w:vertAlign w:val="superscript"/>
        </w:rPr>
        <w:t>−1</w:t>
      </w:r>
      <w:r>
        <w:rPr>
          <w:rFonts w:ascii="Cambria Math" w:hAnsi="Cambria Math" w:eastAsia="Cambria Math"/>
          <w:spacing w:val="-2"/>
          <w:position w:val="1"/>
          <w:vertAlign w:val="baseline"/>
        </w:rPr>
        <w:t> </w:t>
      </w:r>
      <w:r>
        <w:rPr>
          <w:rFonts w:ascii="Cambria Math" w:hAnsi="Cambria Math" w:eastAsia="Cambria Math"/>
          <w:position w:val="1"/>
          <w:vertAlign w:val="baseline"/>
        </w:rPr>
        <w:t>𝑑𝑟</w:t>
      </w:r>
      <w:r>
        <w:rPr>
          <w:rFonts w:ascii="Cambria Math" w:hAnsi="Cambria Math" w:eastAsia="Cambria Math"/>
          <w:spacing w:val="12"/>
          <w:position w:val="1"/>
          <w:vertAlign w:val="baseline"/>
        </w:rPr>
        <w:t> </w:t>
      </w:r>
      <w:r>
        <w:rPr>
          <w:rFonts w:ascii="Cambria Math" w:hAnsi="Cambria Math" w:eastAsia="Cambria Math"/>
          <w:position w:val="1"/>
          <w:vertAlign w:val="baseline"/>
        </w:rPr>
        <w:t>+</w:t>
      </w:r>
      <w:r>
        <w:rPr>
          <w:rFonts w:ascii="Cambria Math" w:hAnsi="Cambria Math" w:eastAsia="Cambria Math"/>
          <w:spacing w:val="6"/>
          <w:position w:val="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∫</w:t>
      </w:r>
      <w:r>
        <w:rPr>
          <w:rFonts w:ascii="Cambria Math" w:hAnsi="Cambria Math" w:eastAsia="Cambria Math"/>
          <w:spacing w:val="-10"/>
          <w:vertAlign w:val="baseline"/>
        </w:rPr>
        <w:t> </w:t>
      </w:r>
      <w:r>
        <w:rPr>
          <w:rFonts w:ascii="Cambria Math" w:hAnsi="Cambria Math" w:eastAsia="Cambria Math"/>
          <w:position w:val="1"/>
          <w:vertAlign w:val="baseline"/>
        </w:rPr>
        <w:t>𝑟</w:t>
      </w:r>
      <w:r>
        <w:rPr>
          <w:rFonts w:ascii="Cambria Math" w:hAnsi="Cambria Math" w:eastAsia="Cambria Math"/>
          <w:position w:val="1"/>
          <w:vertAlign w:val="superscript"/>
        </w:rPr>
        <w:t>2</w:t>
      </w:r>
      <w:r>
        <w:rPr>
          <w:rFonts w:ascii="Cambria Math" w:hAnsi="Cambria Math" w:eastAsia="Cambria Math"/>
          <w:spacing w:val="3"/>
          <w:position w:val="1"/>
          <w:vertAlign w:val="baseline"/>
        </w:rPr>
        <w:t> </w:t>
      </w:r>
      <w:r>
        <w:rPr>
          <w:rFonts w:ascii="Cambria Math" w:hAnsi="Cambria Math" w:eastAsia="Cambria Math"/>
          <w:position w:val="1"/>
          <w:vertAlign w:val="baseline"/>
        </w:rPr>
        <w:t>𝑎</w:t>
      </w:r>
      <w:r>
        <w:rPr>
          <w:rFonts w:ascii="Cambria Math" w:hAnsi="Cambria Math" w:eastAsia="Cambria Math"/>
          <w:spacing w:val="12"/>
          <w:position w:val="1"/>
          <w:vertAlign w:val="baseline"/>
        </w:rPr>
        <w:t> </w:t>
      </w:r>
      <w:r>
        <w:rPr>
          <w:rFonts w:ascii="Cambria Math" w:hAnsi="Cambria Math" w:eastAsia="Cambria Math"/>
          <w:position w:val="1"/>
          <w:vertAlign w:val="baseline"/>
        </w:rPr>
        <w:t>𝑑𝑟</w:t>
      </w:r>
    </w:p>
    <w:p>
      <w:pPr>
        <w:pStyle w:val="BodyText"/>
        <w:spacing w:before="11"/>
        <w:rPr>
          <w:rFonts w:ascii="Cambria Math"/>
          <w:sz w:val="25"/>
        </w:rPr>
      </w:pPr>
    </w:p>
    <w:p>
      <w:pPr>
        <w:spacing w:after="0"/>
        <w:rPr>
          <w:rFonts w:ascii="Cambria Math"/>
          <w:sz w:val="25"/>
        </w:rPr>
        <w:sectPr>
          <w:pgSz w:w="11910" w:h="16840"/>
          <w:pgMar w:header="0" w:footer="1067" w:top="1320" w:bottom="1260" w:left="1680" w:right="980"/>
        </w:sectPr>
      </w:pPr>
    </w:p>
    <w:p>
      <w:pPr>
        <w:pStyle w:val="BodyText"/>
        <w:spacing w:before="93"/>
        <w:ind w:left="307"/>
        <w:rPr>
          <w:rFonts w:ascii="Cambria Math" w:eastAsia="Cambria Math"/>
        </w:rPr>
      </w:pPr>
      <w:r>
        <w:rPr>
          <w:rFonts w:ascii="Cambria Math" w:eastAsia="Cambria Math"/>
        </w:rPr>
        <w:t>𝑎𝑟</w:t>
      </w:r>
      <w:r>
        <w:rPr>
          <w:rFonts w:ascii="Cambria Math" w:eastAsia="Cambria Math"/>
          <w:vertAlign w:val="superscript"/>
        </w:rPr>
        <w:t>3</w:t>
      </w:r>
    </w:p>
    <w:p>
      <w:pPr>
        <w:pStyle w:val="BodyText"/>
        <w:spacing w:before="6"/>
        <w:rPr>
          <w:rFonts w:ascii="Cambria Math"/>
          <w:sz w:val="4"/>
        </w:rPr>
      </w:pPr>
    </w:p>
    <w:p>
      <w:pPr>
        <w:pStyle w:val="BodyText"/>
        <w:spacing w:line="20" w:lineRule="exact"/>
        <w:ind w:left="307" w:right="-72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18.4pt;height:.85pt;mso-position-horizontal-relative:char;mso-position-vertical-relative:line" coordorigin="0,0" coordsize="368,17">
            <v:rect style="position:absolute;left:0;top:0;width:368;height:17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pStyle w:val="BodyText"/>
        <w:ind w:left="360"/>
        <w:rPr>
          <w:rFonts w:ascii="Cambria Math" w:eastAsia="Cambria Math"/>
        </w:rPr>
      </w:pPr>
      <w:r>
        <w:rPr>
          <w:rFonts w:ascii="Cambria Math" w:eastAsia="Cambria Math"/>
        </w:rPr>
        <w:t>𝑑𝑟</w:t>
      </w:r>
    </w:p>
    <w:p>
      <w:pPr>
        <w:pStyle w:val="BodyText"/>
        <w:spacing w:before="6"/>
        <w:rPr>
          <w:rFonts w:ascii="Cambria Math"/>
          <w:sz w:val="23"/>
        </w:rPr>
      </w:pPr>
      <w:r>
        <w:rPr/>
        <w:br w:type="column"/>
      </w:r>
      <w:r>
        <w:rPr>
          <w:rFonts w:ascii="Cambria Math"/>
          <w:sz w:val="23"/>
        </w:rPr>
      </w:r>
    </w:p>
    <w:p>
      <w:pPr>
        <w:pStyle w:val="BodyText"/>
        <w:ind w:left="22"/>
        <w:rPr>
          <w:rFonts w:ascii="Cambria Math" w:eastAsia="Cambria Math"/>
        </w:rPr>
      </w:pPr>
      <w:r>
        <w:rPr>
          <w:rFonts w:ascii="Cambria Math" w:eastAsia="Cambria Math"/>
        </w:rPr>
        <w:t>+</w:t>
      </w:r>
      <w:r>
        <w:rPr>
          <w:rFonts w:ascii="Cambria Math" w:eastAsia="Cambria Math"/>
          <w:spacing w:val="-2"/>
        </w:rPr>
        <w:t> </w:t>
      </w:r>
      <w:r>
        <w:rPr>
          <w:rFonts w:ascii="Cambria Math" w:eastAsia="Cambria Math"/>
        </w:rPr>
        <w:t>𝑏</w:t>
      </w:r>
    </w:p>
    <w:p>
      <w:pPr>
        <w:spacing w:after="0"/>
        <w:rPr>
          <w:rFonts w:ascii="Cambria Math" w:eastAsia="Cambria Math"/>
        </w:rPr>
        <w:sectPr>
          <w:type w:val="continuous"/>
          <w:pgSz w:w="11910" w:h="16840"/>
          <w:pgMar w:top="1320" w:bottom="280" w:left="1680" w:right="980"/>
          <w:cols w:num="2" w:equalWidth="0">
            <w:col w:w="668" w:space="40"/>
            <w:col w:w="8542"/>
          </w:cols>
        </w:sectPr>
      </w:pPr>
    </w:p>
    <w:p>
      <w:pPr>
        <w:pStyle w:val="BodyText"/>
        <w:spacing w:before="4"/>
        <w:rPr>
          <w:rFonts w:ascii="Cambria Math"/>
          <w:sz w:val="21"/>
        </w:rPr>
      </w:pPr>
    </w:p>
    <w:p>
      <w:pPr>
        <w:spacing w:after="0"/>
        <w:rPr>
          <w:rFonts w:ascii="Cambria Math"/>
          <w:sz w:val="21"/>
        </w:rPr>
        <w:sectPr>
          <w:type w:val="continuous"/>
          <w:pgSz w:w="11910" w:h="16840"/>
          <w:pgMar w:top="1320" w:bottom="280" w:left="1680" w:right="980"/>
        </w:sectPr>
      </w:pPr>
    </w:p>
    <w:p>
      <w:pPr>
        <w:spacing w:line="182" w:lineRule="auto" w:before="99"/>
        <w:ind w:left="307" w:right="0" w:firstLine="0"/>
        <w:jc w:val="left"/>
        <w:rPr>
          <w:rFonts w:ascii="Cambria Math" w:eastAsia="Cambria Math"/>
          <w:sz w:val="17"/>
        </w:rPr>
      </w:pPr>
      <w:r>
        <w:rPr/>
        <w:pict>
          <v:rect style="position:absolute;margin-left:124.339996pt;margin-top:16.832613pt;width:20.52pt;height:.84001pt;mso-position-horizontal-relative:page;mso-position-vertical-relative:paragraph;z-index:-18514432" filled="true" fillcolor="#000000" stroked="false">
            <v:fill type="solid"/>
            <w10:wrap type="none"/>
          </v:rect>
        </w:pict>
      </w:r>
      <w:r>
        <w:rPr>
          <w:w w:val="110"/>
          <w:position w:val="-13"/>
          <w:sz w:val="24"/>
        </w:rPr>
        <w:t>Let</w:t>
      </w:r>
      <w:r>
        <w:rPr>
          <w:spacing w:val="1"/>
          <w:w w:val="110"/>
          <w:position w:val="-13"/>
          <w:sz w:val="24"/>
        </w:rPr>
        <w:t> </w:t>
      </w:r>
      <w:r>
        <w:rPr>
          <w:rFonts w:ascii="Cambria Math" w:eastAsia="Cambria Math"/>
          <w:w w:val="110"/>
          <w:sz w:val="17"/>
        </w:rPr>
        <w:t>𝑟</w:t>
      </w:r>
      <w:r>
        <w:rPr>
          <w:rFonts w:ascii="Cambria Math" w:eastAsia="Cambria Math"/>
          <w:w w:val="110"/>
          <w:position w:val="6"/>
          <w:sz w:val="14"/>
        </w:rPr>
        <w:t>2</w:t>
      </w:r>
      <w:r>
        <w:rPr>
          <w:rFonts w:ascii="Cambria Math" w:eastAsia="Cambria Math"/>
          <w:w w:val="110"/>
          <w:sz w:val="17"/>
        </w:rPr>
        <w:t>𝑑𝑢</w:t>
      </w:r>
    </w:p>
    <w:p>
      <w:pPr>
        <w:spacing w:line="154" w:lineRule="exact" w:before="0"/>
        <w:ind w:left="0" w:right="104" w:firstLine="0"/>
        <w:jc w:val="right"/>
        <w:rPr>
          <w:rFonts w:ascii="Cambria Math" w:eastAsia="Cambria Math"/>
          <w:sz w:val="17"/>
        </w:rPr>
      </w:pPr>
      <w:r>
        <w:rPr>
          <w:rFonts w:ascii="Cambria Math" w:eastAsia="Cambria Math"/>
          <w:w w:val="110"/>
          <w:sz w:val="17"/>
        </w:rPr>
        <w:t>𝑑𝑟</w:t>
      </w:r>
    </w:p>
    <w:p>
      <w:pPr>
        <w:spacing w:line="170" w:lineRule="exact" w:before="76"/>
        <w:ind w:left="121" w:right="0" w:firstLine="0"/>
        <w:jc w:val="left"/>
        <w:rPr>
          <w:rFonts w:ascii="Cambria Math" w:eastAsia="Cambria Math"/>
          <w:sz w:val="14"/>
        </w:rPr>
      </w:pPr>
      <w:r>
        <w:rPr/>
        <w:br w:type="column"/>
      </w:r>
      <w:r>
        <w:rPr>
          <w:rFonts w:ascii="Cambria Math" w:eastAsia="Cambria Math"/>
          <w:w w:val="105"/>
          <w:position w:val="-5"/>
          <w:sz w:val="17"/>
        </w:rPr>
        <w:t>𝑟</w:t>
      </w:r>
      <w:r>
        <w:rPr>
          <w:rFonts w:ascii="Cambria Math" w:eastAsia="Cambria Math"/>
          <w:w w:val="105"/>
          <w:sz w:val="14"/>
        </w:rPr>
        <w:t>3</w:t>
      </w:r>
    </w:p>
    <w:p>
      <w:pPr>
        <w:pStyle w:val="BodyText"/>
        <w:spacing w:line="173" w:lineRule="exact"/>
        <w:ind w:left="3"/>
        <w:rPr>
          <w:rFonts w:ascii="Cambria Math"/>
        </w:rPr>
      </w:pPr>
      <w:r>
        <w:rPr/>
        <w:pict>
          <v:rect style="position:absolute;margin-left:152.779999pt;margin-top:4.516942pt;width:9.36pt;height:.84001pt;mso-position-horizontal-relative:page;mso-position-vertical-relative:paragraph;z-index:15752192" filled="true" fillcolor="#000000" stroked="false">
            <v:fill type="solid"/>
            <w10:wrap type="none"/>
          </v:rect>
        </w:pict>
      </w:r>
      <w:r>
        <w:rPr>
          <w:rFonts w:ascii="Cambria Math"/>
          <w:w w:val="118"/>
        </w:rPr>
        <w:t>(</w:t>
      </w:r>
    </w:p>
    <w:p>
      <w:pPr>
        <w:spacing w:line="152" w:lineRule="exact" w:before="0"/>
        <w:ind w:left="164" w:right="0" w:firstLine="0"/>
        <w:jc w:val="left"/>
        <w:rPr>
          <w:rFonts w:ascii="Cambria Math"/>
          <w:sz w:val="17"/>
        </w:rPr>
      </w:pPr>
      <w:r>
        <w:rPr>
          <w:rFonts w:ascii="Cambria Math"/>
          <w:w w:val="104"/>
          <w:sz w:val="17"/>
        </w:rPr>
        <w:t>3</w:t>
      </w:r>
    </w:p>
    <w:p>
      <w:pPr>
        <w:spacing w:line="307" w:lineRule="exact" w:before="112"/>
        <w:ind w:left="-32" w:right="0" w:firstLine="0"/>
        <w:jc w:val="left"/>
        <w:rPr>
          <w:rFonts w:ascii="Cambria Math" w:hAnsi="Cambria Math" w:eastAsia="Cambria Math"/>
          <w:sz w:val="17"/>
        </w:rPr>
      </w:pPr>
      <w:r>
        <w:rPr/>
        <w:br w:type="column"/>
      </w:r>
      <w:r>
        <w:rPr>
          <w:rFonts w:ascii="Cambria Math" w:hAnsi="Cambria Math" w:eastAsia="Cambria Math"/>
          <w:w w:val="105"/>
          <w:sz w:val="24"/>
        </w:rPr>
        <w:t>)</w:t>
      </w:r>
      <w:r>
        <w:rPr>
          <w:rFonts w:ascii="Cambria Math" w:hAnsi="Cambria Math" w:eastAsia="Cambria Math"/>
          <w:spacing w:val="8"/>
          <w:w w:val="105"/>
          <w:sz w:val="24"/>
        </w:rPr>
        <w:t> </w:t>
      </w:r>
      <w:r>
        <w:rPr>
          <w:rFonts w:ascii="Cambria Math" w:hAnsi="Cambria Math" w:eastAsia="Cambria Math"/>
          <w:w w:val="105"/>
          <w:sz w:val="24"/>
        </w:rPr>
        <w:t>= </w:t>
      </w:r>
      <w:r>
        <w:rPr>
          <w:rFonts w:ascii="Cambria Math" w:hAnsi="Cambria Math" w:eastAsia="Cambria Math"/>
          <w:spacing w:val="11"/>
          <w:w w:val="105"/>
          <w:sz w:val="24"/>
        </w:rPr>
        <w:t> </w:t>
      </w:r>
      <w:r>
        <w:rPr>
          <w:rFonts w:ascii="Cambria Math" w:hAnsi="Cambria Math" w:eastAsia="Cambria Math"/>
          <w:w w:val="105"/>
          <w:sz w:val="24"/>
        </w:rPr>
        <w:t>−</w:t>
      </w:r>
      <w:r>
        <w:rPr>
          <w:rFonts w:ascii="Cambria Math" w:hAnsi="Cambria Math" w:eastAsia="Cambria Math"/>
          <w:spacing w:val="-16"/>
          <w:w w:val="105"/>
          <w:sz w:val="24"/>
        </w:rPr>
        <w:t> </w:t>
      </w:r>
      <w:r>
        <w:rPr>
          <w:rFonts w:ascii="Cambria Math" w:hAnsi="Cambria Math" w:eastAsia="Cambria Math"/>
          <w:w w:val="105"/>
          <w:position w:val="14"/>
          <w:sz w:val="17"/>
        </w:rPr>
        <w:t>𝑎</w:t>
      </w:r>
    </w:p>
    <w:p>
      <w:pPr>
        <w:spacing w:line="152" w:lineRule="exact" w:before="0"/>
        <w:ind w:left="677" w:right="0" w:firstLine="0"/>
        <w:jc w:val="left"/>
        <w:rPr>
          <w:rFonts w:ascii="Cambria Math" w:eastAsia="Cambria Math"/>
          <w:sz w:val="17"/>
        </w:rPr>
      </w:pPr>
      <w:r>
        <w:rPr/>
        <w:pict>
          <v:rect style="position:absolute;margin-left:197.330002pt;margin-top:-4.134700pt;width:5.52pt;height:.84001pt;mso-position-horizontal-relative:page;mso-position-vertical-relative:paragraph;z-index:-18513408" filled="true" fillcolor="#000000" stroked="false">
            <v:fill type="solid"/>
            <w10:wrap type="none"/>
          </v:rect>
        </w:pict>
      </w:r>
      <w:r>
        <w:rPr>
          <w:rFonts w:ascii="Cambria Math" w:eastAsia="Cambria Math"/>
          <w:w w:val="110"/>
          <w:sz w:val="17"/>
        </w:rPr>
        <w:t>𝑟</w:t>
      </w:r>
    </w:p>
    <w:p>
      <w:pPr>
        <w:spacing w:after="0" w:line="152" w:lineRule="exact"/>
        <w:jc w:val="left"/>
        <w:rPr>
          <w:rFonts w:ascii="Cambria Math" w:eastAsia="Cambria Math"/>
          <w:sz w:val="17"/>
        </w:rPr>
        <w:sectPr>
          <w:type w:val="continuous"/>
          <w:pgSz w:w="11910" w:h="16840"/>
          <w:pgMar w:top="1320" w:bottom="280" w:left="1680" w:right="980"/>
          <w:cols w:num="3" w:equalWidth="0">
            <w:col w:w="1215" w:space="40"/>
            <w:col w:w="303" w:space="39"/>
            <w:col w:w="7653"/>
          </w:cols>
        </w:sectPr>
      </w:pPr>
    </w:p>
    <w:p>
      <w:pPr>
        <w:pStyle w:val="BodyText"/>
        <w:spacing w:before="7"/>
        <w:rPr>
          <w:rFonts w:ascii="Cambria Math"/>
          <w:sz w:val="23"/>
        </w:rPr>
      </w:pPr>
    </w:p>
    <w:p>
      <w:pPr>
        <w:pStyle w:val="BodyText"/>
        <w:spacing w:before="90"/>
        <w:ind w:left="307"/>
      </w:pPr>
      <w:r>
        <w:rPr/>
        <w:t>Therefore:</w:t>
      </w:r>
    </w:p>
    <w:p>
      <w:pPr>
        <w:pStyle w:val="BodyText"/>
        <w:spacing w:before="3"/>
        <w:rPr>
          <w:sz w:val="31"/>
        </w:rPr>
      </w:pPr>
    </w:p>
    <w:p>
      <w:pPr>
        <w:pStyle w:val="BodyText"/>
        <w:tabs>
          <w:tab w:pos="8229" w:val="left" w:leader="none"/>
        </w:tabs>
        <w:spacing w:line="307" w:lineRule="exact"/>
        <w:ind w:left="307"/>
      </w:pPr>
      <w:r>
        <w:rPr/>
        <w:pict>
          <v:rect style="position:absolute;margin-left:135.860001pt;margin-top:11.236663pt;width:5.52pt;height:.84pt;mso-position-horizontal-relative:page;mso-position-vertical-relative:paragraph;z-index:-18512896" filled="true" fillcolor="#000000" stroked="false">
            <v:fill type="solid"/>
            <w10:wrap type="none"/>
          </v:rect>
        </w:pict>
      </w:r>
      <w:r>
        <w:rPr>
          <w:rFonts w:ascii="Cambria Math" w:hAnsi="Cambria Math" w:eastAsia="Cambria Math"/>
        </w:rPr>
        <w:t>𝑢</w:t>
      </w:r>
      <w:r>
        <w:rPr>
          <w:rFonts w:ascii="Cambria Math" w:hAnsi="Cambria Math" w:eastAsia="Cambria Math"/>
          <w:spacing w:val="21"/>
        </w:rPr>
        <w:t> </w:t>
      </w:r>
      <w:r>
        <w:rPr>
          <w:rFonts w:ascii="Cambria Math" w:hAnsi="Cambria Math" w:eastAsia="Cambria Math"/>
        </w:rPr>
        <w:t>=</w:t>
      </w:r>
      <w:r>
        <w:rPr>
          <w:rFonts w:ascii="Cambria Math" w:hAnsi="Cambria Math" w:eastAsia="Cambria Math"/>
          <w:spacing w:val="14"/>
        </w:rPr>
        <w:t> </w:t>
      </w:r>
      <w:r>
        <w:rPr>
          <w:rFonts w:ascii="Cambria Math" w:hAnsi="Cambria Math" w:eastAsia="Cambria Math"/>
        </w:rPr>
        <w:t>−</w:t>
      </w:r>
      <w:r>
        <w:rPr>
          <w:rFonts w:ascii="Cambria Math" w:hAnsi="Cambria Math" w:eastAsia="Cambria Math"/>
          <w:spacing w:val="42"/>
        </w:rPr>
        <w:t> </w:t>
      </w:r>
      <w:r>
        <w:rPr>
          <w:rFonts w:ascii="Cambria Math" w:hAnsi="Cambria Math" w:eastAsia="Cambria Math"/>
          <w:position w:val="14"/>
          <w:sz w:val="17"/>
        </w:rPr>
        <w:t>𝑎</w:t>
      </w:r>
      <w:r>
        <w:rPr>
          <w:rFonts w:ascii="Cambria Math" w:hAnsi="Cambria Math" w:eastAsia="Cambria Math"/>
          <w:spacing w:val="20"/>
          <w:position w:val="14"/>
          <w:sz w:val="17"/>
        </w:rPr>
        <w:t> </w:t>
      </w:r>
      <w:r>
        <w:rPr>
          <w:rFonts w:ascii="Cambria Math" w:hAnsi="Cambria Math" w:eastAsia="Cambria Math"/>
        </w:rPr>
        <w:t>+</w:t>
      </w:r>
      <w:r>
        <w:rPr>
          <w:rFonts w:ascii="Cambria Math" w:hAnsi="Cambria Math" w:eastAsia="Cambria Math"/>
          <w:spacing w:val="1"/>
        </w:rPr>
        <w:t> </w:t>
      </w:r>
      <w:r>
        <w:rPr>
          <w:rFonts w:ascii="Cambria Math" w:hAnsi="Cambria Math" w:eastAsia="Cambria Math"/>
        </w:rPr>
        <w:t>𝑏</w:t>
        <w:tab/>
      </w:r>
      <w:r>
        <w:rPr/>
        <w:t>(3.18)</w:t>
      </w:r>
    </w:p>
    <w:p>
      <w:pPr>
        <w:spacing w:line="152" w:lineRule="exact" w:before="0"/>
        <w:ind w:left="1044" w:right="0" w:firstLine="0"/>
        <w:jc w:val="left"/>
        <w:rPr>
          <w:rFonts w:ascii="Cambria Math" w:eastAsia="Cambria Math"/>
          <w:sz w:val="17"/>
        </w:rPr>
      </w:pPr>
      <w:r>
        <w:rPr>
          <w:rFonts w:ascii="Cambria Math" w:eastAsia="Cambria Math"/>
          <w:w w:val="110"/>
          <w:sz w:val="17"/>
        </w:rPr>
        <w:t>𝑟</w:t>
      </w:r>
    </w:p>
    <w:p>
      <w:pPr>
        <w:pStyle w:val="BodyText"/>
        <w:spacing w:before="8"/>
        <w:rPr>
          <w:rFonts w:ascii="Cambria Math"/>
          <w:sz w:val="23"/>
        </w:rPr>
      </w:pPr>
    </w:p>
    <w:p>
      <w:pPr>
        <w:pStyle w:val="BodyText"/>
        <w:spacing w:before="86"/>
        <w:ind w:left="307"/>
        <w:rPr>
          <w:rFonts w:ascii="Cambria Math" w:hAnsi="Cambria Math" w:eastAsia="Cambria Math"/>
        </w:rPr>
      </w:pPr>
      <w:r>
        <w:rPr/>
        <w:t>where</w:t>
      </w:r>
      <w:r>
        <w:rPr>
          <w:spacing w:val="-3"/>
        </w:rPr>
        <w:t> </w:t>
      </w:r>
      <w:r>
        <w:rPr>
          <w:i/>
        </w:rPr>
        <w:t>a</w:t>
      </w:r>
      <w:r>
        <w:rPr>
          <w:i/>
          <w:spacing w:val="2"/>
        </w:rPr>
        <w:t> </w:t>
      </w:r>
      <w:r>
        <w:rPr/>
        <w:t>and </w:t>
      </w:r>
      <w:r>
        <w:rPr>
          <w:i/>
        </w:rPr>
        <w:t>b </w:t>
      </w:r>
      <w:r>
        <w:rPr/>
        <w:t>are</w:t>
      </w:r>
      <w:r>
        <w:rPr>
          <w:spacing w:val="-2"/>
        </w:rPr>
        <w:t> </w:t>
      </w:r>
      <w:r>
        <w:rPr/>
        <w:t>constants as</w:t>
      </w:r>
      <w:r>
        <w:rPr>
          <w:spacing w:val="1"/>
        </w:rPr>
        <w:t> </w:t>
      </w:r>
      <w:r>
        <w:rPr>
          <w:rFonts w:ascii="Cambria Math" w:hAnsi="Cambria Math" w:eastAsia="Cambria Math"/>
        </w:rPr>
        <w:t>𝑟</w:t>
      </w:r>
      <w:r>
        <w:rPr>
          <w:rFonts w:ascii="Cambria Math" w:hAnsi="Cambria Math" w:eastAsia="Cambria Math"/>
          <w:spacing w:val="72"/>
        </w:rPr>
        <w:t> </w:t>
      </w:r>
      <w:r>
        <w:rPr>
          <w:rFonts w:ascii="Cambria Math" w:hAnsi="Cambria Math" w:eastAsia="Cambria Math"/>
        </w:rPr>
        <w:t>→</w:t>
      </w:r>
      <w:r>
        <w:rPr>
          <w:rFonts w:ascii="Cambria Math" w:hAnsi="Cambria Math" w:eastAsia="Cambria Math"/>
          <w:spacing w:val="65"/>
        </w:rPr>
        <w:t> </w:t>
      </w:r>
      <w:r>
        <w:rPr>
          <w:rFonts w:ascii="Cambria Math" w:hAnsi="Cambria Math" w:eastAsia="Cambria Math"/>
        </w:rPr>
        <w:t>∞,</w:t>
      </w:r>
      <w:r>
        <w:rPr>
          <w:rFonts w:ascii="Cambria Math" w:hAnsi="Cambria Math" w:eastAsia="Cambria Math"/>
          <w:spacing w:val="-11"/>
        </w:rPr>
        <w:t> </w:t>
      </w:r>
      <w:r>
        <w:rPr>
          <w:rFonts w:ascii="Cambria Math" w:hAnsi="Cambria Math" w:eastAsia="Cambria Math"/>
        </w:rPr>
        <w:t>𝑢</w:t>
      </w:r>
      <w:r>
        <w:rPr>
          <w:rFonts w:ascii="Cambria Math" w:hAnsi="Cambria Math" w:eastAsia="Cambria Math"/>
          <w:spacing w:val="70"/>
        </w:rPr>
        <w:t> </w:t>
      </w:r>
      <w:r>
        <w:rPr>
          <w:rFonts w:ascii="Cambria Math" w:hAnsi="Cambria Math" w:eastAsia="Cambria Math"/>
        </w:rPr>
        <w:t>→</w:t>
      </w:r>
      <w:r>
        <w:rPr>
          <w:rFonts w:ascii="Cambria Math" w:hAnsi="Cambria Math" w:eastAsia="Cambria Math"/>
          <w:spacing w:val="14"/>
        </w:rPr>
        <w:t> </w:t>
      </w:r>
      <w:r>
        <w:rPr>
          <w:rFonts w:ascii="Cambria Math" w:hAnsi="Cambria Math" w:eastAsia="Cambria Math"/>
        </w:rPr>
        <w:t>0</w:t>
      </w:r>
      <w:r>
        <w:rPr>
          <w:rFonts w:ascii="Cambria Math" w:hAnsi="Cambria Math" w:eastAsia="Cambria Math"/>
          <w:spacing w:val="-1"/>
        </w:rPr>
        <w:t> </w:t>
      </w:r>
      <w:r>
        <w:rPr>
          <w:rFonts w:ascii="Cambria Math" w:hAnsi="Cambria Math" w:eastAsia="Cambria Math"/>
        </w:rPr>
        <w:t>𝑎𝑛𝑑</w:t>
      </w:r>
      <w:r>
        <w:rPr>
          <w:rFonts w:ascii="Cambria Math" w:hAnsi="Cambria Math" w:eastAsia="Cambria Math"/>
          <w:spacing w:val="6"/>
        </w:rPr>
        <w:t> </w:t>
      </w:r>
      <w:r>
        <w:rPr>
          <w:rFonts w:ascii="Cambria Math" w:hAnsi="Cambria Math" w:eastAsia="Cambria Math"/>
        </w:rPr>
        <w:t>𝑏</w:t>
      </w:r>
      <w:r>
        <w:rPr>
          <w:rFonts w:ascii="Cambria Math" w:hAnsi="Cambria Math" w:eastAsia="Cambria Math"/>
          <w:spacing w:val="19"/>
        </w:rPr>
        <w:t> </w:t>
      </w:r>
      <w:r>
        <w:rPr>
          <w:rFonts w:ascii="Cambria Math" w:hAnsi="Cambria Math" w:eastAsia="Cambria Math"/>
        </w:rPr>
        <w:t>=</w:t>
      </w:r>
      <w:r>
        <w:rPr>
          <w:rFonts w:ascii="Cambria Math" w:hAnsi="Cambria Math" w:eastAsia="Cambria Math"/>
          <w:spacing w:val="15"/>
        </w:rPr>
        <w:t> </w:t>
      </w:r>
      <w:r>
        <w:rPr>
          <w:rFonts w:ascii="Cambria Math" w:hAnsi="Cambria Math" w:eastAsia="Cambria Math"/>
        </w:rPr>
        <w:t>0</w:t>
      </w:r>
    </w:p>
    <w:p>
      <w:pPr>
        <w:pStyle w:val="BodyText"/>
        <w:spacing w:before="8"/>
        <w:rPr>
          <w:rFonts w:ascii="Cambria Math"/>
        </w:rPr>
      </w:pPr>
    </w:p>
    <w:p>
      <w:pPr>
        <w:spacing w:after="0"/>
        <w:rPr>
          <w:rFonts w:ascii="Cambria Math"/>
        </w:rPr>
        <w:sectPr>
          <w:type w:val="continuous"/>
          <w:pgSz w:w="11910" w:h="16840"/>
          <w:pgMar w:top="1320" w:bottom="280" w:left="1680" w:right="980"/>
        </w:sectPr>
      </w:pPr>
    </w:p>
    <w:p>
      <w:pPr>
        <w:spacing w:line="307" w:lineRule="exact" w:before="73"/>
        <w:ind w:left="307" w:right="0" w:firstLine="0"/>
        <w:jc w:val="left"/>
        <w:rPr>
          <w:rFonts w:ascii="Cambria Math" w:hAnsi="Cambria Math" w:eastAsia="Cambria Math"/>
          <w:sz w:val="17"/>
        </w:rPr>
      </w:pPr>
      <w:r>
        <w:rPr/>
        <w:pict>
          <v:rect style="position:absolute;margin-left:135.860001pt;margin-top:14.886655pt;width:5.52pt;height:.84pt;mso-position-horizontal-relative:page;mso-position-vertical-relative:paragraph;z-index:-18512384" filled="true" fillcolor="#000000" stroked="false">
            <v:fill type="solid"/>
            <w10:wrap type="none"/>
          </v:rect>
        </w:pict>
      </w:r>
      <w:r>
        <w:rPr>
          <w:rFonts w:ascii="Cambria Math" w:hAnsi="Cambria Math" w:eastAsia="Cambria Math"/>
          <w:w w:val="105"/>
          <w:sz w:val="24"/>
        </w:rPr>
        <w:t>𝑢</w:t>
      </w:r>
      <w:r>
        <w:rPr>
          <w:rFonts w:ascii="Cambria Math" w:hAnsi="Cambria Math" w:eastAsia="Cambria Math"/>
          <w:spacing w:val="11"/>
          <w:w w:val="105"/>
          <w:sz w:val="24"/>
        </w:rPr>
        <w:t> </w:t>
      </w:r>
      <w:r>
        <w:rPr>
          <w:rFonts w:ascii="Cambria Math" w:hAnsi="Cambria Math" w:eastAsia="Cambria Math"/>
          <w:w w:val="105"/>
          <w:sz w:val="24"/>
        </w:rPr>
        <w:t>=</w:t>
      </w:r>
      <w:r>
        <w:rPr>
          <w:rFonts w:ascii="Cambria Math" w:hAnsi="Cambria Math" w:eastAsia="Cambria Math"/>
          <w:spacing w:val="5"/>
          <w:w w:val="105"/>
          <w:sz w:val="24"/>
        </w:rPr>
        <w:t> </w:t>
      </w:r>
      <w:r>
        <w:rPr>
          <w:rFonts w:ascii="Cambria Math" w:hAnsi="Cambria Math" w:eastAsia="Cambria Math"/>
          <w:w w:val="105"/>
          <w:sz w:val="24"/>
        </w:rPr>
        <w:t>−</w:t>
      </w:r>
      <w:r>
        <w:rPr>
          <w:rFonts w:ascii="Cambria Math" w:hAnsi="Cambria Math" w:eastAsia="Cambria Math"/>
          <w:spacing w:val="31"/>
          <w:w w:val="105"/>
          <w:sz w:val="24"/>
        </w:rPr>
        <w:t> </w:t>
      </w:r>
      <w:r>
        <w:rPr>
          <w:rFonts w:ascii="Cambria Math" w:hAnsi="Cambria Math" w:eastAsia="Cambria Math"/>
          <w:w w:val="105"/>
          <w:position w:val="14"/>
          <w:sz w:val="17"/>
        </w:rPr>
        <w:t>𝑎</w:t>
      </w:r>
    </w:p>
    <w:p>
      <w:pPr>
        <w:spacing w:line="152" w:lineRule="exact" w:before="0"/>
        <w:ind w:left="0" w:right="47" w:firstLine="0"/>
        <w:jc w:val="right"/>
        <w:rPr>
          <w:rFonts w:ascii="Cambria Math" w:eastAsia="Cambria Math"/>
          <w:sz w:val="17"/>
        </w:rPr>
      </w:pPr>
      <w:r>
        <w:rPr>
          <w:rFonts w:ascii="Cambria Math" w:eastAsia="Cambria Math"/>
          <w:w w:val="110"/>
          <w:sz w:val="17"/>
        </w:rPr>
        <w:t>𝑟</w:t>
      </w:r>
    </w:p>
    <w:p>
      <w:pPr>
        <w:pStyle w:val="BodyText"/>
        <w:spacing w:before="151"/>
        <w:ind w:left="307"/>
      </w:pPr>
      <w:r>
        <w:rPr/>
        <w:br w:type="column"/>
      </w:r>
      <w:r>
        <w:rPr/>
        <w:t>(3.19)</w:t>
      </w:r>
    </w:p>
    <w:p>
      <w:pPr>
        <w:spacing w:after="0"/>
        <w:sectPr>
          <w:type w:val="continuous"/>
          <w:pgSz w:w="11910" w:h="16840"/>
          <w:pgMar w:top="1320" w:bottom="280" w:left="1680" w:right="980"/>
          <w:cols w:num="2" w:equalWidth="0">
            <w:col w:w="1184" w:space="6737"/>
            <w:col w:w="1329"/>
          </w:cols>
        </w:sectPr>
      </w:pPr>
    </w:p>
    <w:p>
      <w:pPr>
        <w:pStyle w:val="BodyText"/>
        <w:spacing w:before="3"/>
        <w:rPr>
          <w:sz w:val="23"/>
        </w:rPr>
      </w:pPr>
    </w:p>
    <w:p>
      <w:pPr>
        <w:pStyle w:val="BodyText"/>
        <w:spacing w:line="480" w:lineRule="auto" w:before="90"/>
        <w:ind w:left="307"/>
      </w:pPr>
      <w:r>
        <w:rPr/>
        <w:t>Since</w:t>
      </w:r>
      <w:r>
        <w:rPr>
          <w:spacing w:val="18"/>
        </w:rPr>
        <w:t> </w:t>
      </w:r>
      <w:r>
        <w:rPr/>
        <w:t>the</w:t>
      </w:r>
      <w:r>
        <w:rPr>
          <w:spacing w:val="19"/>
        </w:rPr>
        <w:t> </w:t>
      </w:r>
      <w:r>
        <w:rPr/>
        <w:t>current</w:t>
      </w:r>
      <w:r>
        <w:rPr>
          <w:spacing w:val="20"/>
        </w:rPr>
        <w:t> </w:t>
      </w:r>
      <w:r>
        <w:rPr/>
        <w:t>flows</w:t>
      </w:r>
      <w:r>
        <w:rPr>
          <w:spacing w:val="20"/>
        </w:rPr>
        <w:t> </w:t>
      </w:r>
      <w:r>
        <w:rPr/>
        <w:t>radically</w:t>
      </w:r>
      <w:r>
        <w:rPr>
          <w:spacing w:val="13"/>
        </w:rPr>
        <w:t> </w:t>
      </w:r>
      <w:r>
        <w:rPr/>
        <w:t>outward</w:t>
      </w:r>
      <w:r>
        <w:rPr>
          <w:spacing w:val="20"/>
        </w:rPr>
        <w:t> </w:t>
      </w:r>
      <w:r>
        <w:rPr/>
        <w:t>in</w:t>
      </w:r>
      <w:r>
        <w:rPr>
          <w:spacing w:val="20"/>
        </w:rPr>
        <w:t> </w:t>
      </w:r>
      <w:r>
        <w:rPr/>
        <w:t>all</w:t>
      </w:r>
      <w:r>
        <w:rPr>
          <w:spacing w:val="21"/>
        </w:rPr>
        <w:t> </w:t>
      </w:r>
      <w:r>
        <w:rPr/>
        <w:t>directions</w:t>
      </w:r>
      <w:r>
        <w:rPr>
          <w:spacing w:val="20"/>
        </w:rPr>
        <w:t> </w:t>
      </w:r>
      <w:r>
        <w:rPr/>
        <w:t>from</w:t>
      </w:r>
      <w:r>
        <w:rPr>
          <w:spacing w:val="20"/>
        </w:rPr>
        <w:t> </w:t>
      </w:r>
      <w:r>
        <w:rPr/>
        <w:t>the</w:t>
      </w:r>
      <w:r>
        <w:rPr>
          <w:spacing w:val="19"/>
        </w:rPr>
        <w:t> </w:t>
      </w:r>
      <w:r>
        <w:rPr/>
        <w:t>electrode,</w:t>
      </w:r>
      <w:r>
        <w:rPr>
          <w:spacing w:val="20"/>
        </w:rPr>
        <w:t> </w:t>
      </w:r>
      <w:r>
        <w:rPr/>
        <w:t>the</w:t>
      </w:r>
      <w:r>
        <w:rPr>
          <w:spacing w:val="20"/>
        </w:rPr>
        <w:t> </w:t>
      </w:r>
      <w:r>
        <w:rPr/>
        <w:t>total</w:t>
      </w:r>
      <w:r>
        <w:rPr>
          <w:spacing w:val="-57"/>
        </w:rPr>
        <w:t> </w:t>
      </w:r>
      <w:r>
        <w:rPr/>
        <w:t>current</w:t>
      </w:r>
      <w:r>
        <w:rPr>
          <w:spacing w:val="1"/>
        </w:rPr>
        <w:t> </w:t>
      </w:r>
      <w:r>
        <w:rPr/>
        <w:t>crossing</w:t>
      </w:r>
      <w:r>
        <w:rPr>
          <w:spacing w:val="-3"/>
        </w:rPr>
        <w:t> </w:t>
      </w:r>
      <w:r>
        <w:rPr/>
        <w:t>a</w:t>
      </w:r>
      <w:r>
        <w:rPr>
          <w:spacing w:val="-1"/>
        </w:rPr>
        <w:t> </w:t>
      </w:r>
      <w:r>
        <w:rPr/>
        <w:t>spherical</w:t>
      </w:r>
      <w:r>
        <w:rPr>
          <w:spacing w:val="1"/>
        </w:rPr>
        <w:t> </w:t>
      </w:r>
      <w:r>
        <w:rPr/>
        <w:t>surface</w:t>
      </w:r>
      <w:r>
        <w:rPr>
          <w:spacing w:val="-1"/>
        </w:rPr>
        <w:t> </w:t>
      </w:r>
      <w:r>
        <w:rPr/>
        <w:t>is</w:t>
      </w:r>
      <w:r>
        <w:rPr>
          <w:spacing w:val="2"/>
        </w:rPr>
        <w:t> </w:t>
      </w:r>
      <w:r>
        <w:rPr/>
        <w:t>given</w:t>
      </w:r>
      <w:r>
        <w:rPr>
          <w:spacing w:val="1"/>
        </w:rPr>
        <w:t> </w:t>
      </w:r>
      <w:r>
        <w:rPr/>
        <w:t>equation</w:t>
      </w:r>
      <w:r>
        <w:rPr>
          <w:spacing w:val="-1"/>
        </w:rPr>
        <w:t> </w:t>
      </w:r>
      <w:r>
        <w:rPr/>
        <w:t>(3.15) by:</w:t>
      </w:r>
    </w:p>
    <w:p>
      <w:pPr>
        <w:pStyle w:val="BodyText"/>
        <w:spacing w:before="131"/>
        <w:ind w:left="307"/>
        <w:rPr>
          <w:rFonts w:ascii="Cambria Math" w:eastAsia="Cambria Math"/>
        </w:rPr>
      </w:pPr>
      <w:r>
        <w:rPr>
          <w:rFonts w:ascii="Cambria Math" w:eastAsia="Cambria Math"/>
        </w:rPr>
        <w:t>𝐼</w:t>
      </w:r>
      <w:r>
        <w:rPr>
          <w:rFonts w:ascii="Cambria Math" w:eastAsia="Cambria Math"/>
          <w:spacing w:val="30"/>
        </w:rPr>
        <w:t> </w:t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20"/>
        </w:rPr>
        <w:t> </w:t>
      </w:r>
      <w:r>
        <w:rPr>
          <w:rFonts w:ascii="Cambria Math" w:eastAsia="Cambria Math"/>
        </w:rPr>
        <w:t>2𝜋𝑟</w:t>
      </w:r>
      <w:r>
        <w:rPr>
          <w:rFonts w:ascii="Cambria Math" w:eastAsia="Cambria Math"/>
          <w:vertAlign w:val="superscript"/>
        </w:rPr>
        <w:t>2</w:t>
      </w:r>
    </w:p>
    <w:p>
      <w:pPr>
        <w:pStyle w:val="BodyText"/>
        <w:spacing w:before="7"/>
        <w:rPr>
          <w:rFonts w:ascii="Cambria Math"/>
          <w:sz w:val="33"/>
        </w:rPr>
      </w:pPr>
    </w:p>
    <w:p>
      <w:pPr>
        <w:pStyle w:val="BodyText"/>
        <w:spacing w:before="1"/>
        <w:ind w:left="307"/>
      </w:pPr>
      <w:r>
        <w:rPr/>
        <w:t>Using</w:t>
      </w:r>
      <w:r>
        <w:rPr>
          <w:spacing w:val="-4"/>
        </w:rPr>
        <w:t> </w:t>
      </w:r>
      <w:r>
        <w:rPr/>
        <w:t>equation (3.13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3.14)</w:t>
      </w:r>
    </w:p>
    <w:p>
      <w:pPr>
        <w:pStyle w:val="BodyText"/>
        <w:spacing w:before="1"/>
        <w:rPr>
          <w:sz w:val="27"/>
        </w:rPr>
      </w:pPr>
    </w:p>
    <w:p>
      <w:pPr>
        <w:spacing w:after="0"/>
        <w:rPr>
          <w:sz w:val="27"/>
        </w:rPr>
        <w:sectPr>
          <w:type w:val="continuous"/>
          <w:pgSz w:w="11910" w:h="16840"/>
          <w:pgMar w:top="1320" w:bottom="280" w:left="1680" w:right="980"/>
        </w:sectPr>
      </w:pPr>
    </w:p>
    <w:p>
      <w:pPr>
        <w:pStyle w:val="BodyText"/>
        <w:spacing w:before="11"/>
        <w:rPr>
          <w:sz w:val="20"/>
        </w:rPr>
      </w:pPr>
    </w:p>
    <w:p>
      <w:pPr>
        <w:pStyle w:val="BodyText"/>
        <w:ind w:left="307"/>
        <w:rPr>
          <w:rFonts w:ascii="Cambria Math" w:eastAsia="Cambria Math"/>
        </w:rPr>
      </w:pPr>
      <w:r>
        <w:rPr>
          <w:rFonts w:ascii="Cambria Math" w:eastAsia="Cambria Math"/>
        </w:rPr>
        <w:t>𝐽</w:t>
      </w:r>
      <w:r>
        <w:rPr>
          <w:rFonts w:ascii="Cambria Math" w:eastAsia="Cambria Math"/>
          <w:spacing w:val="3"/>
        </w:rPr>
        <w:t> </w:t>
      </w:r>
      <w:r>
        <w:rPr>
          <w:rFonts w:ascii="Cambria Math" w:eastAsia="Cambria Math"/>
        </w:rPr>
        <w:t>=</w:t>
      </w:r>
    </w:p>
    <w:p>
      <w:pPr>
        <w:spacing w:before="59"/>
        <w:ind w:left="7" w:right="8020" w:firstLine="0"/>
        <w:jc w:val="center"/>
        <w:rPr>
          <w:rFonts w:ascii="Cambria Math" w:eastAsia="Cambria Math"/>
          <w:sz w:val="24"/>
        </w:rPr>
      </w:pPr>
      <w:r>
        <w:rPr/>
        <w:br w:type="column"/>
      </w:r>
      <w:r>
        <w:rPr>
          <w:rFonts w:ascii="Cambria Math" w:eastAsia="Cambria Math"/>
          <w:sz w:val="24"/>
        </w:rPr>
        <w:t>𝐼</w:t>
      </w:r>
    </w:p>
    <w:p>
      <w:pPr>
        <w:pStyle w:val="BodyText"/>
        <w:spacing w:before="5"/>
        <w:rPr>
          <w:rFonts w:ascii="Cambria Math"/>
          <w:sz w:val="4"/>
        </w:rPr>
      </w:pPr>
    </w:p>
    <w:p>
      <w:pPr>
        <w:pStyle w:val="BodyText"/>
        <w:spacing w:line="20" w:lineRule="exact"/>
        <w:ind w:left="25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25pt;height:.85pt;mso-position-horizontal-relative:char;mso-position-vertical-relative:line" coordorigin="0,0" coordsize="500,17">
            <v:rect style="position:absolute;left:0;top:0;width:500;height:17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pStyle w:val="BodyText"/>
        <w:ind w:left="7" w:right="8010"/>
        <w:jc w:val="center"/>
        <w:rPr>
          <w:rFonts w:ascii="Cambria Math" w:hAnsi="Cambria Math" w:eastAsia="Cambria Math"/>
        </w:rPr>
      </w:pPr>
      <w:r>
        <w:rPr>
          <w:rFonts w:ascii="Cambria Math" w:hAnsi="Cambria Math" w:eastAsia="Cambria Math"/>
          <w:w w:val="105"/>
        </w:rPr>
        <w:t>𝜌∇</w:t>
      </w:r>
      <w:r>
        <w:rPr>
          <w:rFonts w:ascii="Cambria Math" w:hAnsi="Cambria Math" w:eastAsia="Cambria Math"/>
          <w:spacing w:val="-7"/>
          <w:w w:val="105"/>
        </w:rPr>
        <w:t> </w:t>
      </w:r>
      <w:r>
        <w:rPr>
          <w:rFonts w:ascii="Cambria Math" w:hAnsi="Cambria Math" w:eastAsia="Cambria Math"/>
          <w:w w:val="105"/>
        </w:rPr>
        <w:t>𝖴</w:t>
      </w:r>
    </w:p>
    <w:p>
      <w:pPr>
        <w:spacing w:after="0"/>
        <w:jc w:val="center"/>
        <w:rPr>
          <w:rFonts w:ascii="Cambria Math" w:hAnsi="Cambria Math" w:eastAsia="Cambria Math"/>
        </w:rPr>
        <w:sectPr>
          <w:type w:val="continuous"/>
          <w:pgSz w:w="11910" w:h="16840"/>
          <w:pgMar w:top="1320" w:bottom="280" w:left="1680" w:right="980"/>
          <w:cols w:num="2" w:equalWidth="0">
            <w:col w:w="651" w:space="40"/>
            <w:col w:w="8559"/>
          </w:cols>
        </w:sectPr>
      </w:pPr>
    </w:p>
    <w:p>
      <w:pPr>
        <w:pStyle w:val="BodyText"/>
        <w:spacing w:before="3"/>
        <w:rPr>
          <w:rFonts w:ascii="Cambria Math"/>
          <w:sz w:val="25"/>
        </w:rPr>
      </w:pPr>
    </w:p>
    <w:p>
      <w:pPr>
        <w:pStyle w:val="BodyText"/>
        <w:spacing w:before="94"/>
        <w:ind w:left="297" w:right="8009"/>
        <w:jc w:val="center"/>
        <w:rPr>
          <w:rFonts w:ascii="Cambria Math" w:eastAsia="Cambria Math"/>
        </w:rPr>
      </w:pPr>
      <w:r>
        <w:rPr>
          <w:rFonts w:ascii="Cambria Math" w:eastAsia="Cambria Math"/>
        </w:rPr>
        <w:t>𝐼</w:t>
      </w:r>
      <w:r>
        <w:rPr>
          <w:rFonts w:ascii="Cambria Math" w:eastAsia="Cambria Math"/>
          <w:spacing w:val="30"/>
        </w:rPr>
        <w:t> </w:t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20"/>
        </w:rPr>
        <w:t> </w:t>
      </w:r>
      <w:r>
        <w:rPr>
          <w:rFonts w:ascii="Cambria Math" w:eastAsia="Cambria Math"/>
        </w:rPr>
        <w:t>2𝜋𝑟</w:t>
      </w:r>
      <w:r>
        <w:rPr>
          <w:rFonts w:ascii="Cambria Math" w:eastAsia="Cambria Math"/>
          <w:vertAlign w:val="superscript"/>
        </w:rPr>
        <w:t>2</w:t>
      </w:r>
    </w:p>
    <w:p>
      <w:pPr>
        <w:pStyle w:val="BodyText"/>
        <w:spacing w:before="5"/>
        <w:rPr>
          <w:rFonts w:ascii="Cambria Math"/>
          <w:sz w:val="33"/>
        </w:rPr>
      </w:pPr>
    </w:p>
    <w:p>
      <w:pPr>
        <w:pStyle w:val="BodyText"/>
        <w:spacing w:before="1"/>
        <w:ind w:left="307"/>
      </w:pPr>
      <w:r>
        <w:rPr/>
        <w:t>But</w:t>
      </w:r>
    </w:p>
    <w:p>
      <w:pPr>
        <w:pStyle w:val="BodyText"/>
        <w:spacing w:before="4"/>
        <w:rPr>
          <w:sz w:val="32"/>
        </w:rPr>
      </w:pPr>
    </w:p>
    <w:p>
      <w:pPr>
        <w:pStyle w:val="BodyText"/>
        <w:spacing w:line="401" w:lineRule="exact"/>
        <w:ind w:left="307"/>
        <w:rPr>
          <w:rFonts w:ascii="Cambria Math" w:eastAsia="Cambria Math"/>
        </w:rPr>
      </w:pPr>
      <w:r>
        <w:rPr/>
        <w:pict>
          <v:rect style="position:absolute;margin-left:119.779999pt;margin-top:16.56238pt;width:7.68pt;height:.83997pt;mso-position-horizontal-relative:page;mso-position-vertical-relative:paragraph;z-index:-18511872" filled="true" fillcolor="#000000" stroked="false">
            <v:fill type="solid"/>
            <w10:wrap type="none"/>
          </v:rect>
        </w:pict>
      </w:r>
      <w:r>
        <w:rPr>
          <w:rFonts w:ascii="Cambria Math" w:eastAsia="Cambria Math"/>
        </w:rPr>
        <w:t>𝐽</w:t>
      </w:r>
      <w:r>
        <w:rPr>
          <w:rFonts w:ascii="Cambria Math" w:eastAsia="Cambria Math"/>
          <w:spacing w:val="22"/>
        </w:rPr>
        <w:t> </w:t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44"/>
        </w:rPr>
        <w:t> </w:t>
      </w:r>
      <w:r>
        <w:rPr>
          <w:rFonts w:ascii="Cambria Math" w:eastAsia="Cambria Math"/>
          <w:position w:val="18"/>
        </w:rPr>
        <w:t>𝐼</w:t>
      </w:r>
      <w:r>
        <w:rPr>
          <w:rFonts w:ascii="Cambria Math" w:eastAsia="Cambria Math"/>
          <w:spacing w:val="28"/>
          <w:position w:val="18"/>
        </w:rPr>
        <w:t> </w:t>
      </w:r>
      <w:r>
        <w:rPr>
          <w:rFonts w:ascii="Cambria Math" w:eastAsia="Cambria Math"/>
        </w:rPr>
        <w:t>;</w:t>
      </w:r>
      <w:r>
        <w:rPr>
          <w:rFonts w:ascii="Cambria Math" w:eastAsia="Cambria Math"/>
          <w:spacing w:val="-11"/>
        </w:rPr>
        <w:t> </w:t>
      </w:r>
      <w:r>
        <w:rPr>
          <w:rFonts w:ascii="Cambria Math" w:eastAsia="Cambria Math"/>
        </w:rPr>
        <w:t>𝐴</w:t>
      </w:r>
      <w:r>
        <w:rPr>
          <w:rFonts w:ascii="Cambria Math" w:eastAsia="Cambria Math"/>
          <w:spacing w:val="19"/>
        </w:rPr>
        <w:t> </w:t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19"/>
        </w:rPr>
        <w:t> </w:t>
      </w:r>
      <w:r>
        <w:rPr>
          <w:rFonts w:ascii="Cambria Math" w:eastAsia="Cambria Math"/>
        </w:rPr>
        <w:t>2𝜋𝑟</w:t>
      </w:r>
      <w:r>
        <w:rPr>
          <w:rFonts w:ascii="Cambria Math" w:eastAsia="Cambria Math"/>
          <w:vertAlign w:val="superscript"/>
        </w:rPr>
        <w:t>2</w:t>
      </w:r>
    </w:p>
    <w:p>
      <w:pPr>
        <w:pStyle w:val="BodyText"/>
        <w:spacing w:line="221" w:lineRule="exact"/>
        <w:ind w:left="297" w:right="7958"/>
        <w:jc w:val="center"/>
        <w:rPr>
          <w:rFonts w:ascii="Cambria Math" w:eastAsia="Cambria Math"/>
        </w:rPr>
      </w:pPr>
      <w:r>
        <w:rPr>
          <w:rFonts w:ascii="Cambria Math" w:eastAsia="Cambria Math"/>
        </w:rPr>
        <w:t>𝐴</w:t>
      </w:r>
    </w:p>
    <w:p>
      <w:pPr>
        <w:pStyle w:val="BodyText"/>
        <w:spacing w:before="7"/>
        <w:rPr>
          <w:rFonts w:ascii="Cambria Math"/>
          <w:sz w:val="27"/>
        </w:rPr>
      </w:pPr>
    </w:p>
    <w:p>
      <w:pPr>
        <w:pStyle w:val="BodyText"/>
        <w:spacing w:line="401" w:lineRule="exact"/>
        <w:ind w:left="307"/>
        <w:rPr>
          <w:rFonts w:ascii="Cambria Math" w:eastAsia="Cambria Math"/>
        </w:rPr>
      </w:pPr>
      <w:r>
        <w:rPr/>
        <w:pict>
          <v:rect style="position:absolute;margin-left:128.899994pt;margin-top:16.562307pt;width:14.16pt;height:.84003pt;mso-position-horizontal-relative:page;mso-position-vertical-relative:paragraph;z-index:-18511360" filled="true" fillcolor="#000000" stroked="false">
            <v:fill type="solid"/>
            <w10:wrap type="none"/>
          </v:rect>
        </w:pict>
      </w:r>
      <w:r>
        <w:rPr>
          <w:rFonts w:ascii="Cambria Math" w:eastAsia="Cambria Math"/>
        </w:rPr>
        <w:t>𝐼</w:t>
      </w:r>
      <w:r>
        <w:rPr>
          <w:rFonts w:ascii="Cambria Math" w:eastAsia="Cambria Math"/>
          <w:spacing w:val="28"/>
        </w:rPr>
        <w:t> </w:t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18"/>
        </w:rPr>
        <w:t> </w:t>
      </w:r>
      <w:r>
        <w:rPr>
          <w:rFonts w:ascii="Cambria Math" w:eastAsia="Cambria Math"/>
        </w:rPr>
        <w:t>𝜌</w:t>
      </w:r>
      <w:r>
        <w:rPr>
          <w:rFonts w:ascii="Cambria Math" w:eastAsia="Cambria Math"/>
          <w:spacing w:val="-5"/>
        </w:rPr>
        <w:t> </w:t>
      </w:r>
      <w:r>
        <w:rPr>
          <w:rFonts w:ascii="Cambria Math" w:eastAsia="Cambria Math"/>
          <w:position w:val="18"/>
        </w:rPr>
        <w:t>𝑑𝑢</w:t>
      </w:r>
      <w:r>
        <w:rPr>
          <w:rFonts w:ascii="Cambria Math" w:eastAsia="Cambria Math"/>
          <w:spacing w:val="25"/>
          <w:position w:val="18"/>
        </w:rPr>
        <w:t> </w:t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21"/>
        </w:rPr>
        <w:t> </w:t>
      </w:r>
      <w:r>
        <w:rPr>
          <w:rFonts w:ascii="Cambria Math" w:eastAsia="Cambria Math"/>
        </w:rPr>
        <w:t>2𝜋𝑟</w:t>
      </w:r>
      <w:r>
        <w:rPr>
          <w:rFonts w:ascii="Cambria Math" w:eastAsia="Cambria Math"/>
          <w:vertAlign w:val="superscript"/>
        </w:rPr>
        <w:t>2</w:t>
      </w:r>
      <w:r>
        <w:rPr>
          <w:rFonts w:ascii="Cambria Math" w:eastAsia="Cambria Math"/>
          <w:vertAlign w:val="baseline"/>
        </w:rPr>
        <w:t>𝐼</w:t>
      </w:r>
    </w:p>
    <w:p>
      <w:pPr>
        <w:pStyle w:val="BodyText"/>
        <w:spacing w:line="221" w:lineRule="exact"/>
        <w:ind w:left="910"/>
        <w:rPr>
          <w:rFonts w:ascii="Cambria Math" w:eastAsia="Cambria Math"/>
        </w:rPr>
      </w:pPr>
      <w:r>
        <w:rPr>
          <w:rFonts w:ascii="Cambria Math" w:eastAsia="Cambria Math"/>
        </w:rPr>
        <w:t>𝑑𝑟</w:t>
      </w:r>
    </w:p>
    <w:p>
      <w:pPr>
        <w:pStyle w:val="BodyText"/>
        <w:spacing w:before="4"/>
        <w:rPr>
          <w:rFonts w:ascii="Cambria Math"/>
          <w:sz w:val="22"/>
        </w:rPr>
      </w:pPr>
    </w:p>
    <w:p>
      <w:pPr>
        <w:pStyle w:val="BodyText"/>
        <w:tabs>
          <w:tab w:pos="1392" w:val="left" w:leader="none"/>
        </w:tabs>
        <w:spacing w:line="223" w:lineRule="exact" w:before="59"/>
        <w:ind w:left="859"/>
        <w:rPr>
          <w:rFonts w:ascii="Cambria Math" w:eastAsia="Cambria Math"/>
        </w:rPr>
      </w:pPr>
      <w:r>
        <w:rPr>
          <w:rFonts w:ascii="Cambria Math" w:eastAsia="Cambria Math"/>
        </w:rPr>
        <w:t>𝐼𝜌</w:t>
        <w:tab/>
        <w:t>𝑑𝑢</w:t>
      </w:r>
    </w:p>
    <w:p>
      <w:pPr>
        <w:pStyle w:val="BodyText"/>
        <w:spacing w:line="402" w:lineRule="exact"/>
        <w:ind w:left="307"/>
        <w:rPr>
          <w:rFonts w:ascii="Cambria Math" w:eastAsia="Cambria Math"/>
        </w:rPr>
      </w:pPr>
      <w:r>
        <w:rPr/>
        <w:pict>
          <v:rect style="position:absolute;margin-left:119.900002pt;margin-top:5.548052pt;width:25.68pt;height:.83997pt;mso-position-horizontal-relative:page;mso-position-vertical-relative:paragraph;z-index:-18510848" filled="true" fillcolor="#000000" stroked="false">
            <v:fill type="solid"/>
            <w10:wrap type="none"/>
          </v:rect>
        </w:pict>
      </w:r>
      <w:r>
        <w:rPr/>
        <w:pict>
          <v:rect style="position:absolute;margin-left:153.619995pt;margin-top:5.548052pt;width:14.16pt;height:.83997pt;mso-position-horizontal-relative:page;mso-position-vertical-relative:paragraph;z-index:-18510336" filled="true" fillcolor="#000000" stroked="false">
            <v:fill type="solid"/>
            <w10:wrap type="none"/>
          </v:rect>
        </w:pict>
      </w:r>
      <w:r>
        <w:rPr>
          <w:rFonts w:ascii="Cambria Math" w:eastAsia="Cambria Math"/>
          <w:w w:val="105"/>
          <w:position w:val="16"/>
        </w:rPr>
        <w:t>𝐼</w:t>
      </w:r>
      <w:r>
        <w:rPr>
          <w:rFonts w:ascii="Cambria Math" w:eastAsia="Cambria Math"/>
          <w:spacing w:val="28"/>
          <w:w w:val="105"/>
          <w:position w:val="16"/>
        </w:rPr>
        <w:t> </w:t>
      </w:r>
      <w:r>
        <w:rPr>
          <w:rFonts w:ascii="Cambria Math" w:eastAsia="Cambria Math"/>
          <w:w w:val="105"/>
          <w:position w:val="16"/>
        </w:rPr>
        <w:t>=</w:t>
      </w:r>
      <w:r>
        <w:rPr>
          <w:rFonts w:ascii="Cambria Math" w:eastAsia="Cambria Math"/>
          <w:spacing w:val="18"/>
          <w:w w:val="105"/>
          <w:position w:val="16"/>
        </w:rPr>
        <w:t> </w:t>
      </w:r>
      <w:r>
        <w:rPr>
          <w:rFonts w:ascii="Cambria Math" w:eastAsia="Cambria Math"/>
          <w:w w:val="105"/>
        </w:rPr>
        <w:t>2𝜋𝑟</w:t>
      </w:r>
      <w:r>
        <w:rPr>
          <w:rFonts w:ascii="Cambria Math" w:eastAsia="Cambria Math"/>
          <w:w w:val="105"/>
          <w:vertAlign w:val="superscript"/>
        </w:rPr>
        <w:t>2</w:t>
      </w:r>
      <w:r>
        <w:rPr>
          <w:rFonts w:ascii="Cambria Math" w:eastAsia="Cambria Math"/>
          <w:spacing w:val="-2"/>
          <w:w w:val="105"/>
          <w:vertAlign w:val="baseline"/>
        </w:rPr>
        <w:t> </w:t>
      </w:r>
      <w:r>
        <w:rPr>
          <w:rFonts w:ascii="Cambria Math" w:eastAsia="Cambria Math"/>
          <w:w w:val="105"/>
          <w:position w:val="16"/>
          <w:vertAlign w:val="baseline"/>
        </w:rPr>
        <w:t>(</w:t>
      </w:r>
      <w:r>
        <w:rPr>
          <w:rFonts w:ascii="Cambria Math" w:eastAsia="Cambria Math"/>
          <w:w w:val="105"/>
          <w:vertAlign w:val="baseline"/>
        </w:rPr>
        <w:t>𝑑𝑟</w:t>
      </w:r>
      <w:r>
        <w:rPr>
          <w:rFonts w:ascii="Cambria Math" w:eastAsia="Cambria Math"/>
          <w:w w:val="105"/>
          <w:position w:val="16"/>
          <w:vertAlign w:val="baseline"/>
        </w:rPr>
        <w:t>)</w:t>
      </w:r>
    </w:p>
    <w:p>
      <w:pPr>
        <w:spacing w:after="0" w:line="402" w:lineRule="exact"/>
        <w:rPr>
          <w:rFonts w:ascii="Cambria Math" w:eastAsia="Cambria Math"/>
        </w:rPr>
        <w:sectPr>
          <w:type w:val="continuous"/>
          <w:pgSz w:w="11910" w:h="16840"/>
          <w:pgMar w:top="1320" w:bottom="280" w:left="1680" w:right="980"/>
        </w:sectPr>
      </w:pPr>
    </w:p>
    <w:p>
      <w:pPr>
        <w:pStyle w:val="BodyText"/>
        <w:spacing w:line="292" w:lineRule="auto" w:before="44"/>
        <w:ind w:left="307" w:firstLine="206"/>
        <w:rPr>
          <w:rFonts w:ascii="Cambria Math" w:eastAsia="Cambria Math"/>
        </w:rPr>
      </w:pPr>
      <w:r>
        <w:rPr/>
        <w:pict>
          <v:shape style="position:absolute;margin-left:99.384003pt;margin-top:18.878332pt;width:34.7pt;height:.9pt;mso-position-horizontal-relative:page;mso-position-vertical-relative:paragraph;z-index:-18509312" coordorigin="1988,378" coordsize="694,18" path="m2501,378l1988,378,1988,395,2501,395,2501,378xm2681,378l2542,378,2542,395,2681,395,2681,378xe" filled="true" fillcolor="#000000" stroked="false">
            <v:path arrowok="t"/>
            <v:fill type="solid"/>
            <w10:wrap type="none"/>
          </v:shape>
        </w:pict>
      </w:r>
      <w:r>
        <w:rPr>
          <w:rFonts w:ascii="Cambria Math" w:eastAsia="Cambria Math"/>
        </w:rPr>
        <w:t>𝐼</w:t>
      </w:r>
      <w:r>
        <w:rPr>
          <w:rFonts w:ascii="Cambria Math" w:eastAsia="Cambria Math"/>
          <w:spacing w:val="1"/>
        </w:rPr>
        <w:t> </w:t>
      </w:r>
      <w:r>
        <w:rPr>
          <w:rFonts w:ascii="Cambria Math" w:eastAsia="Cambria Math"/>
        </w:rPr>
        <w:t>2𝜋𝑟</w:t>
      </w:r>
      <w:r>
        <w:rPr>
          <w:rFonts w:ascii="Cambria Math" w:eastAsia="Cambria Math"/>
          <w:vertAlign w:val="superscript"/>
        </w:rPr>
        <w:t>2</w:t>
      </w:r>
    </w:p>
    <w:p>
      <w:pPr>
        <w:pStyle w:val="BodyText"/>
        <w:spacing w:line="232" w:lineRule="exact" w:before="44"/>
        <w:ind w:left="7"/>
        <w:rPr>
          <w:rFonts w:ascii="Cambria Math" w:eastAsia="Cambria Math"/>
        </w:rPr>
      </w:pPr>
      <w:r>
        <w:rPr/>
        <w:br w:type="column"/>
      </w:r>
      <w:r>
        <w:rPr>
          <w:rFonts w:ascii="Cambria Math" w:eastAsia="Cambria Math"/>
        </w:rPr>
        <w:t>𝜌  </w:t>
      </w:r>
      <w:r>
        <w:rPr>
          <w:rFonts w:ascii="Cambria Math" w:eastAsia="Cambria Math"/>
          <w:spacing w:val="3"/>
        </w:rPr>
        <w:t> </w:t>
      </w:r>
      <w:r>
        <w:rPr>
          <w:rFonts w:ascii="Cambria Math" w:eastAsia="Cambria Math"/>
        </w:rPr>
        <w:t>𝑑𝑢</w:t>
      </w:r>
    </w:p>
    <w:p>
      <w:pPr>
        <w:pStyle w:val="BodyText"/>
        <w:tabs>
          <w:tab w:pos="588" w:val="left" w:leader="none"/>
        </w:tabs>
        <w:spacing w:line="172" w:lineRule="exact"/>
        <w:ind w:left="185"/>
        <w:rPr>
          <w:rFonts w:ascii="Cambria Math"/>
        </w:rPr>
      </w:pPr>
      <w:r>
        <w:rPr/>
        <w:pict>
          <v:rect style="position:absolute;margin-left:141.979996pt;margin-top:5.074181pt;width:14.16pt;height:.864pt;mso-position-horizontal-relative:page;mso-position-vertical-relative:paragraph;z-index:-18508800" filled="true" fillcolor="#000000" stroked="false">
            <v:fill type="solid"/>
            <w10:wrap type="none"/>
          </v:rect>
        </w:pict>
      </w:r>
      <w:r>
        <w:rPr>
          <w:rFonts w:ascii="Cambria Math"/>
          <w:w w:val="120"/>
        </w:rPr>
        <w:t>(</w:t>
        <w:tab/>
        <w:t>)</w:t>
      </w:r>
    </w:p>
    <w:p>
      <w:pPr>
        <w:pStyle w:val="BodyText"/>
        <w:spacing w:line="221" w:lineRule="exact"/>
        <w:ind w:left="10"/>
        <w:rPr>
          <w:rFonts w:ascii="Cambria Math" w:eastAsia="Cambria Math"/>
        </w:rPr>
      </w:pPr>
      <w:r>
        <w:rPr>
          <w:rFonts w:ascii="Cambria Math" w:eastAsia="Cambria Math"/>
        </w:rPr>
        <w:t>1</w:t>
      </w:r>
      <w:r>
        <w:rPr>
          <w:rFonts w:ascii="Cambria Math" w:eastAsia="Cambria Math"/>
          <w:spacing w:val="68"/>
        </w:rPr>
        <w:t> </w:t>
      </w:r>
      <w:r>
        <w:rPr>
          <w:rFonts w:ascii="Cambria Math" w:eastAsia="Cambria Math"/>
        </w:rPr>
        <w:t>𝑑𝑟</w:t>
      </w:r>
    </w:p>
    <w:p>
      <w:pPr>
        <w:spacing w:after="0" w:line="221" w:lineRule="exact"/>
        <w:rPr>
          <w:rFonts w:ascii="Cambria Math" w:eastAsia="Cambria Math"/>
        </w:rPr>
        <w:sectPr>
          <w:pgSz w:w="11910" w:h="16840"/>
          <w:pgMar w:header="0" w:footer="1067" w:top="1320" w:bottom="1260" w:left="1680" w:right="980"/>
          <w:cols w:num="2" w:equalWidth="0">
            <w:col w:w="815" w:space="40"/>
            <w:col w:w="8395"/>
          </w:cols>
        </w:sectPr>
      </w:pPr>
    </w:p>
    <w:p>
      <w:pPr>
        <w:pStyle w:val="BodyText"/>
        <w:spacing w:before="1"/>
        <w:rPr>
          <w:rFonts w:ascii="Cambria Math"/>
          <w:sz w:val="18"/>
        </w:rPr>
      </w:pPr>
    </w:p>
    <w:p>
      <w:pPr>
        <w:pStyle w:val="BodyText"/>
        <w:tabs>
          <w:tab w:pos="1353" w:val="left" w:leader="none"/>
        </w:tabs>
        <w:spacing w:line="224" w:lineRule="exact" w:before="59"/>
        <w:ind w:left="701"/>
        <w:rPr>
          <w:rFonts w:ascii="Cambria Math" w:eastAsia="Cambria Math"/>
        </w:rPr>
      </w:pPr>
      <w:r>
        <w:rPr>
          <w:rFonts w:ascii="Cambria Math" w:eastAsia="Cambria Math"/>
        </w:rPr>
        <w:t>𝐼</w:t>
        <w:tab/>
        <w:t>𝑑𝑢</w:t>
      </w:r>
    </w:p>
    <w:p>
      <w:pPr>
        <w:pStyle w:val="BodyText"/>
        <w:spacing w:line="401" w:lineRule="exact"/>
        <w:ind w:left="307"/>
        <w:rPr>
          <w:rFonts w:ascii="Cambria Math" w:hAnsi="Cambria Math" w:eastAsia="Cambria Math"/>
        </w:rPr>
      </w:pPr>
      <w:r>
        <w:rPr/>
        <w:pict>
          <v:rect style="position:absolute;margin-left:99.384003pt;margin-top:5.525283pt;width:44.4pt;height:.84001pt;mso-position-horizontal-relative:page;mso-position-vertical-relative:paragraph;z-index:-18508288" filled="true" fillcolor="#000000" stroked="false">
            <v:fill type="solid"/>
            <w10:wrap type="none"/>
          </v:rect>
        </w:pict>
      </w:r>
      <w:r>
        <w:rPr/>
        <w:pict>
          <v:rect style="position:absolute;margin-left:151.699997pt;margin-top:5.525283pt;width:14.16pt;height:.84001pt;mso-position-horizontal-relative:page;mso-position-vertical-relative:paragraph;z-index:-18507776" filled="true" fillcolor="#000000" stroked="false">
            <v:fill type="solid"/>
            <w10:wrap type="none"/>
          </v:rect>
        </w:pict>
      </w:r>
      <w:r>
        <w:rPr>
          <w:rFonts w:ascii="Cambria Math" w:hAnsi="Cambria Math" w:eastAsia="Cambria Math"/>
          <w:w w:val="105"/>
        </w:rPr>
        <w:t>2𝜋𝑟</w:t>
      </w:r>
      <w:r>
        <w:rPr>
          <w:rFonts w:ascii="Cambria Math" w:hAnsi="Cambria Math" w:eastAsia="Cambria Math"/>
          <w:w w:val="105"/>
          <w:vertAlign w:val="superscript"/>
        </w:rPr>
        <w:t>2</w:t>
      </w:r>
      <w:r>
        <w:rPr>
          <w:rFonts w:ascii="Cambria Math" w:hAnsi="Cambria Math" w:eastAsia="Cambria Math"/>
          <w:w w:val="105"/>
          <w:vertAlign w:val="baseline"/>
        </w:rPr>
        <w:t>𝜌</w:t>
      </w:r>
      <w:r>
        <w:rPr>
          <w:rFonts w:ascii="Cambria Math" w:hAnsi="Cambria Math" w:eastAsia="Cambria Math"/>
          <w:w w:val="105"/>
          <w:vertAlign w:val="superscript"/>
        </w:rPr>
        <w:t>−1</w:t>
      </w:r>
      <w:r>
        <w:rPr>
          <w:rFonts w:ascii="Cambria Math" w:hAnsi="Cambria Math" w:eastAsia="Cambria Math"/>
          <w:spacing w:val="13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position w:val="16"/>
          <w:vertAlign w:val="baseline"/>
        </w:rPr>
        <w:t>(</w:t>
      </w:r>
      <w:r>
        <w:rPr>
          <w:rFonts w:ascii="Cambria Math" w:hAnsi="Cambria Math" w:eastAsia="Cambria Math"/>
          <w:w w:val="105"/>
          <w:vertAlign w:val="baseline"/>
        </w:rPr>
        <w:t>𝑑𝑟</w:t>
      </w:r>
      <w:r>
        <w:rPr>
          <w:rFonts w:ascii="Cambria Math" w:hAnsi="Cambria Math" w:eastAsia="Cambria Math"/>
          <w:w w:val="105"/>
          <w:position w:val="16"/>
          <w:vertAlign w:val="baseline"/>
        </w:rPr>
        <w:t>)</w:t>
      </w:r>
    </w:p>
    <w:p>
      <w:pPr>
        <w:pStyle w:val="BodyText"/>
        <w:spacing w:before="9"/>
        <w:rPr>
          <w:rFonts w:ascii="Cambria Math"/>
          <w:sz w:val="32"/>
        </w:rPr>
      </w:pPr>
    </w:p>
    <w:p>
      <w:pPr>
        <w:pStyle w:val="BodyText"/>
        <w:spacing w:line="263" w:lineRule="exact"/>
        <w:ind w:left="307"/>
        <w:rPr>
          <w:rFonts w:ascii="Cambria Math" w:eastAsia="Cambria Math"/>
          <w:sz w:val="17"/>
        </w:rPr>
      </w:pPr>
      <w:r>
        <w:rPr/>
        <w:pict>
          <v:rect style="position:absolute;margin-left:153.979996pt;margin-top:11.236655pt;width:11.04pt;height:.84001pt;mso-position-horizontal-relative:page;mso-position-vertical-relative:paragraph;z-index:15758848" filled="true" fillcolor="#000000" stroked="false">
            <v:fill type="solid"/>
            <w10:wrap type="none"/>
          </v:rect>
        </w:pict>
      </w:r>
      <w:r>
        <w:rPr/>
        <w:pict>
          <v:rect style="position:absolute;margin-left:180.740005pt;margin-top:11.236655pt;width:9.384pt;height:.84001pt;mso-position-horizontal-relative:page;mso-position-vertical-relative:paragraph;z-index:15759360" filled="true" fillcolor="#000000" stroked="false">
            <v:fill type="solid"/>
            <w10:wrap type="none"/>
          </v:rect>
        </w:pict>
      </w:r>
      <w:r>
        <w:rPr/>
        <w:t>Recall</w:t>
      </w:r>
      <w:r>
        <w:rPr>
          <w:spacing w:val="5"/>
        </w:rPr>
        <w:t> </w:t>
      </w:r>
      <w:r>
        <w:rPr/>
        <w:t>that</w:t>
      </w:r>
      <w:r>
        <w:rPr>
          <w:spacing w:val="6"/>
        </w:rPr>
        <w:t> </w:t>
      </w:r>
      <w:r>
        <w:rPr>
          <w:rFonts w:ascii="Cambria Math" w:eastAsia="Cambria Math"/>
          <w:vertAlign w:val="superscript"/>
        </w:rPr>
        <w:t>𝑑𝑢</w:t>
      </w:r>
      <w:r>
        <w:rPr>
          <w:rFonts w:ascii="Cambria Math" w:eastAsia="Cambria Math"/>
          <w:spacing w:val="26"/>
          <w:vertAlign w:val="baseline"/>
        </w:rPr>
        <w:t> </w:t>
      </w:r>
      <w:r>
        <w:rPr>
          <w:rFonts w:ascii="Cambria Math" w:eastAsia="Cambria Math"/>
          <w:vertAlign w:val="baseline"/>
        </w:rPr>
        <w:t>=</w:t>
      </w:r>
      <w:r>
        <w:rPr>
          <w:rFonts w:ascii="Cambria Math" w:eastAsia="Cambria Math"/>
          <w:spacing w:val="7"/>
          <w:vertAlign w:val="baseline"/>
        </w:rPr>
        <w:t> </w:t>
      </w:r>
      <w:r>
        <w:rPr>
          <w:rFonts w:ascii="Cambria Math" w:eastAsia="Cambria Math"/>
          <w:position w:val="14"/>
          <w:sz w:val="17"/>
          <w:vertAlign w:val="baseline"/>
        </w:rPr>
        <w:t>𝐴</w:t>
      </w:r>
    </w:p>
    <w:p>
      <w:pPr>
        <w:spacing w:after="0" w:line="263" w:lineRule="exact"/>
        <w:rPr>
          <w:rFonts w:ascii="Cambria Math" w:eastAsia="Cambria Math"/>
          <w:sz w:val="17"/>
        </w:rPr>
        <w:sectPr>
          <w:type w:val="continuous"/>
          <w:pgSz w:w="11910" w:h="16840"/>
          <w:pgMar w:top="1320" w:bottom="280" w:left="1680" w:right="980"/>
        </w:sectPr>
      </w:pPr>
    </w:p>
    <w:p>
      <w:pPr>
        <w:spacing w:line="197" w:lineRule="exact" w:before="0"/>
        <w:ind w:left="0" w:right="0" w:firstLine="0"/>
        <w:jc w:val="right"/>
        <w:rPr>
          <w:rFonts w:ascii="Cambria Math" w:eastAsia="Cambria Math"/>
          <w:sz w:val="17"/>
        </w:rPr>
      </w:pPr>
      <w:r>
        <w:rPr>
          <w:rFonts w:ascii="Cambria Math" w:eastAsia="Cambria Math"/>
          <w:w w:val="110"/>
          <w:sz w:val="17"/>
        </w:rPr>
        <w:t>𝑑𝑟</w:t>
      </w:r>
    </w:p>
    <w:p>
      <w:pPr>
        <w:spacing w:line="160" w:lineRule="auto" w:before="12"/>
        <w:ind w:left="290" w:right="0" w:firstLine="0"/>
        <w:jc w:val="left"/>
        <w:rPr>
          <w:rFonts w:ascii="Cambria Math" w:eastAsia="Cambria Math"/>
          <w:sz w:val="14"/>
        </w:rPr>
      </w:pPr>
      <w:r>
        <w:rPr/>
        <w:br w:type="column"/>
      </w:r>
      <w:r>
        <w:rPr>
          <w:rFonts w:ascii="Cambria Math" w:eastAsia="Cambria Math"/>
          <w:w w:val="110"/>
          <w:position w:val="-4"/>
          <w:sz w:val="17"/>
        </w:rPr>
        <w:t>𝑟</w:t>
      </w:r>
      <w:r>
        <w:rPr>
          <w:rFonts w:ascii="Cambria Math" w:eastAsia="Cambria Math"/>
          <w:w w:val="110"/>
          <w:sz w:val="14"/>
        </w:rPr>
        <w:t>2</w:t>
      </w:r>
    </w:p>
    <w:p>
      <w:pPr>
        <w:spacing w:after="0" w:line="160" w:lineRule="auto"/>
        <w:jc w:val="left"/>
        <w:rPr>
          <w:rFonts w:ascii="Cambria Math" w:eastAsia="Cambria Math"/>
          <w:sz w:val="14"/>
        </w:rPr>
        <w:sectPr>
          <w:type w:val="continuous"/>
          <w:pgSz w:w="11910" w:h="16840"/>
          <w:pgMar w:top="1320" w:bottom="280" w:left="1680" w:right="980"/>
          <w:cols w:num="2" w:equalWidth="0">
            <w:col w:w="1605" w:space="40"/>
            <w:col w:w="7605"/>
          </w:cols>
        </w:sectPr>
      </w:pPr>
    </w:p>
    <w:p>
      <w:pPr>
        <w:pStyle w:val="BodyText"/>
        <w:rPr>
          <w:rFonts w:ascii="Cambria Math"/>
          <w:sz w:val="23"/>
        </w:rPr>
      </w:pPr>
    </w:p>
    <w:p>
      <w:pPr>
        <w:pStyle w:val="BodyText"/>
        <w:spacing w:before="90"/>
        <w:ind w:left="307"/>
      </w:pPr>
      <w:r>
        <w:rPr/>
        <w:t>Therefore</w:t>
      </w:r>
    </w:p>
    <w:p>
      <w:pPr>
        <w:pStyle w:val="BodyText"/>
        <w:spacing w:before="10"/>
        <w:rPr>
          <w:sz w:val="26"/>
        </w:rPr>
      </w:pPr>
    </w:p>
    <w:p>
      <w:pPr>
        <w:spacing w:after="0"/>
        <w:rPr>
          <w:sz w:val="26"/>
        </w:rPr>
        <w:sectPr>
          <w:type w:val="continuous"/>
          <w:pgSz w:w="11910" w:h="16840"/>
          <w:pgMar w:top="1320" w:bottom="280" w:left="1680" w:right="980"/>
        </w:sectPr>
      </w:pPr>
    </w:p>
    <w:p>
      <w:pPr>
        <w:pStyle w:val="BodyText"/>
        <w:rPr>
          <w:sz w:val="21"/>
        </w:rPr>
      </w:pPr>
    </w:p>
    <w:p>
      <w:pPr>
        <w:pStyle w:val="BodyText"/>
        <w:ind w:left="307"/>
        <w:rPr>
          <w:rFonts w:ascii="Cambria Math" w:hAnsi="Cambria Math" w:eastAsia="Cambria Math"/>
        </w:rPr>
      </w:pPr>
      <w:r>
        <w:rPr>
          <w:rFonts w:ascii="Cambria Math" w:hAnsi="Cambria Math" w:eastAsia="Cambria Math"/>
        </w:rPr>
        <w:t>𝐼</w:t>
      </w:r>
      <w:r>
        <w:rPr>
          <w:rFonts w:ascii="Cambria Math" w:hAnsi="Cambria Math" w:eastAsia="Cambria Math"/>
          <w:spacing w:val="12"/>
        </w:rPr>
        <w:t> </w:t>
      </w:r>
      <w:r>
        <w:rPr>
          <w:rFonts w:ascii="Cambria Math" w:hAnsi="Cambria Math" w:eastAsia="Cambria Math"/>
        </w:rPr>
        <w:t>=</w:t>
      </w:r>
      <w:r>
        <w:rPr>
          <w:rFonts w:ascii="Cambria Math" w:hAnsi="Cambria Math" w:eastAsia="Cambria Math"/>
          <w:spacing w:val="5"/>
        </w:rPr>
        <w:t> </w:t>
      </w:r>
      <w:r>
        <w:rPr>
          <w:rFonts w:ascii="Cambria Math" w:hAnsi="Cambria Math" w:eastAsia="Cambria Math"/>
        </w:rPr>
        <w:t>−</w:t>
      </w:r>
    </w:p>
    <w:p>
      <w:pPr>
        <w:spacing w:before="59"/>
        <w:ind w:left="0" w:right="7747" w:firstLine="0"/>
        <w:jc w:val="center"/>
        <w:rPr>
          <w:rFonts w:ascii="Cambria Math" w:eastAsia="Cambria Math"/>
          <w:sz w:val="24"/>
        </w:rPr>
      </w:pPr>
      <w:r>
        <w:rPr/>
        <w:br w:type="column"/>
      </w:r>
      <w:r>
        <w:rPr>
          <w:rFonts w:ascii="Cambria Math" w:eastAsia="Cambria Math"/>
          <w:sz w:val="24"/>
        </w:rPr>
        <w:t>𝐼</w:t>
      </w:r>
    </w:p>
    <w:p>
      <w:pPr>
        <w:pStyle w:val="BodyText"/>
        <w:spacing w:before="5"/>
        <w:rPr>
          <w:rFonts w:ascii="Cambria Math"/>
          <w:sz w:val="4"/>
        </w:rPr>
      </w:pPr>
    </w:p>
    <w:p>
      <w:pPr>
        <w:pStyle w:val="BodyText"/>
        <w:spacing w:line="20" w:lineRule="exact"/>
        <w:ind w:left="1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28.2pt;height:.85pt;mso-position-horizontal-relative:char;mso-position-vertical-relative:line" coordorigin="0,0" coordsize="564,17">
            <v:rect style="position:absolute;left:0;top:0;width:564;height:17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pStyle w:val="BodyText"/>
        <w:ind w:right="7744"/>
        <w:jc w:val="center"/>
        <w:rPr>
          <w:rFonts w:ascii="Cambria Math" w:eastAsia="Cambria Math"/>
        </w:rPr>
      </w:pPr>
      <w:r>
        <w:rPr>
          <w:rFonts w:ascii="Cambria Math" w:eastAsia="Cambria Math"/>
        </w:rPr>
        <w:t>𝜌2𝜋𝐴</w:t>
      </w:r>
    </w:p>
    <w:p>
      <w:pPr>
        <w:spacing w:after="0"/>
        <w:jc w:val="center"/>
        <w:rPr>
          <w:rFonts w:ascii="Cambria Math" w:eastAsia="Cambria Math"/>
        </w:rPr>
        <w:sectPr>
          <w:type w:val="continuous"/>
          <w:pgSz w:w="11910" w:h="16840"/>
          <w:pgMar w:top="1320" w:bottom="280" w:left="1680" w:right="980"/>
          <w:cols w:num="2" w:equalWidth="0">
            <w:col w:w="898" w:space="40"/>
            <w:col w:w="8312"/>
          </w:cols>
        </w:sectPr>
      </w:pPr>
    </w:p>
    <w:p>
      <w:pPr>
        <w:pStyle w:val="BodyText"/>
        <w:rPr>
          <w:rFonts w:ascii="Cambria Math"/>
          <w:sz w:val="25"/>
        </w:rPr>
      </w:pPr>
    </w:p>
    <w:p>
      <w:pPr>
        <w:pStyle w:val="BodyText"/>
        <w:spacing w:before="90"/>
        <w:ind w:left="307"/>
      </w:pPr>
      <w:r>
        <w:rPr/>
        <w:t>Or</w:t>
      </w:r>
    </w:p>
    <w:p>
      <w:pPr>
        <w:pStyle w:val="BodyText"/>
        <w:spacing w:before="2"/>
        <w:rPr>
          <w:sz w:val="27"/>
        </w:rPr>
      </w:pPr>
    </w:p>
    <w:p>
      <w:pPr>
        <w:spacing w:after="0"/>
        <w:rPr>
          <w:sz w:val="27"/>
        </w:rPr>
        <w:sectPr>
          <w:type w:val="continuous"/>
          <w:pgSz w:w="11910" w:h="16840"/>
          <w:pgMar w:top="1320" w:bottom="280" w:left="1680" w:right="980"/>
        </w:sectPr>
      </w:pPr>
    </w:p>
    <w:p>
      <w:pPr>
        <w:spacing w:line="307" w:lineRule="exact" w:before="73"/>
        <w:ind w:left="307" w:right="0" w:firstLine="0"/>
        <w:jc w:val="left"/>
        <w:rPr>
          <w:rFonts w:ascii="Cambria Math" w:hAnsi="Cambria Math" w:eastAsia="Cambria Math"/>
          <w:sz w:val="17"/>
        </w:rPr>
      </w:pPr>
      <w:r>
        <w:rPr/>
        <w:pict>
          <v:rect style="position:absolute;margin-left:133.699997pt;margin-top:14.886649pt;width:10.68pt;height:.84pt;mso-position-horizontal-relative:page;mso-position-vertical-relative:paragraph;z-index:-18506240" filled="true" fillcolor="#000000" stroked="false">
            <v:fill type="solid"/>
            <w10:wrap type="none"/>
          </v:rect>
        </w:pict>
      </w:r>
      <w:r>
        <w:rPr>
          <w:rFonts w:ascii="Cambria Math" w:hAnsi="Cambria Math" w:eastAsia="Cambria Math"/>
          <w:sz w:val="24"/>
        </w:rPr>
        <w:t>𝐴</w:t>
      </w:r>
      <w:r>
        <w:rPr>
          <w:rFonts w:ascii="Cambria Math" w:hAnsi="Cambria Math" w:eastAsia="Cambria Math"/>
          <w:spacing w:val="20"/>
          <w:sz w:val="24"/>
        </w:rPr>
        <w:t> </w:t>
      </w:r>
      <w:r>
        <w:rPr>
          <w:rFonts w:ascii="Cambria Math" w:hAnsi="Cambria Math" w:eastAsia="Cambria Math"/>
          <w:sz w:val="24"/>
        </w:rPr>
        <w:t>=</w:t>
      </w:r>
      <w:r>
        <w:rPr>
          <w:rFonts w:ascii="Cambria Math" w:hAnsi="Cambria Math" w:eastAsia="Cambria Math"/>
          <w:spacing w:val="21"/>
          <w:sz w:val="24"/>
        </w:rPr>
        <w:t> </w:t>
      </w:r>
      <w:r>
        <w:rPr>
          <w:rFonts w:ascii="Cambria Math" w:hAnsi="Cambria Math" w:eastAsia="Cambria Math"/>
          <w:sz w:val="24"/>
        </w:rPr>
        <w:t>−</w:t>
      </w:r>
      <w:r>
        <w:rPr>
          <w:rFonts w:ascii="Cambria Math" w:hAnsi="Cambria Math" w:eastAsia="Cambria Math"/>
          <w:spacing w:val="7"/>
          <w:sz w:val="24"/>
        </w:rPr>
        <w:t> </w:t>
      </w:r>
      <w:r>
        <w:rPr>
          <w:rFonts w:ascii="Cambria Math" w:hAnsi="Cambria Math" w:eastAsia="Cambria Math"/>
          <w:position w:val="14"/>
          <w:sz w:val="17"/>
        </w:rPr>
        <w:t>𝐼𝜌</w:t>
      </w:r>
    </w:p>
    <w:p>
      <w:pPr>
        <w:spacing w:line="152" w:lineRule="exact" w:before="0"/>
        <w:ind w:left="0" w:right="38" w:firstLine="0"/>
        <w:jc w:val="right"/>
        <w:rPr>
          <w:rFonts w:ascii="Cambria Math" w:eastAsia="Cambria Math"/>
          <w:sz w:val="17"/>
        </w:rPr>
      </w:pPr>
      <w:r>
        <w:rPr>
          <w:rFonts w:ascii="Cambria Math" w:eastAsia="Cambria Math"/>
          <w:w w:val="110"/>
          <w:sz w:val="17"/>
        </w:rPr>
        <w:t>2𝜋</w:t>
      </w:r>
    </w:p>
    <w:p>
      <w:pPr>
        <w:pStyle w:val="BodyText"/>
        <w:spacing w:before="150"/>
        <w:ind w:left="307"/>
      </w:pPr>
      <w:r>
        <w:rPr/>
        <w:br w:type="column"/>
      </w:r>
      <w:r>
        <w:rPr/>
        <w:t>(3.20)</w:t>
      </w:r>
    </w:p>
    <w:p>
      <w:pPr>
        <w:spacing w:after="0"/>
        <w:sectPr>
          <w:type w:val="continuous"/>
          <w:pgSz w:w="11910" w:h="16840"/>
          <w:pgMar w:top="1320" w:bottom="280" w:left="1680" w:right="980"/>
          <w:cols w:num="2" w:equalWidth="0">
            <w:col w:w="1245" w:space="6676"/>
            <w:col w:w="1329"/>
          </w:cols>
        </w:sectPr>
      </w:pPr>
    </w:p>
    <w:p>
      <w:pPr>
        <w:pStyle w:val="BodyText"/>
        <w:spacing w:before="3"/>
        <w:rPr>
          <w:sz w:val="23"/>
        </w:rPr>
      </w:pPr>
    </w:p>
    <w:p>
      <w:pPr>
        <w:pStyle w:val="BodyText"/>
        <w:spacing w:before="90"/>
        <w:ind w:left="307"/>
      </w:pPr>
      <w:r>
        <w:rPr/>
        <w:t>Substituting</w:t>
      </w:r>
      <w:r>
        <w:rPr>
          <w:spacing w:val="-3"/>
        </w:rPr>
        <w:t> </w:t>
      </w:r>
      <w:r>
        <w:rPr/>
        <w:t>for</w:t>
      </w:r>
      <w:r>
        <w:rPr>
          <w:spacing w:val="-1"/>
        </w:rPr>
        <w:t> </w:t>
      </w:r>
      <w:r>
        <w:rPr>
          <w:i/>
        </w:rPr>
        <w:t>a </w:t>
      </w:r>
      <w:r>
        <w:rPr/>
        <w:t>in equation (3.17)</w:t>
      </w:r>
    </w:p>
    <w:p>
      <w:pPr>
        <w:pStyle w:val="BodyText"/>
        <w:spacing w:before="2"/>
        <w:rPr>
          <w:sz w:val="27"/>
        </w:rPr>
      </w:pPr>
    </w:p>
    <w:p>
      <w:pPr>
        <w:spacing w:after="0"/>
        <w:rPr>
          <w:sz w:val="27"/>
        </w:rPr>
        <w:sectPr>
          <w:type w:val="continuous"/>
          <w:pgSz w:w="11910" w:h="16840"/>
          <w:pgMar w:top="1320" w:bottom="280" w:left="1680" w:right="980"/>
        </w:sectPr>
      </w:pPr>
    </w:p>
    <w:p>
      <w:pPr>
        <w:spacing w:line="168" w:lineRule="auto" w:before="97"/>
        <w:ind w:left="307" w:right="0" w:firstLine="0"/>
        <w:jc w:val="left"/>
        <w:rPr>
          <w:rFonts w:ascii="Cambria Math" w:eastAsia="Cambria Math"/>
          <w:sz w:val="17"/>
        </w:rPr>
      </w:pPr>
      <w:r>
        <w:rPr/>
        <w:pict>
          <v:rect style="position:absolute;margin-left:123.5pt;margin-top:14.889973pt;width:15.24pt;height:.84pt;mso-position-horizontal-relative:page;mso-position-vertical-relative:paragraph;z-index:-18505728" filled="true" fillcolor="#000000" stroked="false">
            <v:fill type="solid"/>
            <w10:wrap type="none"/>
          </v:rect>
        </w:pict>
      </w:r>
      <w:r>
        <w:rPr>
          <w:rFonts w:ascii="Cambria Math" w:eastAsia="Cambria Math"/>
          <w:position w:val="-13"/>
          <w:sz w:val="24"/>
        </w:rPr>
        <w:t>𝑈</w:t>
      </w:r>
      <w:r>
        <w:rPr>
          <w:rFonts w:ascii="Cambria Math" w:eastAsia="Cambria Math"/>
          <w:spacing w:val="20"/>
          <w:position w:val="-13"/>
          <w:sz w:val="24"/>
        </w:rPr>
        <w:t> </w:t>
      </w:r>
      <w:r>
        <w:rPr>
          <w:rFonts w:ascii="Cambria Math" w:eastAsia="Cambria Math"/>
          <w:position w:val="-13"/>
          <w:sz w:val="24"/>
        </w:rPr>
        <w:t>=</w:t>
      </w:r>
      <w:r>
        <w:rPr>
          <w:rFonts w:ascii="Cambria Math" w:eastAsia="Cambria Math"/>
          <w:spacing w:val="26"/>
          <w:position w:val="-13"/>
          <w:sz w:val="24"/>
        </w:rPr>
        <w:t> </w:t>
      </w:r>
      <w:r>
        <w:rPr>
          <w:rFonts w:ascii="Cambria Math" w:eastAsia="Cambria Math"/>
          <w:sz w:val="17"/>
        </w:rPr>
        <w:t>𝐼𝑃</w:t>
      </w:r>
    </w:p>
    <w:p>
      <w:pPr>
        <w:spacing w:line="162" w:lineRule="exact" w:before="0"/>
        <w:ind w:left="0" w:right="38" w:firstLine="0"/>
        <w:jc w:val="right"/>
        <w:rPr>
          <w:rFonts w:ascii="Cambria Math" w:eastAsia="Cambria Math"/>
          <w:sz w:val="17"/>
        </w:rPr>
      </w:pPr>
      <w:r>
        <w:rPr>
          <w:rFonts w:ascii="Cambria Math" w:eastAsia="Cambria Math"/>
          <w:w w:val="110"/>
          <w:sz w:val="17"/>
        </w:rPr>
        <w:t>2𝜋𝑟</w:t>
      </w:r>
    </w:p>
    <w:p>
      <w:pPr>
        <w:pStyle w:val="BodyText"/>
        <w:spacing w:before="150"/>
        <w:ind w:left="307"/>
      </w:pPr>
      <w:r>
        <w:rPr/>
        <w:br w:type="column"/>
      </w:r>
      <w:r>
        <w:rPr/>
        <w:t>(3.21)</w:t>
      </w:r>
    </w:p>
    <w:p>
      <w:pPr>
        <w:spacing w:after="0"/>
        <w:sectPr>
          <w:type w:val="continuous"/>
          <w:pgSz w:w="11910" w:h="16840"/>
          <w:pgMar w:top="1320" w:bottom="280" w:left="1680" w:right="980"/>
          <w:cols w:num="2" w:equalWidth="0">
            <w:col w:w="1132" w:space="6789"/>
            <w:col w:w="1329"/>
          </w:cols>
        </w:sectPr>
      </w:pPr>
    </w:p>
    <w:p>
      <w:pPr>
        <w:pStyle w:val="BodyText"/>
        <w:spacing w:before="3"/>
        <w:rPr>
          <w:sz w:val="23"/>
        </w:rPr>
      </w:pPr>
    </w:p>
    <w:p>
      <w:pPr>
        <w:pStyle w:val="BodyText"/>
        <w:spacing w:before="90"/>
        <w:ind w:left="307"/>
      </w:pPr>
      <w:r>
        <w:rPr/>
        <w:t>For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four</w:t>
      </w:r>
      <w:r>
        <w:rPr>
          <w:spacing w:val="-2"/>
        </w:rPr>
        <w:t> </w:t>
      </w:r>
      <w:r>
        <w:rPr/>
        <w:t>electrode</w:t>
      </w:r>
      <w:r>
        <w:rPr>
          <w:spacing w:val="-3"/>
        </w:rPr>
        <w:t> </w:t>
      </w:r>
      <w:r>
        <w:rPr/>
        <w:t>system,</w:t>
      </w:r>
    </w:p>
    <w:p>
      <w:pPr>
        <w:pStyle w:val="BodyText"/>
        <w:rPr>
          <w:sz w:val="27"/>
        </w:rPr>
      </w:pPr>
    </w:p>
    <w:p>
      <w:pPr>
        <w:tabs>
          <w:tab w:pos="8229" w:val="left" w:leader="none"/>
        </w:tabs>
        <w:spacing w:line="289" w:lineRule="exact" w:before="73"/>
        <w:ind w:left="307" w:right="0" w:firstLine="0"/>
        <w:jc w:val="left"/>
        <w:rPr>
          <w:sz w:val="24"/>
        </w:rPr>
      </w:pPr>
      <w:r>
        <w:rPr/>
        <w:pict>
          <v:rect style="position:absolute;margin-left:129.619995pt;margin-top:14.886659pt;width:10.68pt;height:.84pt;mso-position-horizontal-relative:page;mso-position-vertical-relative:paragraph;z-index:-18505216" filled="true" fillcolor="#000000" stroked="false">
            <v:fill type="solid"/>
            <w10:wrap type="none"/>
          </v:rect>
        </w:pict>
      </w:r>
      <w:r>
        <w:rPr/>
        <w:pict>
          <v:rect style="position:absolute;margin-left:147.380005pt;margin-top:14.886659pt;width:8.16pt;height:.84pt;mso-position-horizontal-relative:page;mso-position-vertical-relative:paragraph;z-index:-18504704" filled="true" fillcolor="#000000" stroked="false">
            <v:fill type="solid"/>
            <w10:wrap type="none"/>
          </v:rect>
        </w:pict>
      </w:r>
      <w:r>
        <w:rPr/>
        <w:pict>
          <v:rect style="position:absolute;margin-left:169.820007pt;margin-top:14.886659pt;width:8.16pt;height:.84pt;mso-position-horizontal-relative:page;mso-position-vertical-relative:paragraph;z-index:-18504192" filled="true" fillcolor="#000000" stroked="false">
            <v:fill type="solid"/>
            <w10:wrap type="none"/>
          </v:rect>
        </w:pict>
      </w:r>
      <w:r>
        <w:rPr/>
        <w:pict>
          <v:shape style="position:absolute;margin-left:192.410004pt;margin-top:14.887642pt;width:18.25pt;height:.85pt;mso-position-horizontal-relative:page;mso-position-vertical-relative:paragraph;z-index:-18503680" coordorigin="3848,298" coordsize="365,17" path="m4011,298l3848,298,3848,315,4011,315,4011,298xm4213,298l4050,298,4050,315,4213,315,4213,298xe" filled="true" fillcolor="#000000" stroked="false">
            <v:path arrowok="t"/>
            <v:fill type="solid"/>
            <w10:wrap type="none"/>
          </v:shape>
        </w:pict>
      </w:r>
      <w:r>
        <w:rPr>
          <w:rFonts w:ascii="Cambria Math" w:hAnsi="Cambria Math" w:eastAsia="Cambria Math"/>
          <w:sz w:val="24"/>
        </w:rPr>
        <w:t>∆</w:t>
      </w:r>
      <w:r>
        <w:rPr>
          <w:rFonts w:ascii="Cambria Math" w:hAnsi="Cambria Math" w:eastAsia="Cambria Math"/>
          <w:spacing w:val="2"/>
          <w:sz w:val="24"/>
        </w:rPr>
        <w:t> </w:t>
      </w:r>
      <w:r>
        <w:rPr>
          <w:rFonts w:ascii="Cambria Math" w:hAnsi="Cambria Math" w:eastAsia="Cambria Math"/>
          <w:sz w:val="24"/>
        </w:rPr>
        <w:t>𝖴=</w:t>
      </w:r>
      <w:r>
        <w:rPr>
          <w:rFonts w:ascii="Cambria Math" w:hAnsi="Cambria Math" w:eastAsia="Cambria Math"/>
          <w:spacing w:val="33"/>
          <w:sz w:val="24"/>
        </w:rPr>
        <w:t> </w:t>
      </w:r>
      <w:r>
        <w:rPr>
          <w:rFonts w:ascii="Cambria Math" w:hAnsi="Cambria Math" w:eastAsia="Cambria Math"/>
          <w:position w:val="14"/>
          <w:sz w:val="17"/>
        </w:rPr>
        <w:t>𝐼𝜌</w:t>
      </w:r>
      <w:r>
        <w:rPr>
          <w:rFonts w:ascii="Cambria Math" w:hAnsi="Cambria Math" w:eastAsia="Cambria Math"/>
          <w:spacing w:val="25"/>
          <w:position w:val="14"/>
          <w:sz w:val="17"/>
        </w:rPr>
        <w:t> </w:t>
      </w:r>
      <w:r>
        <w:rPr>
          <w:rFonts w:ascii="Cambria Math" w:hAnsi="Cambria Math" w:eastAsia="Cambria Math"/>
          <w:sz w:val="24"/>
        </w:rPr>
        <w:t>(</w:t>
      </w:r>
      <w:r>
        <w:rPr>
          <w:rFonts w:ascii="Cambria Math" w:hAnsi="Cambria Math" w:eastAsia="Cambria Math"/>
          <w:spacing w:val="-19"/>
          <w:sz w:val="24"/>
        </w:rPr>
        <w:t> </w:t>
      </w:r>
      <w:r>
        <w:rPr>
          <w:rFonts w:ascii="Cambria Math" w:hAnsi="Cambria Math" w:eastAsia="Cambria Math"/>
          <w:position w:val="14"/>
          <w:sz w:val="17"/>
        </w:rPr>
        <w:t>1</w:t>
      </w:r>
      <w:r>
        <w:rPr>
          <w:rFonts w:ascii="Cambria Math" w:hAnsi="Cambria Math" w:eastAsia="Cambria Math"/>
          <w:spacing w:val="52"/>
          <w:position w:val="14"/>
          <w:sz w:val="17"/>
        </w:rPr>
        <w:t> </w:t>
      </w:r>
      <w:r>
        <w:rPr>
          <w:rFonts w:ascii="Cambria Math" w:hAnsi="Cambria Math" w:eastAsia="Cambria Math"/>
          <w:sz w:val="24"/>
        </w:rPr>
        <w:t>−</w:t>
      </w:r>
      <w:r>
        <w:rPr>
          <w:rFonts w:ascii="Cambria Math" w:hAnsi="Cambria Math" w:eastAsia="Cambria Math"/>
          <w:spacing w:val="36"/>
          <w:sz w:val="24"/>
        </w:rPr>
        <w:t> </w:t>
      </w:r>
      <w:r>
        <w:rPr>
          <w:rFonts w:ascii="Cambria Math" w:hAnsi="Cambria Math" w:eastAsia="Cambria Math"/>
          <w:position w:val="14"/>
          <w:sz w:val="17"/>
        </w:rPr>
        <w:t>1</w:t>
      </w:r>
      <w:r>
        <w:rPr>
          <w:rFonts w:ascii="Cambria Math" w:hAnsi="Cambria Math" w:eastAsia="Cambria Math"/>
          <w:spacing w:val="55"/>
          <w:position w:val="14"/>
          <w:sz w:val="17"/>
        </w:rPr>
        <w:t> </w:t>
      </w:r>
      <w:r>
        <w:rPr>
          <w:rFonts w:ascii="Cambria Math" w:hAnsi="Cambria Math" w:eastAsia="Cambria Math"/>
          <w:sz w:val="24"/>
        </w:rPr>
        <w:t>−</w:t>
      </w:r>
      <w:r>
        <w:rPr>
          <w:rFonts w:ascii="Cambria Math" w:hAnsi="Cambria Math" w:eastAsia="Cambria Math"/>
          <w:spacing w:val="36"/>
          <w:sz w:val="24"/>
        </w:rPr>
        <w:t> </w:t>
      </w:r>
      <w:r>
        <w:rPr>
          <w:rFonts w:ascii="Cambria Math" w:hAnsi="Cambria Math" w:eastAsia="Cambria Math"/>
          <w:position w:val="14"/>
          <w:sz w:val="17"/>
        </w:rPr>
        <w:t>1</w:t>
      </w:r>
      <w:r>
        <w:rPr>
          <w:rFonts w:ascii="Cambria Math" w:hAnsi="Cambria Math" w:eastAsia="Cambria Math"/>
          <w:spacing w:val="70"/>
          <w:position w:val="14"/>
          <w:sz w:val="17"/>
        </w:rPr>
        <w:t> </w:t>
      </w:r>
      <w:r>
        <w:rPr>
          <w:rFonts w:ascii="Cambria Math" w:hAnsi="Cambria Math" w:eastAsia="Cambria Math"/>
          <w:position w:val="14"/>
          <w:sz w:val="17"/>
        </w:rPr>
        <w:t>1</w:t>
      </w:r>
      <w:r>
        <w:rPr>
          <w:rFonts w:ascii="Cambria Math" w:hAnsi="Cambria Math" w:eastAsia="Cambria Math"/>
          <w:spacing w:val="-1"/>
          <w:position w:val="14"/>
          <w:sz w:val="17"/>
        </w:rPr>
        <w:t> </w:t>
      </w:r>
      <w:r>
        <w:rPr>
          <w:rFonts w:ascii="Cambria Math" w:hAnsi="Cambria Math" w:eastAsia="Cambria Math"/>
          <w:sz w:val="24"/>
        </w:rPr>
        <w:t>)</w:t>
        <w:tab/>
      </w:r>
      <w:r>
        <w:rPr>
          <w:sz w:val="24"/>
        </w:rPr>
        <w:t>(3.22)</w:t>
      </w:r>
    </w:p>
    <w:p>
      <w:pPr>
        <w:tabs>
          <w:tab w:pos="1716" w:val="left" w:leader="none"/>
          <w:tab w:pos="2168" w:val="left" w:leader="none"/>
        </w:tabs>
        <w:spacing w:line="194" w:lineRule="exact" w:before="0"/>
        <w:ind w:left="912" w:right="0" w:firstLine="0"/>
        <w:jc w:val="left"/>
        <w:rPr>
          <w:rFonts w:ascii="Cambria Math" w:eastAsia="Cambria Math"/>
          <w:sz w:val="14"/>
        </w:rPr>
      </w:pPr>
      <w:r>
        <w:rPr>
          <w:rFonts w:ascii="Cambria Math" w:eastAsia="Cambria Math"/>
          <w:w w:val="110"/>
          <w:sz w:val="17"/>
        </w:rPr>
        <w:t>2𝜋  </w:t>
      </w:r>
      <w:r>
        <w:rPr>
          <w:rFonts w:ascii="Cambria Math" w:eastAsia="Cambria Math"/>
          <w:spacing w:val="7"/>
          <w:w w:val="110"/>
          <w:sz w:val="17"/>
        </w:rPr>
        <w:t> </w:t>
      </w:r>
      <w:r>
        <w:rPr>
          <w:rFonts w:ascii="Cambria Math" w:eastAsia="Cambria Math"/>
          <w:w w:val="110"/>
          <w:sz w:val="17"/>
        </w:rPr>
        <w:t>𝑟</w:t>
      </w:r>
      <w:r>
        <w:rPr>
          <w:rFonts w:ascii="Cambria Math" w:eastAsia="Cambria Math"/>
          <w:w w:val="110"/>
          <w:position w:val="-2"/>
          <w:sz w:val="14"/>
        </w:rPr>
        <w:t>1</w:t>
        <w:tab/>
      </w:r>
      <w:r>
        <w:rPr>
          <w:rFonts w:ascii="Cambria Math" w:eastAsia="Cambria Math"/>
          <w:w w:val="110"/>
          <w:sz w:val="17"/>
        </w:rPr>
        <w:t>𝑟</w:t>
      </w:r>
      <w:r>
        <w:rPr>
          <w:rFonts w:ascii="Cambria Math" w:eastAsia="Cambria Math"/>
          <w:w w:val="110"/>
          <w:position w:val="-2"/>
          <w:sz w:val="14"/>
        </w:rPr>
        <w:t>2</w:t>
        <w:tab/>
      </w:r>
      <w:r>
        <w:rPr>
          <w:rFonts w:ascii="Cambria Math" w:eastAsia="Cambria Math"/>
          <w:w w:val="110"/>
          <w:sz w:val="17"/>
        </w:rPr>
        <w:t>𝑟</w:t>
      </w:r>
      <w:r>
        <w:rPr>
          <w:rFonts w:ascii="Cambria Math" w:eastAsia="Cambria Math"/>
          <w:w w:val="110"/>
          <w:position w:val="-2"/>
          <w:sz w:val="14"/>
        </w:rPr>
        <w:t>3</w:t>
      </w:r>
      <w:r>
        <w:rPr>
          <w:rFonts w:ascii="Cambria Math" w:eastAsia="Cambria Math"/>
          <w:spacing w:val="-5"/>
          <w:w w:val="110"/>
          <w:position w:val="-2"/>
          <w:sz w:val="14"/>
        </w:rPr>
        <w:t> </w:t>
      </w:r>
      <w:r>
        <w:rPr>
          <w:rFonts w:ascii="Cambria Math" w:eastAsia="Cambria Math"/>
          <w:w w:val="110"/>
          <w:sz w:val="17"/>
        </w:rPr>
        <w:t>𝑟</w:t>
      </w:r>
      <w:r>
        <w:rPr>
          <w:rFonts w:ascii="Cambria Math" w:eastAsia="Cambria Math"/>
          <w:w w:val="110"/>
          <w:position w:val="-2"/>
          <w:sz w:val="14"/>
        </w:rPr>
        <w:t>4</w:t>
      </w:r>
    </w:p>
    <w:p>
      <w:pPr>
        <w:pStyle w:val="BodyText"/>
        <w:spacing w:before="8"/>
        <w:rPr>
          <w:rFonts w:ascii="Cambria Math"/>
        </w:rPr>
      </w:pPr>
    </w:p>
    <w:p>
      <w:pPr>
        <w:pStyle w:val="BodyText"/>
        <w:spacing w:line="475" w:lineRule="auto" w:before="86"/>
        <w:ind w:left="307" w:right="114"/>
      </w:pPr>
      <w:r>
        <w:rPr/>
        <w:t>where</w:t>
      </w:r>
      <w:r>
        <w:rPr>
          <w:spacing w:val="4"/>
        </w:rPr>
        <w:t> </w:t>
      </w:r>
      <w:r>
        <w:rPr>
          <w:rFonts w:ascii="Cambria Math" w:eastAsia="Cambria Math"/>
        </w:rPr>
        <w:t>𝑟</w:t>
      </w:r>
      <w:r>
        <w:rPr>
          <w:rFonts w:ascii="Cambria Math" w:eastAsia="Cambria Math"/>
          <w:vertAlign w:val="subscript"/>
        </w:rPr>
        <w:t>𝑖</w:t>
      </w:r>
      <w:r>
        <w:rPr>
          <w:rFonts w:ascii="Cambria Math" w:eastAsia="Cambria Math"/>
          <w:spacing w:val="26"/>
          <w:vertAlign w:val="baseline"/>
        </w:rPr>
        <w:t> </w:t>
      </w:r>
      <w:r>
        <w:rPr>
          <w:vertAlign w:val="baseline"/>
        </w:rPr>
        <w:t>are</w:t>
      </w:r>
      <w:r>
        <w:rPr>
          <w:spacing w:val="7"/>
          <w:vertAlign w:val="baseline"/>
        </w:rPr>
        <w:t> </w:t>
      </w:r>
      <w:r>
        <w:rPr>
          <w:vertAlign w:val="baseline"/>
        </w:rPr>
        <w:t>geometrical</w:t>
      </w:r>
      <w:r>
        <w:rPr>
          <w:spacing w:val="4"/>
          <w:vertAlign w:val="baseline"/>
        </w:rPr>
        <w:t> </w:t>
      </w:r>
      <w:r>
        <w:rPr>
          <w:vertAlign w:val="baseline"/>
        </w:rPr>
        <w:t>parameters</w:t>
      </w:r>
      <w:r>
        <w:rPr>
          <w:spacing w:val="4"/>
          <w:vertAlign w:val="baseline"/>
        </w:rPr>
        <w:t> </w:t>
      </w:r>
      <w:r>
        <w:rPr>
          <w:vertAlign w:val="baseline"/>
        </w:rPr>
        <w:t>that</w:t>
      </w:r>
      <w:r>
        <w:rPr>
          <w:spacing w:val="5"/>
          <w:vertAlign w:val="baseline"/>
        </w:rPr>
        <w:t> </w:t>
      </w:r>
      <w:r>
        <w:rPr>
          <w:vertAlign w:val="baseline"/>
        </w:rPr>
        <w:t>depend</w:t>
      </w:r>
      <w:r>
        <w:rPr>
          <w:spacing w:val="6"/>
          <w:vertAlign w:val="baseline"/>
        </w:rPr>
        <w:t> </w:t>
      </w:r>
      <w:r>
        <w:rPr>
          <w:vertAlign w:val="baseline"/>
        </w:rPr>
        <w:t>on</w:t>
      </w:r>
      <w:r>
        <w:rPr>
          <w:spacing w:val="7"/>
          <w:vertAlign w:val="baseline"/>
        </w:rPr>
        <w:t> </w:t>
      </w:r>
      <w:r>
        <w:rPr>
          <w:vertAlign w:val="baseline"/>
        </w:rPr>
        <w:t>the</w:t>
      </w:r>
      <w:r>
        <w:rPr>
          <w:spacing w:val="4"/>
          <w:vertAlign w:val="baseline"/>
        </w:rPr>
        <w:t> </w:t>
      </w:r>
      <w:r>
        <w:rPr>
          <w:vertAlign w:val="baseline"/>
        </w:rPr>
        <w:t>electrode</w:t>
      </w:r>
      <w:r>
        <w:rPr>
          <w:spacing w:val="3"/>
          <w:vertAlign w:val="baseline"/>
        </w:rPr>
        <w:t> </w:t>
      </w:r>
      <w:r>
        <w:rPr>
          <w:vertAlign w:val="baseline"/>
        </w:rPr>
        <w:t>spacing,</w:t>
      </w:r>
      <w:r>
        <w:rPr>
          <w:spacing w:val="4"/>
          <w:vertAlign w:val="baseline"/>
        </w:rPr>
        <w:t> </w:t>
      </w:r>
      <w:r>
        <w:rPr>
          <w:vertAlign w:val="baseline"/>
        </w:rPr>
        <w:t>if</w:t>
      </w:r>
      <w:r>
        <w:rPr>
          <w:spacing w:val="7"/>
          <w:vertAlign w:val="baseline"/>
        </w:rPr>
        <w:t> </w:t>
      </w:r>
      <w:r>
        <w:rPr>
          <w:vertAlign w:val="baseline"/>
        </w:rPr>
        <w:t>the</w:t>
      </w:r>
      <w:r>
        <w:rPr>
          <w:spacing w:val="3"/>
          <w:vertAlign w:val="baseline"/>
        </w:rPr>
        <w:t> </w:t>
      </w:r>
      <w:r>
        <w:rPr>
          <w:vertAlign w:val="baseline"/>
        </w:rPr>
        <w:t>earth</w:t>
      </w:r>
      <w:r>
        <w:rPr>
          <w:spacing w:val="4"/>
          <w:vertAlign w:val="baseline"/>
        </w:rPr>
        <w:t> </w:t>
      </w:r>
      <w:r>
        <w:rPr>
          <w:vertAlign w:val="baseline"/>
        </w:rPr>
        <w:t>is</w:t>
      </w:r>
      <w:r>
        <w:rPr>
          <w:spacing w:val="-57"/>
          <w:vertAlign w:val="baseline"/>
        </w:rPr>
        <w:t> </w:t>
      </w:r>
      <w:r>
        <w:rPr>
          <w:vertAlign w:val="baseline"/>
        </w:rPr>
        <w:t>non uniform.</w:t>
      </w:r>
    </w:p>
    <w:p>
      <w:pPr>
        <w:pStyle w:val="BodyText"/>
        <w:spacing w:before="135"/>
        <w:ind w:left="307"/>
        <w:rPr>
          <w:rFonts w:ascii="Cambria Math" w:eastAsia="Cambria Math"/>
        </w:rPr>
      </w:pPr>
      <w:r>
        <w:rPr>
          <w:rFonts w:ascii="Cambria Math" w:eastAsia="Cambria Math"/>
        </w:rPr>
        <w:t>𝜌</w:t>
      </w:r>
      <w:r>
        <w:rPr>
          <w:rFonts w:ascii="Cambria Math" w:eastAsia="Cambria Math"/>
          <w:spacing w:val="14"/>
        </w:rPr>
        <w:t> </w:t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14"/>
        </w:rPr>
        <w:t> </w:t>
      </w:r>
      <w:r>
        <w:rPr>
          <w:rFonts w:ascii="Cambria Math" w:eastAsia="Cambria Math"/>
        </w:rPr>
        <w:t>𝜌𝑎</w:t>
      </w:r>
    </w:p>
    <w:p>
      <w:pPr>
        <w:pStyle w:val="BodyText"/>
        <w:spacing w:before="11"/>
        <w:rPr>
          <w:rFonts w:ascii="Cambria Math"/>
          <w:sz w:val="33"/>
        </w:rPr>
      </w:pPr>
    </w:p>
    <w:p>
      <w:pPr>
        <w:pStyle w:val="BodyText"/>
        <w:ind w:left="307"/>
      </w:pPr>
      <w:r>
        <w:rPr/>
        <w:t>Where</w:t>
      </w:r>
      <w:r>
        <w:rPr>
          <w:spacing w:val="-3"/>
        </w:rPr>
        <w:t> </w:t>
      </w:r>
      <w:r>
        <w:rPr>
          <w:rFonts w:ascii="Cambria Math" w:eastAsia="Cambria Math"/>
        </w:rPr>
        <w:t>𝜌𝑎</w:t>
      </w:r>
      <w:r>
        <w:rPr>
          <w:rFonts w:ascii="Cambria Math" w:eastAsia="Cambria Math"/>
          <w:spacing w:val="15"/>
        </w:rPr>
        <w:t> </w:t>
      </w:r>
      <w:r>
        <w:rPr/>
        <w:t>=</w:t>
      </w:r>
      <w:r>
        <w:rPr>
          <w:spacing w:val="-1"/>
        </w:rPr>
        <w:t> </w:t>
      </w:r>
      <w:r>
        <w:rPr/>
        <w:t>apparent resistivity</w:t>
      </w:r>
    </w:p>
    <w:p>
      <w:pPr>
        <w:pStyle w:val="BodyText"/>
        <w:spacing w:before="1"/>
        <w:rPr>
          <w:sz w:val="27"/>
        </w:rPr>
      </w:pPr>
    </w:p>
    <w:p>
      <w:pPr>
        <w:spacing w:after="0"/>
        <w:rPr>
          <w:sz w:val="27"/>
        </w:rPr>
        <w:sectPr>
          <w:type w:val="continuous"/>
          <w:pgSz w:w="11910" w:h="16840"/>
          <w:pgMar w:top="1320" w:bottom="280" w:left="1680" w:right="980"/>
        </w:sectPr>
      </w:pPr>
    </w:p>
    <w:p>
      <w:pPr>
        <w:spacing w:line="158" w:lineRule="auto" w:before="100"/>
        <w:ind w:left="307" w:right="0" w:firstLine="0"/>
        <w:jc w:val="left"/>
        <w:rPr>
          <w:rFonts w:ascii="Cambria Math" w:hAnsi="Cambria Math" w:eastAsia="Cambria Math"/>
          <w:sz w:val="17"/>
        </w:rPr>
      </w:pPr>
      <w:r>
        <w:rPr/>
        <w:pict>
          <v:rect style="position:absolute;margin-left:128.779999pt;margin-top:14.895536pt;width:16.920pt;height:.84003pt;mso-position-horizontal-relative:page;mso-position-vertical-relative:paragraph;z-index:-18503168" filled="true" fillcolor="#000000" stroked="false">
            <v:fill type="solid"/>
            <w10:wrap type="none"/>
          </v:rect>
        </w:pict>
      </w:r>
      <w:r>
        <w:rPr/>
        <w:pict>
          <v:rect style="position:absolute;margin-left:152.660004pt;margin-top:14.895536pt;width:8.16pt;height:.84003pt;mso-position-horizontal-relative:page;mso-position-vertical-relative:paragraph;z-index:-18502656" filled="true" fillcolor="#000000" stroked="false">
            <v:fill type="solid"/>
            <w10:wrap type="none"/>
          </v:rect>
        </w:pict>
      </w:r>
      <w:r>
        <w:rPr/>
        <w:pict>
          <v:rect style="position:absolute;margin-left:175.100006pt;margin-top:14.895536pt;width:8.1840pt;height:.84003pt;mso-position-horizontal-relative:page;mso-position-vertical-relative:paragraph;z-index:-18502144" filled="true" fillcolor="#000000" stroked="false">
            <v:fill type="solid"/>
            <w10:wrap type="none"/>
          </v:rect>
        </w:pict>
      </w:r>
      <w:r>
        <w:rPr/>
        <w:pict>
          <v:shape style="position:absolute;margin-left:197.690002pt;margin-top:14.895557pt;width:18.25pt;height:.85pt;mso-position-horizontal-relative:page;mso-position-vertical-relative:paragraph;z-index:-18501632" coordorigin="3954,298" coordsize="365,17" path="m4117,298l3954,298,3954,315,4117,315,4117,298xm4319,298l4155,298,4155,315,4319,315,4319,298xe" filled="true" fillcolor="#000000" stroked="false">
            <v:path arrowok="t"/>
            <v:fill type="solid"/>
            <w10:wrap type="none"/>
          </v:shape>
        </w:pict>
      </w:r>
      <w:r>
        <w:rPr>
          <w:rFonts w:ascii="Cambria Math" w:hAnsi="Cambria Math" w:eastAsia="Cambria Math"/>
          <w:position w:val="-13"/>
          <w:sz w:val="24"/>
        </w:rPr>
        <w:t>𝜌𝑎</w:t>
      </w:r>
      <w:r>
        <w:rPr>
          <w:rFonts w:ascii="Cambria Math" w:hAnsi="Cambria Math" w:eastAsia="Cambria Math"/>
          <w:spacing w:val="22"/>
          <w:position w:val="-13"/>
          <w:sz w:val="24"/>
        </w:rPr>
        <w:t> </w:t>
      </w:r>
      <w:r>
        <w:rPr>
          <w:rFonts w:ascii="Cambria Math" w:hAnsi="Cambria Math" w:eastAsia="Cambria Math"/>
          <w:position w:val="-13"/>
          <w:sz w:val="24"/>
        </w:rPr>
        <w:t>=</w:t>
      </w:r>
      <w:r>
        <w:rPr>
          <w:rFonts w:ascii="Cambria Math" w:hAnsi="Cambria Math" w:eastAsia="Cambria Math"/>
          <w:spacing w:val="17"/>
          <w:position w:val="-13"/>
          <w:sz w:val="24"/>
        </w:rPr>
        <w:t> </w:t>
      </w:r>
      <w:r>
        <w:rPr>
          <w:rFonts w:ascii="Cambria Math" w:hAnsi="Cambria Math" w:eastAsia="Cambria Math"/>
          <w:sz w:val="17"/>
        </w:rPr>
        <w:t>2𝜋𝑈</w:t>
      </w:r>
      <w:r>
        <w:rPr>
          <w:rFonts w:ascii="Cambria Math" w:hAnsi="Cambria Math" w:eastAsia="Cambria Math"/>
          <w:spacing w:val="5"/>
          <w:sz w:val="17"/>
        </w:rPr>
        <w:t> </w:t>
      </w:r>
      <w:r>
        <w:rPr>
          <w:rFonts w:ascii="Cambria Math" w:hAnsi="Cambria Math" w:eastAsia="Cambria Math"/>
          <w:position w:val="-13"/>
          <w:sz w:val="24"/>
        </w:rPr>
        <w:t>(</w:t>
      </w:r>
      <w:r>
        <w:rPr>
          <w:rFonts w:ascii="Cambria Math" w:hAnsi="Cambria Math" w:eastAsia="Cambria Math"/>
          <w:spacing w:val="-20"/>
          <w:position w:val="-13"/>
          <w:sz w:val="24"/>
        </w:rPr>
        <w:t> </w:t>
      </w:r>
      <w:r>
        <w:rPr>
          <w:rFonts w:ascii="Cambria Math" w:hAnsi="Cambria Math" w:eastAsia="Cambria Math"/>
          <w:sz w:val="17"/>
        </w:rPr>
        <w:t>1</w:t>
      </w:r>
      <w:r>
        <w:rPr>
          <w:rFonts w:ascii="Cambria Math" w:hAnsi="Cambria Math" w:eastAsia="Cambria Math"/>
          <w:spacing w:val="51"/>
          <w:sz w:val="17"/>
        </w:rPr>
        <w:t> </w:t>
      </w:r>
      <w:r>
        <w:rPr>
          <w:rFonts w:ascii="Cambria Math" w:hAnsi="Cambria Math" w:eastAsia="Cambria Math"/>
          <w:position w:val="-13"/>
          <w:sz w:val="24"/>
        </w:rPr>
        <w:t>−</w:t>
      </w:r>
      <w:r>
        <w:rPr>
          <w:rFonts w:ascii="Cambria Math" w:hAnsi="Cambria Math" w:eastAsia="Cambria Math"/>
          <w:spacing w:val="34"/>
          <w:position w:val="-13"/>
          <w:sz w:val="24"/>
        </w:rPr>
        <w:t> </w:t>
      </w:r>
      <w:r>
        <w:rPr>
          <w:rFonts w:ascii="Cambria Math" w:hAnsi="Cambria Math" w:eastAsia="Cambria Math"/>
          <w:sz w:val="17"/>
        </w:rPr>
        <w:t>1</w:t>
      </w:r>
      <w:r>
        <w:rPr>
          <w:rFonts w:ascii="Cambria Math" w:hAnsi="Cambria Math" w:eastAsia="Cambria Math"/>
          <w:spacing w:val="54"/>
          <w:sz w:val="17"/>
        </w:rPr>
        <w:t> </w:t>
      </w:r>
      <w:r>
        <w:rPr>
          <w:rFonts w:ascii="Cambria Math" w:hAnsi="Cambria Math" w:eastAsia="Cambria Math"/>
          <w:position w:val="-13"/>
          <w:sz w:val="24"/>
        </w:rPr>
        <w:t>−</w:t>
      </w:r>
      <w:r>
        <w:rPr>
          <w:rFonts w:ascii="Cambria Math" w:hAnsi="Cambria Math" w:eastAsia="Cambria Math"/>
          <w:spacing w:val="35"/>
          <w:position w:val="-13"/>
          <w:sz w:val="24"/>
        </w:rPr>
        <w:t> </w:t>
      </w:r>
      <w:r>
        <w:rPr>
          <w:rFonts w:ascii="Cambria Math" w:hAnsi="Cambria Math" w:eastAsia="Cambria Math"/>
          <w:sz w:val="17"/>
        </w:rPr>
        <w:t>1</w:t>
      </w:r>
    </w:p>
    <w:p>
      <w:pPr>
        <w:spacing w:line="288" w:lineRule="exact" w:before="74"/>
        <w:ind w:left="63" w:right="0" w:firstLine="0"/>
        <w:jc w:val="left"/>
        <w:rPr>
          <w:rFonts w:ascii="Cambria Math" w:hAnsi="Cambria Math"/>
          <w:sz w:val="17"/>
        </w:rPr>
      </w:pPr>
      <w:r>
        <w:rPr/>
        <w:br w:type="column"/>
      </w:r>
      <w:r>
        <w:rPr>
          <w:rFonts w:ascii="Cambria Math" w:hAnsi="Cambria Math"/>
          <w:position w:val="5"/>
          <w:sz w:val="17"/>
        </w:rPr>
        <w:t>1</w:t>
      </w:r>
      <w:r>
        <w:rPr>
          <w:rFonts w:ascii="Cambria Math" w:hAnsi="Cambria Math"/>
          <w:spacing w:val="4"/>
          <w:position w:val="5"/>
          <w:sz w:val="17"/>
        </w:rPr>
        <w:t> </w:t>
      </w:r>
      <w:r>
        <w:rPr>
          <w:rFonts w:ascii="Cambria Math" w:hAnsi="Cambria Math"/>
          <w:position w:val="-8"/>
          <w:sz w:val="24"/>
        </w:rPr>
        <w:t>)</w:t>
      </w:r>
      <w:r>
        <w:rPr>
          <w:rFonts w:ascii="Cambria Math" w:hAnsi="Cambria Math"/>
          <w:sz w:val="17"/>
        </w:rPr>
        <w:t>−1</w:t>
      </w:r>
    </w:p>
    <w:p>
      <w:pPr>
        <w:pStyle w:val="BodyText"/>
        <w:spacing w:line="211" w:lineRule="exact" w:before="151"/>
        <w:ind w:left="307"/>
      </w:pPr>
      <w:r>
        <w:rPr/>
        <w:br w:type="column"/>
      </w:r>
      <w:r>
        <w:rPr/>
        <w:t>(3.23)</w:t>
      </w:r>
    </w:p>
    <w:p>
      <w:pPr>
        <w:spacing w:after="0" w:line="211" w:lineRule="exact"/>
        <w:sectPr>
          <w:type w:val="continuous"/>
          <w:pgSz w:w="11910" w:h="16840"/>
          <w:pgMar w:top="1320" w:bottom="280" w:left="1680" w:right="980"/>
          <w:cols w:num="3" w:equalWidth="0">
            <w:col w:w="2404" w:space="40"/>
            <w:col w:w="562" w:space="4915"/>
            <w:col w:w="1329"/>
          </w:cols>
        </w:sectPr>
      </w:pPr>
    </w:p>
    <w:p>
      <w:pPr>
        <w:tabs>
          <w:tab w:pos="345" w:val="left" w:leader="none"/>
        </w:tabs>
        <w:spacing w:line="194" w:lineRule="exact" w:before="0"/>
        <w:ind w:left="0" w:right="0" w:firstLine="0"/>
        <w:jc w:val="right"/>
        <w:rPr>
          <w:rFonts w:ascii="Cambria Math" w:eastAsia="Cambria Math"/>
          <w:sz w:val="14"/>
        </w:rPr>
      </w:pPr>
      <w:r>
        <w:rPr>
          <w:rFonts w:ascii="Cambria Math" w:eastAsia="Cambria Math"/>
          <w:w w:val="105"/>
          <w:sz w:val="17"/>
        </w:rPr>
        <w:t>𝐼</w:t>
        <w:tab/>
        <w:t>𝑟</w:t>
      </w:r>
      <w:r>
        <w:rPr>
          <w:rFonts w:ascii="Cambria Math" w:eastAsia="Cambria Math"/>
          <w:w w:val="105"/>
          <w:position w:val="-2"/>
          <w:sz w:val="14"/>
        </w:rPr>
        <w:t>1</w:t>
      </w:r>
    </w:p>
    <w:p>
      <w:pPr>
        <w:spacing w:line="194" w:lineRule="exact" w:before="0"/>
        <w:ind w:left="251" w:right="0" w:firstLine="0"/>
        <w:jc w:val="left"/>
        <w:rPr>
          <w:rFonts w:ascii="Cambria Math" w:eastAsia="Cambria Math"/>
          <w:sz w:val="14"/>
        </w:rPr>
      </w:pPr>
      <w:r>
        <w:rPr/>
        <w:br w:type="column"/>
      </w:r>
      <w:r>
        <w:rPr>
          <w:rFonts w:ascii="Cambria Math" w:eastAsia="Cambria Math"/>
          <w:spacing w:val="-5"/>
          <w:w w:val="105"/>
          <w:sz w:val="17"/>
        </w:rPr>
        <w:t>𝑟</w:t>
      </w:r>
      <w:r>
        <w:rPr>
          <w:rFonts w:ascii="Cambria Math" w:eastAsia="Cambria Math"/>
          <w:spacing w:val="-5"/>
          <w:w w:val="105"/>
          <w:position w:val="-2"/>
          <w:sz w:val="14"/>
        </w:rPr>
        <w:t>2</w:t>
      </w:r>
    </w:p>
    <w:p>
      <w:pPr>
        <w:spacing w:line="194" w:lineRule="exact" w:before="0"/>
        <w:ind w:left="254" w:right="0" w:firstLine="0"/>
        <w:jc w:val="left"/>
        <w:rPr>
          <w:rFonts w:ascii="Cambria Math" w:eastAsia="Cambria Math"/>
          <w:sz w:val="14"/>
        </w:rPr>
      </w:pPr>
      <w:r>
        <w:rPr/>
        <w:br w:type="column"/>
      </w:r>
      <w:r>
        <w:rPr>
          <w:rFonts w:ascii="Cambria Math" w:eastAsia="Cambria Math"/>
          <w:spacing w:val="-6"/>
          <w:w w:val="110"/>
          <w:sz w:val="17"/>
        </w:rPr>
        <w:t>𝑟</w:t>
      </w:r>
      <w:r>
        <w:rPr>
          <w:rFonts w:ascii="Cambria Math" w:eastAsia="Cambria Math"/>
          <w:spacing w:val="-6"/>
          <w:w w:val="110"/>
          <w:position w:val="-2"/>
          <w:sz w:val="14"/>
        </w:rPr>
        <w:t>3</w:t>
      </w:r>
      <w:r>
        <w:rPr>
          <w:rFonts w:ascii="Cambria Math" w:eastAsia="Cambria Math"/>
          <w:spacing w:val="-1"/>
          <w:w w:val="110"/>
          <w:position w:val="-2"/>
          <w:sz w:val="14"/>
        </w:rPr>
        <w:t> </w:t>
      </w:r>
      <w:r>
        <w:rPr>
          <w:rFonts w:ascii="Cambria Math" w:eastAsia="Cambria Math"/>
          <w:spacing w:val="-6"/>
          <w:w w:val="110"/>
          <w:sz w:val="17"/>
        </w:rPr>
        <w:t>𝑟</w:t>
      </w:r>
      <w:r>
        <w:rPr>
          <w:rFonts w:ascii="Cambria Math" w:eastAsia="Cambria Math"/>
          <w:spacing w:val="-6"/>
          <w:w w:val="110"/>
          <w:position w:val="-2"/>
          <w:sz w:val="14"/>
        </w:rPr>
        <w:t>4</w:t>
      </w:r>
    </w:p>
    <w:p>
      <w:pPr>
        <w:spacing w:after="0" w:line="194" w:lineRule="exact"/>
        <w:jc w:val="left"/>
        <w:rPr>
          <w:rFonts w:ascii="Cambria Math" w:eastAsia="Cambria Math"/>
          <w:sz w:val="14"/>
        </w:rPr>
        <w:sectPr>
          <w:type w:val="continuous"/>
          <w:pgSz w:w="11910" w:h="16840"/>
          <w:pgMar w:top="1320" w:bottom="280" w:left="1680" w:right="980"/>
          <w:cols w:num="3" w:equalWidth="0">
            <w:col w:w="1531" w:space="40"/>
            <w:col w:w="409" w:space="39"/>
            <w:col w:w="7231"/>
          </w:cols>
        </w:sectPr>
      </w:pPr>
    </w:p>
    <w:p>
      <w:pPr>
        <w:pStyle w:val="BodyText"/>
        <w:spacing w:before="1"/>
        <w:rPr>
          <w:rFonts w:ascii="Cambria Math"/>
          <w:sz w:val="25"/>
        </w:rPr>
      </w:pPr>
    </w:p>
    <w:p>
      <w:pPr>
        <w:spacing w:after="0"/>
        <w:rPr>
          <w:rFonts w:ascii="Cambria Math"/>
          <w:sz w:val="25"/>
        </w:rPr>
        <w:sectPr>
          <w:type w:val="continuous"/>
          <w:pgSz w:w="11910" w:h="16840"/>
          <w:pgMar w:top="1320" w:bottom="280" w:left="1680" w:right="980"/>
        </w:sectPr>
      </w:pPr>
    </w:p>
    <w:p>
      <w:pPr>
        <w:spacing w:line="168" w:lineRule="auto" w:before="97"/>
        <w:ind w:left="307" w:right="0" w:firstLine="0"/>
        <w:jc w:val="left"/>
        <w:rPr>
          <w:rFonts w:ascii="Cambria Math" w:hAnsi="Cambria Math" w:eastAsia="Cambria Math"/>
          <w:sz w:val="17"/>
        </w:rPr>
      </w:pPr>
      <w:r>
        <w:rPr/>
        <w:pict>
          <v:rect style="position:absolute;margin-left:128.779999pt;margin-top:14.889955pt;width:17.760pt;height:.84003pt;mso-position-horizontal-relative:page;mso-position-vertical-relative:paragraph;z-index:-18501120" filled="true" fillcolor="#000000" stroked="false">
            <v:fill type="solid"/>
            <w10:wrap type="none"/>
          </v:rect>
        </w:pict>
      </w:r>
      <w:r>
        <w:rPr>
          <w:rFonts w:ascii="Cambria Math" w:hAnsi="Cambria Math" w:eastAsia="Cambria Math"/>
          <w:position w:val="-13"/>
          <w:sz w:val="24"/>
        </w:rPr>
        <w:t>𝜌𝑎</w:t>
      </w:r>
      <w:r>
        <w:rPr>
          <w:rFonts w:ascii="Cambria Math" w:hAnsi="Cambria Math" w:eastAsia="Cambria Math"/>
          <w:spacing w:val="24"/>
          <w:position w:val="-13"/>
          <w:sz w:val="24"/>
        </w:rPr>
        <w:t> </w:t>
      </w:r>
      <w:r>
        <w:rPr>
          <w:rFonts w:ascii="Cambria Math" w:hAnsi="Cambria Math" w:eastAsia="Cambria Math"/>
          <w:position w:val="-13"/>
          <w:sz w:val="24"/>
        </w:rPr>
        <w:t>=</w:t>
      </w:r>
      <w:r>
        <w:rPr>
          <w:rFonts w:ascii="Cambria Math" w:hAnsi="Cambria Math" w:eastAsia="Cambria Math"/>
          <w:spacing w:val="20"/>
          <w:position w:val="-13"/>
          <w:sz w:val="24"/>
        </w:rPr>
        <w:t> </w:t>
      </w:r>
      <w:r>
        <w:rPr>
          <w:rFonts w:ascii="Cambria Math" w:hAnsi="Cambria Math" w:eastAsia="Cambria Math"/>
          <w:sz w:val="17"/>
        </w:rPr>
        <w:t>𝐾∆𝑈</w:t>
      </w:r>
    </w:p>
    <w:p>
      <w:pPr>
        <w:spacing w:line="162" w:lineRule="exact" w:before="0"/>
        <w:ind w:left="0" w:right="181" w:firstLine="0"/>
        <w:jc w:val="right"/>
        <w:rPr>
          <w:rFonts w:ascii="Cambria Math" w:eastAsia="Cambria Math"/>
          <w:sz w:val="17"/>
        </w:rPr>
      </w:pPr>
      <w:r>
        <w:rPr>
          <w:rFonts w:ascii="Cambria Math" w:eastAsia="Cambria Math"/>
          <w:w w:val="105"/>
          <w:sz w:val="17"/>
        </w:rPr>
        <w:t>𝐼</w:t>
      </w:r>
    </w:p>
    <w:p>
      <w:pPr>
        <w:pStyle w:val="BodyText"/>
        <w:spacing w:before="150"/>
        <w:ind w:left="307"/>
      </w:pPr>
      <w:r>
        <w:rPr/>
        <w:br w:type="column"/>
      </w:r>
      <w:r>
        <w:rPr/>
        <w:t>(3.24)</w:t>
      </w:r>
    </w:p>
    <w:p>
      <w:pPr>
        <w:spacing w:after="0"/>
        <w:sectPr>
          <w:type w:val="continuous"/>
          <w:pgSz w:w="11910" w:h="16840"/>
          <w:pgMar w:top="1320" w:bottom="280" w:left="1680" w:right="980"/>
          <w:cols w:num="2" w:equalWidth="0">
            <w:col w:w="1287" w:space="6634"/>
            <w:col w:w="1329"/>
          </w:cols>
        </w:sectPr>
      </w:pPr>
    </w:p>
    <w:p>
      <w:pPr>
        <w:pStyle w:val="BodyText"/>
        <w:spacing w:before="2"/>
        <w:rPr>
          <w:sz w:val="23"/>
        </w:rPr>
      </w:pPr>
    </w:p>
    <w:p>
      <w:pPr>
        <w:pStyle w:val="BodyText"/>
        <w:spacing w:before="90"/>
        <w:ind w:left="307"/>
      </w:pPr>
      <w:r>
        <w:rPr/>
        <w:t>where</w:t>
      </w:r>
    </w:p>
    <w:p>
      <w:pPr>
        <w:spacing w:after="0"/>
        <w:sectPr>
          <w:type w:val="continuous"/>
          <w:pgSz w:w="11910" w:h="16840"/>
          <w:pgMar w:top="1320" w:bottom="280" w:left="1680" w:right="980"/>
        </w:sectPr>
      </w:pPr>
    </w:p>
    <w:p>
      <w:pPr>
        <w:pStyle w:val="BodyText"/>
        <w:spacing w:line="289" w:lineRule="exact" w:before="52"/>
        <w:ind w:left="307"/>
        <w:rPr>
          <w:rFonts w:ascii="Cambria Math" w:eastAsia="Cambria Math"/>
          <w:sz w:val="17"/>
        </w:rPr>
      </w:pPr>
      <w:r>
        <w:rPr/>
        <w:pict>
          <v:rect style="position:absolute;margin-left:142.820007pt;margin-top:13.836667pt;width:8.16pt;height:.84pt;mso-position-horizontal-relative:page;mso-position-vertical-relative:paragraph;z-index:-18500608" filled="true" fillcolor="#000000" stroked="false">
            <v:fill type="solid"/>
            <w10:wrap type="none"/>
          </v:rect>
        </w:pict>
      </w:r>
      <w:r>
        <w:rPr/>
        <w:pict>
          <v:rect style="position:absolute;margin-left:165.259995pt;margin-top:13.836667pt;width:8.16pt;height:.84pt;mso-position-horizontal-relative:page;mso-position-vertical-relative:paragraph;z-index:-18500096" filled="true" fillcolor="#000000" stroked="false">
            <v:fill type="solid"/>
            <w10:wrap type="none"/>
          </v:rect>
        </w:pict>
      </w:r>
      <w:r>
        <w:rPr/>
        <w:pict>
          <v:shape style="position:absolute;margin-left:187.730011pt;margin-top:13.836632pt;width:18.4pt;height:.85pt;mso-position-horizontal-relative:page;mso-position-vertical-relative:paragraph;z-index:-18499584" coordorigin="3755,277" coordsize="368,17" path="m3918,277l3755,277,3755,294,3918,294,3918,277xm4122,277l3959,277,3959,294,4122,294,4122,277xe" filled="true" fillcolor="#000000" stroked="false">
            <v:path arrowok="t"/>
            <v:fill type="solid"/>
            <w10:wrap type="none"/>
          </v:shape>
        </w:pict>
      </w:r>
      <w:r>
        <w:rPr>
          <w:rFonts w:ascii="Cambria Math" w:eastAsia="Cambria Math"/>
          <w:spacing w:val="-2"/>
        </w:rPr>
        <w:t>𝐾</w:t>
      </w:r>
      <w:r>
        <w:rPr>
          <w:rFonts w:ascii="Cambria Math" w:eastAsia="Cambria Math"/>
          <w:spacing w:val="21"/>
        </w:rPr>
        <w:t> </w:t>
      </w:r>
      <w:r>
        <w:rPr>
          <w:rFonts w:ascii="Cambria Math" w:eastAsia="Cambria Math"/>
          <w:spacing w:val="-2"/>
        </w:rPr>
        <w:t>=</w:t>
      </w:r>
      <w:r>
        <w:rPr>
          <w:rFonts w:ascii="Cambria Math" w:eastAsia="Cambria Math"/>
          <w:spacing w:val="12"/>
        </w:rPr>
        <w:t> </w:t>
      </w:r>
      <w:r>
        <w:rPr>
          <w:rFonts w:ascii="Cambria Math" w:eastAsia="Cambria Math"/>
          <w:spacing w:val="-1"/>
        </w:rPr>
        <w:t>2𝜋(</w:t>
      </w:r>
      <w:r>
        <w:rPr>
          <w:rFonts w:ascii="Cambria Math" w:eastAsia="Cambria Math"/>
          <w:spacing w:val="-21"/>
        </w:rPr>
        <w:t> </w:t>
      </w:r>
      <w:r>
        <w:rPr>
          <w:rFonts w:ascii="Cambria Math" w:eastAsia="Cambria Math"/>
          <w:spacing w:val="-1"/>
          <w:position w:val="14"/>
          <w:sz w:val="17"/>
        </w:rPr>
        <w:t>1</w:t>
      </w:r>
    </w:p>
    <w:p>
      <w:pPr>
        <w:spacing w:line="158" w:lineRule="auto" w:before="79"/>
        <w:ind w:left="46" w:right="0" w:firstLine="0"/>
        <w:jc w:val="left"/>
        <w:rPr>
          <w:rFonts w:ascii="Cambria Math" w:hAnsi="Cambria Math"/>
          <w:sz w:val="17"/>
        </w:rPr>
      </w:pPr>
      <w:r>
        <w:rPr/>
        <w:br w:type="column"/>
      </w:r>
      <w:r>
        <w:rPr>
          <w:rFonts w:ascii="Cambria Math" w:hAnsi="Cambria Math"/>
          <w:position w:val="-13"/>
          <w:sz w:val="24"/>
        </w:rPr>
        <w:t>−</w:t>
      </w:r>
      <w:r>
        <w:rPr>
          <w:rFonts w:ascii="Cambria Math" w:hAnsi="Cambria Math"/>
          <w:spacing w:val="28"/>
          <w:position w:val="-13"/>
          <w:sz w:val="24"/>
        </w:rPr>
        <w:t> </w:t>
      </w:r>
      <w:r>
        <w:rPr>
          <w:rFonts w:ascii="Cambria Math" w:hAnsi="Cambria Math"/>
          <w:sz w:val="17"/>
        </w:rPr>
        <w:t>1</w:t>
      </w:r>
      <w:r>
        <w:rPr>
          <w:rFonts w:ascii="Cambria Math" w:hAnsi="Cambria Math"/>
          <w:spacing w:val="45"/>
          <w:sz w:val="17"/>
        </w:rPr>
        <w:t> </w:t>
      </w:r>
      <w:r>
        <w:rPr>
          <w:rFonts w:ascii="Cambria Math" w:hAnsi="Cambria Math"/>
          <w:position w:val="-13"/>
          <w:sz w:val="24"/>
        </w:rPr>
        <w:t>−</w:t>
      </w:r>
      <w:r>
        <w:rPr>
          <w:rFonts w:ascii="Cambria Math" w:hAnsi="Cambria Math"/>
          <w:spacing w:val="29"/>
          <w:position w:val="-13"/>
          <w:sz w:val="24"/>
        </w:rPr>
        <w:t> </w:t>
      </w:r>
      <w:r>
        <w:rPr>
          <w:rFonts w:ascii="Cambria Math" w:hAnsi="Cambria Math"/>
          <w:sz w:val="17"/>
        </w:rPr>
        <w:t>1</w:t>
      </w:r>
    </w:p>
    <w:p>
      <w:pPr>
        <w:spacing w:line="288" w:lineRule="exact" w:before="53"/>
        <w:ind w:left="65" w:right="0" w:firstLine="0"/>
        <w:jc w:val="left"/>
        <w:rPr>
          <w:rFonts w:ascii="Cambria Math" w:hAnsi="Cambria Math"/>
          <w:sz w:val="17"/>
        </w:rPr>
      </w:pPr>
      <w:r>
        <w:rPr/>
        <w:br w:type="column"/>
      </w:r>
      <w:r>
        <w:rPr>
          <w:rFonts w:ascii="Cambria Math" w:hAnsi="Cambria Math"/>
          <w:position w:val="5"/>
          <w:sz w:val="17"/>
        </w:rPr>
        <w:t>1</w:t>
      </w:r>
      <w:r>
        <w:rPr>
          <w:rFonts w:ascii="Cambria Math" w:hAnsi="Cambria Math"/>
          <w:spacing w:val="2"/>
          <w:position w:val="5"/>
          <w:sz w:val="17"/>
        </w:rPr>
        <w:t> </w:t>
      </w:r>
      <w:r>
        <w:rPr>
          <w:rFonts w:ascii="Cambria Math" w:hAnsi="Cambria Math"/>
          <w:position w:val="-8"/>
          <w:sz w:val="24"/>
        </w:rPr>
        <w:t>)</w:t>
      </w:r>
      <w:r>
        <w:rPr>
          <w:rFonts w:ascii="Cambria Math" w:hAnsi="Cambria Math"/>
          <w:sz w:val="17"/>
        </w:rPr>
        <w:t>−1</w:t>
      </w:r>
    </w:p>
    <w:p>
      <w:pPr>
        <w:pStyle w:val="BodyText"/>
        <w:spacing w:line="212" w:lineRule="exact" w:before="129"/>
        <w:ind w:left="307"/>
      </w:pPr>
      <w:r>
        <w:rPr/>
        <w:br w:type="column"/>
      </w:r>
      <w:r>
        <w:rPr/>
        <w:t>(3.25)</w:t>
      </w:r>
    </w:p>
    <w:p>
      <w:pPr>
        <w:spacing w:after="0" w:line="212" w:lineRule="exact"/>
        <w:sectPr>
          <w:pgSz w:w="11910" w:h="16840"/>
          <w:pgMar w:header="0" w:footer="1067" w:top="1320" w:bottom="1260" w:left="1680" w:right="980"/>
          <w:cols w:num="4" w:equalWidth="0">
            <w:col w:w="1307" w:space="40"/>
            <w:col w:w="859" w:space="39"/>
            <w:col w:w="562" w:space="5114"/>
            <w:col w:w="1329"/>
          </w:cols>
        </w:sectPr>
      </w:pPr>
    </w:p>
    <w:p>
      <w:pPr>
        <w:spacing w:line="194" w:lineRule="exact" w:before="0"/>
        <w:ind w:left="0" w:right="0" w:firstLine="0"/>
        <w:jc w:val="right"/>
        <w:rPr>
          <w:rFonts w:ascii="Cambria Math" w:eastAsia="Cambria Math"/>
          <w:sz w:val="14"/>
        </w:rPr>
      </w:pPr>
      <w:r>
        <w:rPr>
          <w:rFonts w:ascii="Cambria Math" w:eastAsia="Cambria Math"/>
          <w:w w:val="110"/>
          <w:sz w:val="17"/>
        </w:rPr>
        <w:t>𝑟</w:t>
      </w:r>
      <w:r>
        <w:rPr>
          <w:rFonts w:ascii="Cambria Math" w:eastAsia="Cambria Math"/>
          <w:w w:val="110"/>
          <w:position w:val="-2"/>
          <w:sz w:val="14"/>
        </w:rPr>
        <w:t>1</w:t>
      </w:r>
    </w:p>
    <w:p>
      <w:pPr>
        <w:spacing w:line="194" w:lineRule="exact" w:before="0"/>
        <w:ind w:left="251" w:right="0" w:firstLine="0"/>
        <w:jc w:val="left"/>
        <w:rPr>
          <w:rFonts w:ascii="Cambria Math" w:eastAsia="Cambria Math"/>
          <w:sz w:val="14"/>
        </w:rPr>
      </w:pPr>
      <w:r>
        <w:rPr/>
        <w:br w:type="column"/>
      </w:r>
      <w:r>
        <w:rPr>
          <w:rFonts w:ascii="Cambria Math" w:eastAsia="Cambria Math"/>
          <w:spacing w:val="-5"/>
          <w:w w:val="105"/>
          <w:sz w:val="17"/>
        </w:rPr>
        <w:t>𝑟</w:t>
      </w:r>
      <w:r>
        <w:rPr>
          <w:rFonts w:ascii="Cambria Math" w:eastAsia="Cambria Math"/>
          <w:spacing w:val="-5"/>
          <w:w w:val="105"/>
          <w:position w:val="-2"/>
          <w:sz w:val="14"/>
        </w:rPr>
        <w:t>2</w:t>
      </w:r>
    </w:p>
    <w:p>
      <w:pPr>
        <w:spacing w:line="194" w:lineRule="exact" w:before="0"/>
        <w:ind w:left="252" w:right="0" w:firstLine="0"/>
        <w:jc w:val="left"/>
        <w:rPr>
          <w:rFonts w:ascii="Cambria Math" w:eastAsia="Cambria Math"/>
          <w:sz w:val="14"/>
        </w:rPr>
      </w:pPr>
      <w:r>
        <w:rPr/>
        <w:br w:type="column"/>
      </w:r>
      <w:r>
        <w:rPr>
          <w:rFonts w:ascii="Cambria Math" w:eastAsia="Cambria Math"/>
          <w:spacing w:val="-5"/>
          <w:w w:val="110"/>
          <w:sz w:val="17"/>
        </w:rPr>
        <w:t>𝑟</w:t>
      </w:r>
      <w:r>
        <w:rPr>
          <w:rFonts w:ascii="Cambria Math" w:eastAsia="Cambria Math"/>
          <w:spacing w:val="-5"/>
          <w:w w:val="110"/>
          <w:position w:val="-2"/>
          <w:sz w:val="14"/>
        </w:rPr>
        <w:t>3</w:t>
      </w:r>
      <w:r>
        <w:rPr>
          <w:rFonts w:ascii="Cambria Math" w:eastAsia="Cambria Math"/>
          <w:spacing w:val="-2"/>
          <w:w w:val="110"/>
          <w:position w:val="-2"/>
          <w:sz w:val="14"/>
        </w:rPr>
        <w:t> </w:t>
      </w:r>
      <w:r>
        <w:rPr>
          <w:rFonts w:ascii="Cambria Math" w:eastAsia="Cambria Math"/>
          <w:spacing w:val="-5"/>
          <w:w w:val="110"/>
          <w:sz w:val="17"/>
        </w:rPr>
        <w:t>𝑟</w:t>
      </w:r>
      <w:r>
        <w:rPr>
          <w:rFonts w:ascii="Cambria Math" w:eastAsia="Cambria Math"/>
          <w:spacing w:val="-5"/>
          <w:w w:val="110"/>
          <w:position w:val="-2"/>
          <w:sz w:val="14"/>
        </w:rPr>
        <w:t>4</w:t>
      </w:r>
    </w:p>
    <w:p>
      <w:pPr>
        <w:spacing w:after="0" w:line="194" w:lineRule="exact"/>
        <w:jc w:val="left"/>
        <w:rPr>
          <w:rFonts w:ascii="Cambria Math" w:eastAsia="Cambria Math"/>
          <w:sz w:val="14"/>
        </w:rPr>
        <w:sectPr>
          <w:type w:val="continuous"/>
          <w:pgSz w:w="11910" w:h="16840"/>
          <w:pgMar w:top="1320" w:bottom="280" w:left="1680" w:right="980"/>
          <w:cols w:num="3" w:equalWidth="0">
            <w:col w:w="1334" w:space="40"/>
            <w:col w:w="409" w:space="39"/>
            <w:col w:w="7428"/>
          </w:cols>
        </w:sectPr>
      </w:pPr>
    </w:p>
    <w:p>
      <w:pPr>
        <w:pStyle w:val="BodyText"/>
        <w:spacing w:before="10"/>
        <w:rPr>
          <w:rFonts w:ascii="Cambria Math"/>
          <w:sz w:val="23"/>
        </w:rPr>
      </w:pPr>
    </w:p>
    <w:p>
      <w:pPr>
        <w:pStyle w:val="BodyText"/>
        <w:spacing w:before="90"/>
        <w:ind w:left="307"/>
        <w:jc w:val="both"/>
      </w:pPr>
      <w:r>
        <w:rPr/>
        <w:t>Equation</w:t>
      </w:r>
      <w:r>
        <w:rPr>
          <w:spacing w:val="-1"/>
        </w:rPr>
        <w:t> </w:t>
      </w:r>
      <w:r>
        <w:rPr/>
        <w:t>(3.24)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known as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geometric factor.</w:t>
      </w:r>
    </w:p>
    <w:p>
      <w:pPr>
        <w:pStyle w:val="BodyText"/>
      </w:pPr>
    </w:p>
    <w:p>
      <w:pPr>
        <w:pStyle w:val="BodyText"/>
        <w:spacing w:line="480" w:lineRule="auto"/>
        <w:ind w:left="307" w:right="431"/>
        <w:jc w:val="both"/>
      </w:pPr>
      <w:r>
        <w:rPr/>
        <w:t>In</w:t>
      </w:r>
      <w:r>
        <w:rPr>
          <w:spacing w:val="1"/>
        </w:rPr>
        <w:t> </w:t>
      </w:r>
      <w:r>
        <w:rPr/>
        <w:t>usual</w:t>
      </w:r>
      <w:r>
        <w:rPr>
          <w:spacing w:val="1"/>
        </w:rPr>
        <w:t> </w:t>
      </w:r>
      <w:r>
        <w:rPr/>
        <w:t>field</w:t>
      </w:r>
      <w:r>
        <w:rPr>
          <w:spacing w:val="1"/>
        </w:rPr>
        <w:t> </w:t>
      </w:r>
      <w:r>
        <w:rPr/>
        <w:t>operations,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potential</w:t>
      </w:r>
      <w:r>
        <w:rPr>
          <w:spacing w:val="1"/>
        </w:rPr>
        <w:t> </w:t>
      </w:r>
      <w:r>
        <w:rPr/>
        <w:t>electrodes</w:t>
      </w:r>
      <w:r>
        <w:rPr>
          <w:spacing w:val="1"/>
        </w:rPr>
        <w:t> </w:t>
      </w:r>
      <w:r>
        <w:rPr/>
        <w:t>remain</w:t>
      </w:r>
      <w:r>
        <w:rPr>
          <w:spacing w:val="1"/>
        </w:rPr>
        <w:t> </w:t>
      </w:r>
      <w:r>
        <w:rPr/>
        <w:t>fixed,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current</w:t>
      </w:r>
      <w:r>
        <w:rPr>
          <w:spacing w:val="1"/>
        </w:rPr>
        <w:t> </w:t>
      </w:r>
      <w:r>
        <w:rPr/>
        <w:t>electrodes are adjusted to vary the distance </w:t>
      </w:r>
      <w:r>
        <w:rPr>
          <w:i/>
        </w:rPr>
        <w:t>s</w:t>
      </w:r>
      <w:r>
        <w:rPr/>
        <w:t>. The spacing </w:t>
      </w:r>
      <w:r>
        <w:rPr>
          <w:i/>
        </w:rPr>
        <w:t>a </w:t>
      </w:r>
      <w:r>
        <w:rPr/>
        <w:t>is however, adjusted when</w:t>
      </w:r>
      <w:r>
        <w:rPr>
          <w:spacing w:val="1"/>
        </w:rPr>
        <w:t> </w:t>
      </w:r>
      <w:r>
        <w:rPr/>
        <w:t>decreasing sensitivity of measurement is noticed. An electrode array with a constant</w:t>
      </w:r>
      <w:r>
        <w:rPr>
          <w:spacing w:val="1"/>
        </w:rPr>
        <w:t> </w:t>
      </w:r>
      <w:r>
        <w:rPr/>
        <w:t>spacing is used to investigate lateral changes in apparent resistivity reflecting lateral</w:t>
      </w:r>
      <w:r>
        <w:rPr>
          <w:spacing w:val="1"/>
        </w:rPr>
        <w:t> </w:t>
      </w:r>
      <w:r>
        <w:rPr/>
        <w:t>geologic</w:t>
      </w:r>
      <w:r>
        <w:rPr>
          <w:spacing w:val="-1"/>
        </w:rPr>
        <w:t> </w:t>
      </w:r>
      <w:r>
        <w:rPr/>
        <w:t>variability</w:t>
      </w:r>
      <w:r>
        <w:rPr>
          <w:spacing w:val="-6"/>
        </w:rPr>
        <w:t> </w:t>
      </w:r>
      <w:r>
        <w:rPr/>
        <w:t>or localized</w:t>
      </w:r>
      <w:r>
        <w:rPr>
          <w:spacing w:val="-1"/>
        </w:rPr>
        <w:t> </w:t>
      </w:r>
      <w:r>
        <w:rPr/>
        <w:t>anomalous features</w:t>
      </w:r>
      <w:r>
        <w:rPr>
          <w:spacing w:val="-1"/>
        </w:rPr>
        <w:t> </w:t>
      </w:r>
      <w:r>
        <w:rPr/>
        <w:t>(Tsepav</w:t>
      </w:r>
      <w:r>
        <w:rPr>
          <w:spacing w:val="2"/>
        </w:rPr>
        <w:t> </w:t>
      </w:r>
      <w:r>
        <w:rPr/>
        <w:t>and</w:t>
      </w:r>
      <w:r>
        <w:rPr>
          <w:spacing w:val="1"/>
        </w:rPr>
        <w:t> </w:t>
      </w:r>
      <w:r>
        <w:rPr/>
        <w:t>Israel, 2011).</w:t>
      </w:r>
    </w:p>
    <w:p>
      <w:pPr>
        <w:pStyle w:val="Heading2"/>
        <w:numPr>
          <w:ilvl w:val="1"/>
          <w:numId w:val="8"/>
        </w:numPr>
        <w:tabs>
          <w:tab w:pos="1028" w:val="left" w:leader="none"/>
        </w:tabs>
        <w:spacing w:line="240" w:lineRule="auto" w:before="126" w:after="0"/>
        <w:ind w:left="1027" w:right="0" w:hanging="721"/>
        <w:jc w:val="both"/>
      </w:pPr>
      <w:r>
        <w:rPr/>
        <w:t>Vertical</w:t>
      </w:r>
      <w:r>
        <w:rPr>
          <w:spacing w:val="-2"/>
        </w:rPr>
        <w:t> </w:t>
      </w:r>
      <w:r>
        <w:rPr/>
        <w:t>Electrical</w:t>
      </w:r>
      <w:r>
        <w:rPr>
          <w:spacing w:val="-2"/>
        </w:rPr>
        <w:t> </w:t>
      </w:r>
      <w:r>
        <w:rPr/>
        <w:t>Sounding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307" w:right="426"/>
        <w:jc w:val="both"/>
      </w:pPr>
      <w:r>
        <w:rPr/>
        <w:t>Vertical</w:t>
      </w:r>
      <w:r>
        <w:rPr>
          <w:spacing w:val="1"/>
        </w:rPr>
        <w:t> </w:t>
      </w:r>
      <w:r>
        <w:rPr/>
        <w:t>electrical</w:t>
      </w:r>
      <w:r>
        <w:rPr>
          <w:spacing w:val="1"/>
        </w:rPr>
        <w:t> </w:t>
      </w:r>
      <w:r>
        <w:rPr/>
        <w:t>sounding</w:t>
      </w:r>
      <w:r>
        <w:rPr>
          <w:spacing w:val="1"/>
        </w:rPr>
        <w:t> </w:t>
      </w:r>
      <w:r>
        <w:rPr/>
        <w:t>(VES)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made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four</w:t>
      </w:r>
      <w:r>
        <w:rPr>
          <w:spacing w:val="1"/>
        </w:rPr>
        <w:t> </w:t>
      </w:r>
      <w:r>
        <w:rPr/>
        <w:t>electrode</w:t>
      </w:r>
      <w:r>
        <w:rPr>
          <w:spacing w:val="1"/>
        </w:rPr>
        <w:t> </w:t>
      </w:r>
      <w:r>
        <w:rPr/>
        <w:t>configuration</w:t>
      </w:r>
      <w:r>
        <w:rPr>
          <w:spacing w:val="1"/>
        </w:rPr>
        <w:t> </w:t>
      </w:r>
      <w:r>
        <w:rPr/>
        <w:t>commonly referred to as the Schlumberger array (Bullard </w:t>
      </w:r>
      <w:r>
        <w:rPr>
          <w:i/>
        </w:rPr>
        <w:t>et al., </w:t>
      </w:r>
      <w:r>
        <w:rPr/>
        <w:t>1966). The method uses</w:t>
      </w:r>
      <w:r>
        <w:rPr>
          <w:spacing w:val="-57"/>
        </w:rPr>
        <w:t> </w:t>
      </w:r>
      <w:r>
        <w:rPr/>
        <w:t>four in-line electrodes; the inner pair for recording electrical potential as a current is</w:t>
      </w:r>
      <w:r>
        <w:rPr>
          <w:spacing w:val="1"/>
        </w:rPr>
        <w:t> </w:t>
      </w:r>
      <w:r>
        <w:rPr/>
        <w:t>passed through</w:t>
      </w:r>
      <w:r>
        <w:rPr>
          <w:spacing w:val="1"/>
        </w:rPr>
        <w:t> </w:t>
      </w:r>
      <w:r>
        <w:rPr/>
        <w:t>the outer pair.</w:t>
      </w:r>
      <w:r>
        <w:rPr>
          <w:spacing w:val="1"/>
        </w:rPr>
        <w:t> </w:t>
      </w:r>
      <w:r>
        <w:rPr/>
        <w:t>Measurements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be made in</w:t>
      </w:r>
      <w:r>
        <w:rPr>
          <w:spacing w:val="1"/>
        </w:rPr>
        <w:t> </w:t>
      </w:r>
      <w:r>
        <w:rPr/>
        <w:t>a series</w:t>
      </w:r>
      <w:r>
        <w:rPr>
          <w:spacing w:val="1"/>
        </w:rPr>
        <w:t> </w:t>
      </w:r>
      <w:r>
        <w:rPr/>
        <w:t>of readings</w:t>
      </w:r>
      <w:r>
        <w:rPr>
          <w:spacing w:val="1"/>
        </w:rPr>
        <w:t> </w:t>
      </w:r>
      <w:r>
        <w:rPr/>
        <w:t>involving successively larger current electrodes separations. The data is plotted on a</w:t>
      </w:r>
      <w:r>
        <w:rPr>
          <w:spacing w:val="1"/>
        </w:rPr>
        <w:t> </w:t>
      </w:r>
      <w:r>
        <w:rPr/>
        <w:t>logarithmic</w:t>
      </w:r>
      <w:r>
        <w:rPr>
          <w:spacing w:val="1"/>
        </w:rPr>
        <w:t> </w:t>
      </w:r>
      <w:r>
        <w:rPr/>
        <w:t>scale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produce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sounding</w:t>
      </w:r>
      <w:r>
        <w:rPr>
          <w:spacing w:val="1"/>
        </w:rPr>
        <w:t> </w:t>
      </w:r>
      <w:r>
        <w:rPr/>
        <w:t>curve</w:t>
      </w:r>
      <w:r>
        <w:rPr>
          <w:spacing w:val="1"/>
        </w:rPr>
        <w:t> </w:t>
      </w:r>
      <w:r>
        <w:rPr/>
        <w:t>representing</w:t>
      </w:r>
      <w:r>
        <w:rPr>
          <w:spacing w:val="1"/>
        </w:rPr>
        <w:t> </w:t>
      </w:r>
      <w:r>
        <w:rPr/>
        <w:t>apparent</w:t>
      </w:r>
      <w:r>
        <w:rPr>
          <w:spacing w:val="60"/>
        </w:rPr>
        <w:t> </w:t>
      </w:r>
      <w:r>
        <w:rPr/>
        <w:t>resistivity</w:t>
      </w:r>
      <w:r>
        <w:rPr>
          <w:spacing w:val="1"/>
        </w:rPr>
        <w:t> </w:t>
      </w:r>
      <w:r>
        <w:rPr/>
        <w:t>variations as a function of half current-electrode separation (AB/2). For Schlumberger</w:t>
      </w:r>
      <w:r>
        <w:rPr>
          <w:spacing w:val="1"/>
        </w:rPr>
        <w:t> </w:t>
      </w:r>
      <w:r>
        <w:rPr/>
        <w:t>sounding the greater the current, or outer electrode separation, the greater the depth of</w:t>
      </w:r>
      <w:r>
        <w:rPr>
          <w:spacing w:val="1"/>
        </w:rPr>
        <w:t> </w:t>
      </w:r>
      <w:r>
        <w:rPr/>
        <w:t>exploration. Each sounding curves has been inverted by use of a computer program to</w:t>
      </w:r>
      <w:r>
        <w:rPr>
          <w:spacing w:val="1"/>
        </w:rPr>
        <w:t> </w:t>
      </w:r>
      <w:r>
        <w:rPr/>
        <w:t>give a one-dimensional layered model (Zohdy,</w:t>
      </w:r>
      <w:r>
        <w:rPr>
          <w:spacing w:val="60"/>
        </w:rPr>
        <w:t> </w:t>
      </w:r>
      <w:r>
        <w:rPr/>
        <w:t>1973). Interpretation of the sounding</w:t>
      </w:r>
      <w:r>
        <w:rPr>
          <w:spacing w:val="1"/>
        </w:rPr>
        <w:t> </w:t>
      </w:r>
      <w:r>
        <w:rPr/>
        <w:t>data assumes homogeneous, horizontal layering; therefore, where lateral heterogeneities</w:t>
      </w:r>
      <w:r>
        <w:rPr>
          <w:spacing w:val="-57"/>
        </w:rPr>
        <w:t> </w:t>
      </w:r>
      <w:r>
        <w:rPr/>
        <w:t>in resistivity exist within the influence of the energizing current field, the sounding may</w:t>
      </w:r>
      <w:r>
        <w:rPr>
          <w:spacing w:val="1"/>
        </w:rPr>
        <w:t> </w:t>
      </w:r>
      <w:r>
        <w:rPr/>
        <w:t>exhibit distortions which, when present, the computer will model as horizontal layering.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distortions</w:t>
      </w:r>
      <w:r>
        <w:rPr>
          <w:spacing w:val="1"/>
        </w:rPr>
        <w:t> </w:t>
      </w:r>
      <w:r>
        <w:rPr/>
        <w:t>resulting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lateral</w:t>
      </w:r>
      <w:r>
        <w:rPr>
          <w:spacing w:val="1"/>
        </w:rPr>
        <w:t> </w:t>
      </w:r>
      <w:r>
        <w:rPr/>
        <w:t>variations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rock</w:t>
      </w:r>
      <w:r>
        <w:rPr>
          <w:spacing w:val="1"/>
        </w:rPr>
        <w:t> </w:t>
      </w:r>
      <w:r>
        <w:rPr/>
        <w:t>resistivity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always</w:t>
      </w:r>
      <w:r>
        <w:rPr>
          <w:spacing w:val="-57"/>
        </w:rPr>
        <w:t> </w:t>
      </w:r>
      <w:r>
        <w:rPr/>
        <w:t>recognizable</w:t>
      </w:r>
      <w:r>
        <w:rPr>
          <w:spacing w:val="-1"/>
        </w:rPr>
        <w:t> </w:t>
      </w:r>
      <w:r>
        <w:rPr/>
        <w:t>from shape</w:t>
      </w:r>
      <w:r>
        <w:rPr>
          <w:spacing w:val="1"/>
        </w:rPr>
        <w:t> </w:t>
      </w:r>
      <w:r>
        <w:rPr/>
        <w:t>of the</w:t>
      </w:r>
      <w:r>
        <w:rPr>
          <w:spacing w:val="-2"/>
        </w:rPr>
        <w:t> </w:t>
      </w:r>
      <w:r>
        <w:rPr/>
        <w:t>field curve.</w:t>
      </w:r>
    </w:p>
    <w:p>
      <w:pPr>
        <w:pStyle w:val="BodyText"/>
        <w:spacing w:line="480" w:lineRule="auto"/>
        <w:ind w:left="307" w:right="431"/>
        <w:jc w:val="both"/>
      </w:pPr>
      <w:r>
        <w:rPr/>
        <w:t>Vertical electrical sounding (VES) also called depth sounding or sometimes electrical</w:t>
      </w:r>
      <w:r>
        <w:rPr>
          <w:spacing w:val="1"/>
        </w:rPr>
        <w:t> </w:t>
      </w:r>
      <w:r>
        <w:rPr/>
        <w:t>drilling</w:t>
      </w:r>
      <w:r>
        <w:rPr>
          <w:spacing w:val="12"/>
        </w:rPr>
        <w:t> </w:t>
      </w:r>
      <w:r>
        <w:rPr/>
        <w:t>is</w:t>
      </w:r>
      <w:r>
        <w:rPr>
          <w:spacing w:val="15"/>
        </w:rPr>
        <w:t> </w:t>
      </w:r>
      <w:r>
        <w:rPr/>
        <w:t>used</w:t>
      </w:r>
      <w:r>
        <w:rPr>
          <w:spacing w:val="15"/>
        </w:rPr>
        <w:t> </w:t>
      </w:r>
      <w:r>
        <w:rPr/>
        <w:t>when</w:t>
      </w:r>
      <w:r>
        <w:rPr>
          <w:spacing w:val="14"/>
        </w:rPr>
        <w:t> </w:t>
      </w:r>
      <w:r>
        <w:rPr/>
        <w:t>the</w:t>
      </w:r>
      <w:r>
        <w:rPr>
          <w:spacing w:val="12"/>
        </w:rPr>
        <w:t> </w:t>
      </w:r>
      <w:r>
        <w:rPr/>
        <w:t>subsurface</w:t>
      </w:r>
      <w:r>
        <w:rPr>
          <w:spacing w:val="13"/>
        </w:rPr>
        <w:t> </w:t>
      </w:r>
      <w:r>
        <w:rPr/>
        <w:t>approximates</w:t>
      </w:r>
      <w:r>
        <w:rPr>
          <w:spacing w:val="15"/>
        </w:rPr>
        <w:t> </w:t>
      </w:r>
      <w:r>
        <w:rPr/>
        <w:t>to</w:t>
      </w:r>
      <w:r>
        <w:rPr>
          <w:spacing w:val="15"/>
        </w:rPr>
        <w:t> </w:t>
      </w:r>
      <w:r>
        <w:rPr/>
        <w:t>a</w:t>
      </w:r>
      <w:r>
        <w:rPr>
          <w:spacing w:val="14"/>
        </w:rPr>
        <w:t> </w:t>
      </w:r>
      <w:r>
        <w:rPr/>
        <w:t>series</w:t>
      </w:r>
      <w:r>
        <w:rPr>
          <w:spacing w:val="14"/>
        </w:rPr>
        <w:t> </w:t>
      </w:r>
      <w:r>
        <w:rPr/>
        <w:t>of</w:t>
      </w:r>
      <w:r>
        <w:rPr>
          <w:spacing w:val="14"/>
        </w:rPr>
        <w:t> </w:t>
      </w:r>
      <w:r>
        <w:rPr/>
        <w:t>horizontal</w:t>
      </w:r>
      <w:r>
        <w:rPr>
          <w:spacing w:val="15"/>
        </w:rPr>
        <w:t> </w:t>
      </w:r>
      <w:r>
        <w:rPr/>
        <w:t>layers,</w:t>
      </w:r>
      <w:r>
        <w:rPr>
          <w:spacing w:val="15"/>
        </w:rPr>
        <w:t> </w:t>
      </w:r>
      <w:r>
        <w:rPr/>
        <w:t>each</w:t>
      </w:r>
    </w:p>
    <w:p>
      <w:pPr>
        <w:spacing w:after="0" w:line="480" w:lineRule="auto"/>
        <w:jc w:val="both"/>
        <w:sectPr>
          <w:type w:val="continuous"/>
          <w:pgSz w:w="11910" w:h="16840"/>
          <w:pgMar w:top="1320" w:bottom="280" w:left="1680" w:right="980"/>
        </w:sectPr>
      </w:pPr>
    </w:p>
    <w:p>
      <w:pPr>
        <w:pStyle w:val="BodyText"/>
        <w:spacing w:line="480" w:lineRule="auto" w:before="64"/>
        <w:ind w:left="307" w:right="426"/>
        <w:jc w:val="both"/>
      </w:pPr>
      <w:r>
        <w:rPr/>
        <w:t>with a uniform but different resistivity. The essence of VES is to expand the electrode</w:t>
      </w:r>
      <w:r>
        <w:rPr>
          <w:spacing w:val="1"/>
        </w:rPr>
        <w:t> </w:t>
      </w:r>
      <w:r>
        <w:rPr/>
        <w:t>array</w:t>
      </w:r>
      <w:r>
        <w:rPr>
          <w:spacing w:val="8"/>
        </w:rPr>
        <w:t> </w:t>
      </w:r>
      <w:r>
        <w:rPr/>
        <w:t>from</w:t>
      </w:r>
      <w:r>
        <w:rPr>
          <w:spacing w:val="12"/>
        </w:rPr>
        <w:t> </w:t>
      </w:r>
      <w:r>
        <w:rPr/>
        <w:t>a</w:t>
      </w:r>
      <w:r>
        <w:rPr>
          <w:spacing w:val="13"/>
        </w:rPr>
        <w:t> </w:t>
      </w:r>
      <w:r>
        <w:rPr/>
        <w:t>fixed</w:t>
      </w:r>
      <w:r>
        <w:rPr>
          <w:spacing w:val="13"/>
        </w:rPr>
        <w:t> </w:t>
      </w:r>
      <w:r>
        <w:rPr/>
        <w:t>center.</w:t>
      </w:r>
      <w:r>
        <w:rPr>
          <w:spacing w:val="16"/>
        </w:rPr>
        <w:t> </w:t>
      </w:r>
      <w:r>
        <w:rPr/>
        <w:t>Though</w:t>
      </w:r>
      <w:r>
        <w:rPr>
          <w:spacing w:val="14"/>
        </w:rPr>
        <w:t> </w:t>
      </w:r>
      <w:r>
        <w:rPr/>
        <w:t>some</w:t>
      </w:r>
      <w:r>
        <w:rPr>
          <w:spacing w:val="12"/>
        </w:rPr>
        <w:t> </w:t>
      </w:r>
      <w:r>
        <w:rPr/>
        <w:t>current</w:t>
      </w:r>
      <w:r>
        <w:rPr>
          <w:spacing w:val="13"/>
        </w:rPr>
        <w:t> </w:t>
      </w:r>
      <w:r>
        <w:rPr/>
        <w:t>spreads</w:t>
      </w:r>
      <w:r>
        <w:rPr>
          <w:spacing w:val="14"/>
        </w:rPr>
        <w:t> </w:t>
      </w:r>
      <w:r>
        <w:rPr/>
        <w:t>down</w:t>
      </w:r>
      <w:r>
        <w:rPr>
          <w:spacing w:val="12"/>
        </w:rPr>
        <w:t> </w:t>
      </w:r>
      <w:r>
        <w:rPr/>
        <w:t>into</w:t>
      </w:r>
      <w:r>
        <w:rPr>
          <w:spacing w:val="13"/>
        </w:rPr>
        <w:t> </w:t>
      </w:r>
      <w:r>
        <w:rPr/>
        <w:t>all</w:t>
      </w:r>
      <w:r>
        <w:rPr>
          <w:spacing w:val="14"/>
        </w:rPr>
        <w:t> </w:t>
      </w:r>
      <w:r>
        <w:rPr/>
        <w:t>layers,</w:t>
      </w:r>
      <w:r>
        <w:rPr>
          <w:spacing w:val="12"/>
        </w:rPr>
        <w:t> </w:t>
      </w:r>
      <w:r>
        <w:rPr/>
        <w:t>nearly</w:t>
      </w:r>
      <w:r>
        <w:rPr>
          <w:spacing w:val="9"/>
        </w:rPr>
        <w:t> </w:t>
      </w:r>
      <w:r>
        <w:rPr/>
        <w:t>all</w:t>
      </w:r>
      <w:r>
        <w:rPr>
          <w:spacing w:val="-58"/>
        </w:rPr>
        <w:t> </w:t>
      </w:r>
      <w:r>
        <w:rPr/>
        <w:t>is on the top layer, so the resistivities of lower layers have negligible effect on the</w:t>
      </w:r>
      <w:r>
        <w:rPr>
          <w:spacing w:val="1"/>
        </w:rPr>
        <w:t> </w:t>
      </w:r>
      <w:r>
        <w:rPr/>
        <w:t>current paths or, therefore, on the readings. This is no longer true when the separation</w:t>
      </w:r>
      <w:r>
        <w:rPr>
          <w:spacing w:val="1"/>
        </w:rPr>
        <w:t> </w:t>
      </w:r>
      <w:r>
        <w:rPr/>
        <w:t>has been expanded to be comparable to, or larger than, the depth to the second layer and</w:t>
      </w:r>
      <w:r>
        <w:rPr>
          <w:spacing w:val="-57"/>
        </w:rPr>
        <w:t> </w:t>
      </w:r>
      <w:r>
        <w:rPr/>
        <w:t>then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presence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</w:t>
      </w:r>
      <w:r>
        <w:rPr/>
        <w:t>second</w:t>
      </w:r>
      <w:r>
        <w:rPr>
          <w:spacing w:val="-1"/>
        </w:rPr>
        <w:t> </w:t>
      </w:r>
      <w:r>
        <w:rPr/>
        <w:t>layer is detected</w:t>
      </w:r>
      <w:r>
        <w:rPr>
          <w:spacing w:val="2"/>
        </w:rPr>
        <w:t> </w:t>
      </w:r>
      <w:r>
        <w:rPr/>
        <w:t>(Telford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al., </w:t>
      </w:r>
      <w:r>
        <w:rPr/>
        <w:t>2011).</w:t>
      </w:r>
    </w:p>
    <w:p>
      <w:pPr>
        <w:pStyle w:val="Heading2"/>
        <w:numPr>
          <w:ilvl w:val="1"/>
          <w:numId w:val="8"/>
        </w:numPr>
        <w:tabs>
          <w:tab w:pos="1028" w:val="left" w:leader="none"/>
        </w:tabs>
        <w:spacing w:line="240" w:lineRule="auto" w:before="6" w:after="0"/>
        <w:ind w:left="1027" w:right="0" w:hanging="721"/>
        <w:jc w:val="both"/>
      </w:pPr>
      <w:r>
        <w:rPr/>
        <w:t>Soil</w:t>
      </w:r>
      <w:r>
        <w:rPr>
          <w:spacing w:val="-2"/>
        </w:rPr>
        <w:t> </w:t>
      </w:r>
      <w:r>
        <w:rPr/>
        <w:t>Corrosivity</w:t>
      </w:r>
      <w:r>
        <w:rPr>
          <w:spacing w:val="-2"/>
        </w:rPr>
        <w:t> </w:t>
      </w:r>
      <w:r>
        <w:rPr/>
        <w:t>Evaluation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07" w:right="428"/>
        <w:jc w:val="both"/>
      </w:pPr>
      <w:r>
        <w:rPr/>
        <w:t>The first layer resistivity values can be used in generating corrosivity map which is used</w:t>
      </w:r>
      <w:r>
        <w:rPr>
          <w:spacing w:val="-57"/>
        </w:rPr>
        <w:t> </w:t>
      </w:r>
      <w:r>
        <w:rPr/>
        <w:t>in the evaluation of the degree of soil corrosivity at shallow depth, in the area, should</w:t>
      </w:r>
      <w:r>
        <w:rPr>
          <w:spacing w:val="1"/>
        </w:rPr>
        <w:t> </w:t>
      </w:r>
      <w:r>
        <w:rPr/>
        <w:t>metal</w:t>
      </w:r>
      <w:r>
        <w:rPr>
          <w:spacing w:val="1"/>
        </w:rPr>
        <w:t> </w:t>
      </w:r>
      <w:r>
        <w:rPr/>
        <w:t>pipes/buried</w:t>
      </w:r>
      <w:r>
        <w:rPr>
          <w:spacing w:val="1"/>
        </w:rPr>
        <w:t> </w:t>
      </w:r>
      <w:r>
        <w:rPr/>
        <w:t>utilities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required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reticulation</w:t>
      </w:r>
      <w:r>
        <w:rPr>
          <w:spacing w:val="1"/>
        </w:rPr>
        <w:t> </w:t>
      </w:r>
      <w:r>
        <w:rPr/>
        <w:t>works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groundwater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engineering</w:t>
      </w:r>
      <w:r>
        <w:rPr>
          <w:spacing w:val="1"/>
        </w:rPr>
        <w:t> </w:t>
      </w:r>
      <w:r>
        <w:rPr/>
        <w:t>utilities.</w:t>
      </w:r>
      <w:r>
        <w:rPr>
          <w:spacing w:val="1"/>
        </w:rPr>
        <w:t> </w:t>
      </w:r>
      <w:r>
        <w:rPr/>
        <w:t>Areas</w:t>
      </w:r>
      <w:r>
        <w:rPr>
          <w:spacing w:val="1"/>
        </w:rPr>
        <w:t> </w:t>
      </w:r>
      <w:r>
        <w:rPr/>
        <w:t>characterized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relatively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resistivity values are considered corrosive while areas with high resistivity values are</w:t>
      </w:r>
      <w:r>
        <w:rPr>
          <w:spacing w:val="1"/>
        </w:rPr>
        <w:t> </w:t>
      </w:r>
      <w:r>
        <w:rPr/>
        <w:t>considered</w:t>
      </w:r>
      <w:r>
        <w:rPr>
          <w:spacing w:val="-1"/>
        </w:rPr>
        <w:t> </w:t>
      </w:r>
      <w:r>
        <w:rPr/>
        <w:t>non-corrosive</w:t>
      </w:r>
      <w:r>
        <w:rPr>
          <w:spacing w:val="1"/>
        </w:rPr>
        <w:t> </w:t>
      </w:r>
      <w:r>
        <w:rPr/>
        <w:t>(Rahaman, 1988).</w:t>
      </w:r>
    </w:p>
    <w:p>
      <w:pPr>
        <w:pStyle w:val="Heading2"/>
        <w:numPr>
          <w:ilvl w:val="1"/>
          <w:numId w:val="8"/>
        </w:numPr>
        <w:tabs>
          <w:tab w:pos="1028" w:val="left" w:leader="none"/>
        </w:tabs>
        <w:spacing w:line="240" w:lineRule="auto" w:before="6" w:after="0"/>
        <w:ind w:left="1027" w:right="0" w:hanging="721"/>
        <w:jc w:val="both"/>
      </w:pPr>
      <w:r>
        <w:rPr/>
        <w:t>Overburden</w:t>
      </w:r>
      <w:r>
        <w:rPr>
          <w:spacing w:val="-2"/>
        </w:rPr>
        <w:t> </w:t>
      </w:r>
      <w:r>
        <w:rPr/>
        <w:t>Protective</w:t>
      </w:r>
      <w:r>
        <w:rPr>
          <w:spacing w:val="-2"/>
        </w:rPr>
        <w:t> </w:t>
      </w:r>
      <w:r>
        <w:rPr/>
        <w:t>Capacity</w:t>
      </w:r>
      <w:r>
        <w:rPr>
          <w:spacing w:val="-1"/>
        </w:rPr>
        <w:t> </w:t>
      </w:r>
      <w:r>
        <w:rPr/>
        <w:t>Evaluation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307" w:right="427"/>
        <w:jc w:val="both"/>
      </w:pPr>
      <w:r>
        <w:rPr/>
        <w:t>The ability of an earth medium to retard and filter percolating fluid is the measure of its</w:t>
      </w:r>
      <w:r>
        <w:rPr>
          <w:spacing w:val="1"/>
        </w:rPr>
        <w:t> </w:t>
      </w:r>
      <w:r>
        <w:rPr/>
        <w:t>protective</w:t>
      </w:r>
      <w:r>
        <w:rPr>
          <w:spacing w:val="1"/>
        </w:rPr>
        <w:t> </w:t>
      </w:r>
      <w:r>
        <w:rPr/>
        <w:t>capacity</w:t>
      </w:r>
      <w:r>
        <w:rPr>
          <w:spacing w:val="1"/>
        </w:rPr>
        <w:t> </w:t>
      </w:r>
      <w:r>
        <w:rPr/>
        <w:t>(Olorunfemi,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/>
        <w:t>1999).</w:t>
      </w:r>
      <w:r>
        <w:rPr>
          <w:spacing w:val="1"/>
        </w:rPr>
        <w:t> </w:t>
      </w:r>
      <w:r>
        <w:rPr/>
        <w:t>Henriet,</w:t>
      </w:r>
      <w:r>
        <w:rPr>
          <w:spacing w:val="1"/>
        </w:rPr>
        <w:t> </w:t>
      </w:r>
      <w:r>
        <w:rPr/>
        <w:t>(1975)</w:t>
      </w:r>
      <w:r>
        <w:rPr>
          <w:spacing w:val="1"/>
        </w:rPr>
        <w:t> </w:t>
      </w:r>
      <w:r>
        <w:rPr/>
        <w:t>further</w:t>
      </w:r>
      <w:r>
        <w:rPr>
          <w:spacing w:val="1"/>
        </w:rPr>
        <w:t> </w:t>
      </w:r>
      <w:r>
        <w:rPr/>
        <w:t>described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protective capacity of an overburden exerted by retardation and filtration of percolating</w:t>
      </w:r>
      <w:r>
        <w:rPr>
          <w:spacing w:val="1"/>
        </w:rPr>
        <w:t> </w:t>
      </w:r>
      <w:r>
        <w:rPr/>
        <w:t>pollutants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being</w:t>
      </w:r>
      <w:r>
        <w:rPr>
          <w:spacing w:val="1"/>
        </w:rPr>
        <w:t> </w:t>
      </w:r>
      <w:r>
        <w:rPr/>
        <w:t>proportional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thickness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inversely</w:t>
      </w:r>
      <w:r>
        <w:rPr>
          <w:spacing w:val="1"/>
        </w:rPr>
        <w:t> </w:t>
      </w:r>
      <w:r>
        <w:rPr/>
        <w:t>proportional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hydraulic</w:t>
      </w:r>
      <w:r>
        <w:rPr>
          <w:spacing w:val="1"/>
        </w:rPr>
        <w:t> </w:t>
      </w:r>
      <w:r>
        <w:rPr/>
        <w:t>conductivity.</w:t>
      </w:r>
      <w:r>
        <w:rPr>
          <w:spacing w:val="1"/>
        </w:rPr>
        <w:t> </w:t>
      </w:r>
      <w:r>
        <w:rPr/>
        <w:t>Clayey</w:t>
      </w:r>
      <w:r>
        <w:rPr>
          <w:spacing w:val="1"/>
        </w:rPr>
        <w:t> </w:t>
      </w:r>
      <w:r>
        <w:rPr/>
        <w:t>material</w:t>
      </w:r>
      <w:r>
        <w:rPr>
          <w:spacing w:val="1"/>
        </w:rPr>
        <w:t> </w:t>
      </w:r>
      <w:r>
        <w:rPr/>
        <w:t>content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generally</w:t>
      </w:r>
      <w:r>
        <w:rPr>
          <w:spacing w:val="1"/>
        </w:rPr>
        <w:t> </w:t>
      </w:r>
      <w:r>
        <w:rPr/>
        <w:t>characterized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permeability,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resistivity,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hydraulic</w:t>
      </w:r>
      <w:r>
        <w:rPr>
          <w:spacing w:val="1"/>
        </w:rPr>
        <w:t> </w:t>
      </w:r>
      <w:r>
        <w:rPr/>
        <w:t>conductivity,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longitudinal</w:t>
      </w:r>
      <w:r>
        <w:rPr>
          <w:spacing w:val="1"/>
        </w:rPr>
        <w:t> </w:t>
      </w:r>
      <w:r>
        <w:rPr/>
        <w:t>unit</w:t>
      </w:r>
      <w:r>
        <w:rPr>
          <w:spacing w:val="-57"/>
        </w:rPr>
        <w:t> </w:t>
      </w:r>
      <w:r>
        <w:rPr/>
        <w:t>conductance</w:t>
      </w:r>
      <w:r>
        <w:rPr>
          <w:spacing w:val="1"/>
        </w:rPr>
        <w:t> </w:t>
      </w:r>
      <w:r>
        <w:rPr/>
        <w:t>values.</w:t>
      </w:r>
      <w:r>
        <w:rPr>
          <w:spacing w:val="1"/>
        </w:rPr>
        <w:t> </w:t>
      </w:r>
      <w:r>
        <w:rPr/>
        <w:t>Hence,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protective</w:t>
      </w:r>
      <w:r>
        <w:rPr>
          <w:spacing w:val="1"/>
        </w:rPr>
        <w:t> </w:t>
      </w:r>
      <w:r>
        <w:rPr/>
        <w:t>capacity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considered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being</w:t>
      </w:r>
      <w:r>
        <w:rPr>
          <w:spacing w:val="1"/>
        </w:rPr>
        <w:t> </w:t>
      </w:r>
      <w:r>
        <w:rPr/>
        <w:t>proportional to the longitudinal conductance (S). Therefore, the higher the overburden</w:t>
      </w:r>
      <w:r>
        <w:rPr>
          <w:spacing w:val="1"/>
        </w:rPr>
        <w:t> </w:t>
      </w:r>
      <w:r>
        <w:rPr/>
        <w:t>longitudinal</w:t>
      </w:r>
      <w:r>
        <w:rPr>
          <w:spacing w:val="-1"/>
        </w:rPr>
        <w:t> </w:t>
      </w:r>
      <w:r>
        <w:rPr/>
        <w:t>conductance</w:t>
      </w:r>
      <w:r>
        <w:rPr>
          <w:spacing w:val="1"/>
        </w:rPr>
        <w:t> </w:t>
      </w:r>
      <w:r>
        <w:rPr/>
        <w:t>of an</w:t>
      </w:r>
      <w:r>
        <w:rPr>
          <w:spacing w:val="-1"/>
        </w:rPr>
        <w:t> </w:t>
      </w:r>
      <w:r>
        <w:rPr/>
        <w:t>area, the higher its</w:t>
      </w:r>
      <w:r>
        <w:rPr>
          <w:spacing w:val="-1"/>
        </w:rPr>
        <w:t> </w:t>
      </w:r>
      <w:r>
        <w:rPr/>
        <w:t>protective capacity.</w:t>
      </w:r>
    </w:p>
    <w:p>
      <w:pPr>
        <w:pStyle w:val="BodyText"/>
        <w:spacing w:line="480" w:lineRule="auto"/>
        <w:ind w:left="307" w:right="424"/>
        <w:jc w:val="both"/>
      </w:pP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Braga</w:t>
      </w:r>
      <w:r>
        <w:rPr>
          <w:spacing w:val="1"/>
        </w:rPr>
        <w:t> </w:t>
      </w:r>
      <w:r>
        <w:rPr/>
        <w:t>(2008),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electrical</w:t>
      </w:r>
      <w:r>
        <w:rPr>
          <w:spacing w:val="1"/>
        </w:rPr>
        <w:t> </w:t>
      </w:r>
      <w:r>
        <w:rPr/>
        <w:t>resistivity</w:t>
      </w:r>
      <w:r>
        <w:rPr>
          <w:spacing w:val="1"/>
        </w:rPr>
        <w:t> </w:t>
      </w:r>
      <w:r>
        <w:rPr/>
        <w:t>reflects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major</w:t>
      </w:r>
      <w:r>
        <w:rPr>
          <w:spacing w:val="1"/>
        </w:rPr>
        <w:t> </w:t>
      </w:r>
      <w:r>
        <w:rPr/>
        <w:t>characteristics</w:t>
      </w:r>
      <w:r>
        <w:rPr>
          <w:spacing w:val="31"/>
        </w:rPr>
        <w:t> </w:t>
      </w:r>
      <w:r>
        <w:rPr/>
        <w:t>of</w:t>
      </w:r>
      <w:r>
        <w:rPr>
          <w:spacing w:val="31"/>
        </w:rPr>
        <w:t> </w:t>
      </w:r>
      <w:r>
        <w:rPr/>
        <w:t>material</w:t>
      </w:r>
      <w:r>
        <w:rPr>
          <w:spacing w:val="32"/>
        </w:rPr>
        <w:t> </w:t>
      </w:r>
      <w:r>
        <w:rPr/>
        <w:t>different</w:t>
      </w:r>
      <w:r>
        <w:rPr>
          <w:spacing w:val="31"/>
        </w:rPr>
        <w:t> </w:t>
      </w:r>
      <w:r>
        <w:rPr/>
        <w:t>types</w:t>
      </w:r>
      <w:r>
        <w:rPr>
          <w:spacing w:val="31"/>
        </w:rPr>
        <w:t> </w:t>
      </w:r>
      <w:r>
        <w:rPr/>
        <w:t>in</w:t>
      </w:r>
      <w:r>
        <w:rPr>
          <w:spacing w:val="31"/>
        </w:rPr>
        <w:t> </w:t>
      </w:r>
      <w:r>
        <w:rPr/>
        <w:t>the</w:t>
      </w:r>
      <w:r>
        <w:rPr>
          <w:spacing w:val="31"/>
        </w:rPr>
        <w:t> </w:t>
      </w:r>
      <w:r>
        <w:rPr/>
        <w:t>geological</w:t>
      </w:r>
      <w:r>
        <w:rPr>
          <w:spacing w:val="31"/>
        </w:rPr>
        <w:t> </w:t>
      </w:r>
      <w:r>
        <w:rPr/>
        <w:t>environment,</w:t>
      </w:r>
      <w:r>
        <w:rPr>
          <w:spacing w:val="34"/>
        </w:rPr>
        <w:t> </w:t>
      </w:r>
      <w:r>
        <w:rPr/>
        <w:t>allowing</w:t>
      </w:r>
      <w:r>
        <w:rPr>
          <w:spacing w:val="28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1910" w:h="16840"/>
          <w:pgMar w:header="0" w:footer="1067" w:top="1320" w:bottom="1260" w:left="1680" w:right="980"/>
        </w:sectPr>
      </w:pPr>
    </w:p>
    <w:p>
      <w:pPr>
        <w:pStyle w:val="BodyText"/>
        <w:spacing w:line="480" w:lineRule="auto" w:before="64"/>
        <w:ind w:left="307" w:right="425"/>
        <w:jc w:val="both"/>
      </w:pPr>
      <w:r>
        <w:rPr/>
        <w:t>estimation of their states, regarding to the alteration, fracturing and water saturation</w:t>
      </w:r>
      <w:r>
        <w:rPr>
          <w:spacing w:val="1"/>
        </w:rPr>
        <w:t> </w:t>
      </w:r>
      <w:r>
        <w:rPr/>
        <w:t>degree. Besides, it is possible to identify the lithologies without the need for excavation</w:t>
      </w:r>
      <w:r>
        <w:rPr>
          <w:spacing w:val="1"/>
        </w:rPr>
        <w:t> </w:t>
      </w:r>
      <w:r>
        <w:rPr/>
        <w:t>or perforations, which</w:t>
      </w:r>
      <w:r>
        <w:rPr>
          <w:spacing w:val="1"/>
        </w:rPr>
        <w:t> </w:t>
      </w:r>
      <w:r>
        <w:rPr/>
        <w:t>are commonly costly and time consuming. Additionally,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author points out that the resistivity method(direct current)and the VES-</w:t>
      </w:r>
      <w:r>
        <w:rPr>
          <w:spacing w:val="1"/>
        </w:rPr>
        <w:t> </w:t>
      </w:r>
      <w:r>
        <w:rPr/>
        <w:t>Schlumberger</w:t>
      </w:r>
      <w:r>
        <w:rPr>
          <w:spacing w:val="1"/>
        </w:rPr>
        <w:t> </w:t>
      </w:r>
      <w:r>
        <w:rPr/>
        <w:t>array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offer</w:t>
      </w:r>
      <w:r>
        <w:rPr>
          <w:spacing w:val="1"/>
        </w:rPr>
        <w:t> </w:t>
      </w:r>
      <w:r>
        <w:rPr/>
        <w:t>products</w:t>
      </w:r>
      <w:r>
        <w:rPr>
          <w:spacing w:val="1"/>
        </w:rPr>
        <w:t> </w:t>
      </w:r>
      <w:r>
        <w:rPr/>
        <w:t>extremely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preliminary</w:t>
      </w:r>
      <w:r>
        <w:rPr>
          <w:spacing w:val="1"/>
        </w:rPr>
        <w:t> </w:t>
      </w:r>
      <w:r>
        <w:rPr/>
        <w:t>steps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studies, as the electrical resistivity, the depth of the ground water level and the Dar</w:t>
      </w:r>
      <w:r>
        <w:rPr>
          <w:spacing w:val="1"/>
        </w:rPr>
        <w:t> </w:t>
      </w:r>
      <w:r>
        <w:rPr/>
        <w:t>Zarrouk parameter Longitudinal Conductance. DarZarrouk Parameter - Longitudinal</w:t>
      </w:r>
      <w:r>
        <w:rPr>
          <w:spacing w:val="1"/>
        </w:rPr>
        <w:t> </w:t>
      </w:r>
      <w:r>
        <w:rPr/>
        <w:t>Conductance the resistivity method is applied to establish relations between electrical</w:t>
      </w:r>
      <w:r>
        <w:rPr>
          <w:spacing w:val="1"/>
        </w:rPr>
        <w:t> </w:t>
      </w:r>
      <w:r>
        <w:rPr/>
        <w:t>resistivity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hydrogeological</w:t>
      </w:r>
      <w:r>
        <w:rPr>
          <w:spacing w:val="1"/>
        </w:rPr>
        <w:t> </w:t>
      </w:r>
      <w:r>
        <w:rPr/>
        <w:t>parameters,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porosity,</w:t>
      </w:r>
      <w:r>
        <w:rPr>
          <w:spacing w:val="61"/>
        </w:rPr>
        <w:t> </w:t>
      </w:r>
      <w:r>
        <w:rPr/>
        <w:t>permeability,</w:t>
      </w:r>
      <w:r>
        <w:rPr>
          <w:spacing w:val="1"/>
        </w:rPr>
        <w:t> </w:t>
      </w:r>
      <w:r>
        <w:rPr/>
        <w:t>transmissivity and hydraulic conductivity. This way, the correlations are grounded in</w:t>
      </w:r>
      <w:r>
        <w:rPr>
          <w:spacing w:val="1"/>
        </w:rPr>
        <w:t> </w:t>
      </w:r>
      <w:r>
        <w:rPr/>
        <w:t>existing</w:t>
      </w:r>
      <w:r>
        <w:rPr>
          <w:spacing w:val="1"/>
        </w:rPr>
        <w:t> </w:t>
      </w:r>
      <w:r>
        <w:rPr/>
        <w:t>analogies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equations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govern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groundwater</w:t>
      </w:r>
      <w:r>
        <w:rPr>
          <w:spacing w:val="1"/>
        </w:rPr>
        <w:t> </w:t>
      </w:r>
      <w:r>
        <w:rPr/>
        <w:t>flow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permeablemedium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electric</w:t>
      </w:r>
      <w:r>
        <w:rPr>
          <w:spacing w:val="1"/>
        </w:rPr>
        <w:t> </w:t>
      </w:r>
      <w:r>
        <w:rPr/>
        <w:t>current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conductive</w:t>
      </w:r>
      <w:r>
        <w:rPr>
          <w:spacing w:val="1"/>
        </w:rPr>
        <w:t> </w:t>
      </w:r>
      <w:r>
        <w:rPr/>
        <w:t>medium.</w:t>
      </w:r>
      <w:r>
        <w:rPr>
          <w:spacing w:val="1"/>
        </w:rPr>
        <w:t> </w:t>
      </w:r>
      <w:r>
        <w:rPr/>
        <w:t>Starting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geoelectric</w:t>
      </w:r>
      <w:r>
        <w:rPr>
          <w:spacing w:val="1"/>
        </w:rPr>
        <w:t> </w:t>
      </w:r>
      <w:r>
        <w:rPr/>
        <w:t>measurements</w:t>
      </w:r>
      <w:r>
        <w:rPr>
          <w:spacing w:val="1"/>
        </w:rPr>
        <w:t> </w:t>
      </w:r>
      <w:r>
        <w:rPr/>
        <w:t>taken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surface,</w:t>
      </w:r>
      <w:r>
        <w:rPr>
          <w:spacing w:val="1"/>
        </w:rPr>
        <w:t> </w:t>
      </w:r>
      <w:r>
        <w:rPr/>
        <w:t>hydrodynamic</w:t>
      </w:r>
      <w:r>
        <w:rPr>
          <w:spacing w:val="1"/>
        </w:rPr>
        <w:t> </w:t>
      </w:r>
      <w:r>
        <w:rPr/>
        <w:t>characteristics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aquifer can be</w:t>
      </w:r>
      <w:r>
        <w:rPr>
          <w:spacing w:val="1"/>
        </w:rPr>
        <w:t> </w:t>
      </w:r>
      <w:r>
        <w:rPr/>
        <w:t>estimated</w:t>
      </w:r>
      <w:r>
        <w:rPr>
          <w:spacing w:val="3"/>
        </w:rPr>
        <w:t> </w:t>
      </w:r>
      <w:r>
        <w:rPr/>
        <w:t>(Porsani</w:t>
      </w:r>
      <w:r>
        <w:rPr>
          <w:i/>
        </w:rPr>
        <w:t>et al., </w:t>
      </w:r>
      <w:r>
        <w:rPr/>
        <w:t>2012).</w:t>
      </w:r>
    </w:p>
    <w:p>
      <w:pPr>
        <w:pStyle w:val="BodyText"/>
        <w:spacing w:line="480" w:lineRule="auto" w:before="2"/>
        <w:ind w:left="307" w:right="425"/>
        <w:jc w:val="both"/>
      </w:pPr>
      <w:r>
        <w:rPr/>
        <w:t>These relations can be established using the Dar Zarrouk parameters, obtained by the</w:t>
      </w:r>
      <w:r>
        <w:rPr>
          <w:spacing w:val="1"/>
        </w:rPr>
        <w:t> </w:t>
      </w:r>
      <w:r>
        <w:rPr/>
        <w:t>division and multiplication operations between the resistivities and thicknesses of each</w:t>
      </w:r>
      <w:r>
        <w:rPr>
          <w:spacing w:val="1"/>
        </w:rPr>
        <w:t> </w:t>
      </w:r>
      <w:r>
        <w:rPr/>
        <w:t>layer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geoelectrical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(Maillet,</w:t>
      </w:r>
      <w:r>
        <w:rPr>
          <w:spacing w:val="1"/>
        </w:rPr>
        <w:t> </w:t>
      </w:r>
      <w:r>
        <w:rPr/>
        <w:t>1947).</w:t>
      </w:r>
      <w:r>
        <w:rPr>
          <w:spacing w:val="1"/>
        </w:rPr>
        <w:t> </w:t>
      </w:r>
      <w:r>
        <w:rPr/>
        <w:t>Fora</w:t>
      </w:r>
      <w:r>
        <w:rPr>
          <w:spacing w:val="1"/>
        </w:rPr>
        <w:t> </w:t>
      </w:r>
      <w:r>
        <w:rPr/>
        <w:t>sequence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</w:t>
      </w:r>
      <w:r>
        <w:rPr>
          <w:spacing w:val="1"/>
        </w:rPr>
        <w:t> </w:t>
      </w:r>
      <w:r>
        <w:rPr/>
        <w:t>horizontal,</w:t>
      </w:r>
      <w:r>
        <w:rPr>
          <w:spacing w:val="1"/>
        </w:rPr>
        <w:t> </w:t>
      </w:r>
      <w:r>
        <w:rPr/>
        <w:t>homogeneous and isotropic layers with resistivity ρ</w:t>
      </w:r>
      <w:r>
        <w:rPr>
          <w:position w:val="-8"/>
        </w:rPr>
        <w:t>i </w:t>
      </w:r>
      <w:r>
        <w:rPr/>
        <w:t>and thickness h</w:t>
      </w:r>
      <w:r>
        <w:rPr>
          <w:position w:val="-8"/>
        </w:rPr>
        <w:t>i</w:t>
      </w:r>
      <w:r>
        <w:rPr/>
        <w:t>, the Dar Zarrouk</w:t>
      </w:r>
      <w:r>
        <w:rPr>
          <w:spacing w:val="1"/>
        </w:rPr>
        <w:t> </w:t>
      </w:r>
      <w:r>
        <w:rPr/>
        <w:t>parameter</w:t>
      </w:r>
      <w:r>
        <w:rPr>
          <w:spacing w:val="53"/>
        </w:rPr>
        <w:t> </w:t>
      </w:r>
      <w:r>
        <w:rPr/>
        <w:t>Longitudinal</w:t>
      </w:r>
      <w:r>
        <w:rPr>
          <w:spacing w:val="53"/>
        </w:rPr>
        <w:t> </w:t>
      </w:r>
      <w:r>
        <w:rPr/>
        <w:t>Conductance</w:t>
      </w:r>
      <w:r>
        <w:rPr>
          <w:spacing w:val="50"/>
        </w:rPr>
        <w:t> </w:t>
      </w:r>
      <w:r>
        <w:rPr/>
        <w:t>(S)</w:t>
      </w:r>
      <w:r>
        <w:rPr>
          <w:spacing w:val="54"/>
        </w:rPr>
        <w:t> </w:t>
      </w:r>
      <w:r>
        <w:rPr/>
        <w:t>unitary</w:t>
      </w:r>
      <w:r>
        <w:rPr>
          <w:spacing w:val="49"/>
        </w:rPr>
        <w:t> </w:t>
      </w:r>
      <w:r>
        <w:rPr/>
        <w:t>and</w:t>
      </w:r>
      <w:r>
        <w:rPr>
          <w:spacing w:val="51"/>
        </w:rPr>
        <w:t> </w:t>
      </w:r>
      <w:r>
        <w:rPr/>
        <w:t>total,</w:t>
      </w:r>
      <w:r>
        <w:rPr>
          <w:spacing w:val="53"/>
        </w:rPr>
        <w:t> </w:t>
      </w:r>
      <w:r>
        <w:rPr/>
        <w:t>respectively,</w:t>
      </w:r>
      <w:r>
        <w:rPr>
          <w:spacing w:val="53"/>
        </w:rPr>
        <w:t> </w:t>
      </w:r>
      <w:r>
        <w:rPr/>
        <w:t>are</w:t>
      </w:r>
      <w:r>
        <w:rPr>
          <w:spacing w:val="49"/>
        </w:rPr>
        <w:t> </w:t>
      </w:r>
      <w:r>
        <w:rPr/>
        <w:t>defined</w:t>
      </w:r>
    </w:p>
    <w:p>
      <w:pPr>
        <w:pStyle w:val="BodyText"/>
        <w:tabs>
          <w:tab w:pos="1487" w:val="left" w:leader="none"/>
          <w:tab w:pos="3374" w:val="left" w:leader="none"/>
          <w:tab w:pos="4847" w:val="left" w:leader="none"/>
          <w:tab w:pos="6363" w:val="left" w:leader="none"/>
          <w:tab w:pos="6949" w:val="left" w:leader="none"/>
          <w:tab w:pos="7878" w:val="left" w:leader="none"/>
        </w:tabs>
        <w:spacing w:line="209" w:lineRule="exact"/>
        <w:ind w:left="307"/>
      </w:pPr>
      <w:r>
        <w:rPr/>
        <w:t>according</w:t>
        <w:tab/>
        <w:t>to</w:t>
      </w:r>
      <w:r>
        <w:rPr>
          <w:rFonts w:ascii="Cambria Math" w:hAnsi="Cambria Math" w:eastAsia="Cambria Math"/>
        </w:rPr>
        <w:t>𝑠</w:t>
      </w:r>
      <w:r>
        <w:rPr>
          <w:rFonts w:ascii="Cambria Math" w:hAnsi="Cambria Math" w:eastAsia="Cambria Math"/>
          <w:spacing w:val="91"/>
        </w:rPr>
        <w:t> </w:t>
      </w:r>
      <w:r>
        <w:rPr>
          <w:rFonts w:ascii="Cambria Math" w:hAnsi="Cambria Math" w:eastAsia="Cambria Math"/>
        </w:rPr>
        <w:t>=</w:t>
      </w:r>
      <w:r>
        <w:rPr>
          <w:rFonts w:ascii="Cambria Math" w:hAnsi="Cambria Math" w:eastAsia="Cambria Math"/>
          <w:spacing w:val="17"/>
        </w:rPr>
        <w:t> </w:t>
      </w:r>
      <w:r>
        <w:rPr>
          <w:rFonts w:ascii="Cambria Math" w:hAnsi="Cambria Math" w:eastAsia="Cambria Math"/>
          <w:position w:val="14"/>
          <w:sz w:val="17"/>
          <w:u w:val="single"/>
        </w:rPr>
        <w:t>ℎ</w:t>
      </w:r>
      <w:r>
        <w:rPr>
          <w:rFonts w:ascii="Cambria Math" w:hAnsi="Cambria Math" w:eastAsia="Cambria Math"/>
          <w:position w:val="11"/>
          <w:sz w:val="14"/>
          <w:u w:val="single"/>
        </w:rPr>
        <w:t>1</w:t>
      </w:r>
      <w:r>
        <w:rPr/>
        <w:t>siemens</w:t>
        <w:tab/>
        <w:t>(longitudinal</w:t>
        <w:tab/>
        <w:t>conductance)</w:t>
        <w:tab/>
        <w:t>and</w:t>
        <w:tab/>
      </w:r>
      <w:r>
        <w:rPr>
          <w:rFonts w:ascii="Cambria Math" w:hAnsi="Cambria Math" w:eastAsia="Cambria Math"/>
        </w:rPr>
        <w:t>𝑠</w:t>
      </w:r>
      <w:r>
        <w:rPr>
          <w:rFonts w:ascii="Cambria Math" w:hAnsi="Cambria Math" w:eastAsia="Cambria Math"/>
          <w:spacing w:val="22"/>
        </w:rPr>
        <w:t> </w:t>
      </w:r>
      <w:r>
        <w:rPr>
          <w:rFonts w:ascii="Cambria Math" w:hAnsi="Cambria Math" w:eastAsia="Cambria Math"/>
        </w:rPr>
        <w:t>=</w:t>
      </w:r>
      <w:r>
        <w:rPr>
          <w:rFonts w:ascii="Cambria Math" w:hAnsi="Cambria Math" w:eastAsia="Cambria Math"/>
          <w:spacing w:val="19"/>
        </w:rPr>
        <w:t> </w:t>
      </w:r>
      <w:r>
        <w:rPr>
          <w:rFonts w:ascii="Cambria Math" w:hAnsi="Cambria Math" w:eastAsia="Cambria Math"/>
          <w:position w:val="1"/>
        </w:rPr>
        <w:t>∑</w:t>
      </w:r>
      <w:r>
        <w:rPr>
          <w:rFonts w:ascii="Cambria Math" w:hAnsi="Cambria Math" w:eastAsia="Cambria Math"/>
          <w:position w:val="1"/>
          <w:vertAlign w:val="superscript"/>
        </w:rPr>
        <w:t>𝑛</w:t>
      </w:r>
      <w:r>
        <w:rPr>
          <w:rFonts w:ascii="Cambria Math" w:hAnsi="Cambria Math" w:eastAsia="Cambria Math"/>
          <w:position w:val="1"/>
          <w:vertAlign w:val="baseline"/>
        </w:rPr>
        <w:tab/>
      </w:r>
      <w:r>
        <w:rPr>
          <w:rFonts w:ascii="Cambria Math" w:hAnsi="Cambria Math" w:eastAsia="Cambria Math"/>
          <w:position w:val="14"/>
          <w:sz w:val="17"/>
          <w:u w:val="single"/>
          <w:vertAlign w:val="baseline"/>
        </w:rPr>
        <w:t>ℎ</w:t>
      </w:r>
      <w:r>
        <w:rPr>
          <w:rFonts w:ascii="Cambria Math" w:hAnsi="Cambria Math" w:eastAsia="Cambria Math"/>
          <w:position w:val="10"/>
          <w:sz w:val="14"/>
          <w:u w:val="single"/>
          <w:vertAlign w:val="baseline"/>
        </w:rPr>
        <w:t>𝑖</w:t>
      </w:r>
      <w:r>
        <w:rPr>
          <w:vertAlign w:val="baseline"/>
        </w:rPr>
        <w:t>siemens</w:t>
      </w:r>
    </w:p>
    <w:p>
      <w:pPr>
        <w:tabs>
          <w:tab w:pos="2170" w:val="left" w:leader="none"/>
          <w:tab w:pos="7549" w:val="left" w:leader="none"/>
        </w:tabs>
        <w:spacing w:line="206" w:lineRule="auto" w:before="0"/>
        <w:ind w:left="1781" w:right="0" w:firstLine="0"/>
        <w:jc w:val="left"/>
        <w:rPr>
          <w:rFonts w:ascii="Cambria Math" w:eastAsia="Cambria Math"/>
          <w:sz w:val="14"/>
        </w:rPr>
      </w:pPr>
      <w:r>
        <w:rPr>
          <w:rFonts w:ascii="Cambria Math" w:eastAsia="Cambria Math"/>
          <w:w w:val="110"/>
          <w:position w:val="1"/>
          <w:sz w:val="17"/>
        </w:rPr>
        <w:t>𝑖</w:t>
        <w:tab/>
      </w:r>
      <w:r>
        <w:rPr>
          <w:rFonts w:ascii="Cambria Math" w:eastAsia="Cambria Math"/>
          <w:w w:val="110"/>
          <w:position w:val="-5"/>
          <w:sz w:val="17"/>
        </w:rPr>
        <w:t>𝜌</w:t>
      </w:r>
      <w:r>
        <w:rPr>
          <w:rFonts w:ascii="Cambria Math" w:eastAsia="Cambria Math"/>
          <w:w w:val="110"/>
          <w:position w:val="-9"/>
          <w:sz w:val="14"/>
        </w:rPr>
        <w:t>1</w:t>
        <w:tab/>
      </w:r>
      <w:r>
        <w:rPr>
          <w:rFonts w:ascii="Cambria Math" w:eastAsia="Cambria Math"/>
          <w:w w:val="110"/>
          <w:sz w:val="17"/>
        </w:rPr>
        <w:t>𝑙=1</w:t>
      </w:r>
      <w:r>
        <w:rPr>
          <w:rFonts w:ascii="Cambria Math" w:eastAsia="Cambria Math"/>
          <w:spacing w:val="-7"/>
          <w:w w:val="110"/>
          <w:sz w:val="17"/>
        </w:rPr>
        <w:t> </w:t>
      </w:r>
      <w:r>
        <w:rPr>
          <w:rFonts w:ascii="Cambria Math" w:eastAsia="Cambria Math"/>
          <w:w w:val="110"/>
          <w:position w:val="-5"/>
          <w:sz w:val="17"/>
        </w:rPr>
        <w:t>𝜌</w:t>
      </w:r>
      <w:r>
        <w:rPr>
          <w:rFonts w:ascii="Cambria Math" w:eastAsia="Cambria Math"/>
          <w:w w:val="110"/>
          <w:position w:val="-9"/>
          <w:sz w:val="14"/>
        </w:rPr>
        <w:t>𝑖</w:t>
      </w:r>
    </w:p>
    <w:p>
      <w:pPr>
        <w:pStyle w:val="BodyText"/>
        <w:spacing w:before="1"/>
        <w:rPr>
          <w:rFonts w:ascii="Cambria Math"/>
          <w:sz w:val="13"/>
        </w:rPr>
      </w:pPr>
    </w:p>
    <w:p>
      <w:pPr>
        <w:pStyle w:val="BodyText"/>
        <w:spacing w:before="90"/>
        <w:ind w:left="307"/>
        <w:jc w:val="both"/>
      </w:pPr>
      <w:r>
        <w:rPr/>
        <w:t>(transvers</w:t>
      </w:r>
      <w:r>
        <w:rPr>
          <w:spacing w:val="-1"/>
        </w:rPr>
        <w:t> </w:t>
      </w:r>
      <w:r>
        <w:rPr/>
        <w:t>resistance)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obtaining</w:t>
      </w:r>
      <w:r>
        <w:rPr>
          <w:spacing w:val="-3"/>
        </w:rPr>
        <w:t> </w:t>
      </w:r>
      <w:r>
        <w:rPr/>
        <w:t>longitudinal</w:t>
      </w:r>
      <w:r>
        <w:rPr>
          <w:spacing w:val="-2"/>
        </w:rPr>
        <w:t> </w:t>
      </w:r>
      <w:r>
        <w:rPr/>
        <w:t>conductance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transvers</w:t>
      </w:r>
      <w:r>
        <w:rPr>
          <w:spacing w:val="-1"/>
        </w:rPr>
        <w:t> </w:t>
      </w:r>
      <w:r>
        <w:rPr/>
        <w:t>resistance</w:t>
      </w:r>
    </w:p>
    <w:p>
      <w:pPr>
        <w:pStyle w:val="BodyText"/>
        <w:spacing w:before="5"/>
        <w:rPr>
          <w:sz w:val="38"/>
        </w:rPr>
      </w:pPr>
    </w:p>
    <w:p>
      <w:pPr>
        <w:pStyle w:val="Heading2"/>
        <w:numPr>
          <w:ilvl w:val="1"/>
          <w:numId w:val="8"/>
        </w:numPr>
        <w:tabs>
          <w:tab w:pos="1028" w:val="left" w:leader="none"/>
        </w:tabs>
        <w:spacing w:line="240" w:lineRule="auto" w:before="0" w:after="0"/>
        <w:ind w:left="1027" w:right="0" w:hanging="721"/>
        <w:jc w:val="both"/>
      </w:pPr>
      <w:r>
        <w:rPr/>
        <w:t>The</w:t>
      </w:r>
      <w:r>
        <w:rPr>
          <w:spacing w:val="-3"/>
        </w:rPr>
        <w:t> </w:t>
      </w:r>
      <w:r>
        <w:rPr/>
        <w:t>Longitudinal</w:t>
      </w:r>
      <w:r>
        <w:rPr>
          <w:spacing w:val="-1"/>
        </w:rPr>
        <w:t> </w:t>
      </w:r>
      <w:r>
        <w:rPr/>
        <w:t>Conductance</w:t>
      </w:r>
    </w:p>
    <w:p>
      <w:pPr>
        <w:pStyle w:val="BodyText"/>
        <w:spacing w:before="8"/>
        <w:rPr>
          <w:b/>
          <w:sz w:val="22"/>
        </w:rPr>
      </w:pPr>
    </w:p>
    <w:p>
      <w:pPr>
        <w:pStyle w:val="BodyText"/>
        <w:spacing w:line="480" w:lineRule="auto"/>
        <w:ind w:left="307" w:right="429"/>
        <w:jc w:val="both"/>
      </w:pPr>
      <w:r>
        <w:rPr/>
        <w:t>In</w:t>
      </w:r>
      <w:r>
        <w:rPr>
          <w:spacing w:val="1"/>
        </w:rPr>
        <w:t> </w:t>
      </w:r>
      <w:r>
        <w:rPr/>
        <w:t>granular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unconfined</w:t>
      </w:r>
      <w:r>
        <w:rPr>
          <w:spacing w:val="1"/>
        </w:rPr>
        <w:t> </w:t>
      </w:r>
      <w:r>
        <w:rPr/>
        <w:t>aquifers,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main</w:t>
      </w:r>
      <w:r>
        <w:rPr>
          <w:spacing w:val="1"/>
        </w:rPr>
        <w:t> </w:t>
      </w:r>
      <w:r>
        <w:rPr/>
        <w:t>natural</w:t>
      </w:r>
      <w:r>
        <w:rPr>
          <w:spacing w:val="1"/>
        </w:rPr>
        <w:t> </w:t>
      </w:r>
      <w:r>
        <w:rPr/>
        <w:t>protection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contamination is related to the presence of overlapping clay layers, whose protection</w:t>
      </w:r>
      <w:r>
        <w:rPr>
          <w:spacing w:val="1"/>
        </w:rPr>
        <w:t> </w:t>
      </w:r>
      <w:r>
        <w:rPr/>
        <w:t>capability</w:t>
      </w:r>
      <w:r>
        <w:rPr>
          <w:spacing w:val="10"/>
        </w:rPr>
        <w:t> </w:t>
      </w:r>
      <w:r>
        <w:rPr/>
        <w:t>comes</w:t>
      </w:r>
      <w:r>
        <w:rPr>
          <w:spacing w:val="14"/>
        </w:rPr>
        <w:t> </w:t>
      </w:r>
      <w:r>
        <w:rPr/>
        <w:t>down</w:t>
      </w:r>
      <w:r>
        <w:rPr>
          <w:spacing w:val="14"/>
        </w:rPr>
        <w:t> </w:t>
      </w:r>
      <w:r>
        <w:rPr/>
        <w:t>to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infiltration</w:t>
      </w:r>
      <w:r>
        <w:rPr>
          <w:spacing w:val="12"/>
        </w:rPr>
        <w:t> </w:t>
      </w:r>
      <w:r>
        <w:rPr/>
        <w:t>time</w:t>
      </w:r>
      <w:r>
        <w:rPr>
          <w:spacing w:val="11"/>
        </w:rPr>
        <w:t> </w:t>
      </w:r>
      <w:r>
        <w:rPr/>
        <w:t>lag</w:t>
      </w:r>
      <w:r>
        <w:rPr>
          <w:spacing w:val="15"/>
        </w:rPr>
        <w:t> </w:t>
      </w:r>
      <w:r>
        <w:rPr/>
        <w:t>of</w:t>
      </w:r>
      <w:r>
        <w:rPr>
          <w:spacing w:val="12"/>
        </w:rPr>
        <w:t> </w:t>
      </w:r>
      <w:r>
        <w:rPr/>
        <w:t>solutions,</w:t>
      </w:r>
      <w:r>
        <w:rPr>
          <w:spacing w:val="13"/>
        </w:rPr>
        <w:t> </w:t>
      </w:r>
      <w:r>
        <w:rPr/>
        <w:t>due</w:t>
      </w:r>
      <w:r>
        <w:rPr>
          <w:spacing w:val="15"/>
        </w:rPr>
        <w:t> </w:t>
      </w:r>
      <w:r>
        <w:rPr/>
        <w:t>to</w:t>
      </w:r>
      <w:r>
        <w:rPr>
          <w:spacing w:val="13"/>
        </w:rPr>
        <w:t> </w:t>
      </w:r>
      <w:r>
        <w:rPr/>
        <w:t>their</w:t>
      </w:r>
      <w:r>
        <w:rPr>
          <w:spacing w:val="12"/>
        </w:rPr>
        <w:t> </w:t>
      </w:r>
      <w:r>
        <w:rPr/>
        <w:t>low</w:t>
      </w:r>
    </w:p>
    <w:p>
      <w:pPr>
        <w:spacing w:after="0" w:line="480" w:lineRule="auto"/>
        <w:jc w:val="both"/>
        <w:sectPr>
          <w:pgSz w:w="11910" w:h="16840"/>
          <w:pgMar w:header="0" w:footer="1067" w:top="1320" w:bottom="1260" w:left="1680" w:right="980"/>
        </w:sectPr>
      </w:pPr>
    </w:p>
    <w:p>
      <w:pPr>
        <w:pStyle w:val="BodyText"/>
        <w:spacing w:line="480" w:lineRule="auto" w:before="64"/>
        <w:ind w:left="307" w:right="428"/>
        <w:jc w:val="both"/>
      </w:pPr>
      <w:r>
        <w:rPr/>
        <w:t>permeability (Braga </w:t>
      </w:r>
      <w:r>
        <w:rPr>
          <w:i/>
        </w:rPr>
        <w:t>et al</w:t>
      </w:r>
      <w:r>
        <w:rPr/>
        <w:t>., 2006) demonstrated that the protection degree of an aquifer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considered</w:t>
      </w:r>
      <w:r>
        <w:rPr>
          <w:spacing w:val="1"/>
        </w:rPr>
        <w:t> </w:t>
      </w:r>
      <w:r>
        <w:rPr/>
        <w:t>directly</w:t>
      </w:r>
      <w:r>
        <w:rPr>
          <w:spacing w:val="1"/>
        </w:rPr>
        <w:t> </w:t>
      </w:r>
      <w:r>
        <w:rPr/>
        <w:t>proportional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ratio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thickness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resistivity. Determining the geo-electric characteristics of the aquifers and using this</w:t>
      </w:r>
      <w:r>
        <w:rPr>
          <w:spacing w:val="1"/>
        </w:rPr>
        <w:t> </w:t>
      </w:r>
      <w:r>
        <w:rPr/>
        <w:t>information to determine the soil corrosivity and aquifer protective capacity. Clay soils,</w:t>
      </w:r>
      <w:r>
        <w:rPr>
          <w:spacing w:val="1"/>
        </w:rPr>
        <w:t> </w:t>
      </w:r>
      <w:r>
        <w:rPr/>
        <w:t>especially those contaminated with saline water are on the opposite end of the spectrum.</w:t>
      </w:r>
      <w:r>
        <w:rPr>
          <w:spacing w:val="-57"/>
        </w:rPr>
        <w:t> </w:t>
      </w:r>
      <w:r>
        <w:rPr/>
        <w:t>Classification of soil resistivity in terms of corrosivity is presented in Table 3.1. While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longitudinal</w:t>
      </w:r>
      <w:r>
        <w:rPr>
          <w:spacing w:val="1"/>
        </w:rPr>
        <w:t> </w:t>
      </w:r>
      <w:r>
        <w:rPr/>
        <w:t>conductance</w:t>
      </w:r>
      <w:r>
        <w:rPr>
          <w:spacing w:val="1"/>
        </w:rPr>
        <w:t> </w:t>
      </w:r>
      <w:r>
        <w:rPr/>
        <w:t>value</w:t>
      </w:r>
      <w:r>
        <w:rPr>
          <w:spacing w:val="1"/>
        </w:rPr>
        <w:t> </w:t>
      </w:r>
      <w:r>
        <w:rPr/>
        <w:t>corresponds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excellent,</w:t>
      </w:r>
      <w:r>
        <w:rPr>
          <w:spacing w:val="1"/>
        </w:rPr>
        <w:t> </w:t>
      </w:r>
      <w:r>
        <w:rPr/>
        <w:t>very</w:t>
      </w:r>
      <w:r>
        <w:rPr>
          <w:spacing w:val="1"/>
        </w:rPr>
        <w:t> </w:t>
      </w:r>
      <w:r>
        <w:rPr/>
        <w:t>good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good</w:t>
      </w:r>
      <w:r>
        <w:rPr>
          <w:spacing w:val="-57"/>
        </w:rPr>
        <w:t> </w:t>
      </w:r>
      <w:r>
        <w:rPr/>
        <w:t>aquifer protective capacity (APC), low longitudinal conductance values are associated</w:t>
      </w:r>
      <w:r>
        <w:rPr>
          <w:spacing w:val="1"/>
        </w:rPr>
        <w:t> </w:t>
      </w:r>
      <w:r>
        <w:rPr/>
        <w:t>with</w:t>
      </w:r>
      <w:r>
        <w:rPr>
          <w:spacing w:val="-1"/>
        </w:rPr>
        <w:t> </w:t>
      </w:r>
      <w:r>
        <w:rPr/>
        <w:t>poor and weak APC are</w:t>
      </w:r>
      <w:r>
        <w:rPr>
          <w:spacing w:val="-2"/>
        </w:rPr>
        <w:t> </w:t>
      </w:r>
      <w:r>
        <w:rPr/>
        <w:t>presented inTable</w:t>
      </w:r>
      <w:r>
        <w:rPr>
          <w:spacing w:val="1"/>
        </w:rPr>
        <w:t> </w:t>
      </w:r>
      <w:r>
        <w:rPr/>
        <w:t>3.</w:t>
      </w:r>
    </w:p>
    <w:p>
      <w:pPr>
        <w:spacing w:after="0" w:line="480" w:lineRule="auto"/>
        <w:jc w:val="both"/>
        <w:sectPr>
          <w:pgSz w:w="11910" w:h="16840"/>
          <w:pgMar w:header="0" w:footer="1067" w:top="1320" w:bottom="1260" w:left="1680" w:right="980"/>
        </w:sectPr>
      </w:pPr>
    </w:p>
    <w:p>
      <w:pPr>
        <w:pStyle w:val="Heading2"/>
        <w:spacing w:line="480" w:lineRule="auto" w:after="4"/>
        <w:ind w:left="307" w:right="114" w:firstLine="0"/>
        <w:jc w:val="left"/>
      </w:pPr>
      <w:r>
        <w:rPr/>
        <w:t>Table</w:t>
      </w:r>
      <w:r>
        <w:rPr>
          <w:spacing w:val="10"/>
        </w:rPr>
        <w:t> </w:t>
      </w:r>
      <w:r>
        <w:rPr/>
        <w:t>3.1</w:t>
      </w:r>
      <w:r>
        <w:rPr>
          <w:spacing w:val="13"/>
        </w:rPr>
        <w:t> </w:t>
      </w:r>
      <w:r>
        <w:rPr/>
        <w:t>Classification</w:t>
      </w:r>
      <w:r>
        <w:rPr>
          <w:spacing w:val="10"/>
        </w:rPr>
        <w:t> </w:t>
      </w:r>
      <w:r>
        <w:rPr/>
        <w:t>of</w:t>
      </w:r>
      <w:r>
        <w:rPr>
          <w:spacing w:val="13"/>
        </w:rPr>
        <w:t> </w:t>
      </w:r>
      <w:r>
        <w:rPr/>
        <w:t>soil</w:t>
      </w:r>
      <w:r>
        <w:rPr>
          <w:spacing w:val="11"/>
        </w:rPr>
        <w:t> </w:t>
      </w:r>
      <w:r>
        <w:rPr/>
        <w:t>resistivity</w:t>
      </w:r>
      <w:r>
        <w:rPr>
          <w:spacing w:val="11"/>
        </w:rPr>
        <w:t> </w:t>
      </w:r>
      <w:r>
        <w:rPr/>
        <w:t>in</w:t>
      </w:r>
      <w:r>
        <w:rPr>
          <w:spacing w:val="11"/>
        </w:rPr>
        <w:t> </w:t>
      </w:r>
      <w:r>
        <w:rPr/>
        <w:t>terms</w:t>
      </w:r>
      <w:r>
        <w:rPr>
          <w:spacing w:val="12"/>
        </w:rPr>
        <w:t> </w:t>
      </w:r>
      <w:r>
        <w:rPr/>
        <w:t>of</w:t>
      </w:r>
      <w:r>
        <w:rPr>
          <w:spacing w:val="12"/>
        </w:rPr>
        <w:t> </w:t>
      </w:r>
      <w:r>
        <w:rPr/>
        <w:t>corrosivity</w:t>
      </w:r>
      <w:r>
        <w:rPr>
          <w:spacing w:val="16"/>
        </w:rPr>
        <w:t> </w:t>
      </w:r>
      <w:r>
        <w:rPr/>
        <w:t>[after</w:t>
      </w:r>
      <w:r>
        <w:rPr>
          <w:spacing w:val="13"/>
        </w:rPr>
        <w:t> </w:t>
      </w:r>
      <w:r>
        <w:rPr/>
        <w:t>Baeckmann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Schwenk (1975),</w:t>
      </w:r>
      <w:r>
        <w:rPr>
          <w:spacing w:val="-1"/>
        </w:rPr>
        <w:t> </w:t>
      </w:r>
      <w:r>
        <w:rPr/>
        <w:t>Agunloye (1984), and</w:t>
      </w:r>
      <w:r>
        <w:rPr>
          <w:spacing w:val="-1"/>
        </w:rPr>
        <w:t> </w:t>
      </w:r>
      <w:r>
        <w:rPr/>
        <w:t>Oladapo</w:t>
      </w:r>
      <w:r>
        <w:rPr>
          <w:spacing w:val="4"/>
        </w:rPr>
        <w:t> </w:t>
      </w:r>
      <w:r>
        <w:rPr>
          <w:i/>
        </w:rPr>
        <w:t>et al.</w:t>
      </w:r>
      <w:r>
        <w:rPr>
          <w:i/>
          <w:spacing w:val="-1"/>
        </w:rPr>
        <w:t> </w:t>
      </w:r>
      <w:r>
        <w:rPr/>
        <w:t>(2004)]</w:t>
      </w:r>
    </w:p>
    <w:p>
      <w:pPr>
        <w:pStyle w:val="BodyText"/>
        <w:spacing w:line="20" w:lineRule="exact"/>
        <w:ind w:left="199"/>
        <w:rPr>
          <w:sz w:val="2"/>
        </w:rPr>
      </w:pPr>
      <w:r>
        <w:rPr>
          <w:sz w:val="2"/>
        </w:rPr>
        <w:pict>
          <v:group style="width:436.3pt;height:.5pt;mso-position-horizontal-relative:char;mso-position-vertical-relative:line" coordorigin="0,0" coordsize="8726,10">
            <v:rect style="position:absolute;left:0;top:0;width:8726;height:1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pStyle w:val="BodyText"/>
        <w:tabs>
          <w:tab w:pos="3754" w:val="left" w:leader="none"/>
        </w:tabs>
        <w:ind w:left="307"/>
      </w:pPr>
      <w:r>
        <w:rPr/>
        <w:t>Soil resistivity</w:t>
      </w:r>
      <w:r>
        <w:rPr>
          <w:spacing w:val="-8"/>
        </w:rPr>
        <w:t> </w:t>
      </w:r>
      <w:r>
        <w:rPr/>
        <w:t>(ohm-m)</w:t>
        <w:tab/>
        <w:t>Soil</w:t>
      </w:r>
      <w:r>
        <w:rPr>
          <w:spacing w:val="-1"/>
        </w:rPr>
        <w:t> </w:t>
      </w:r>
      <w:r>
        <w:rPr/>
        <w:t>corrosivity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3"/>
        </w:rPr>
      </w:pPr>
      <w:r>
        <w:rPr/>
        <w:pict>
          <v:rect style="position:absolute;margin-left:93.984001pt;margin-top:9.774365pt;width:436.27pt;height:.48pt;mso-position-horizontal-relative:page;mso-position-vertical-relative:paragraph;z-index:-1568972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tabs>
          <w:tab w:pos="3968" w:val="left" w:leader="none"/>
        </w:tabs>
        <w:spacing w:line="240" w:lineRule="exact"/>
        <w:ind w:left="307"/>
      </w:pPr>
      <w:r>
        <w:rPr/>
        <w:t>10</w:t>
        <w:tab/>
        <w:t>Very</w:t>
      </w:r>
      <w:r>
        <w:rPr>
          <w:spacing w:val="-6"/>
        </w:rPr>
        <w:t> </w:t>
      </w:r>
      <w:r>
        <w:rPr/>
        <w:t>Strongly</w:t>
      </w:r>
      <w:r>
        <w:rPr>
          <w:spacing w:val="-5"/>
        </w:rPr>
        <w:t> </w:t>
      </w:r>
      <w:r>
        <w:rPr/>
        <w:t>Corrosive</w:t>
      </w:r>
      <w:r>
        <w:rPr>
          <w:spacing w:val="1"/>
        </w:rPr>
        <w:t> </w:t>
      </w:r>
      <w:r>
        <w:rPr/>
        <w:t>(VSC)</w:t>
      </w:r>
    </w:p>
    <w:p>
      <w:pPr>
        <w:pStyle w:val="BodyText"/>
        <w:spacing w:before="11"/>
        <w:rPr>
          <w:sz w:val="37"/>
        </w:rPr>
      </w:pPr>
    </w:p>
    <w:p>
      <w:pPr>
        <w:pStyle w:val="BodyText"/>
        <w:tabs>
          <w:tab w:pos="3967" w:val="left" w:leader="none"/>
        </w:tabs>
        <w:ind w:left="367"/>
      </w:pPr>
      <w:r>
        <w:rPr/>
        <w:t>10 – 60</w:t>
        <w:tab/>
        <w:t>Moderately</w:t>
      </w:r>
      <w:r>
        <w:rPr>
          <w:spacing w:val="-3"/>
        </w:rPr>
        <w:t> </w:t>
      </w:r>
      <w:r>
        <w:rPr/>
        <w:t>Corrosive (MC)</w:t>
      </w:r>
    </w:p>
    <w:p>
      <w:pPr>
        <w:pStyle w:val="BodyText"/>
        <w:spacing w:before="9"/>
        <w:rPr>
          <w:sz w:val="37"/>
        </w:rPr>
      </w:pPr>
    </w:p>
    <w:p>
      <w:pPr>
        <w:pStyle w:val="BodyText"/>
        <w:tabs>
          <w:tab w:pos="3968" w:val="left" w:leader="none"/>
        </w:tabs>
        <w:ind w:left="307"/>
      </w:pPr>
      <w:r>
        <w:rPr/>
        <w:t>60</w:t>
      </w:r>
      <w:r>
        <w:rPr>
          <w:spacing w:val="-1"/>
        </w:rPr>
        <w:t> </w:t>
      </w:r>
      <w:r>
        <w:rPr/>
        <w:t>– 180</w:t>
        <w:tab/>
        <w:t>Slightly</w:t>
      </w:r>
      <w:r>
        <w:rPr>
          <w:spacing w:val="-5"/>
        </w:rPr>
        <w:t> </w:t>
      </w:r>
      <w:r>
        <w:rPr/>
        <w:t>Corrosive</w:t>
      </w:r>
      <w:r>
        <w:rPr>
          <w:spacing w:val="-1"/>
        </w:rPr>
        <w:t> </w:t>
      </w:r>
      <w:r>
        <w:rPr/>
        <w:t>(SC)</w:t>
      </w:r>
    </w:p>
    <w:p>
      <w:pPr>
        <w:pStyle w:val="BodyText"/>
        <w:rPr>
          <w:sz w:val="38"/>
        </w:rPr>
      </w:pPr>
    </w:p>
    <w:p>
      <w:pPr>
        <w:pStyle w:val="BodyText"/>
        <w:tabs>
          <w:tab w:pos="3862" w:val="left" w:leader="none"/>
        </w:tabs>
        <w:ind w:left="307"/>
      </w:pPr>
      <w:r>
        <w:rPr/>
        <w:t>&gt;180</w:t>
        <w:tab/>
        <w:t>Practically</w:t>
      </w:r>
      <w:r>
        <w:rPr>
          <w:spacing w:val="-6"/>
        </w:rPr>
        <w:t> </w:t>
      </w:r>
      <w:r>
        <w:rPr/>
        <w:t>Non</w:t>
      </w:r>
      <w:r>
        <w:rPr>
          <w:spacing w:val="1"/>
        </w:rPr>
        <w:t> </w:t>
      </w:r>
      <w:r>
        <w:rPr/>
        <w:t>– Corrosive(PNC)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5"/>
        </w:rPr>
      </w:pPr>
      <w:r>
        <w:rPr/>
        <w:pict>
          <v:rect style="position:absolute;margin-left:93.264pt;margin-top:10.784238pt;width:436.99pt;height:.48001pt;mso-position-horizontal-relative:page;mso-position-vertical-relative:paragraph;z-index:-1568921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7"/>
        </w:rPr>
      </w:pPr>
    </w:p>
    <w:p>
      <w:pPr>
        <w:pStyle w:val="Heading2"/>
        <w:spacing w:line="480" w:lineRule="auto" w:before="90" w:after="4"/>
        <w:ind w:left="307" w:right="366" w:firstLine="0"/>
        <w:jc w:val="left"/>
      </w:pPr>
      <w:r>
        <w:rPr/>
        <w:t>Table3.</w:t>
      </w:r>
      <w:r>
        <w:rPr>
          <w:spacing w:val="29"/>
        </w:rPr>
        <w:t> </w:t>
      </w:r>
      <w:r>
        <w:rPr/>
        <w:t>2.</w:t>
      </w:r>
      <w:r>
        <w:rPr>
          <w:spacing w:val="29"/>
        </w:rPr>
        <w:t> </w:t>
      </w:r>
      <w:r>
        <w:rPr/>
        <w:t>Longitudinal</w:t>
      </w:r>
      <w:r>
        <w:rPr>
          <w:spacing w:val="29"/>
        </w:rPr>
        <w:t> </w:t>
      </w:r>
      <w:r>
        <w:rPr/>
        <w:t>conductance/aquifer</w:t>
      </w:r>
      <w:r>
        <w:rPr>
          <w:spacing w:val="28"/>
        </w:rPr>
        <w:t> </w:t>
      </w:r>
      <w:r>
        <w:rPr/>
        <w:t>protective</w:t>
      </w:r>
      <w:r>
        <w:rPr>
          <w:spacing w:val="30"/>
        </w:rPr>
        <w:t> </w:t>
      </w:r>
      <w:r>
        <w:rPr/>
        <w:t>capacity</w:t>
      </w:r>
      <w:r>
        <w:rPr>
          <w:spacing w:val="28"/>
        </w:rPr>
        <w:t> </w:t>
      </w:r>
      <w:r>
        <w:rPr/>
        <w:t>rating</w:t>
      </w:r>
      <w:r>
        <w:rPr>
          <w:spacing w:val="35"/>
        </w:rPr>
        <w:t> </w:t>
      </w:r>
      <w:r>
        <w:rPr/>
        <w:t>[after</w:t>
      </w:r>
      <w:r>
        <w:rPr>
          <w:spacing w:val="-57"/>
        </w:rPr>
        <w:t> </w:t>
      </w:r>
      <w:r>
        <w:rPr/>
        <w:t>Oladapo</w:t>
      </w:r>
      <w:r>
        <w:rPr>
          <w:spacing w:val="-1"/>
        </w:rPr>
        <w:t> </w:t>
      </w:r>
      <w:r>
        <w:rPr>
          <w:i/>
        </w:rPr>
        <w:t>et al. </w:t>
      </w:r>
      <w:r>
        <w:rPr/>
        <w:t>(2004) and Adeniji </w:t>
      </w:r>
      <w:r>
        <w:rPr>
          <w:i/>
        </w:rPr>
        <w:t>et al. </w:t>
      </w:r>
      <w:r>
        <w:rPr/>
        <w:t>(2014)</w:t>
      </w:r>
    </w:p>
    <w:p>
      <w:pPr>
        <w:pStyle w:val="BodyText"/>
        <w:spacing w:line="20" w:lineRule="exact"/>
        <w:ind w:left="199"/>
        <w:rPr>
          <w:sz w:val="2"/>
        </w:rPr>
      </w:pPr>
      <w:r>
        <w:rPr>
          <w:sz w:val="2"/>
        </w:rPr>
        <w:pict>
          <v:group style="width:436.3pt;height:.5pt;mso-position-horizontal-relative:char;mso-position-vertical-relative:line" coordorigin="0,0" coordsize="8726,10">
            <v:rect style="position:absolute;left:0;top:0;width:8726;height:1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pStyle w:val="BodyText"/>
        <w:tabs>
          <w:tab w:pos="4205" w:val="left" w:leader="none"/>
        </w:tabs>
        <w:ind w:left="307"/>
      </w:pPr>
      <w:r>
        <w:rPr/>
        <w:t>Longitudinal</w:t>
      </w:r>
      <w:r>
        <w:rPr>
          <w:spacing w:val="-1"/>
        </w:rPr>
        <w:t> </w:t>
      </w:r>
      <w:r>
        <w:rPr/>
        <w:t>conductance</w:t>
      </w:r>
      <w:r>
        <w:rPr>
          <w:spacing w:val="-2"/>
        </w:rPr>
        <w:t> </w:t>
      </w:r>
      <w:r>
        <w:rPr/>
        <w:t>(mhos)</w:t>
        <w:tab/>
        <w:t>Aquifer protective</w:t>
      </w:r>
      <w:r>
        <w:rPr>
          <w:spacing w:val="-1"/>
        </w:rPr>
        <w:t> </w:t>
      </w:r>
      <w:r>
        <w:rPr/>
        <w:t>capacity</w:t>
      </w:r>
      <w:r>
        <w:rPr>
          <w:spacing w:val="-5"/>
        </w:rPr>
        <w:t> </w:t>
      </w:r>
      <w:r>
        <w:rPr/>
        <w:t>rating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3"/>
        </w:rPr>
      </w:pPr>
      <w:r>
        <w:rPr/>
        <w:pict>
          <v:rect style="position:absolute;margin-left:93.984001pt;margin-top:9.674365pt;width:436.27pt;height:.48001pt;mso-position-horizontal-relative:page;mso-position-vertical-relative:paragraph;z-index:-1568819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tabs>
          <w:tab w:pos="4942" w:val="left" w:leader="none"/>
        </w:tabs>
        <w:spacing w:line="242" w:lineRule="exact"/>
        <w:ind w:left="307"/>
      </w:pPr>
      <w:r>
        <w:rPr/>
        <w:t>&gt;</w:t>
      </w:r>
      <w:r>
        <w:rPr>
          <w:spacing w:val="-1"/>
        </w:rPr>
        <w:t> </w:t>
      </w:r>
      <w:r>
        <w:rPr/>
        <w:t>10</w:t>
        <w:tab/>
        <w:t>Excellent</w:t>
      </w:r>
    </w:p>
    <w:p>
      <w:pPr>
        <w:pStyle w:val="BodyText"/>
      </w:pPr>
    </w:p>
    <w:p>
      <w:pPr>
        <w:pStyle w:val="BodyText"/>
        <w:tabs>
          <w:tab w:pos="4988" w:val="left" w:leader="none"/>
        </w:tabs>
        <w:ind w:left="307"/>
      </w:pPr>
      <w:r>
        <w:rPr/>
        <w:t>5</w:t>
      </w:r>
      <w:r>
        <w:rPr>
          <w:spacing w:val="-1"/>
        </w:rPr>
        <w:t> </w:t>
      </w:r>
      <w:r>
        <w:rPr/>
        <w:t>– 10</w:t>
        <w:tab/>
        <w:t>Very</w:t>
      </w:r>
      <w:r>
        <w:rPr>
          <w:spacing w:val="-4"/>
        </w:rPr>
        <w:t> </w:t>
      </w:r>
      <w:r>
        <w:rPr/>
        <w:t>good</w:t>
      </w:r>
    </w:p>
    <w:p>
      <w:pPr>
        <w:pStyle w:val="BodyText"/>
        <w:spacing w:before="9"/>
        <w:rPr>
          <w:sz w:val="37"/>
        </w:rPr>
      </w:pPr>
    </w:p>
    <w:p>
      <w:pPr>
        <w:pStyle w:val="BodyText"/>
        <w:tabs>
          <w:tab w:pos="5048" w:val="left" w:leader="none"/>
        </w:tabs>
        <w:ind w:left="307"/>
      </w:pPr>
      <w:r>
        <w:rPr/>
        <w:t>0.7</w:t>
      </w:r>
      <w:r>
        <w:rPr>
          <w:spacing w:val="-1"/>
        </w:rPr>
        <w:t> </w:t>
      </w:r>
      <w:r>
        <w:rPr/>
        <w:t>– 4.49</w:t>
        <w:tab/>
        <w:t>Good</w:t>
      </w:r>
    </w:p>
    <w:p>
      <w:pPr>
        <w:pStyle w:val="BodyText"/>
        <w:spacing w:before="11"/>
        <w:rPr>
          <w:sz w:val="37"/>
        </w:rPr>
      </w:pPr>
    </w:p>
    <w:p>
      <w:pPr>
        <w:pStyle w:val="BodyText"/>
        <w:tabs>
          <w:tab w:pos="5048" w:val="left" w:leader="none"/>
        </w:tabs>
        <w:ind w:left="307"/>
      </w:pPr>
      <w:r>
        <w:rPr/>
        <w:t>0.2</w:t>
      </w:r>
      <w:r>
        <w:rPr>
          <w:spacing w:val="-1"/>
        </w:rPr>
        <w:t> </w:t>
      </w:r>
      <w:r>
        <w:rPr/>
        <w:t>– 0.69</w:t>
        <w:tab/>
        <w:t>Moderate</w:t>
      </w:r>
    </w:p>
    <w:p>
      <w:pPr>
        <w:pStyle w:val="BodyText"/>
        <w:spacing w:before="9"/>
        <w:rPr>
          <w:sz w:val="37"/>
        </w:rPr>
      </w:pPr>
    </w:p>
    <w:p>
      <w:pPr>
        <w:pStyle w:val="BodyText"/>
        <w:tabs>
          <w:tab w:pos="5048" w:val="left" w:leader="none"/>
        </w:tabs>
        <w:ind w:left="307"/>
      </w:pPr>
      <w:r>
        <w:rPr/>
        <w:t>0.1</w:t>
      </w:r>
      <w:r>
        <w:rPr>
          <w:spacing w:val="-1"/>
        </w:rPr>
        <w:t> </w:t>
      </w:r>
      <w:r>
        <w:rPr/>
        <w:t>– 0 .19</w:t>
        <w:tab/>
        <w:t>Weak</w:t>
      </w:r>
    </w:p>
    <w:p>
      <w:pPr>
        <w:pStyle w:val="BodyText"/>
        <w:rPr>
          <w:sz w:val="38"/>
        </w:rPr>
      </w:pPr>
    </w:p>
    <w:p>
      <w:pPr>
        <w:pStyle w:val="BodyText"/>
        <w:tabs>
          <w:tab w:pos="5182" w:val="left" w:leader="none"/>
        </w:tabs>
        <w:ind w:left="307"/>
      </w:pPr>
      <w:r>
        <w:rPr/>
        <w:t>&lt;</w:t>
      </w:r>
      <w:r>
        <w:rPr>
          <w:spacing w:val="-1"/>
        </w:rPr>
        <w:t> </w:t>
      </w:r>
      <w:r>
        <w:rPr/>
        <w:t>0.1</w:t>
        <w:tab/>
        <w:t>Poor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5"/>
        </w:rPr>
      </w:pPr>
      <w:r>
        <w:rPr/>
        <w:pict>
          <v:rect style="position:absolute;margin-left:93.264pt;margin-top:10.774267pt;width:436.99pt;height:.47998pt;mso-position-horizontal-relative:page;mso-position-vertical-relative:paragraph;z-index:-1568768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after="0"/>
        <w:rPr>
          <w:sz w:val="15"/>
        </w:rPr>
        <w:sectPr>
          <w:pgSz w:w="11910" w:h="16840"/>
          <w:pgMar w:header="0" w:footer="1067" w:top="1320" w:bottom="1260" w:left="1680" w:right="980"/>
        </w:sectPr>
      </w:pPr>
    </w:p>
    <w:p>
      <w:pPr>
        <w:pStyle w:val="BodyText"/>
        <w:spacing w:line="480" w:lineRule="auto" w:before="64"/>
        <w:ind w:left="307" w:right="427"/>
        <w:jc w:val="both"/>
      </w:pPr>
      <w:r>
        <w:rPr/>
        <w:t>The Longitudinal Conductance (S), which it enables to define the protection degree of</w:t>
      </w:r>
      <w:r>
        <w:rPr>
          <w:spacing w:val="1"/>
        </w:rPr>
        <w:t> </w:t>
      </w:r>
      <w:r>
        <w:rPr/>
        <w:t>ground water front of contaminants migrating vertically. However, it was necessary to</w:t>
      </w:r>
      <w:r>
        <w:rPr>
          <w:spacing w:val="1"/>
        </w:rPr>
        <w:t> </w:t>
      </w:r>
      <w:r>
        <w:rPr/>
        <w:t>modify the term degree of protection for vulnerability, in order to fit this new method to</w:t>
      </w:r>
      <w:r>
        <w:rPr>
          <w:spacing w:val="1"/>
        </w:rPr>
        <w:t> </w:t>
      </w:r>
      <w:r>
        <w:rPr/>
        <w:t>the terminology used by those already existing. In this manner, a overlying layer with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longitudinal</w:t>
      </w:r>
      <w:r>
        <w:rPr>
          <w:spacing w:val="1"/>
        </w:rPr>
        <w:t> </w:t>
      </w:r>
      <w:r>
        <w:rPr/>
        <w:t>conductance</w:t>
      </w:r>
      <w:r>
        <w:rPr>
          <w:spacing w:val="1"/>
        </w:rPr>
        <w:t> </w:t>
      </w:r>
      <w:r>
        <w:rPr/>
        <w:t>(generally</w:t>
      </w:r>
      <w:r>
        <w:rPr>
          <w:spacing w:val="1"/>
        </w:rPr>
        <w:t> </w:t>
      </w:r>
      <w:r>
        <w:rPr/>
        <w:t>greater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1.0)</w:t>
      </w:r>
      <w:r>
        <w:rPr>
          <w:spacing w:val="1"/>
        </w:rPr>
        <w:t> </w:t>
      </w:r>
      <w:r>
        <w:rPr/>
        <w:t>offers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protection</w:t>
      </w:r>
      <w:r>
        <w:rPr>
          <w:spacing w:val="-57"/>
        </w:rPr>
        <w:t> </w:t>
      </w:r>
      <w:r>
        <w:rPr/>
        <w:t>degree to contamination, therefore the bigger the thickness of this layer, the greater the</w:t>
      </w:r>
      <w:r>
        <w:rPr>
          <w:spacing w:val="1"/>
        </w:rPr>
        <w:t> </w:t>
      </w:r>
      <w:r>
        <w:rPr/>
        <w:t>infiltration time of the contaminants (large filter) and the lower the resistivity, the more</w:t>
      </w:r>
      <w:r>
        <w:rPr>
          <w:spacing w:val="1"/>
        </w:rPr>
        <w:t> </w:t>
      </w:r>
      <w:r>
        <w:rPr/>
        <w:t>clayey</w:t>
      </w:r>
      <w:r>
        <w:rPr>
          <w:spacing w:val="-6"/>
        </w:rPr>
        <w:t> </w:t>
      </w:r>
      <w:r>
        <w:rPr/>
        <w:t>and less permeable the</w:t>
      </w:r>
      <w:r>
        <w:rPr>
          <w:spacing w:val="-1"/>
        </w:rPr>
        <w:t> </w:t>
      </w:r>
      <w:r>
        <w:rPr/>
        <w:t>material is</w:t>
      </w:r>
      <w:r>
        <w:rPr>
          <w:spacing w:val="-1"/>
        </w:rPr>
        <w:t> </w:t>
      </w:r>
      <w:r>
        <w:rPr/>
        <w:t>less than</w:t>
      </w:r>
      <w:r>
        <w:rPr>
          <w:spacing w:val="2"/>
        </w:rPr>
        <w:t> </w:t>
      </w:r>
      <w:r>
        <w:rPr/>
        <w:t>1.0 (Braga</w:t>
      </w:r>
      <w:r>
        <w:rPr>
          <w:spacing w:val="-1"/>
        </w:rPr>
        <w:t> </w:t>
      </w:r>
      <w:r>
        <w:rPr>
          <w:i/>
        </w:rPr>
        <w:t>et al</w:t>
      </w:r>
      <w:r>
        <w:rPr/>
        <w:t>.,</w:t>
      </w:r>
      <w:r>
        <w:rPr>
          <w:spacing w:val="-1"/>
        </w:rPr>
        <w:t> </w:t>
      </w:r>
      <w:r>
        <w:rPr/>
        <w:t>2006).</w:t>
      </w:r>
    </w:p>
    <w:p>
      <w:pPr>
        <w:pStyle w:val="BodyText"/>
        <w:spacing w:line="480" w:lineRule="auto" w:before="2"/>
        <w:ind w:left="307" w:right="427"/>
        <w:jc w:val="both"/>
      </w:pPr>
      <w:r>
        <w:rPr/>
        <w:t>To establish the vulnerability classes of the (S) method (Table 3.1 and 3.2), which</w:t>
      </w:r>
      <w:r>
        <w:rPr>
          <w:spacing w:val="1"/>
        </w:rPr>
        <w:t> </w:t>
      </w:r>
      <w:r>
        <w:rPr/>
        <w:t>correspond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values</w:t>
      </w:r>
      <w:r>
        <w:rPr>
          <w:spacing w:val="1"/>
        </w:rPr>
        <w:t> </w:t>
      </w:r>
      <w:r>
        <w:rPr/>
        <w:t>ranges</w:t>
      </w:r>
      <w:r>
        <w:rPr>
          <w:spacing w:val="1"/>
        </w:rPr>
        <w:t> </w:t>
      </w:r>
      <w:r>
        <w:rPr/>
        <w:t>oflongitudinal</w:t>
      </w:r>
      <w:r>
        <w:rPr>
          <w:spacing w:val="1"/>
        </w:rPr>
        <w:t> </w:t>
      </w:r>
      <w:r>
        <w:rPr/>
        <w:t>conductance,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sought</w:t>
      </w:r>
      <w:r>
        <w:rPr>
          <w:spacing w:val="1"/>
        </w:rPr>
        <w:t> </w:t>
      </w:r>
      <w:r>
        <w:rPr/>
        <w:t>relationships</w:t>
      </w:r>
      <w:r>
        <w:rPr>
          <w:spacing w:val="-57"/>
        </w:rPr>
        <w:t> </w:t>
      </w:r>
      <w:r>
        <w:rPr/>
        <w:t>betweenthickness andresistivity that couldbe consideredrepresentative of each class, in</w:t>
      </w:r>
      <w:r>
        <w:rPr>
          <w:spacing w:val="1"/>
        </w:rPr>
        <w:t> </w:t>
      </w:r>
      <w:r>
        <w:rPr/>
        <w:t>terms</w:t>
      </w:r>
      <w:r>
        <w:rPr>
          <w:spacing w:val="21"/>
        </w:rPr>
        <w:t> </w:t>
      </w:r>
      <w:r>
        <w:rPr/>
        <w:t>of</w:t>
      </w:r>
      <w:r>
        <w:rPr>
          <w:spacing w:val="20"/>
        </w:rPr>
        <w:t> </w:t>
      </w:r>
      <w:r>
        <w:rPr/>
        <w:t>hydraulic</w:t>
      </w:r>
      <w:r>
        <w:rPr>
          <w:spacing w:val="21"/>
        </w:rPr>
        <w:t> </w:t>
      </w:r>
      <w:r>
        <w:rPr/>
        <w:t>accessibility</w:t>
      </w:r>
      <w:r>
        <w:rPr>
          <w:spacing w:val="14"/>
        </w:rPr>
        <w:t> </w:t>
      </w:r>
      <w:r>
        <w:rPr/>
        <w:t>to</w:t>
      </w:r>
      <w:r>
        <w:rPr>
          <w:spacing w:val="20"/>
        </w:rPr>
        <w:t> </w:t>
      </w:r>
      <w:r>
        <w:rPr/>
        <w:t>the</w:t>
      </w:r>
      <w:r>
        <w:rPr>
          <w:spacing w:val="20"/>
        </w:rPr>
        <w:t> </w:t>
      </w:r>
      <w:r>
        <w:rPr/>
        <w:t>saturated</w:t>
      </w:r>
      <w:r>
        <w:rPr>
          <w:spacing w:val="20"/>
        </w:rPr>
        <w:t> </w:t>
      </w:r>
      <w:r>
        <w:rPr/>
        <w:t>zone</w:t>
      </w:r>
      <w:r>
        <w:rPr>
          <w:spacing w:val="19"/>
        </w:rPr>
        <w:t> </w:t>
      </w:r>
      <w:r>
        <w:rPr/>
        <w:t>and</w:t>
      </w:r>
      <w:r>
        <w:rPr>
          <w:spacing w:val="21"/>
        </w:rPr>
        <w:t> </w:t>
      </w:r>
      <w:r>
        <w:rPr/>
        <w:t>pollutant</w:t>
      </w:r>
      <w:r>
        <w:rPr>
          <w:spacing w:val="20"/>
        </w:rPr>
        <w:t> </w:t>
      </w:r>
      <w:r>
        <w:rPr/>
        <w:t>attenuationcapacity</w:t>
      </w:r>
      <w:r>
        <w:rPr>
          <w:spacing w:val="-57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unsaturated zone.</w:t>
      </w:r>
    </w:p>
    <w:p>
      <w:pPr>
        <w:pStyle w:val="Heading2"/>
        <w:numPr>
          <w:ilvl w:val="1"/>
          <w:numId w:val="9"/>
        </w:numPr>
        <w:tabs>
          <w:tab w:pos="1028" w:val="left" w:leader="none"/>
        </w:tabs>
        <w:spacing w:line="240" w:lineRule="auto" w:before="164" w:after="0"/>
        <w:ind w:left="1027" w:right="0" w:hanging="721"/>
        <w:jc w:val="both"/>
      </w:pPr>
      <w:r>
        <w:rPr/>
        <w:t>The</w:t>
      </w:r>
      <w:r>
        <w:rPr>
          <w:spacing w:val="-3"/>
        </w:rPr>
        <w:t> </w:t>
      </w:r>
      <w:r>
        <w:rPr/>
        <w:t>Schlumberger</w:t>
      </w:r>
      <w:r>
        <w:rPr>
          <w:spacing w:val="-1"/>
        </w:rPr>
        <w:t> </w:t>
      </w:r>
      <w:r>
        <w:rPr/>
        <w:t>Array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307" w:right="428"/>
        <w:jc w:val="both"/>
      </w:pPr>
      <w:r>
        <w:rPr/>
        <w:t>The schlumberger array method has over the years proved useful in delineation of</w:t>
      </w:r>
      <w:r>
        <w:rPr>
          <w:spacing w:val="1"/>
        </w:rPr>
        <w:t> </w:t>
      </w:r>
      <w:r>
        <w:rPr/>
        <w:t>groundwater and aquifer characteristics due to its better depth interpretation. Electrical</w:t>
      </w:r>
      <w:r>
        <w:rPr>
          <w:spacing w:val="1"/>
        </w:rPr>
        <w:t> </w:t>
      </w:r>
      <w:r>
        <w:rPr/>
        <w:t>resistivity methods can be applied for study in variations of resistivity with depth or for</w:t>
      </w:r>
      <w:r>
        <w:rPr>
          <w:spacing w:val="1"/>
        </w:rPr>
        <w:t> </w:t>
      </w:r>
      <w:r>
        <w:rPr/>
        <w:t>lateral profiling. These variations arise due to the difference in electrical properties of</w:t>
      </w:r>
      <w:r>
        <w:rPr>
          <w:spacing w:val="1"/>
        </w:rPr>
        <w:t> </w:t>
      </w:r>
      <w:r>
        <w:rPr/>
        <w:t>rocks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lithologic units</w:t>
      </w:r>
      <w:r>
        <w:rPr>
          <w:spacing w:val="1"/>
        </w:rPr>
        <w:t> </w:t>
      </w:r>
      <w:r>
        <w:rPr/>
        <w:t>of the subsurface and</w:t>
      </w:r>
      <w:r>
        <w:rPr>
          <w:spacing w:val="1"/>
        </w:rPr>
        <w:t> </w:t>
      </w:r>
      <w:r>
        <w:rPr/>
        <w:t>fluid</w:t>
      </w:r>
      <w:r>
        <w:rPr>
          <w:spacing w:val="1"/>
        </w:rPr>
        <w:t> </w:t>
      </w:r>
      <w:r>
        <w:rPr/>
        <w:t>content.</w:t>
      </w:r>
      <w:r>
        <w:rPr>
          <w:spacing w:val="1"/>
        </w:rPr>
        <w:t> </w:t>
      </w:r>
      <w:r>
        <w:rPr/>
        <w:t>The resistivity of</w:t>
      </w:r>
      <w:r>
        <w:rPr>
          <w:spacing w:val="1"/>
        </w:rPr>
        <w:t> </w:t>
      </w:r>
      <w:r>
        <w:rPr/>
        <w:t>coarse-grained, well-consolidated sandstone saturated with fresh water is higher than</w:t>
      </w:r>
      <w:r>
        <w:rPr>
          <w:spacing w:val="1"/>
        </w:rPr>
        <w:t> </w:t>
      </w:r>
      <w:r>
        <w:rPr/>
        <w:t>that of unconsolidated silt of the same porosity, saturated with the same water (Keller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frischknecht1996).</w:t>
      </w:r>
    </w:p>
    <w:p>
      <w:pPr>
        <w:pStyle w:val="Heading2"/>
        <w:numPr>
          <w:ilvl w:val="1"/>
          <w:numId w:val="9"/>
        </w:numPr>
        <w:tabs>
          <w:tab w:pos="1028" w:val="left" w:leader="none"/>
        </w:tabs>
        <w:spacing w:line="240" w:lineRule="auto" w:before="167" w:after="0"/>
        <w:ind w:left="1027" w:right="0" w:hanging="721"/>
        <w:jc w:val="both"/>
      </w:pPr>
      <w:r>
        <w:rPr/>
        <w:t>Data</w:t>
      </w:r>
      <w:r>
        <w:rPr>
          <w:spacing w:val="-2"/>
        </w:rPr>
        <w:t> </w:t>
      </w:r>
      <w:r>
        <w:rPr/>
        <w:t>Collection Procedure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07" w:right="430"/>
        <w:jc w:val="both"/>
      </w:pPr>
      <w:r>
        <w:rPr/>
        <w:t>The</w:t>
      </w:r>
      <w:r>
        <w:rPr>
          <w:spacing w:val="1"/>
        </w:rPr>
        <w:t> </w:t>
      </w:r>
      <w:r>
        <w:rPr/>
        <w:t>geophysical</w:t>
      </w:r>
      <w:r>
        <w:rPr>
          <w:spacing w:val="1"/>
        </w:rPr>
        <w:t> </w:t>
      </w:r>
      <w:r>
        <w:rPr/>
        <w:t>investigations</w:t>
      </w:r>
      <w:r>
        <w:rPr>
          <w:spacing w:val="1"/>
        </w:rPr>
        <w:t> </w:t>
      </w:r>
      <w:r>
        <w:rPr/>
        <w:t>entails</w:t>
      </w:r>
      <w:r>
        <w:rPr>
          <w:spacing w:val="1"/>
        </w:rPr>
        <w:t> </w:t>
      </w:r>
      <w:r>
        <w:rPr/>
        <w:t>resistivity</w:t>
      </w:r>
      <w:r>
        <w:rPr>
          <w:spacing w:val="1"/>
        </w:rPr>
        <w:t> </w:t>
      </w:r>
      <w:r>
        <w:rPr/>
        <w:t>techniques:</w:t>
      </w:r>
      <w:r>
        <w:rPr>
          <w:spacing w:val="1"/>
        </w:rPr>
        <w:t> </w:t>
      </w:r>
      <w:r>
        <w:rPr/>
        <w:t>Vertical</w:t>
      </w:r>
      <w:r>
        <w:rPr>
          <w:spacing w:val="60"/>
        </w:rPr>
        <w:t> </w:t>
      </w:r>
      <w:r>
        <w:rPr/>
        <w:t>electrical</w:t>
      </w:r>
      <w:r>
        <w:rPr>
          <w:spacing w:val="1"/>
        </w:rPr>
        <w:t> </w:t>
      </w:r>
      <w:r>
        <w:rPr/>
        <w:t>sounding</w:t>
      </w:r>
      <w:r>
        <w:rPr>
          <w:spacing w:val="-2"/>
        </w:rPr>
        <w:t> </w:t>
      </w:r>
      <w:r>
        <w:rPr/>
        <w:t>is</w:t>
      </w:r>
      <w:r>
        <w:rPr>
          <w:spacing w:val="3"/>
        </w:rPr>
        <w:t> </w:t>
      </w:r>
      <w:r>
        <w:rPr/>
        <w:t>employed</w:t>
      </w:r>
      <w:r>
        <w:rPr>
          <w:spacing w:val="4"/>
        </w:rPr>
        <w:t> </w:t>
      </w:r>
      <w:r>
        <w:rPr/>
        <w:t>for</w:t>
      </w:r>
      <w:r>
        <w:rPr>
          <w:spacing w:val="2"/>
        </w:rPr>
        <w:t> </w:t>
      </w:r>
      <w:r>
        <w:rPr/>
        <w:t>collection</w:t>
      </w:r>
      <w:r>
        <w:rPr>
          <w:spacing w:val="2"/>
        </w:rPr>
        <w:t> </w:t>
      </w:r>
      <w:r>
        <w:rPr/>
        <w:t>of</w:t>
      </w:r>
      <w:r>
        <w:rPr>
          <w:spacing w:val="1"/>
        </w:rPr>
        <w:t> </w:t>
      </w:r>
      <w:r>
        <w:rPr/>
        <w:t>data and</w:t>
      </w:r>
      <w:r>
        <w:rPr>
          <w:spacing w:val="2"/>
        </w:rPr>
        <w:t> </w:t>
      </w:r>
      <w:r>
        <w:rPr/>
        <w:t>traversing</w:t>
      </w:r>
      <w:r>
        <w:rPr>
          <w:spacing w:val="-1"/>
        </w:rPr>
        <w:t> </w:t>
      </w:r>
      <w:r>
        <w:rPr/>
        <w:t>provides</w:t>
      </w:r>
      <w:r>
        <w:rPr>
          <w:spacing w:val="4"/>
        </w:rPr>
        <w:t> </w:t>
      </w:r>
      <w:r>
        <w:rPr/>
        <w:t>a</w:t>
      </w:r>
      <w:r>
        <w:rPr>
          <w:spacing w:val="1"/>
        </w:rPr>
        <w:t> </w:t>
      </w:r>
      <w:r>
        <w:rPr/>
        <w:t>means</w:t>
      </w:r>
      <w:r>
        <w:rPr>
          <w:spacing w:val="2"/>
        </w:rPr>
        <w:t> </w:t>
      </w:r>
      <w:r>
        <w:rPr/>
        <w:t>of studying</w:t>
      </w:r>
    </w:p>
    <w:p>
      <w:pPr>
        <w:spacing w:after="0" w:line="480" w:lineRule="auto"/>
        <w:jc w:val="both"/>
        <w:sectPr>
          <w:pgSz w:w="11910" w:h="16840"/>
          <w:pgMar w:header="0" w:footer="1067" w:top="1320" w:bottom="1260" w:left="1680" w:right="980"/>
        </w:sectPr>
      </w:pPr>
    </w:p>
    <w:p>
      <w:pPr>
        <w:pStyle w:val="BodyText"/>
        <w:spacing w:line="480" w:lineRule="auto" w:before="64"/>
        <w:ind w:left="307" w:right="433"/>
        <w:jc w:val="both"/>
      </w:pPr>
      <w:r>
        <w:rPr/>
        <w:t>lateral variations in the ground, while electrical sounding investigates the way in which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resistivity</w:t>
      </w:r>
      <w:r>
        <w:rPr>
          <w:spacing w:val="-5"/>
        </w:rPr>
        <w:t> </w:t>
      </w:r>
      <w:r>
        <w:rPr/>
        <w:t>of the ground varies with depth.</w:t>
      </w:r>
    </w:p>
    <w:p>
      <w:pPr>
        <w:pStyle w:val="BodyText"/>
        <w:spacing w:line="480" w:lineRule="auto" w:before="1"/>
        <w:ind w:left="307" w:right="425"/>
        <w:jc w:val="both"/>
      </w:pPr>
      <w:r>
        <w:rPr/>
        <w:t>The principle of the resistivity method is that an electric current is passed in to the</w:t>
      </w:r>
      <w:r>
        <w:rPr>
          <w:spacing w:val="1"/>
        </w:rPr>
        <w:t> </w:t>
      </w:r>
      <w:r>
        <w:rPr/>
        <w:t>ground through two electrodes, and the resulting potential difference is measured across</w:t>
      </w:r>
      <w:r>
        <w:rPr>
          <w:spacing w:val="1"/>
        </w:rPr>
        <w:t> </w:t>
      </w:r>
      <w:r>
        <w:rPr/>
        <w:t>two or more electrodes; the ratio of the potential difference to the current is display 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resistivity</w:t>
      </w:r>
      <w:r>
        <w:rPr>
          <w:spacing w:val="1"/>
        </w:rPr>
        <w:t> </w:t>
      </w:r>
      <w:r>
        <w:rPr/>
        <w:t>meter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resistance.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electrode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arranged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straight</w:t>
      </w:r>
      <w:r>
        <w:rPr>
          <w:spacing w:val="1"/>
        </w:rPr>
        <w:t> </w:t>
      </w:r>
      <w:r>
        <w:rPr/>
        <w:t>line,</w:t>
      </w:r>
      <w:r>
        <w:rPr>
          <w:spacing w:val="1"/>
        </w:rPr>
        <w:t> </w:t>
      </w:r>
      <w:r>
        <w:rPr/>
        <w:t>symmetrically about a centre point. A geometric factor is calculated as a function of the</w:t>
      </w:r>
      <w:r>
        <w:rPr>
          <w:spacing w:val="1"/>
        </w:rPr>
        <w:t> </w:t>
      </w:r>
      <w:r>
        <w:rPr/>
        <w:t>electrode</w:t>
      </w:r>
      <w:r>
        <w:rPr>
          <w:spacing w:val="1"/>
        </w:rPr>
        <w:t> </w:t>
      </w:r>
      <w:r>
        <w:rPr/>
        <w:t>spacing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resistivity</w:t>
      </w:r>
      <w:r>
        <w:rPr>
          <w:spacing w:val="1"/>
        </w:rPr>
        <w:t> </w:t>
      </w:r>
      <w:r>
        <w:rPr/>
        <w:t>readings</w:t>
      </w:r>
      <w:r>
        <w:rPr>
          <w:spacing w:val="1"/>
        </w:rPr>
        <w:t> </w:t>
      </w:r>
      <w:r>
        <w:rPr/>
        <w:t>multiplied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give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apparent</w:t>
      </w:r>
      <w:r>
        <w:rPr>
          <w:spacing w:val="1"/>
        </w:rPr>
        <w:t> </w:t>
      </w:r>
      <w:r>
        <w:rPr/>
        <w:t>resistivity value. The electrode spacing is progressively increased, keeping the centre</w:t>
      </w:r>
      <w:r>
        <w:rPr>
          <w:spacing w:val="1"/>
        </w:rPr>
        <w:t> </w:t>
      </w:r>
      <w:r>
        <w:rPr/>
        <w:t>point of the</w:t>
      </w:r>
      <w:r>
        <w:rPr>
          <w:spacing w:val="-2"/>
        </w:rPr>
        <w:t> </w:t>
      </w:r>
      <w:r>
        <w:rPr/>
        <w:t>electrode</w:t>
      </w:r>
      <w:r>
        <w:rPr>
          <w:spacing w:val="-1"/>
        </w:rPr>
        <w:t> </w:t>
      </w:r>
      <w:r>
        <w:rPr/>
        <w:t>array</w:t>
      </w:r>
      <w:r>
        <w:rPr>
          <w:spacing w:val="-3"/>
        </w:rPr>
        <w:t> </w:t>
      </w:r>
      <w:r>
        <w:rPr/>
        <w:t>fixed.</w:t>
      </w:r>
    </w:p>
    <w:p>
      <w:pPr>
        <w:pStyle w:val="BodyText"/>
        <w:spacing w:line="480" w:lineRule="auto" w:before="1"/>
        <w:ind w:left="307" w:right="425"/>
        <w:jc w:val="both"/>
      </w:pPr>
      <w:r>
        <w:rPr/>
        <w:t>Resistivity</w:t>
      </w:r>
      <w:r>
        <w:rPr>
          <w:spacing w:val="1"/>
        </w:rPr>
        <w:t> </w:t>
      </w:r>
      <w:r>
        <w:rPr/>
        <w:t>measurements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field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carried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Geotron</w:t>
      </w:r>
      <w:r>
        <w:rPr>
          <w:spacing w:val="1"/>
        </w:rPr>
        <w:t> </w:t>
      </w:r>
      <w:r>
        <w:rPr/>
        <w:t>G41</w:t>
      </w:r>
      <w:r>
        <w:rPr>
          <w:spacing w:val="1"/>
        </w:rPr>
        <w:t> </w:t>
      </w:r>
      <w:r>
        <w:rPr/>
        <w:t>Geotron</w:t>
      </w:r>
      <w:r>
        <w:rPr>
          <w:spacing w:val="1"/>
        </w:rPr>
        <w:t> </w:t>
      </w:r>
      <w:r>
        <w:rPr/>
        <w:t>Resistivity Meter. (AB between 1 and 100 meters and potential electrode separation MN</w:t>
      </w:r>
      <w:r>
        <w:rPr>
          <w:spacing w:val="-57"/>
        </w:rPr>
        <w:t> </w:t>
      </w:r>
      <w:r>
        <w:rPr/>
        <w:t>between 0.5 and 15 meters) while a global positioning system (GPS) device is used to</w:t>
      </w:r>
      <w:r>
        <w:rPr>
          <w:spacing w:val="1"/>
        </w:rPr>
        <w:t> </w:t>
      </w:r>
      <w:r>
        <w:rPr/>
        <w:t>obtain</w:t>
      </w:r>
      <w:r>
        <w:rPr>
          <w:spacing w:val="-1"/>
        </w:rPr>
        <w:t> </w:t>
      </w:r>
      <w:r>
        <w:rPr/>
        <w:t>the coordinates of</w:t>
      </w:r>
      <w:r>
        <w:rPr>
          <w:spacing w:val="1"/>
        </w:rPr>
        <w:t> </w:t>
      </w:r>
      <w:r>
        <w:rPr/>
        <w:t>each VES point</w:t>
      </w:r>
    </w:p>
    <w:p>
      <w:pPr>
        <w:pStyle w:val="Heading2"/>
        <w:numPr>
          <w:ilvl w:val="1"/>
          <w:numId w:val="9"/>
        </w:numPr>
        <w:tabs>
          <w:tab w:pos="1028" w:val="left" w:leader="none"/>
        </w:tabs>
        <w:spacing w:line="240" w:lineRule="auto" w:before="164" w:after="0"/>
        <w:ind w:left="1027" w:right="0" w:hanging="721"/>
        <w:jc w:val="both"/>
      </w:pPr>
      <w:r>
        <w:rPr/>
        <w:t>Data</w:t>
      </w:r>
      <w:r>
        <w:rPr>
          <w:spacing w:val="-1"/>
        </w:rPr>
        <w:t> </w:t>
      </w:r>
      <w:r>
        <w:rPr/>
        <w:t>Analysis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307" w:right="427"/>
        <w:jc w:val="both"/>
      </w:pPr>
      <w:r>
        <w:rPr/>
        <w:t>Vertical electrical sounding results is initially obtained by curve matching with standard</w:t>
      </w:r>
      <w:r>
        <w:rPr>
          <w:spacing w:val="-57"/>
        </w:rPr>
        <w:t> </w:t>
      </w:r>
      <w:r>
        <w:rPr/>
        <w:t>master</w:t>
      </w:r>
      <w:r>
        <w:rPr>
          <w:spacing w:val="1"/>
        </w:rPr>
        <w:t> </w:t>
      </w:r>
      <w:r>
        <w:rPr/>
        <w:t>curves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auxiliaries.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improved</w:t>
      </w:r>
      <w:r>
        <w:rPr>
          <w:spacing w:val="1"/>
        </w:rPr>
        <w:t> </w:t>
      </w:r>
      <w:r>
        <w:rPr/>
        <w:t>upon</w:t>
      </w:r>
      <w:r>
        <w:rPr>
          <w:spacing w:val="1"/>
        </w:rPr>
        <w:t> </w:t>
      </w:r>
      <w:r>
        <w:rPr/>
        <w:t>by</w:t>
      </w:r>
      <w:r>
        <w:rPr>
          <w:spacing w:val="60"/>
        </w:rPr>
        <w:t> </w:t>
      </w:r>
      <w:r>
        <w:rPr/>
        <w:t>usingwinResist</w:t>
      </w:r>
      <w:r>
        <w:rPr>
          <w:spacing w:val="1"/>
        </w:rPr>
        <w:t> </w:t>
      </w:r>
      <w:r>
        <w:rPr/>
        <w:t>Inversion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presented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appendix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field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digitized</w:t>
      </w:r>
      <w:r>
        <w:rPr>
          <w:spacing w:val="60"/>
        </w:rPr>
        <w:t> </w:t>
      </w:r>
      <w:r>
        <w:rPr/>
        <w:t>curves.A</w:t>
      </w:r>
      <w:r>
        <w:rPr>
          <w:spacing w:val="1"/>
        </w:rPr>
        <w:t> </w:t>
      </w:r>
      <w:r>
        <w:rPr/>
        <w:t>computer assisted one dimensional inversion algorithm of the Schlumberger sounding</w:t>
      </w:r>
      <w:r>
        <w:rPr>
          <w:spacing w:val="1"/>
        </w:rPr>
        <w:t> </w:t>
      </w:r>
      <w:r>
        <w:rPr/>
        <w:t>was carried out for quantitative interpretation followed by the production of geoelectric</w:t>
      </w:r>
      <w:r>
        <w:rPr>
          <w:spacing w:val="1"/>
        </w:rPr>
        <w:t> </w:t>
      </w:r>
      <w:r>
        <w:rPr/>
        <w:t>section of the area to enable an understanding of the subsurface. The iterated model</w:t>
      </w:r>
      <w:r>
        <w:rPr>
          <w:spacing w:val="1"/>
        </w:rPr>
        <w:t> </w:t>
      </w:r>
      <w:r>
        <w:rPr/>
        <w:t>converges within 3 to 5 iterations demonstrating that the data quality is decent and</w:t>
      </w:r>
      <w:r>
        <w:rPr>
          <w:spacing w:val="1"/>
        </w:rPr>
        <w:t> </w:t>
      </w:r>
      <w:r>
        <w:rPr/>
        <w:t>reliable which is also appreciated from the root mean square (RMS) value which ranged</w:t>
      </w:r>
      <w:r>
        <w:rPr>
          <w:spacing w:val="-57"/>
        </w:rPr>
        <w:t> </w:t>
      </w:r>
      <w:r>
        <w:rPr/>
        <w:t>from</w:t>
      </w:r>
      <w:r>
        <w:rPr>
          <w:spacing w:val="-1"/>
        </w:rPr>
        <w:t> </w:t>
      </w:r>
      <w:r>
        <w:rPr/>
        <w:t>2.9 to 8.9 for the</w:t>
      </w:r>
      <w:r>
        <w:rPr>
          <w:spacing w:val="-2"/>
        </w:rPr>
        <w:t> </w:t>
      </w:r>
      <w:r>
        <w:rPr/>
        <w:t>individual model results.</w:t>
      </w:r>
    </w:p>
    <w:p>
      <w:pPr>
        <w:spacing w:after="0" w:line="480" w:lineRule="auto"/>
        <w:jc w:val="both"/>
        <w:sectPr>
          <w:pgSz w:w="11910" w:h="16840"/>
          <w:pgMar w:header="0" w:footer="1067" w:top="1320" w:bottom="1260" w:left="1680" w:right="980"/>
        </w:sectPr>
      </w:pPr>
    </w:p>
    <w:p>
      <w:pPr>
        <w:pStyle w:val="Heading2"/>
        <w:ind w:left="297" w:right="419" w:firstLine="0"/>
        <w:jc w:val="center"/>
      </w:pPr>
      <w:r>
        <w:rPr/>
        <w:t>CHAPTRE</w:t>
      </w:r>
      <w:r>
        <w:rPr>
          <w:spacing w:val="-2"/>
        </w:rPr>
        <w:t> </w:t>
      </w:r>
      <w:r>
        <w:rPr/>
        <w:t>FOUR</w:t>
      </w:r>
    </w:p>
    <w:p>
      <w:pPr>
        <w:pStyle w:val="BodyText"/>
        <w:rPr>
          <w:b/>
        </w:rPr>
      </w:pPr>
    </w:p>
    <w:p>
      <w:pPr>
        <w:pStyle w:val="ListParagraph"/>
        <w:numPr>
          <w:ilvl w:val="1"/>
          <w:numId w:val="10"/>
        </w:numPr>
        <w:tabs>
          <w:tab w:pos="2648" w:val="left" w:leader="none"/>
          <w:tab w:pos="2649" w:val="left" w:leader="none"/>
        </w:tabs>
        <w:spacing w:line="240" w:lineRule="auto" w:before="1" w:after="0"/>
        <w:ind w:left="2648" w:right="0" w:hanging="2342"/>
        <w:jc w:val="both"/>
        <w:rPr>
          <w:b/>
          <w:sz w:val="24"/>
        </w:rPr>
      </w:pPr>
      <w:r>
        <w:rPr>
          <w:b/>
          <w:sz w:val="24"/>
        </w:rPr>
        <w:t>RESULT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DISCUSSION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307" w:right="434"/>
        <w:jc w:val="both"/>
      </w:pPr>
      <w:r>
        <w:rPr/>
        <w:t>The primary results of the geophysical investigation are presented and discussed in this</w:t>
      </w:r>
      <w:r>
        <w:rPr>
          <w:spacing w:val="1"/>
        </w:rPr>
        <w:t> </w:t>
      </w:r>
      <w:r>
        <w:rPr/>
        <w:t>chapter</w:t>
      </w:r>
      <w:r>
        <w:rPr>
          <w:spacing w:val="-3"/>
        </w:rPr>
        <w:t> </w:t>
      </w:r>
      <w:r>
        <w:rPr/>
        <w:t>while some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</w:t>
      </w:r>
      <w:r>
        <w:rPr/>
        <w:t>field data</w:t>
      </w:r>
      <w:r>
        <w:rPr>
          <w:spacing w:val="1"/>
        </w:rPr>
        <w:t> </w:t>
      </w:r>
      <w:r>
        <w:rPr/>
        <w:t>are</w:t>
      </w:r>
      <w:r>
        <w:rPr>
          <w:spacing w:val="-2"/>
        </w:rPr>
        <w:t> </w:t>
      </w:r>
      <w:r>
        <w:rPr/>
        <w:t>shown in</w:t>
      </w:r>
      <w:r>
        <w:rPr>
          <w:spacing w:val="1"/>
        </w:rPr>
        <w:t> </w:t>
      </w:r>
      <w:r>
        <w:rPr/>
        <w:t>the appendices</w:t>
      </w:r>
      <w:r>
        <w:rPr>
          <w:spacing w:val="2"/>
        </w:rPr>
        <w:t> </w:t>
      </w:r>
      <w:r>
        <w:rPr/>
        <w:t>1.</w:t>
      </w:r>
    </w:p>
    <w:p>
      <w:pPr>
        <w:pStyle w:val="Heading2"/>
        <w:numPr>
          <w:ilvl w:val="1"/>
          <w:numId w:val="10"/>
        </w:numPr>
        <w:tabs>
          <w:tab w:pos="1028" w:val="left" w:leader="none"/>
        </w:tabs>
        <w:spacing w:line="240" w:lineRule="auto" w:before="166" w:after="0"/>
        <w:ind w:left="1027" w:right="0" w:hanging="721"/>
        <w:jc w:val="both"/>
      </w:pPr>
      <w:r>
        <w:rPr/>
        <w:t>Field</w:t>
      </w:r>
      <w:r>
        <w:rPr>
          <w:spacing w:val="-2"/>
        </w:rPr>
        <w:t> </w:t>
      </w:r>
      <w:r>
        <w:rPr/>
        <w:t>Topography</w:t>
      </w:r>
      <w:r>
        <w:rPr>
          <w:spacing w:val="-1"/>
        </w:rPr>
        <w:t> </w:t>
      </w:r>
      <w:r>
        <w:rPr/>
        <w:t>and</w:t>
      </w:r>
      <w:r>
        <w:rPr>
          <w:spacing w:val="-3"/>
        </w:rPr>
        <w:t> </w:t>
      </w:r>
      <w:r>
        <w:rPr/>
        <w:t>Survey</w:t>
      </w:r>
      <w:r>
        <w:rPr>
          <w:spacing w:val="1"/>
        </w:rPr>
        <w:t> </w:t>
      </w:r>
      <w:r>
        <w:rPr/>
        <w:t>Layout</w:t>
      </w:r>
    </w:p>
    <w:p>
      <w:pPr>
        <w:pStyle w:val="BodyText"/>
        <w:spacing w:before="4"/>
        <w:rPr>
          <w:b/>
          <w:sz w:val="23"/>
        </w:rPr>
      </w:pPr>
    </w:p>
    <w:p>
      <w:pPr>
        <w:pStyle w:val="BodyText"/>
        <w:spacing w:line="480" w:lineRule="auto"/>
        <w:ind w:left="307" w:right="427"/>
        <w:jc w:val="both"/>
      </w:pPr>
      <w:r>
        <w:rPr/>
        <w:t>The VES modeling was carried out on 10 profiles lines with interval of 50 m between</w:t>
      </w:r>
      <w:r>
        <w:rPr>
          <w:spacing w:val="1"/>
        </w:rPr>
        <w:t> </w:t>
      </w:r>
      <w:r>
        <w:rPr/>
        <w:t>the profileslines and four VES stations on each profile amounting to a total of 40 VES</w:t>
      </w:r>
      <w:r>
        <w:rPr>
          <w:spacing w:val="1"/>
        </w:rPr>
        <w:t> </w:t>
      </w:r>
      <w:r>
        <w:rPr/>
        <w:t>stations within an area coverage of</w:t>
      </w:r>
      <w:r>
        <w:rPr>
          <w:spacing w:val="1"/>
        </w:rPr>
        <w:t> </w:t>
      </w:r>
      <w:r>
        <w:rPr/>
        <w:t>187,500 m</w:t>
      </w:r>
      <w:r>
        <w:rPr>
          <w:vertAlign w:val="superscript"/>
        </w:rPr>
        <w:t>2</w:t>
      </w:r>
      <w:r>
        <w:rPr>
          <w:vertAlign w:val="baseline"/>
        </w:rPr>
        <w:t> (i.e 500 m x</w:t>
      </w:r>
      <w:r>
        <w:rPr>
          <w:spacing w:val="60"/>
          <w:vertAlign w:val="baseline"/>
        </w:rPr>
        <w:t> </w:t>
      </w:r>
      <w:r>
        <w:rPr>
          <w:vertAlign w:val="baseline"/>
        </w:rPr>
        <w:t>375 m). The elevation 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9"/>
          <w:vertAlign w:val="baseline"/>
        </w:rPr>
        <w:t> </w:t>
      </w:r>
      <w:r>
        <w:rPr>
          <w:vertAlign w:val="baseline"/>
        </w:rPr>
        <w:t>area</w:t>
      </w:r>
      <w:r>
        <w:rPr>
          <w:spacing w:val="9"/>
          <w:vertAlign w:val="baseline"/>
        </w:rPr>
        <w:t> </w:t>
      </w:r>
      <w:r>
        <w:rPr>
          <w:vertAlign w:val="baseline"/>
        </w:rPr>
        <w:t>above</w:t>
      </w:r>
      <w:r>
        <w:rPr>
          <w:spacing w:val="9"/>
          <w:vertAlign w:val="baseline"/>
        </w:rPr>
        <w:t> </w:t>
      </w:r>
      <w:r>
        <w:rPr>
          <w:vertAlign w:val="baseline"/>
        </w:rPr>
        <w:t>sea</w:t>
      </w:r>
      <w:r>
        <w:rPr>
          <w:spacing w:val="9"/>
          <w:vertAlign w:val="baseline"/>
        </w:rPr>
        <w:t> </w:t>
      </w:r>
      <w:r>
        <w:rPr>
          <w:vertAlign w:val="baseline"/>
        </w:rPr>
        <w:t>level</w:t>
      </w:r>
      <w:r>
        <w:rPr>
          <w:spacing w:val="13"/>
          <w:vertAlign w:val="baseline"/>
        </w:rPr>
        <w:t> </w:t>
      </w:r>
      <w:r>
        <w:rPr>
          <w:vertAlign w:val="baseline"/>
        </w:rPr>
        <w:t>ranges</w:t>
      </w:r>
      <w:r>
        <w:rPr>
          <w:spacing w:val="11"/>
          <w:vertAlign w:val="baseline"/>
        </w:rPr>
        <w:t> </w:t>
      </w:r>
      <w:r>
        <w:rPr>
          <w:vertAlign w:val="baseline"/>
        </w:rPr>
        <w:t>from</w:t>
      </w:r>
      <w:r>
        <w:rPr>
          <w:spacing w:val="11"/>
          <w:vertAlign w:val="baseline"/>
        </w:rPr>
        <w:t> </w:t>
      </w:r>
      <w:r>
        <w:rPr>
          <w:vertAlign w:val="baseline"/>
        </w:rPr>
        <w:t>62</w:t>
      </w:r>
      <w:r>
        <w:rPr>
          <w:spacing w:val="10"/>
          <w:vertAlign w:val="baseline"/>
        </w:rPr>
        <w:t> </w:t>
      </w:r>
      <w:r>
        <w:rPr>
          <w:vertAlign w:val="baseline"/>
        </w:rPr>
        <w:t>m</w:t>
      </w:r>
      <w:r>
        <w:rPr>
          <w:spacing w:val="11"/>
          <w:vertAlign w:val="baseline"/>
        </w:rPr>
        <w:t> </w:t>
      </w:r>
      <w:r>
        <w:rPr>
          <w:vertAlign w:val="baseline"/>
        </w:rPr>
        <w:t>to</w:t>
      </w:r>
      <w:r>
        <w:rPr>
          <w:spacing w:val="11"/>
          <w:vertAlign w:val="baseline"/>
        </w:rPr>
        <w:t> </w:t>
      </w:r>
      <w:r>
        <w:rPr>
          <w:vertAlign w:val="baseline"/>
        </w:rPr>
        <w:t>above</w:t>
      </w:r>
      <w:r>
        <w:rPr>
          <w:spacing w:val="9"/>
          <w:vertAlign w:val="baseline"/>
        </w:rPr>
        <w:t> </w:t>
      </w:r>
      <w:r>
        <w:rPr>
          <w:vertAlign w:val="baseline"/>
        </w:rPr>
        <w:t>84</w:t>
      </w:r>
      <w:r>
        <w:rPr>
          <w:spacing w:val="10"/>
          <w:vertAlign w:val="baseline"/>
        </w:rPr>
        <w:t> </w:t>
      </w:r>
      <w:r>
        <w:rPr>
          <w:vertAlign w:val="baseline"/>
        </w:rPr>
        <w:t>m,</w:t>
      </w:r>
      <w:r>
        <w:rPr>
          <w:spacing w:val="11"/>
          <w:vertAlign w:val="baseline"/>
        </w:rPr>
        <w:t> </w:t>
      </w:r>
      <w:r>
        <w:rPr>
          <w:vertAlign w:val="baseline"/>
        </w:rPr>
        <w:t>which</w:t>
      </w:r>
      <w:r>
        <w:rPr>
          <w:spacing w:val="10"/>
          <w:vertAlign w:val="baseline"/>
        </w:rPr>
        <w:t> </w:t>
      </w:r>
      <w:r>
        <w:rPr>
          <w:vertAlign w:val="baseline"/>
        </w:rPr>
        <w:t>indicates</w:t>
      </w:r>
      <w:r>
        <w:rPr>
          <w:spacing w:val="10"/>
          <w:vertAlign w:val="baseline"/>
        </w:rPr>
        <w:t> </w:t>
      </w:r>
      <w:r>
        <w:rPr>
          <w:vertAlign w:val="baseline"/>
        </w:rPr>
        <w:t>that</w:t>
      </w:r>
      <w:r>
        <w:rPr>
          <w:spacing w:val="10"/>
          <w:vertAlign w:val="baseline"/>
        </w:rPr>
        <w:t> </w:t>
      </w:r>
      <w:r>
        <w:rPr>
          <w:vertAlign w:val="baseline"/>
        </w:rPr>
        <w:t>the</w:t>
      </w:r>
      <w:r>
        <w:rPr>
          <w:spacing w:val="10"/>
          <w:vertAlign w:val="baseline"/>
        </w:rPr>
        <w:t> </w:t>
      </w:r>
      <w:r>
        <w:rPr>
          <w:vertAlign w:val="baseline"/>
        </w:rPr>
        <w:t>area</w:t>
      </w:r>
      <w:r>
        <w:rPr>
          <w:spacing w:val="-58"/>
          <w:vertAlign w:val="baseline"/>
        </w:rPr>
        <w:t> </w:t>
      </w:r>
      <w:r>
        <w:rPr>
          <w:vertAlign w:val="baseline"/>
        </w:rPr>
        <w:t>is generally a low laying area which can support the growth of various agricultural</w:t>
      </w:r>
      <w:r>
        <w:rPr>
          <w:spacing w:val="1"/>
          <w:vertAlign w:val="baseline"/>
        </w:rPr>
        <w:t> </w:t>
      </w:r>
      <w:r>
        <w:rPr>
          <w:vertAlign w:val="baseline"/>
        </w:rPr>
        <w:t>produce</w:t>
      </w:r>
      <w:r>
        <w:rPr>
          <w:spacing w:val="-2"/>
          <w:vertAlign w:val="baseline"/>
        </w:rPr>
        <w:t> </w:t>
      </w:r>
      <w:r>
        <w:rPr>
          <w:vertAlign w:val="baseline"/>
        </w:rPr>
        <w:t>if water</w:t>
      </w:r>
      <w:r>
        <w:rPr>
          <w:spacing w:val="-2"/>
          <w:vertAlign w:val="baseline"/>
        </w:rPr>
        <w:t> </w:t>
      </w:r>
      <w:r>
        <w:rPr>
          <w:vertAlign w:val="baseline"/>
        </w:rPr>
        <w:t>is</w:t>
      </w:r>
      <w:r>
        <w:rPr>
          <w:spacing w:val="-1"/>
          <w:vertAlign w:val="baseline"/>
        </w:rPr>
        <w:t> </w:t>
      </w:r>
      <w:r>
        <w:rPr>
          <w:vertAlign w:val="baseline"/>
        </w:rPr>
        <w:t>made</w:t>
      </w:r>
      <w:r>
        <w:rPr>
          <w:spacing w:val="1"/>
          <w:vertAlign w:val="baseline"/>
        </w:rPr>
        <w:t> </w:t>
      </w:r>
      <w:r>
        <w:rPr>
          <w:vertAlign w:val="baseline"/>
        </w:rPr>
        <w:t>available all</w:t>
      </w:r>
      <w:r>
        <w:rPr>
          <w:spacing w:val="4"/>
          <w:vertAlign w:val="baseline"/>
        </w:rPr>
        <w:t> </w:t>
      </w:r>
      <w:r>
        <w:rPr>
          <w:vertAlign w:val="baseline"/>
        </w:rPr>
        <w:t>year round.</w:t>
      </w:r>
      <w:r>
        <w:rPr>
          <w:spacing w:val="2"/>
          <w:vertAlign w:val="baseline"/>
        </w:rPr>
        <w:t> </w:t>
      </w:r>
      <w:r>
        <w:rPr>
          <w:vertAlign w:val="baseline"/>
        </w:rPr>
        <w:t>(Figure</w:t>
      </w:r>
      <w:r>
        <w:rPr>
          <w:spacing w:val="-2"/>
          <w:vertAlign w:val="baseline"/>
        </w:rPr>
        <w:t> </w:t>
      </w:r>
      <w:r>
        <w:rPr>
          <w:vertAlign w:val="baseline"/>
        </w:rPr>
        <w:t>4.1).</w:t>
      </w:r>
    </w:p>
    <w:p>
      <w:pPr>
        <w:pStyle w:val="Heading2"/>
        <w:numPr>
          <w:ilvl w:val="1"/>
          <w:numId w:val="10"/>
        </w:numPr>
        <w:tabs>
          <w:tab w:pos="1028" w:val="left" w:leader="none"/>
        </w:tabs>
        <w:spacing w:line="240" w:lineRule="auto" w:before="167" w:after="0"/>
        <w:ind w:left="1027" w:right="0" w:hanging="721"/>
        <w:jc w:val="both"/>
      </w:pPr>
      <w:r>
        <w:rPr/>
        <w:t>Geoelectric</w:t>
      </w:r>
      <w:r>
        <w:rPr>
          <w:spacing w:val="-3"/>
        </w:rPr>
        <w:t> </w:t>
      </w:r>
      <w:r>
        <w:rPr/>
        <w:t>Parameters</w:t>
      </w:r>
      <w:r>
        <w:rPr>
          <w:spacing w:val="-2"/>
        </w:rPr>
        <w:t> </w:t>
      </w:r>
      <w:r>
        <w:rPr/>
        <w:t>Interpretation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07" w:right="429"/>
        <w:jc w:val="both"/>
      </w:pPr>
      <w:r>
        <w:rPr/>
        <w:t>Detailed description of the VES geoelectric layers including their respective resistivity,</w:t>
      </w:r>
      <w:r>
        <w:rPr>
          <w:spacing w:val="1"/>
        </w:rPr>
        <w:t> </w:t>
      </w:r>
      <w:r>
        <w:rPr/>
        <w:t>thickness, and depths are presented in Table (4.1). The VES is limited to the vertical</w:t>
      </w:r>
      <w:r>
        <w:rPr>
          <w:spacing w:val="1"/>
        </w:rPr>
        <w:t> </w:t>
      </w:r>
      <w:r>
        <w:rPr/>
        <w:t>distribution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electrical</w:t>
      </w:r>
      <w:r>
        <w:rPr>
          <w:spacing w:val="1"/>
        </w:rPr>
        <w:t> </w:t>
      </w:r>
      <w:r>
        <w:rPr/>
        <w:t>resistivity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subsurface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area.</w:t>
      </w:r>
      <w:r>
        <w:rPr>
          <w:spacing w:val="1"/>
        </w:rPr>
        <w:t> </w:t>
      </w:r>
      <w:r>
        <w:rPr/>
        <w:t>Representative VES curve from the research area are displayed in Figure (4.2). This was</w:t>
      </w:r>
      <w:r>
        <w:rPr>
          <w:spacing w:val="-57"/>
        </w:rPr>
        <w:t> </w:t>
      </w:r>
      <w:r>
        <w:rPr/>
        <w:t>made possible by geophysical software called WinResist which involves a forward and</w:t>
      </w:r>
      <w:r>
        <w:rPr>
          <w:spacing w:val="1"/>
        </w:rPr>
        <w:t> </w:t>
      </w:r>
      <w:r>
        <w:rPr/>
        <w:t>inverse</w:t>
      </w:r>
      <w:r>
        <w:rPr>
          <w:spacing w:val="12"/>
        </w:rPr>
        <w:t> </w:t>
      </w:r>
      <w:r>
        <w:rPr/>
        <w:t>modelling</w:t>
      </w:r>
      <w:r>
        <w:rPr>
          <w:spacing w:val="11"/>
        </w:rPr>
        <w:t> </w:t>
      </w:r>
      <w:r>
        <w:rPr/>
        <w:t>approach</w:t>
      </w:r>
      <w:r>
        <w:rPr>
          <w:spacing w:val="13"/>
        </w:rPr>
        <w:t> </w:t>
      </w:r>
      <w:r>
        <w:rPr/>
        <w:t>to</w:t>
      </w:r>
      <w:r>
        <w:rPr>
          <w:spacing w:val="13"/>
        </w:rPr>
        <w:t> </w:t>
      </w:r>
      <w:r>
        <w:rPr/>
        <w:t>generate</w:t>
      </w:r>
      <w:r>
        <w:rPr>
          <w:spacing w:val="13"/>
        </w:rPr>
        <w:t> </w:t>
      </w:r>
      <w:r>
        <w:rPr/>
        <w:t>a</w:t>
      </w:r>
      <w:r>
        <w:rPr>
          <w:spacing w:val="12"/>
        </w:rPr>
        <w:t> </w:t>
      </w:r>
      <w:r>
        <w:rPr/>
        <w:t>computer</w:t>
      </w:r>
      <w:r>
        <w:rPr>
          <w:spacing w:val="12"/>
        </w:rPr>
        <w:t> </w:t>
      </w:r>
      <w:r>
        <w:rPr/>
        <w:t>modelled</w:t>
      </w:r>
      <w:r>
        <w:rPr>
          <w:spacing w:val="12"/>
        </w:rPr>
        <w:t> </w:t>
      </w:r>
      <w:r>
        <w:rPr/>
        <w:t>curve</w:t>
      </w:r>
      <w:r>
        <w:rPr>
          <w:spacing w:val="12"/>
        </w:rPr>
        <w:t> </w:t>
      </w:r>
      <w:r>
        <w:rPr/>
        <w:t>as</w:t>
      </w:r>
      <w:r>
        <w:rPr>
          <w:spacing w:val="13"/>
        </w:rPr>
        <w:t> </w:t>
      </w:r>
      <w:r>
        <w:rPr/>
        <w:t>shown</w:t>
      </w:r>
      <w:r>
        <w:rPr>
          <w:spacing w:val="13"/>
        </w:rPr>
        <w:t> </w:t>
      </w:r>
      <w:r>
        <w:rPr/>
        <w:t>in</w:t>
      </w:r>
      <w:r>
        <w:rPr>
          <w:spacing w:val="13"/>
        </w:rPr>
        <w:t> </w:t>
      </w:r>
      <w:r>
        <w:rPr/>
        <w:t>Figure</w:t>
      </w:r>
    </w:p>
    <w:p>
      <w:pPr>
        <w:pStyle w:val="BodyText"/>
        <w:spacing w:line="480" w:lineRule="auto"/>
        <w:ind w:left="307" w:right="429"/>
        <w:jc w:val="both"/>
      </w:pPr>
      <w:r>
        <w:rPr/>
        <w:t>4.2 The layer parameters, resistivity and thickness for each VES points were obtained</w:t>
      </w:r>
      <w:r>
        <w:rPr>
          <w:spacing w:val="1"/>
        </w:rPr>
        <w:t> </w:t>
      </w:r>
      <w:r>
        <w:rPr/>
        <w:t>after a series of iteration to matchthe field curve with theoretical curves. This iteration</w:t>
      </w:r>
      <w:r>
        <w:rPr>
          <w:spacing w:val="1"/>
        </w:rPr>
        <w:t> </w:t>
      </w:r>
      <w:r>
        <w:rPr/>
        <w:t>activity continued until the RMS error between the field data and the model data is</w:t>
      </w:r>
      <w:r>
        <w:rPr>
          <w:spacing w:val="1"/>
        </w:rPr>
        <w:t> </w:t>
      </w:r>
      <w:r>
        <w:rPr/>
        <w:t>reduced to the maximum percentage, showing different geoelectric curve type. Iso–</w:t>
      </w:r>
      <w:r>
        <w:rPr>
          <w:spacing w:val="1"/>
        </w:rPr>
        <w:t> </w:t>
      </w:r>
      <w:r>
        <w:rPr/>
        <w:t>parametric maps are also shown in Figures (4.5 to 4.9). The plot of VES data of all</w:t>
      </w:r>
      <w:r>
        <w:rPr>
          <w:spacing w:val="1"/>
        </w:rPr>
        <w:t> </w:t>
      </w:r>
      <w:r>
        <w:rPr/>
        <w:t>otherVES</w:t>
      </w:r>
      <w:r>
        <w:rPr>
          <w:spacing w:val="-1"/>
        </w:rPr>
        <w:t> </w:t>
      </w:r>
      <w:r>
        <w:rPr/>
        <w:t>points are</w:t>
      </w:r>
      <w:r>
        <w:rPr>
          <w:spacing w:val="-2"/>
        </w:rPr>
        <w:t> </w:t>
      </w:r>
      <w:r>
        <w:rPr/>
        <w:t>presented in Appendix.1</w:t>
      </w:r>
    </w:p>
    <w:p>
      <w:pPr>
        <w:spacing w:after="0" w:line="480" w:lineRule="auto"/>
        <w:jc w:val="both"/>
        <w:sectPr>
          <w:pgSz w:w="11910" w:h="16840"/>
          <w:pgMar w:header="0" w:footer="1067" w:top="1320" w:bottom="1260" w:left="1680" w:right="980"/>
        </w:sectPr>
      </w:pPr>
    </w:p>
    <w:p>
      <w:pPr>
        <w:pStyle w:val="BodyText"/>
        <w:ind w:left="307"/>
        <w:rPr>
          <w:sz w:val="20"/>
        </w:rPr>
      </w:pPr>
      <w:r>
        <w:rPr>
          <w:sz w:val="20"/>
        </w:rPr>
        <w:drawing>
          <wp:inline distT="0" distB="0" distL="0" distR="0">
            <wp:extent cx="5646320" cy="5362860"/>
            <wp:effectExtent l="0" t="0" r="0" b="0"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6320" cy="536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1"/>
      </w:pPr>
    </w:p>
    <w:p>
      <w:pPr>
        <w:pStyle w:val="BodyText"/>
        <w:spacing w:before="90"/>
        <w:ind w:left="297" w:right="417"/>
        <w:jc w:val="center"/>
      </w:pPr>
      <w:r>
        <w:rPr/>
        <w:t>Figure</w:t>
      </w:r>
      <w:r>
        <w:rPr>
          <w:spacing w:val="-3"/>
        </w:rPr>
        <w:t> </w:t>
      </w:r>
      <w:r>
        <w:rPr/>
        <w:t>4.1</w:t>
      </w:r>
      <w:r>
        <w:rPr>
          <w:spacing w:val="1"/>
        </w:rPr>
        <w:t> </w:t>
      </w:r>
      <w:r>
        <w:rPr/>
        <w:t>Field layout showing</w:t>
      </w:r>
      <w:r>
        <w:rPr>
          <w:spacing w:val="-3"/>
        </w:rPr>
        <w:t> </w:t>
      </w:r>
      <w:r>
        <w:rPr/>
        <w:t>profiles</w:t>
      </w:r>
      <w:r>
        <w:rPr>
          <w:spacing w:val="-1"/>
        </w:rPr>
        <w:t> </w:t>
      </w:r>
      <w:r>
        <w:rPr/>
        <w:t>lines and</w:t>
      </w:r>
      <w:r>
        <w:rPr>
          <w:spacing w:val="1"/>
        </w:rPr>
        <w:t> </w:t>
      </w:r>
      <w:r>
        <w:rPr/>
        <w:t>VES points</w:t>
      </w:r>
    </w:p>
    <w:p>
      <w:pPr>
        <w:spacing w:after="0"/>
        <w:jc w:val="center"/>
        <w:sectPr>
          <w:pgSz w:w="11910" w:h="16840"/>
          <w:pgMar w:header="0" w:footer="1067" w:top="1400" w:bottom="1260" w:left="1680" w:right="980"/>
        </w:sectPr>
      </w:pPr>
    </w:p>
    <w:p>
      <w:pPr>
        <w:pStyle w:val="BodyText"/>
        <w:ind w:left="307"/>
        <w:rPr>
          <w:sz w:val="20"/>
        </w:rPr>
      </w:pPr>
      <w:r>
        <w:rPr>
          <w:sz w:val="20"/>
        </w:rPr>
        <w:drawing>
          <wp:inline distT="0" distB="0" distL="0" distR="0">
            <wp:extent cx="5572059" cy="4323397"/>
            <wp:effectExtent l="0" t="0" r="0" b="0"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2059" cy="4323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8"/>
        <w:rPr>
          <w:sz w:val="8"/>
        </w:rPr>
      </w:pPr>
    </w:p>
    <w:p>
      <w:pPr>
        <w:pStyle w:val="BodyText"/>
        <w:spacing w:before="90"/>
        <w:ind w:left="297" w:right="419"/>
        <w:jc w:val="center"/>
      </w:pPr>
      <w:r>
        <w:rPr/>
        <w:t>Figure</w:t>
      </w:r>
      <w:r>
        <w:rPr>
          <w:spacing w:val="-3"/>
        </w:rPr>
        <w:t> </w:t>
      </w:r>
      <w:r>
        <w:rPr/>
        <w:t>4.2VES4</w:t>
      </w:r>
      <w:r>
        <w:rPr>
          <w:spacing w:val="-1"/>
        </w:rPr>
        <w:t> </w:t>
      </w:r>
      <w:r>
        <w:rPr/>
        <w:t>Profile 1QH</w:t>
      </w:r>
      <w:r>
        <w:rPr>
          <w:spacing w:val="-2"/>
        </w:rPr>
        <w:t> </w:t>
      </w:r>
      <w:r>
        <w:rPr/>
        <w:t>curve</w:t>
      </w:r>
      <w:r>
        <w:rPr>
          <w:spacing w:val="-1"/>
        </w:rPr>
        <w:t> </w:t>
      </w:r>
      <w:r>
        <w:rPr/>
        <w:t>type</w:t>
      </w:r>
    </w:p>
    <w:p>
      <w:pPr>
        <w:spacing w:after="0"/>
        <w:jc w:val="center"/>
        <w:sectPr>
          <w:pgSz w:w="11910" w:h="16840"/>
          <w:pgMar w:header="0" w:footer="1067" w:top="1400" w:bottom="1260" w:left="1680" w:right="980"/>
        </w:sectPr>
      </w:pPr>
    </w:p>
    <w:p>
      <w:pPr>
        <w:pStyle w:val="BodyText"/>
        <w:spacing w:line="480" w:lineRule="auto" w:before="64"/>
        <w:ind w:left="307" w:right="424"/>
        <w:jc w:val="both"/>
      </w:pPr>
      <w:r>
        <w:rPr/>
        <w:t>A specialized geophysical contouring software known as surfer 11 was also used to</w:t>
      </w:r>
      <w:r>
        <w:rPr>
          <w:spacing w:val="1"/>
        </w:rPr>
        <w:t> </w:t>
      </w:r>
      <w:r>
        <w:rPr/>
        <w:t>contour layer resistivity as shown in Figure 4.1 which shows the iso-resistivity contour</w:t>
      </w:r>
      <w:r>
        <w:rPr>
          <w:spacing w:val="1"/>
        </w:rPr>
        <w:t> </w:t>
      </w:r>
      <w:r>
        <w:rPr/>
        <w:t>map</w:t>
      </w:r>
      <w:r>
        <w:rPr>
          <w:spacing w:val="15"/>
        </w:rPr>
        <w:t> </w:t>
      </w:r>
      <w:r>
        <w:rPr/>
        <w:t>of</w:t>
      </w:r>
      <w:r>
        <w:rPr>
          <w:spacing w:val="14"/>
        </w:rPr>
        <w:t> </w:t>
      </w:r>
      <w:r>
        <w:rPr/>
        <w:t>the</w:t>
      </w:r>
      <w:r>
        <w:rPr>
          <w:spacing w:val="15"/>
        </w:rPr>
        <w:t> </w:t>
      </w:r>
      <w:r>
        <w:rPr/>
        <w:t>layers</w:t>
      </w:r>
      <w:r>
        <w:rPr>
          <w:spacing w:val="16"/>
        </w:rPr>
        <w:t> </w:t>
      </w:r>
      <w:r>
        <w:rPr/>
        <w:t>in</w:t>
      </w:r>
      <w:r>
        <w:rPr>
          <w:spacing w:val="16"/>
        </w:rPr>
        <w:t> </w:t>
      </w:r>
      <w:r>
        <w:rPr/>
        <w:t>the</w:t>
      </w:r>
      <w:r>
        <w:rPr>
          <w:spacing w:val="15"/>
        </w:rPr>
        <w:t> </w:t>
      </w:r>
      <w:r>
        <w:rPr/>
        <w:t>study</w:t>
      </w:r>
      <w:r>
        <w:rPr>
          <w:spacing w:val="10"/>
        </w:rPr>
        <w:t> </w:t>
      </w:r>
      <w:r>
        <w:rPr/>
        <w:t>area.</w:t>
      </w:r>
      <w:r>
        <w:rPr>
          <w:spacing w:val="16"/>
        </w:rPr>
        <w:t> </w:t>
      </w:r>
      <w:r>
        <w:rPr/>
        <w:t>From</w:t>
      </w:r>
      <w:r>
        <w:rPr>
          <w:spacing w:val="15"/>
        </w:rPr>
        <w:t> </w:t>
      </w:r>
      <w:r>
        <w:rPr/>
        <w:t>the</w:t>
      </w:r>
      <w:r>
        <w:rPr>
          <w:spacing w:val="15"/>
        </w:rPr>
        <w:t> </w:t>
      </w:r>
      <w:r>
        <w:rPr/>
        <w:t>modelled</w:t>
      </w:r>
      <w:r>
        <w:rPr>
          <w:spacing w:val="15"/>
        </w:rPr>
        <w:t> </w:t>
      </w:r>
      <w:r>
        <w:rPr/>
        <w:t>VES</w:t>
      </w:r>
      <w:r>
        <w:rPr>
          <w:spacing w:val="17"/>
        </w:rPr>
        <w:t> </w:t>
      </w:r>
      <w:r>
        <w:rPr/>
        <w:t>data,</w:t>
      </w:r>
      <w:r>
        <w:rPr>
          <w:spacing w:val="15"/>
        </w:rPr>
        <w:t> </w:t>
      </w:r>
      <w:r>
        <w:rPr/>
        <w:t>it</w:t>
      </w:r>
      <w:r>
        <w:rPr>
          <w:spacing w:val="16"/>
        </w:rPr>
        <w:t> </w:t>
      </w:r>
      <w:r>
        <w:rPr/>
        <w:t>was</w:t>
      </w:r>
      <w:r>
        <w:rPr>
          <w:spacing w:val="13"/>
        </w:rPr>
        <w:t> </w:t>
      </w:r>
      <w:r>
        <w:rPr/>
        <w:t>observed</w:t>
      </w:r>
      <w:r>
        <w:rPr>
          <w:spacing w:val="16"/>
        </w:rPr>
        <w:t> </w:t>
      </w:r>
      <w:r>
        <w:rPr/>
        <w:t>that</w:t>
      </w:r>
      <w:r>
        <w:rPr>
          <w:spacing w:val="-58"/>
        </w:rPr>
        <w:t> </w:t>
      </w:r>
      <w:r>
        <w:rPr/>
        <w:t>all the 40 VES points were having five layers, in most of the VES points where the QH,</w:t>
      </w:r>
      <w:r>
        <w:rPr>
          <w:spacing w:val="1"/>
        </w:rPr>
        <w:t> </w:t>
      </w:r>
      <w:r>
        <w:rPr/>
        <w:t>Q, QHK, and QKH curve types are dominates. The minimum and maximum resistivities</w:t>
      </w:r>
      <w:r>
        <w:rPr>
          <w:spacing w:val="-57"/>
        </w:rPr>
        <w:t> </w:t>
      </w:r>
      <w:r>
        <w:rPr/>
        <w:t>obtained in the study area ranges from 5.0 Ωm to 1640 Ωm, representing clayey soil,</w:t>
      </w:r>
      <w:r>
        <w:rPr>
          <w:spacing w:val="1"/>
        </w:rPr>
        <w:t> </w:t>
      </w:r>
      <w:r>
        <w:rPr/>
        <w:t>silty-sand, sandstone and sandstone intercalated with gravel. There exist a resistivity</w:t>
      </w:r>
      <w:r>
        <w:rPr>
          <w:spacing w:val="1"/>
        </w:rPr>
        <w:t> </w:t>
      </w:r>
      <w:r>
        <w:rPr/>
        <w:t>overlapping values between moderately resistive and highly conductive geomaterials.</w:t>
      </w:r>
      <w:r>
        <w:rPr>
          <w:spacing w:val="1"/>
        </w:rPr>
        <w:t> </w:t>
      </w:r>
      <w:r>
        <w:rPr/>
        <w:t>The apparent thickness and depths of the geoelectric layer were established with the</w:t>
      </w:r>
      <w:r>
        <w:rPr>
          <w:spacing w:val="1"/>
        </w:rPr>
        <w:t> </w:t>
      </w:r>
      <w:r>
        <w:rPr/>
        <w:t>depth of the first geoelectric layer ranging between 0.3 m and 2.3 m, the second layer</w:t>
      </w:r>
      <w:r>
        <w:rPr>
          <w:spacing w:val="1"/>
        </w:rPr>
        <w:t> </w:t>
      </w:r>
      <w:r>
        <w:rPr/>
        <w:t>depth ranges from 2 m to 58 m, the third- and fourth-layer depths ranges from 6 m to</w:t>
      </w:r>
      <w:r>
        <w:rPr>
          <w:spacing w:val="1"/>
        </w:rPr>
        <w:t> </w:t>
      </w:r>
      <w:r>
        <w:rPr/>
        <w:t>66m</w:t>
      </w:r>
      <w:r>
        <w:rPr>
          <w:spacing w:val="13"/>
        </w:rPr>
        <w:t> </w:t>
      </w:r>
      <w:r>
        <w:rPr/>
        <w:t>and</w:t>
      </w:r>
      <w:r>
        <w:rPr>
          <w:spacing w:val="13"/>
        </w:rPr>
        <w:t> </w:t>
      </w:r>
      <w:r>
        <w:rPr/>
        <w:t>25</w:t>
      </w:r>
      <w:r>
        <w:rPr>
          <w:spacing w:val="14"/>
        </w:rPr>
        <w:t> </w:t>
      </w:r>
      <w:r>
        <w:rPr/>
        <w:t>m</w:t>
      </w:r>
      <w:r>
        <w:rPr>
          <w:spacing w:val="15"/>
        </w:rPr>
        <w:t> </w:t>
      </w:r>
      <w:r>
        <w:rPr/>
        <w:t>to</w:t>
      </w:r>
      <w:r>
        <w:rPr>
          <w:spacing w:val="13"/>
        </w:rPr>
        <w:t> </w:t>
      </w:r>
      <w:r>
        <w:rPr/>
        <w:t>90</w:t>
      </w:r>
      <w:r>
        <w:rPr>
          <w:spacing w:val="14"/>
        </w:rPr>
        <w:t> </w:t>
      </w:r>
      <w:r>
        <w:rPr/>
        <w:t>m</w:t>
      </w:r>
      <w:r>
        <w:rPr>
          <w:spacing w:val="16"/>
        </w:rPr>
        <w:t> </w:t>
      </w:r>
      <w:r>
        <w:rPr/>
        <w:t>respectively.</w:t>
      </w:r>
      <w:r>
        <w:rPr>
          <w:spacing w:val="13"/>
        </w:rPr>
        <w:t> </w:t>
      </w:r>
      <w:r>
        <w:rPr/>
        <w:t>The</w:t>
      </w:r>
      <w:r>
        <w:rPr>
          <w:spacing w:val="13"/>
        </w:rPr>
        <w:t> </w:t>
      </w:r>
      <w:r>
        <w:rPr/>
        <w:t>thickness</w:t>
      </w:r>
      <w:r>
        <w:rPr>
          <w:spacing w:val="13"/>
        </w:rPr>
        <w:t> </w:t>
      </w:r>
      <w:r>
        <w:rPr/>
        <w:t>of</w:t>
      </w:r>
      <w:r>
        <w:rPr>
          <w:spacing w:val="12"/>
        </w:rPr>
        <w:t> </w:t>
      </w:r>
      <w:r>
        <w:rPr/>
        <w:t>the</w:t>
      </w:r>
      <w:r>
        <w:rPr>
          <w:spacing w:val="18"/>
        </w:rPr>
        <w:t> </w:t>
      </w:r>
      <w:r>
        <w:rPr/>
        <w:t>geoelectric</w:t>
      </w:r>
      <w:r>
        <w:rPr>
          <w:spacing w:val="14"/>
        </w:rPr>
        <w:t> </w:t>
      </w:r>
      <w:r>
        <w:rPr/>
        <w:t>layers</w:t>
      </w:r>
      <w:r>
        <w:rPr>
          <w:spacing w:val="12"/>
        </w:rPr>
        <w:t> </w:t>
      </w:r>
      <w:r>
        <w:rPr/>
        <w:t>also</w:t>
      </w:r>
      <w:r>
        <w:rPr>
          <w:spacing w:val="14"/>
        </w:rPr>
        <w:t> </w:t>
      </w:r>
      <w:r>
        <w:rPr/>
        <w:t>varies</w:t>
      </w:r>
      <w:r>
        <w:rPr>
          <w:spacing w:val="-58"/>
        </w:rPr>
        <w:t> </w:t>
      </w:r>
      <w:r>
        <w:rPr/>
        <w:t>as the first geoelectric layer expresses a thickness range of 0.3 m to 2.3 m, the second</w:t>
      </w:r>
      <w:r>
        <w:rPr>
          <w:spacing w:val="1"/>
        </w:rPr>
        <w:t> </w:t>
      </w:r>
      <w:r>
        <w:rPr/>
        <w:t>layer thickness ranges from 2 m to 32 m, the third layer ranges from 2 m to 62 m while</w:t>
      </w:r>
      <w:r>
        <w:rPr>
          <w:spacing w:val="1"/>
        </w:rPr>
        <w:t> </w:t>
      </w:r>
      <w:r>
        <w:rPr/>
        <w:t>the thickness of the fourth layer ranges between 12 m to 52 m. The depth and thickness</w:t>
      </w:r>
      <w:r>
        <w:rPr>
          <w:spacing w:val="1"/>
        </w:rPr>
        <w:t> </w:t>
      </w:r>
      <w:r>
        <w:rPr/>
        <w:t>of the fifth geoelectric layer extends beyond the probe depth of this investigation. The</w:t>
      </w:r>
      <w:r>
        <w:rPr>
          <w:spacing w:val="1"/>
        </w:rPr>
        <w:t> </w:t>
      </w:r>
      <w:r>
        <w:rPr/>
        <w:t>depth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</w:t>
      </w:r>
      <w:r>
        <w:rPr/>
        <w:t>fifth layer in</w:t>
      </w:r>
      <w:r>
        <w:rPr>
          <w:spacing w:val="1"/>
        </w:rPr>
        <w:t> </w:t>
      </w:r>
      <w:r>
        <w:rPr/>
        <w:t>proposed to be infinite in extent.</w:t>
      </w:r>
    </w:p>
    <w:p>
      <w:pPr>
        <w:spacing w:after="0" w:line="480" w:lineRule="auto"/>
        <w:jc w:val="both"/>
        <w:sectPr>
          <w:footerReference w:type="default" r:id="rId15"/>
          <w:pgSz w:w="11910" w:h="16840"/>
          <w:pgMar w:footer="1067" w:header="0" w:top="1320" w:bottom="1260" w:left="1680" w:right="980"/>
        </w:sectPr>
      </w:pPr>
    </w:p>
    <w:p>
      <w:pPr>
        <w:pStyle w:val="Heading2"/>
        <w:spacing w:before="78"/>
        <w:ind w:left="244" w:firstLine="0"/>
        <w:jc w:val="left"/>
      </w:pPr>
      <w:r>
        <w:rPr/>
        <w:t>Table</w:t>
      </w:r>
      <w:r>
        <w:rPr>
          <w:spacing w:val="-2"/>
        </w:rPr>
        <w:t> </w:t>
      </w:r>
      <w:r>
        <w:rPr/>
        <w:t>4.1</w:t>
      </w:r>
      <w:r>
        <w:rPr>
          <w:spacing w:val="58"/>
        </w:rPr>
        <w:t> </w:t>
      </w:r>
      <w:r>
        <w:rPr/>
        <w:t>Summary</w:t>
      </w:r>
      <w:r>
        <w:rPr>
          <w:spacing w:val="-1"/>
        </w:rPr>
        <w:t> </w:t>
      </w:r>
      <w:r>
        <w:rPr/>
        <w:t>of the</w:t>
      </w:r>
      <w:r>
        <w:rPr>
          <w:spacing w:val="-2"/>
        </w:rPr>
        <w:t> </w:t>
      </w:r>
      <w:r>
        <w:rPr/>
        <w:t>interpretation</w:t>
      </w:r>
      <w:r>
        <w:rPr>
          <w:spacing w:val="-1"/>
        </w:rPr>
        <w:t> </w:t>
      </w:r>
      <w:r>
        <w:rPr/>
        <w:t>of all</w:t>
      </w:r>
      <w:r>
        <w:rPr>
          <w:spacing w:val="-3"/>
        </w:rPr>
        <w:t> </w:t>
      </w:r>
      <w:r>
        <w:rPr/>
        <w:t>profiles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6"/>
        </w:rPr>
      </w:pPr>
    </w:p>
    <w:tbl>
      <w:tblPr>
        <w:tblW w:w="0" w:type="auto"/>
        <w:jc w:val="left"/>
        <w:tblInd w:w="1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96"/>
        <w:gridCol w:w="1481"/>
        <w:gridCol w:w="1608"/>
        <w:gridCol w:w="1065"/>
        <w:gridCol w:w="862"/>
        <w:gridCol w:w="845"/>
        <w:gridCol w:w="959"/>
        <w:gridCol w:w="644"/>
        <w:gridCol w:w="640"/>
        <w:gridCol w:w="675"/>
        <w:gridCol w:w="709"/>
        <w:gridCol w:w="819"/>
        <w:gridCol w:w="831"/>
        <w:gridCol w:w="1929"/>
      </w:tblGrid>
      <w:tr>
        <w:trPr>
          <w:trHeight w:val="873" w:hRule="atLeast"/>
        </w:trPr>
        <w:tc>
          <w:tcPr>
            <w:tcW w:w="1096" w:type="dxa"/>
            <w:tcBorders>
              <w:top w:val="single" w:sz="4" w:space="0" w:color="7E7E7E"/>
            </w:tcBorders>
          </w:tcPr>
          <w:p>
            <w:pPr>
              <w:pStyle w:val="TableParagraph"/>
              <w:spacing w:line="251" w:lineRule="exact"/>
              <w:ind w:left="122"/>
              <w:rPr>
                <w:b/>
                <w:sz w:val="22"/>
              </w:rPr>
            </w:pPr>
            <w:r>
              <w:rPr>
                <w:b/>
                <w:sz w:val="22"/>
              </w:rPr>
              <w:t>VES</w:t>
            </w:r>
          </w:p>
          <w:p>
            <w:pPr>
              <w:pStyle w:val="TableParagraph"/>
              <w:spacing w:before="37"/>
              <w:ind w:left="122"/>
              <w:rPr>
                <w:b/>
                <w:sz w:val="22"/>
              </w:rPr>
            </w:pPr>
            <w:r>
              <w:rPr>
                <w:b/>
                <w:sz w:val="22"/>
              </w:rPr>
              <w:t>Stations</w:t>
            </w:r>
          </w:p>
        </w:tc>
        <w:tc>
          <w:tcPr>
            <w:tcW w:w="1481" w:type="dxa"/>
            <w:tcBorders>
              <w:top w:val="single" w:sz="4" w:space="0" w:color="7E7E7E"/>
            </w:tcBorders>
          </w:tcPr>
          <w:p>
            <w:pPr>
              <w:pStyle w:val="TableParagraph"/>
              <w:spacing w:line="251" w:lineRule="exact"/>
              <w:ind w:left="212"/>
              <w:rPr>
                <w:b/>
                <w:sz w:val="22"/>
              </w:rPr>
            </w:pPr>
            <w:r>
              <w:rPr>
                <w:b/>
                <w:sz w:val="22"/>
              </w:rPr>
              <w:t>Latitude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(°)</w:t>
            </w:r>
          </w:p>
        </w:tc>
        <w:tc>
          <w:tcPr>
            <w:tcW w:w="1608" w:type="dxa"/>
            <w:tcBorders>
              <w:top w:val="single" w:sz="4" w:space="0" w:color="7E7E7E"/>
            </w:tcBorders>
          </w:tcPr>
          <w:p>
            <w:pPr>
              <w:pStyle w:val="TableParagraph"/>
              <w:spacing w:line="251" w:lineRule="exact"/>
              <w:ind w:left="168"/>
              <w:rPr>
                <w:b/>
                <w:sz w:val="22"/>
              </w:rPr>
            </w:pPr>
            <w:r>
              <w:rPr>
                <w:b/>
                <w:sz w:val="22"/>
              </w:rPr>
              <w:t>Longitude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(°)</w:t>
            </w:r>
          </w:p>
        </w:tc>
        <w:tc>
          <w:tcPr>
            <w:tcW w:w="1065" w:type="dxa"/>
            <w:tcBorders>
              <w:top w:val="single" w:sz="4" w:space="0" w:color="7E7E7E"/>
            </w:tcBorders>
          </w:tcPr>
          <w:p>
            <w:pPr>
              <w:pStyle w:val="TableParagraph"/>
              <w:spacing w:line="276" w:lineRule="auto"/>
              <w:ind w:left="179" w:right="218"/>
              <w:rPr>
                <w:b/>
                <w:sz w:val="22"/>
              </w:rPr>
            </w:pPr>
            <w:r>
              <w:rPr>
                <w:b/>
                <w:sz w:val="22"/>
              </w:rPr>
              <w:t>No. of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Layers</w:t>
            </w:r>
          </w:p>
        </w:tc>
        <w:tc>
          <w:tcPr>
            <w:tcW w:w="2666" w:type="dxa"/>
            <w:gridSpan w:val="3"/>
            <w:tcBorders>
              <w:top w:val="single" w:sz="4" w:space="0" w:color="7E7E7E"/>
            </w:tcBorders>
          </w:tcPr>
          <w:p>
            <w:pPr>
              <w:pStyle w:val="TableParagraph"/>
              <w:spacing w:line="251" w:lineRule="exact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Layer resistivity,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p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(Ωm)</w:t>
            </w:r>
          </w:p>
        </w:tc>
        <w:tc>
          <w:tcPr>
            <w:tcW w:w="1959" w:type="dxa"/>
            <w:gridSpan w:val="3"/>
            <w:tcBorders>
              <w:top w:val="single" w:sz="4" w:space="0" w:color="7E7E7E"/>
            </w:tcBorders>
          </w:tcPr>
          <w:p>
            <w:pPr>
              <w:pStyle w:val="TableParagraph"/>
              <w:spacing w:line="276" w:lineRule="auto"/>
              <w:ind w:left="233" w:right="373"/>
              <w:rPr>
                <w:b/>
                <w:sz w:val="22"/>
              </w:rPr>
            </w:pPr>
            <w:r>
              <w:rPr>
                <w:b/>
                <w:sz w:val="22"/>
              </w:rPr>
              <w:t>Layer depth d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(m)</w:t>
            </w:r>
          </w:p>
        </w:tc>
        <w:tc>
          <w:tcPr>
            <w:tcW w:w="2359" w:type="dxa"/>
            <w:gridSpan w:val="3"/>
            <w:tcBorders>
              <w:top w:val="single" w:sz="4" w:space="0" w:color="7E7E7E"/>
            </w:tcBorders>
          </w:tcPr>
          <w:p>
            <w:pPr>
              <w:pStyle w:val="TableParagraph"/>
              <w:spacing w:line="251" w:lineRule="exact"/>
              <w:ind w:left="165"/>
              <w:rPr>
                <w:b/>
                <w:sz w:val="22"/>
              </w:rPr>
            </w:pPr>
            <w:r>
              <w:rPr>
                <w:b/>
                <w:sz w:val="22"/>
              </w:rPr>
              <w:t>Layer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thickness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h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(m)</w:t>
            </w:r>
          </w:p>
        </w:tc>
        <w:tc>
          <w:tcPr>
            <w:tcW w:w="1929" w:type="dxa"/>
            <w:tcBorders>
              <w:top w:val="single" w:sz="4" w:space="0" w:color="7E7E7E"/>
            </w:tcBorders>
          </w:tcPr>
          <w:p>
            <w:pPr>
              <w:pStyle w:val="TableParagraph"/>
              <w:spacing w:line="251" w:lineRule="exact"/>
              <w:ind w:left="154"/>
              <w:rPr>
                <w:b/>
                <w:sz w:val="22"/>
              </w:rPr>
            </w:pPr>
            <w:r>
              <w:rPr>
                <w:b/>
                <w:sz w:val="22"/>
              </w:rPr>
              <w:t>Curve Types</w:t>
            </w:r>
          </w:p>
        </w:tc>
      </w:tr>
      <w:tr>
        <w:trPr>
          <w:trHeight w:val="302" w:hRule="atLeast"/>
        </w:trPr>
        <w:tc>
          <w:tcPr>
            <w:tcW w:w="5250" w:type="dxa"/>
            <w:gridSpan w:val="4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07" w:type="dxa"/>
            <w:gridSpan w:val="2"/>
            <w:tcBorders>
              <w:top w:val="single" w:sz="4" w:space="0" w:color="7E7E7E"/>
              <w:bottom w:val="single" w:sz="4" w:space="0" w:color="000000"/>
            </w:tcBorders>
          </w:tcPr>
          <w:p>
            <w:pPr>
              <w:pStyle w:val="TableParagraph"/>
              <w:tabs>
                <w:tab w:pos="1005" w:val="left" w:leader="none"/>
              </w:tabs>
              <w:spacing w:line="253" w:lineRule="exact"/>
              <w:ind w:left="381"/>
              <w:rPr>
                <w:b/>
                <w:sz w:val="14"/>
              </w:rPr>
            </w:pPr>
            <w:r>
              <w:rPr>
                <w:b/>
                <w:i/>
                <w:position w:val="2"/>
                <w:sz w:val="22"/>
              </w:rPr>
              <w:t>ρ</w:t>
            </w:r>
            <w:r>
              <w:rPr>
                <w:b/>
                <w:sz w:val="14"/>
              </w:rPr>
              <w:t>1</w:t>
              <w:tab/>
            </w:r>
            <w:r>
              <w:rPr>
                <w:b/>
                <w:i/>
                <w:position w:val="2"/>
                <w:sz w:val="22"/>
              </w:rPr>
              <w:t>ρ</w:t>
            </w:r>
            <w:r>
              <w:rPr>
                <w:b/>
                <w:sz w:val="14"/>
              </w:rPr>
              <w:t>2</w:t>
            </w:r>
          </w:p>
        </w:tc>
        <w:tc>
          <w:tcPr>
            <w:tcW w:w="959" w:type="dxa"/>
            <w:tcBorders>
              <w:top w:val="single" w:sz="4" w:space="0" w:color="7E7E7E"/>
              <w:bottom w:val="single" w:sz="4" w:space="0" w:color="000000"/>
            </w:tcBorders>
          </w:tcPr>
          <w:p>
            <w:pPr>
              <w:pStyle w:val="TableParagraph"/>
              <w:spacing w:line="253" w:lineRule="exact"/>
              <w:ind w:left="198"/>
              <w:rPr>
                <w:b/>
                <w:sz w:val="14"/>
              </w:rPr>
            </w:pPr>
            <w:r>
              <w:rPr>
                <w:b/>
                <w:i/>
                <w:position w:val="2"/>
                <w:sz w:val="22"/>
              </w:rPr>
              <w:t>ρ</w:t>
            </w:r>
            <w:r>
              <w:rPr>
                <w:b/>
                <w:sz w:val="14"/>
              </w:rPr>
              <w:t>3</w:t>
            </w:r>
          </w:p>
        </w:tc>
        <w:tc>
          <w:tcPr>
            <w:tcW w:w="644" w:type="dxa"/>
            <w:tcBorders>
              <w:top w:val="single" w:sz="4" w:space="0" w:color="7E7E7E"/>
              <w:bottom w:val="single" w:sz="4" w:space="0" w:color="000000"/>
            </w:tcBorders>
          </w:tcPr>
          <w:p>
            <w:pPr>
              <w:pStyle w:val="TableParagraph"/>
              <w:spacing w:line="253" w:lineRule="exact"/>
              <w:ind w:left="233"/>
              <w:rPr>
                <w:b/>
                <w:sz w:val="14"/>
              </w:rPr>
            </w:pPr>
            <w:r>
              <w:rPr>
                <w:b/>
                <w:i/>
                <w:position w:val="2"/>
                <w:sz w:val="22"/>
              </w:rPr>
              <w:t>d</w:t>
            </w:r>
            <w:r>
              <w:rPr>
                <w:b/>
                <w:sz w:val="14"/>
              </w:rPr>
              <w:t>1</w:t>
            </w:r>
          </w:p>
        </w:tc>
        <w:tc>
          <w:tcPr>
            <w:tcW w:w="640" w:type="dxa"/>
            <w:tcBorders>
              <w:top w:val="single" w:sz="4" w:space="0" w:color="7E7E7E"/>
              <w:bottom w:val="single" w:sz="4" w:space="0" w:color="000000"/>
            </w:tcBorders>
          </w:tcPr>
          <w:p>
            <w:pPr>
              <w:pStyle w:val="TableParagraph"/>
              <w:spacing w:line="253" w:lineRule="exact"/>
              <w:ind w:left="129"/>
              <w:rPr>
                <w:b/>
                <w:sz w:val="14"/>
              </w:rPr>
            </w:pPr>
            <w:r>
              <w:rPr>
                <w:b/>
                <w:i/>
                <w:position w:val="2"/>
                <w:sz w:val="22"/>
              </w:rPr>
              <w:t>d</w:t>
            </w:r>
            <w:r>
              <w:rPr>
                <w:b/>
                <w:sz w:val="14"/>
              </w:rPr>
              <w:t>2</w:t>
            </w:r>
          </w:p>
        </w:tc>
        <w:tc>
          <w:tcPr>
            <w:tcW w:w="675" w:type="dxa"/>
            <w:tcBorders>
              <w:top w:val="single" w:sz="4" w:space="0" w:color="7E7E7E"/>
              <w:bottom w:val="single" w:sz="4" w:space="0" w:color="000000"/>
            </w:tcBorders>
          </w:tcPr>
          <w:p>
            <w:pPr>
              <w:pStyle w:val="TableParagraph"/>
              <w:spacing w:line="253" w:lineRule="exact"/>
              <w:ind w:left="120"/>
              <w:rPr>
                <w:b/>
                <w:sz w:val="14"/>
              </w:rPr>
            </w:pPr>
            <w:r>
              <w:rPr>
                <w:b/>
                <w:i/>
                <w:position w:val="2"/>
                <w:sz w:val="22"/>
              </w:rPr>
              <w:t>d</w:t>
            </w:r>
            <w:r>
              <w:rPr>
                <w:b/>
                <w:sz w:val="14"/>
              </w:rPr>
              <w:t>3</w:t>
            </w:r>
          </w:p>
        </w:tc>
        <w:tc>
          <w:tcPr>
            <w:tcW w:w="709" w:type="dxa"/>
            <w:tcBorders>
              <w:top w:val="single" w:sz="4" w:space="0" w:color="7E7E7E"/>
              <w:bottom w:val="single" w:sz="4" w:space="0" w:color="000000"/>
            </w:tcBorders>
          </w:tcPr>
          <w:p>
            <w:pPr>
              <w:pStyle w:val="TableParagraph"/>
              <w:spacing w:line="253" w:lineRule="exact"/>
              <w:ind w:left="165"/>
              <w:rPr>
                <w:b/>
                <w:sz w:val="14"/>
              </w:rPr>
            </w:pPr>
            <w:r>
              <w:rPr>
                <w:b/>
                <w:i/>
                <w:position w:val="2"/>
                <w:sz w:val="22"/>
              </w:rPr>
              <w:t>h</w:t>
            </w:r>
            <w:r>
              <w:rPr>
                <w:b/>
                <w:sz w:val="14"/>
              </w:rPr>
              <w:t>1</w:t>
            </w:r>
          </w:p>
        </w:tc>
        <w:tc>
          <w:tcPr>
            <w:tcW w:w="819" w:type="dxa"/>
            <w:tcBorders>
              <w:top w:val="single" w:sz="4" w:space="0" w:color="7E7E7E"/>
              <w:bottom w:val="single" w:sz="4" w:space="0" w:color="000000"/>
            </w:tcBorders>
          </w:tcPr>
          <w:p>
            <w:pPr>
              <w:pStyle w:val="TableParagraph"/>
              <w:spacing w:line="253" w:lineRule="exact"/>
              <w:ind w:left="265"/>
              <w:rPr>
                <w:b/>
                <w:sz w:val="14"/>
              </w:rPr>
            </w:pPr>
            <w:r>
              <w:rPr>
                <w:b/>
                <w:i/>
                <w:position w:val="2"/>
                <w:sz w:val="22"/>
              </w:rPr>
              <w:t>h</w:t>
            </w:r>
            <w:r>
              <w:rPr>
                <w:b/>
                <w:sz w:val="14"/>
              </w:rPr>
              <w:t>2</w:t>
            </w:r>
          </w:p>
        </w:tc>
        <w:tc>
          <w:tcPr>
            <w:tcW w:w="831" w:type="dxa"/>
            <w:tcBorders>
              <w:top w:val="single" w:sz="4" w:space="0" w:color="7E7E7E"/>
              <w:bottom w:val="single" w:sz="4" w:space="0" w:color="000000"/>
            </w:tcBorders>
          </w:tcPr>
          <w:p>
            <w:pPr>
              <w:pStyle w:val="TableParagraph"/>
              <w:spacing w:line="253" w:lineRule="exact"/>
              <w:ind w:left="166"/>
              <w:rPr>
                <w:b/>
                <w:sz w:val="14"/>
              </w:rPr>
            </w:pPr>
            <w:r>
              <w:rPr>
                <w:b/>
                <w:i/>
                <w:position w:val="2"/>
                <w:sz w:val="22"/>
              </w:rPr>
              <w:t>h</w:t>
            </w:r>
            <w:r>
              <w:rPr>
                <w:b/>
                <w:sz w:val="14"/>
              </w:rPr>
              <w:t>3</w:t>
            </w:r>
          </w:p>
        </w:tc>
        <w:tc>
          <w:tcPr>
            <w:tcW w:w="1929" w:type="dxa"/>
            <w:tcBorders>
              <w:top w:val="single" w:sz="4" w:space="0" w:color="7E7E7E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74" w:hRule="atLeast"/>
        </w:trPr>
        <w:tc>
          <w:tcPr>
            <w:tcW w:w="1096" w:type="dxa"/>
          </w:tcPr>
          <w:p>
            <w:pPr>
              <w:pStyle w:val="TableParagraph"/>
              <w:spacing w:line="247" w:lineRule="exact"/>
              <w:ind w:right="343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A1</w:t>
            </w:r>
          </w:p>
        </w:tc>
        <w:tc>
          <w:tcPr>
            <w:tcW w:w="1481" w:type="dxa"/>
          </w:tcPr>
          <w:p>
            <w:pPr>
              <w:pStyle w:val="TableParagraph"/>
              <w:spacing w:line="247" w:lineRule="exact"/>
              <w:ind w:left="212"/>
              <w:rPr>
                <w:b/>
                <w:sz w:val="22"/>
              </w:rPr>
            </w:pPr>
            <w:r>
              <w:rPr>
                <w:b/>
                <w:sz w:val="22"/>
              </w:rPr>
              <w:t>9.0577861</w:t>
            </w:r>
          </w:p>
        </w:tc>
        <w:tc>
          <w:tcPr>
            <w:tcW w:w="1608" w:type="dxa"/>
          </w:tcPr>
          <w:p>
            <w:pPr>
              <w:pStyle w:val="TableParagraph"/>
              <w:spacing w:line="247" w:lineRule="exact"/>
              <w:ind w:left="168"/>
              <w:rPr>
                <w:b/>
                <w:sz w:val="22"/>
              </w:rPr>
            </w:pPr>
            <w:r>
              <w:rPr>
                <w:b/>
                <w:sz w:val="22"/>
              </w:rPr>
              <w:t>6.1372889</w:t>
            </w:r>
          </w:p>
        </w:tc>
        <w:tc>
          <w:tcPr>
            <w:tcW w:w="1065" w:type="dxa"/>
          </w:tcPr>
          <w:p>
            <w:pPr>
              <w:pStyle w:val="TableParagraph"/>
              <w:spacing w:line="247" w:lineRule="exact"/>
              <w:ind w:right="262"/>
              <w:jc w:val="righ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3</w:t>
            </w:r>
          </w:p>
        </w:tc>
        <w:tc>
          <w:tcPr>
            <w:tcW w:w="862" w:type="dxa"/>
          </w:tcPr>
          <w:p>
            <w:pPr>
              <w:pStyle w:val="TableParagraph"/>
              <w:spacing w:line="247" w:lineRule="exact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606.0</w:t>
            </w:r>
          </w:p>
        </w:tc>
        <w:tc>
          <w:tcPr>
            <w:tcW w:w="845" w:type="dxa"/>
          </w:tcPr>
          <w:p>
            <w:pPr>
              <w:pStyle w:val="TableParagraph"/>
              <w:spacing w:line="247" w:lineRule="exact"/>
              <w:ind w:left="143"/>
              <w:rPr>
                <w:b/>
                <w:sz w:val="22"/>
              </w:rPr>
            </w:pPr>
            <w:r>
              <w:rPr>
                <w:b/>
                <w:sz w:val="22"/>
              </w:rPr>
              <w:t>57.7</w:t>
            </w:r>
          </w:p>
        </w:tc>
        <w:tc>
          <w:tcPr>
            <w:tcW w:w="959" w:type="dxa"/>
          </w:tcPr>
          <w:p>
            <w:pPr>
              <w:pStyle w:val="TableParagraph"/>
              <w:spacing w:line="247" w:lineRule="exact"/>
              <w:ind w:left="198"/>
              <w:rPr>
                <w:b/>
                <w:sz w:val="22"/>
              </w:rPr>
            </w:pPr>
            <w:r>
              <w:rPr>
                <w:b/>
                <w:sz w:val="22"/>
              </w:rPr>
              <w:t>20.5</w:t>
            </w:r>
          </w:p>
        </w:tc>
        <w:tc>
          <w:tcPr>
            <w:tcW w:w="644" w:type="dxa"/>
          </w:tcPr>
          <w:p>
            <w:pPr>
              <w:pStyle w:val="TableParagraph"/>
              <w:spacing w:line="247" w:lineRule="exact"/>
              <w:ind w:left="233"/>
              <w:rPr>
                <w:b/>
                <w:sz w:val="22"/>
              </w:rPr>
            </w:pPr>
            <w:r>
              <w:rPr>
                <w:b/>
                <w:sz w:val="22"/>
              </w:rPr>
              <w:t>2.2</w:t>
            </w:r>
          </w:p>
        </w:tc>
        <w:tc>
          <w:tcPr>
            <w:tcW w:w="640" w:type="dxa"/>
          </w:tcPr>
          <w:p>
            <w:pPr>
              <w:pStyle w:val="TableParagraph"/>
              <w:spacing w:line="247" w:lineRule="exact"/>
              <w:ind w:left="129"/>
              <w:rPr>
                <w:b/>
                <w:sz w:val="22"/>
              </w:rPr>
            </w:pPr>
            <w:r>
              <w:rPr>
                <w:b/>
                <w:sz w:val="22"/>
              </w:rPr>
              <w:t>5.4</w:t>
            </w:r>
          </w:p>
        </w:tc>
        <w:tc>
          <w:tcPr>
            <w:tcW w:w="675" w:type="dxa"/>
          </w:tcPr>
          <w:p>
            <w:pPr>
              <w:pStyle w:val="TableParagraph"/>
              <w:spacing w:line="247" w:lineRule="exact"/>
              <w:ind w:left="120"/>
              <w:rPr>
                <w:b/>
                <w:sz w:val="22"/>
              </w:rPr>
            </w:pPr>
            <w:r>
              <w:rPr>
                <w:b/>
                <w:sz w:val="22"/>
              </w:rPr>
              <w:t>18.8</w:t>
            </w:r>
          </w:p>
        </w:tc>
        <w:tc>
          <w:tcPr>
            <w:tcW w:w="709" w:type="dxa"/>
          </w:tcPr>
          <w:p>
            <w:pPr>
              <w:pStyle w:val="TableParagraph"/>
              <w:spacing w:line="247" w:lineRule="exact"/>
              <w:ind w:left="165"/>
              <w:rPr>
                <w:b/>
                <w:sz w:val="22"/>
              </w:rPr>
            </w:pPr>
            <w:r>
              <w:rPr>
                <w:b/>
                <w:sz w:val="22"/>
              </w:rPr>
              <w:t>2.2</w:t>
            </w:r>
          </w:p>
        </w:tc>
        <w:tc>
          <w:tcPr>
            <w:tcW w:w="819" w:type="dxa"/>
          </w:tcPr>
          <w:p>
            <w:pPr>
              <w:pStyle w:val="TableParagraph"/>
              <w:spacing w:line="247" w:lineRule="exact"/>
              <w:ind w:left="265"/>
              <w:rPr>
                <w:b/>
                <w:sz w:val="22"/>
              </w:rPr>
            </w:pPr>
            <w:r>
              <w:rPr>
                <w:b/>
                <w:sz w:val="22"/>
              </w:rPr>
              <w:t>3.2</w:t>
            </w:r>
          </w:p>
        </w:tc>
        <w:tc>
          <w:tcPr>
            <w:tcW w:w="831" w:type="dxa"/>
          </w:tcPr>
          <w:p>
            <w:pPr>
              <w:pStyle w:val="TableParagraph"/>
              <w:spacing w:line="247" w:lineRule="exact"/>
              <w:ind w:left="166"/>
              <w:rPr>
                <w:b/>
                <w:sz w:val="22"/>
              </w:rPr>
            </w:pPr>
            <w:r>
              <w:rPr>
                <w:b/>
                <w:sz w:val="22"/>
              </w:rPr>
              <w:t>13.4</w:t>
            </w:r>
          </w:p>
        </w:tc>
        <w:tc>
          <w:tcPr>
            <w:tcW w:w="1929" w:type="dxa"/>
          </w:tcPr>
          <w:p>
            <w:pPr>
              <w:pStyle w:val="TableParagraph"/>
              <w:spacing w:line="247" w:lineRule="exact"/>
              <w:ind w:left="147"/>
              <w:rPr>
                <w:b/>
                <w:sz w:val="22"/>
              </w:rPr>
            </w:pPr>
            <w:r>
              <w:rPr>
                <w:b/>
                <w:sz w:val="22"/>
              </w:rPr>
              <w:t>QH</w:t>
            </w:r>
          </w:p>
        </w:tc>
      </w:tr>
      <w:tr>
        <w:trPr>
          <w:trHeight w:val="291" w:hRule="atLeast"/>
        </w:trPr>
        <w:tc>
          <w:tcPr>
            <w:tcW w:w="1096" w:type="dxa"/>
          </w:tcPr>
          <w:p>
            <w:pPr>
              <w:pStyle w:val="TableParagraph"/>
              <w:spacing w:before="14"/>
              <w:ind w:right="343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A2</w:t>
            </w:r>
          </w:p>
        </w:tc>
        <w:tc>
          <w:tcPr>
            <w:tcW w:w="1481" w:type="dxa"/>
          </w:tcPr>
          <w:p>
            <w:pPr>
              <w:pStyle w:val="TableParagraph"/>
              <w:spacing w:before="14"/>
              <w:ind w:left="212"/>
              <w:rPr>
                <w:b/>
                <w:sz w:val="22"/>
              </w:rPr>
            </w:pPr>
            <w:r>
              <w:rPr>
                <w:b/>
                <w:sz w:val="22"/>
              </w:rPr>
              <w:t>9.0506633</w:t>
            </w:r>
          </w:p>
        </w:tc>
        <w:tc>
          <w:tcPr>
            <w:tcW w:w="1608" w:type="dxa"/>
          </w:tcPr>
          <w:p>
            <w:pPr>
              <w:pStyle w:val="TableParagraph"/>
              <w:spacing w:before="14"/>
              <w:ind w:left="168"/>
              <w:rPr>
                <w:b/>
                <w:sz w:val="22"/>
              </w:rPr>
            </w:pPr>
            <w:r>
              <w:rPr>
                <w:b/>
                <w:sz w:val="22"/>
              </w:rPr>
              <w:t>6.136425</w:t>
            </w:r>
          </w:p>
        </w:tc>
        <w:tc>
          <w:tcPr>
            <w:tcW w:w="1065" w:type="dxa"/>
          </w:tcPr>
          <w:p>
            <w:pPr>
              <w:pStyle w:val="TableParagraph"/>
              <w:spacing w:before="14"/>
              <w:ind w:right="262"/>
              <w:jc w:val="righ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3</w:t>
            </w:r>
          </w:p>
        </w:tc>
        <w:tc>
          <w:tcPr>
            <w:tcW w:w="862" w:type="dxa"/>
          </w:tcPr>
          <w:p>
            <w:pPr>
              <w:pStyle w:val="TableParagraph"/>
              <w:spacing w:before="14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637.9</w:t>
            </w:r>
          </w:p>
        </w:tc>
        <w:tc>
          <w:tcPr>
            <w:tcW w:w="845" w:type="dxa"/>
          </w:tcPr>
          <w:p>
            <w:pPr>
              <w:pStyle w:val="TableParagraph"/>
              <w:spacing w:before="14"/>
              <w:ind w:left="143"/>
              <w:rPr>
                <w:b/>
                <w:sz w:val="22"/>
              </w:rPr>
            </w:pPr>
            <w:r>
              <w:rPr>
                <w:b/>
                <w:sz w:val="22"/>
              </w:rPr>
              <w:t>117.6</w:t>
            </w:r>
          </w:p>
        </w:tc>
        <w:tc>
          <w:tcPr>
            <w:tcW w:w="959" w:type="dxa"/>
          </w:tcPr>
          <w:p>
            <w:pPr>
              <w:pStyle w:val="TableParagraph"/>
              <w:spacing w:before="14"/>
              <w:ind w:left="198"/>
              <w:rPr>
                <w:b/>
                <w:sz w:val="22"/>
              </w:rPr>
            </w:pPr>
            <w:r>
              <w:rPr>
                <w:b/>
                <w:sz w:val="22"/>
              </w:rPr>
              <w:t>30.7</w:t>
            </w:r>
          </w:p>
        </w:tc>
        <w:tc>
          <w:tcPr>
            <w:tcW w:w="644" w:type="dxa"/>
          </w:tcPr>
          <w:p>
            <w:pPr>
              <w:pStyle w:val="TableParagraph"/>
              <w:spacing w:before="14"/>
              <w:ind w:left="233"/>
              <w:rPr>
                <w:b/>
                <w:sz w:val="22"/>
              </w:rPr>
            </w:pPr>
            <w:r>
              <w:rPr>
                <w:b/>
                <w:sz w:val="22"/>
              </w:rPr>
              <w:t>1.2</w:t>
            </w:r>
          </w:p>
        </w:tc>
        <w:tc>
          <w:tcPr>
            <w:tcW w:w="640" w:type="dxa"/>
          </w:tcPr>
          <w:p>
            <w:pPr>
              <w:pStyle w:val="TableParagraph"/>
              <w:spacing w:before="14"/>
              <w:ind w:left="129"/>
              <w:rPr>
                <w:b/>
                <w:sz w:val="22"/>
              </w:rPr>
            </w:pPr>
            <w:r>
              <w:rPr>
                <w:b/>
                <w:sz w:val="22"/>
              </w:rPr>
              <w:t>4.3</w:t>
            </w:r>
          </w:p>
        </w:tc>
        <w:tc>
          <w:tcPr>
            <w:tcW w:w="675" w:type="dxa"/>
          </w:tcPr>
          <w:p>
            <w:pPr>
              <w:pStyle w:val="TableParagraph"/>
              <w:spacing w:before="14"/>
              <w:ind w:left="120"/>
              <w:rPr>
                <w:b/>
                <w:sz w:val="22"/>
              </w:rPr>
            </w:pPr>
            <w:r>
              <w:rPr>
                <w:b/>
                <w:sz w:val="22"/>
              </w:rPr>
              <w:t>12.0</w:t>
            </w:r>
          </w:p>
        </w:tc>
        <w:tc>
          <w:tcPr>
            <w:tcW w:w="709" w:type="dxa"/>
          </w:tcPr>
          <w:p>
            <w:pPr>
              <w:pStyle w:val="TableParagraph"/>
              <w:spacing w:before="14"/>
              <w:ind w:left="165"/>
              <w:rPr>
                <w:b/>
                <w:sz w:val="22"/>
              </w:rPr>
            </w:pPr>
            <w:r>
              <w:rPr>
                <w:b/>
                <w:sz w:val="22"/>
              </w:rPr>
              <w:t>1.2</w:t>
            </w:r>
          </w:p>
        </w:tc>
        <w:tc>
          <w:tcPr>
            <w:tcW w:w="819" w:type="dxa"/>
          </w:tcPr>
          <w:p>
            <w:pPr>
              <w:pStyle w:val="TableParagraph"/>
              <w:spacing w:before="14"/>
              <w:ind w:left="265"/>
              <w:rPr>
                <w:b/>
                <w:sz w:val="22"/>
              </w:rPr>
            </w:pPr>
            <w:r>
              <w:rPr>
                <w:b/>
                <w:sz w:val="22"/>
              </w:rPr>
              <w:t>3.0</w:t>
            </w:r>
          </w:p>
        </w:tc>
        <w:tc>
          <w:tcPr>
            <w:tcW w:w="831" w:type="dxa"/>
          </w:tcPr>
          <w:p>
            <w:pPr>
              <w:pStyle w:val="TableParagraph"/>
              <w:spacing w:before="14"/>
              <w:ind w:left="166"/>
              <w:rPr>
                <w:b/>
                <w:sz w:val="22"/>
              </w:rPr>
            </w:pPr>
            <w:r>
              <w:rPr>
                <w:b/>
                <w:sz w:val="22"/>
              </w:rPr>
              <w:t>7.8</w:t>
            </w:r>
          </w:p>
        </w:tc>
        <w:tc>
          <w:tcPr>
            <w:tcW w:w="1929" w:type="dxa"/>
          </w:tcPr>
          <w:p>
            <w:pPr>
              <w:pStyle w:val="TableParagraph"/>
              <w:spacing w:before="14"/>
              <w:ind w:left="147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Q</w:t>
            </w:r>
          </w:p>
        </w:tc>
      </w:tr>
      <w:tr>
        <w:trPr>
          <w:trHeight w:val="291" w:hRule="atLeast"/>
        </w:trPr>
        <w:tc>
          <w:tcPr>
            <w:tcW w:w="1096" w:type="dxa"/>
          </w:tcPr>
          <w:p>
            <w:pPr>
              <w:pStyle w:val="TableParagraph"/>
              <w:spacing w:before="15"/>
              <w:ind w:right="343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A3</w:t>
            </w:r>
          </w:p>
        </w:tc>
        <w:tc>
          <w:tcPr>
            <w:tcW w:w="1481" w:type="dxa"/>
          </w:tcPr>
          <w:p>
            <w:pPr>
              <w:pStyle w:val="TableParagraph"/>
              <w:spacing w:before="15"/>
              <w:ind w:left="212"/>
              <w:rPr>
                <w:b/>
                <w:sz w:val="22"/>
              </w:rPr>
            </w:pPr>
            <w:r>
              <w:rPr>
                <w:b/>
                <w:sz w:val="22"/>
              </w:rPr>
              <w:t>9.0577639</w:t>
            </w:r>
          </w:p>
        </w:tc>
        <w:tc>
          <w:tcPr>
            <w:tcW w:w="1608" w:type="dxa"/>
          </w:tcPr>
          <w:p>
            <w:pPr>
              <w:pStyle w:val="TableParagraph"/>
              <w:spacing w:before="15"/>
              <w:ind w:left="168"/>
              <w:rPr>
                <w:b/>
                <w:sz w:val="22"/>
              </w:rPr>
            </w:pPr>
            <w:r>
              <w:rPr>
                <w:b/>
                <w:sz w:val="22"/>
              </w:rPr>
              <w:t>6.1386139</w:t>
            </w:r>
          </w:p>
        </w:tc>
        <w:tc>
          <w:tcPr>
            <w:tcW w:w="1065" w:type="dxa"/>
          </w:tcPr>
          <w:p>
            <w:pPr>
              <w:pStyle w:val="TableParagraph"/>
              <w:spacing w:before="15"/>
              <w:ind w:right="262"/>
              <w:jc w:val="righ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3</w:t>
            </w:r>
          </w:p>
        </w:tc>
        <w:tc>
          <w:tcPr>
            <w:tcW w:w="862" w:type="dxa"/>
          </w:tcPr>
          <w:p>
            <w:pPr>
              <w:pStyle w:val="TableParagraph"/>
              <w:spacing w:before="15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686.2</w:t>
            </w:r>
          </w:p>
        </w:tc>
        <w:tc>
          <w:tcPr>
            <w:tcW w:w="845" w:type="dxa"/>
          </w:tcPr>
          <w:p>
            <w:pPr>
              <w:pStyle w:val="TableParagraph"/>
              <w:spacing w:before="15"/>
              <w:ind w:left="143"/>
              <w:rPr>
                <w:b/>
                <w:sz w:val="22"/>
              </w:rPr>
            </w:pPr>
            <w:r>
              <w:rPr>
                <w:b/>
                <w:sz w:val="22"/>
              </w:rPr>
              <w:t>49.0</w:t>
            </w:r>
          </w:p>
        </w:tc>
        <w:tc>
          <w:tcPr>
            <w:tcW w:w="959" w:type="dxa"/>
          </w:tcPr>
          <w:p>
            <w:pPr>
              <w:pStyle w:val="TableParagraph"/>
              <w:spacing w:before="15"/>
              <w:ind w:left="198"/>
              <w:rPr>
                <w:b/>
                <w:sz w:val="22"/>
              </w:rPr>
            </w:pPr>
            <w:r>
              <w:rPr>
                <w:b/>
                <w:sz w:val="22"/>
              </w:rPr>
              <w:t>33.0</w:t>
            </w:r>
          </w:p>
        </w:tc>
        <w:tc>
          <w:tcPr>
            <w:tcW w:w="644" w:type="dxa"/>
          </w:tcPr>
          <w:p>
            <w:pPr>
              <w:pStyle w:val="TableParagraph"/>
              <w:spacing w:before="15"/>
              <w:ind w:left="233"/>
              <w:rPr>
                <w:b/>
                <w:sz w:val="22"/>
              </w:rPr>
            </w:pPr>
            <w:r>
              <w:rPr>
                <w:b/>
                <w:sz w:val="22"/>
              </w:rPr>
              <w:t>1.0</w:t>
            </w:r>
          </w:p>
        </w:tc>
        <w:tc>
          <w:tcPr>
            <w:tcW w:w="640" w:type="dxa"/>
          </w:tcPr>
          <w:p>
            <w:pPr>
              <w:pStyle w:val="TableParagraph"/>
              <w:spacing w:before="15"/>
              <w:ind w:left="129"/>
              <w:rPr>
                <w:b/>
                <w:sz w:val="22"/>
              </w:rPr>
            </w:pPr>
            <w:r>
              <w:rPr>
                <w:b/>
                <w:sz w:val="22"/>
              </w:rPr>
              <w:t>8.1</w:t>
            </w:r>
          </w:p>
        </w:tc>
        <w:tc>
          <w:tcPr>
            <w:tcW w:w="675" w:type="dxa"/>
          </w:tcPr>
          <w:p>
            <w:pPr>
              <w:pStyle w:val="TableParagraph"/>
              <w:spacing w:before="15"/>
              <w:ind w:left="120"/>
              <w:rPr>
                <w:b/>
                <w:sz w:val="22"/>
              </w:rPr>
            </w:pPr>
            <w:r>
              <w:rPr>
                <w:b/>
                <w:sz w:val="22"/>
              </w:rPr>
              <w:t>26.7</w:t>
            </w:r>
          </w:p>
        </w:tc>
        <w:tc>
          <w:tcPr>
            <w:tcW w:w="709" w:type="dxa"/>
          </w:tcPr>
          <w:p>
            <w:pPr>
              <w:pStyle w:val="TableParagraph"/>
              <w:spacing w:before="15"/>
              <w:ind w:left="165"/>
              <w:rPr>
                <w:b/>
                <w:sz w:val="22"/>
              </w:rPr>
            </w:pPr>
            <w:r>
              <w:rPr>
                <w:b/>
                <w:sz w:val="22"/>
              </w:rPr>
              <w:t>1.0</w:t>
            </w:r>
          </w:p>
        </w:tc>
        <w:tc>
          <w:tcPr>
            <w:tcW w:w="819" w:type="dxa"/>
          </w:tcPr>
          <w:p>
            <w:pPr>
              <w:pStyle w:val="TableParagraph"/>
              <w:spacing w:before="15"/>
              <w:ind w:left="265"/>
              <w:rPr>
                <w:b/>
                <w:sz w:val="22"/>
              </w:rPr>
            </w:pPr>
            <w:r>
              <w:rPr>
                <w:b/>
                <w:sz w:val="22"/>
              </w:rPr>
              <w:t>7.1</w:t>
            </w:r>
          </w:p>
        </w:tc>
        <w:tc>
          <w:tcPr>
            <w:tcW w:w="831" w:type="dxa"/>
          </w:tcPr>
          <w:p>
            <w:pPr>
              <w:pStyle w:val="TableParagraph"/>
              <w:spacing w:before="15"/>
              <w:ind w:left="166"/>
              <w:rPr>
                <w:b/>
                <w:sz w:val="22"/>
              </w:rPr>
            </w:pPr>
            <w:r>
              <w:rPr>
                <w:b/>
                <w:sz w:val="22"/>
              </w:rPr>
              <w:t>18.6</w:t>
            </w:r>
          </w:p>
        </w:tc>
        <w:tc>
          <w:tcPr>
            <w:tcW w:w="1929" w:type="dxa"/>
          </w:tcPr>
          <w:p>
            <w:pPr>
              <w:pStyle w:val="TableParagraph"/>
              <w:spacing w:before="15"/>
              <w:ind w:left="147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Q</w:t>
            </w:r>
          </w:p>
        </w:tc>
      </w:tr>
      <w:tr>
        <w:trPr>
          <w:trHeight w:val="290" w:hRule="atLeast"/>
        </w:trPr>
        <w:tc>
          <w:tcPr>
            <w:tcW w:w="1096" w:type="dxa"/>
          </w:tcPr>
          <w:p>
            <w:pPr>
              <w:pStyle w:val="TableParagraph"/>
              <w:spacing w:before="14"/>
              <w:ind w:right="343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A4</w:t>
            </w:r>
          </w:p>
        </w:tc>
        <w:tc>
          <w:tcPr>
            <w:tcW w:w="1481" w:type="dxa"/>
          </w:tcPr>
          <w:p>
            <w:pPr>
              <w:pStyle w:val="TableParagraph"/>
              <w:spacing w:before="14"/>
              <w:ind w:left="212"/>
              <w:rPr>
                <w:b/>
                <w:sz w:val="22"/>
              </w:rPr>
            </w:pPr>
            <w:r>
              <w:rPr>
                <w:b/>
                <w:sz w:val="22"/>
              </w:rPr>
              <w:t>9.0567111</w:t>
            </w:r>
          </w:p>
        </w:tc>
        <w:tc>
          <w:tcPr>
            <w:tcW w:w="1608" w:type="dxa"/>
          </w:tcPr>
          <w:p>
            <w:pPr>
              <w:pStyle w:val="TableParagraph"/>
              <w:spacing w:before="14"/>
              <w:ind w:left="168"/>
              <w:rPr>
                <w:b/>
                <w:sz w:val="22"/>
              </w:rPr>
            </w:pPr>
            <w:r>
              <w:rPr>
                <w:b/>
                <w:sz w:val="22"/>
              </w:rPr>
              <w:t>6.1399389</w:t>
            </w:r>
          </w:p>
        </w:tc>
        <w:tc>
          <w:tcPr>
            <w:tcW w:w="1065" w:type="dxa"/>
          </w:tcPr>
          <w:p>
            <w:pPr>
              <w:pStyle w:val="TableParagraph"/>
              <w:spacing w:before="14"/>
              <w:ind w:right="262"/>
              <w:jc w:val="righ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3</w:t>
            </w:r>
          </w:p>
        </w:tc>
        <w:tc>
          <w:tcPr>
            <w:tcW w:w="862" w:type="dxa"/>
          </w:tcPr>
          <w:p>
            <w:pPr>
              <w:pStyle w:val="TableParagraph"/>
              <w:spacing w:before="14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934.0</w:t>
            </w:r>
          </w:p>
        </w:tc>
        <w:tc>
          <w:tcPr>
            <w:tcW w:w="845" w:type="dxa"/>
          </w:tcPr>
          <w:p>
            <w:pPr>
              <w:pStyle w:val="TableParagraph"/>
              <w:spacing w:before="14"/>
              <w:ind w:left="143"/>
              <w:rPr>
                <w:b/>
                <w:sz w:val="22"/>
              </w:rPr>
            </w:pPr>
            <w:r>
              <w:rPr>
                <w:b/>
                <w:sz w:val="22"/>
              </w:rPr>
              <w:t>234.8</w:t>
            </w:r>
          </w:p>
        </w:tc>
        <w:tc>
          <w:tcPr>
            <w:tcW w:w="959" w:type="dxa"/>
          </w:tcPr>
          <w:p>
            <w:pPr>
              <w:pStyle w:val="TableParagraph"/>
              <w:spacing w:before="14"/>
              <w:ind w:left="198"/>
              <w:rPr>
                <w:b/>
                <w:sz w:val="22"/>
              </w:rPr>
            </w:pPr>
            <w:r>
              <w:rPr>
                <w:b/>
                <w:sz w:val="22"/>
              </w:rPr>
              <w:t>9.9</w:t>
            </w:r>
          </w:p>
        </w:tc>
        <w:tc>
          <w:tcPr>
            <w:tcW w:w="644" w:type="dxa"/>
          </w:tcPr>
          <w:p>
            <w:pPr>
              <w:pStyle w:val="TableParagraph"/>
              <w:spacing w:before="14"/>
              <w:ind w:left="233"/>
              <w:rPr>
                <w:b/>
                <w:sz w:val="22"/>
              </w:rPr>
            </w:pPr>
            <w:r>
              <w:rPr>
                <w:b/>
                <w:sz w:val="22"/>
              </w:rPr>
              <w:t>1.0</w:t>
            </w:r>
          </w:p>
        </w:tc>
        <w:tc>
          <w:tcPr>
            <w:tcW w:w="640" w:type="dxa"/>
          </w:tcPr>
          <w:p>
            <w:pPr>
              <w:pStyle w:val="TableParagraph"/>
              <w:spacing w:before="14"/>
              <w:ind w:left="129"/>
              <w:rPr>
                <w:b/>
                <w:sz w:val="22"/>
              </w:rPr>
            </w:pPr>
            <w:r>
              <w:rPr>
                <w:b/>
                <w:sz w:val="22"/>
              </w:rPr>
              <w:t>5.5</w:t>
            </w:r>
          </w:p>
        </w:tc>
        <w:tc>
          <w:tcPr>
            <w:tcW w:w="675" w:type="dxa"/>
          </w:tcPr>
          <w:p>
            <w:pPr>
              <w:pStyle w:val="TableParagraph"/>
              <w:spacing w:before="14"/>
              <w:ind w:left="120"/>
              <w:rPr>
                <w:b/>
                <w:sz w:val="22"/>
              </w:rPr>
            </w:pPr>
            <w:r>
              <w:rPr>
                <w:b/>
                <w:sz w:val="22"/>
              </w:rPr>
              <w:t>15.3</w:t>
            </w:r>
          </w:p>
        </w:tc>
        <w:tc>
          <w:tcPr>
            <w:tcW w:w="709" w:type="dxa"/>
          </w:tcPr>
          <w:p>
            <w:pPr>
              <w:pStyle w:val="TableParagraph"/>
              <w:spacing w:before="14"/>
              <w:ind w:left="165"/>
              <w:rPr>
                <w:b/>
                <w:sz w:val="22"/>
              </w:rPr>
            </w:pPr>
            <w:r>
              <w:rPr>
                <w:b/>
                <w:sz w:val="22"/>
              </w:rPr>
              <w:t>1.0</w:t>
            </w:r>
          </w:p>
        </w:tc>
        <w:tc>
          <w:tcPr>
            <w:tcW w:w="819" w:type="dxa"/>
          </w:tcPr>
          <w:p>
            <w:pPr>
              <w:pStyle w:val="TableParagraph"/>
              <w:spacing w:before="14"/>
              <w:ind w:left="265"/>
              <w:rPr>
                <w:b/>
                <w:sz w:val="22"/>
              </w:rPr>
            </w:pPr>
            <w:r>
              <w:rPr>
                <w:b/>
                <w:sz w:val="22"/>
              </w:rPr>
              <w:t>4.5</w:t>
            </w:r>
          </w:p>
        </w:tc>
        <w:tc>
          <w:tcPr>
            <w:tcW w:w="831" w:type="dxa"/>
          </w:tcPr>
          <w:p>
            <w:pPr>
              <w:pStyle w:val="TableParagraph"/>
              <w:spacing w:before="14"/>
              <w:ind w:left="166"/>
              <w:rPr>
                <w:b/>
                <w:sz w:val="22"/>
              </w:rPr>
            </w:pPr>
            <w:r>
              <w:rPr>
                <w:b/>
                <w:sz w:val="22"/>
              </w:rPr>
              <w:t>9.8</w:t>
            </w:r>
          </w:p>
        </w:tc>
        <w:tc>
          <w:tcPr>
            <w:tcW w:w="1929" w:type="dxa"/>
          </w:tcPr>
          <w:p>
            <w:pPr>
              <w:pStyle w:val="TableParagraph"/>
              <w:spacing w:before="14"/>
              <w:ind w:left="147"/>
              <w:rPr>
                <w:b/>
                <w:sz w:val="22"/>
              </w:rPr>
            </w:pPr>
            <w:r>
              <w:rPr>
                <w:b/>
                <w:sz w:val="22"/>
              </w:rPr>
              <w:t>QH</w:t>
            </w:r>
          </w:p>
        </w:tc>
      </w:tr>
      <w:tr>
        <w:trPr>
          <w:trHeight w:val="290" w:hRule="atLeast"/>
        </w:trPr>
        <w:tc>
          <w:tcPr>
            <w:tcW w:w="1096" w:type="dxa"/>
          </w:tcPr>
          <w:p>
            <w:pPr>
              <w:pStyle w:val="TableParagraph"/>
              <w:spacing w:before="14"/>
              <w:ind w:right="350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B1</w:t>
            </w:r>
          </w:p>
        </w:tc>
        <w:tc>
          <w:tcPr>
            <w:tcW w:w="1481" w:type="dxa"/>
          </w:tcPr>
          <w:p>
            <w:pPr>
              <w:pStyle w:val="TableParagraph"/>
              <w:spacing w:before="14"/>
              <w:ind w:left="212"/>
              <w:rPr>
                <w:b/>
                <w:sz w:val="22"/>
              </w:rPr>
            </w:pPr>
            <w:r>
              <w:rPr>
                <w:b/>
                <w:sz w:val="22"/>
              </w:rPr>
              <w:t>9.0498222</w:t>
            </w:r>
          </w:p>
        </w:tc>
        <w:tc>
          <w:tcPr>
            <w:tcW w:w="1608" w:type="dxa"/>
          </w:tcPr>
          <w:p>
            <w:pPr>
              <w:pStyle w:val="TableParagraph"/>
              <w:spacing w:before="14"/>
              <w:ind w:left="168"/>
              <w:rPr>
                <w:b/>
                <w:sz w:val="22"/>
              </w:rPr>
            </w:pPr>
            <w:r>
              <w:rPr>
                <w:b/>
                <w:sz w:val="22"/>
              </w:rPr>
              <w:t>6.138025</w:t>
            </w:r>
          </w:p>
        </w:tc>
        <w:tc>
          <w:tcPr>
            <w:tcW w:w="1065" w:type="dxa"/>
          </w:tcPr>
          <w:p>
            <w:pPr>
              <w:pStyle w:val="TableParagraph"/>
              <w:spacing w:before="14"/>
              <w:ind w:right="262"/>
              <w:jc w:val="righ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3</w:t>
            </w:r>
          </w:p>
        </w:tc>
        <w:tc>
          <w:tcPr>
            <w:tcW w:w="862" w:type="dxa"/>
          </w:tcPr>
          <w:p>
            <w:pPr>
              <w:pStyle w:val="TableParagraph"/>
              <w:spacing w:before="14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739.3</w:t>
            </w:r>
          </w:p>
        </w:tc>
        <w:tc>
          <w:tcPr>
            <w:tcW w:w="845" w:type="dxa"/>
          </w:tcPr>
          <w:p>
            <w:pPr>
              <w:pStyle w:val="TableParagraph"/>
              <w:spacing w:before="14"/>
              <w:ind w:left="143"/>
              <w:rPr>
                <w:b/>
                <w:sz w:val="22"/>
              </w:rPr>
            </w:pPr>
            <w:r>
              <w:rPr>
                <w:b/>
                <w:sz w:val="22"/>
              </w:rPr>
              <w:t>208.2</w:t>
            </w:r>
          </w:p>
        </w:tc>
        <w:tc>
          <w:tcPr>
            <w:tcW w:w="959" w:type="dxa"/>
          </w:tcPr>
          <w:p>
            <w:pPr>
              <w:pStyle w:val="TableParagraph"/>
              <w:spacing w:before="14"/>
              <w:ind w:left="198"/>
              <w:rPr>
                <w:b/>
                <w:sz w:val="22"/>
              </w:rPr>
            </w:pPr>
            <w:r>
              <w:rPr>
                <w:b/>
                <w:sz w:val="22"/>
              </w:rPr>
              <w:t>15.2</w:t>
            </w:r>
          </w:p>
        </w:tc>
        <w:tc>
          <w:tcPr>
            <w:tcW w:w="644" w:type="dxa"/>
          </w:tcPr>
          <w:p>
            <w:pPr>
              <w:pStyle w:val="TableParagraph"/>
              <w:spacing w:before="14"/>
              <w:ind w:left="233"/>
              <w:rPr>
                <w:b/>
                <w:sz w:val="22"/>
              </w:rPr>
            </w:pPr>
            <w:r>
              <w:rPr>
                <w:b/>
                <w:sz w:val="22"/>
              </w:rPr>
              <w:t>0.7</w:t>
            </w:r>
          </w:p>
        </w:tc>
        <w:tc>
          <w:tcPr>
            <w:tcW w:w="640" w:type="dxa"/>
          </w:tcPr>
          <w:p>
            <w:pPr>
              <w:pStyle w:val="TableParagraph"/>
              <w:spacing w:before="14"/>
              <w:ind w:left="129"/>
              <w:rPr>
                <w:b/>
                <w:sz w:val="22"/>
              </w:rPr>
            </w:pPr>
            <w:r>
              <w:rPr>
                <w:b/>
                <w:sz w:val="22"/>
              </w:rPr>
              <w:t>5.0</w:t>
            </w:r>
          </w:p>
        </w:tc>
        <w:tc>
          <w:tcPr>
            <w:tcW w:w="675" w:type="dxa"/>
          </w:tcPr>
          <w:p>
            <w:pPr>
              <w:pStyle w:val="TableParagraph"/>
              <w:spacing w:before="14"/>
              <w:ind w:left="120"/>
              <w:rPr>
                <w:b/>
                <w:sz w:val="22"/>
              </w:rPr>
            </w:pPr>
            <w:r>
              <w:rPr>
                <w:b/>
                <w:sz w:val="22"/>
              </w:rPr>
              <w:t>24.3</w:t>
            </w:r>
          </w:p>
        </w:tc>
        <w:tc>
          <w:tcPr>
            <w:tcW w:w="709" w:type="dxa"/>
          </w:tcPr>
          <w:p>
            <w:pPr>
              <w:pStyle w:val="TableParagraph"/>
              <w:spacing w:before="14"/>
              <w:ind w:left="165"/>
              <w:rPr>
                <w:b/>
                <w:sz w:val="22"/>
              </w:rPr>
            </w:pPr>
            <w:r>
              <w:rPr>
                <w:b/>
                <w:sz w:val="22"/>
              </w:rPr>
              <w:t>0.7</w:t>
            </w:r>
          </w:p>
        </w:tc>
        <w:tc>
          <w:tcPr>
            <w:tcW w:w="819" w:type="dxa"/>
          </w:tcPr>
          <w:p>
            <w:pPr>
              <w:pStyle w:val="TableParagraph"/>
              <w:spacing w:before="14"/>
              <w:ind w:left="265"/>
              <w:rPr>
                <w:b/>
                <w:sz w:val="22"/>
              </w:rPr>
            </w:pPr>
            <w:r>
              <w:rPr>
                <w:b/>
                <w:sz w:val="22"/>
              </w:rPr>
              <w:t>4.3</w:t>
            </w:r>
          </w:p>
        </w:tc>
        <w:tc>
          <w:tcPr>
            <w:tcW w:w="831" w:type="dxa"/>
          </w:tcPr>
          <w:p>
            <w:pPr>
              <w:pStyle w:val="TableParagraph"/>
              <w:spacing w:before="14"/>
              <w:ind w:left="166"/>
              <w:rPr>
                <w:b/>
                <w:sz w:val="22"/>
              </w:rPr>
            </w:pPr>
            <w:r>
              <w:rPr>
                <w:b/>
                <w:sz w:val="22"/>
              </w:rPr>
              <w:t>19.2</w:t>
            </w:r>
          </w:p>
        </w:tc>
        <w:tc>
          <w:tcPr>
            <w:tcW w:w="1929" w:type="dxa"/>
          </w:tcPr>
          <w:p>
            <w:pPr>
              <w:pStyle w:val="TableParagraph"/>
              <w:spacing w:before="14"/>
              <w:ind w:left="147"/>
              <w:rPr>
                <w:b/>
                <w:sz w:val="22"/>
              </w:rPr>
            </w:pPr>
            <w:r>
              <w:rPr>
                <w:b/>
                <w:sz w:val="22"/>
              </w:rPr>
              <w:t>QH</w:t>
            </w:r>
          </w:p>
        </w:tc>
      </w:tr>
      <w:tr>
        <w:trPr>
          <w:trHeight w:val="290" w:hRule="atLeast"/>
        </w:trPr>
        <w:tc>
          <w:tcPr>
            <w:tcW w:w="1096" w:type="dxa"/>
          </w:tcPr>
          <w:p>
            <w:pPr>
              <w:pStyle w:val="TableParagraph"/>
              <w:spacing w:before="14"/>
              <w:ind w:right="350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B2</w:t>
            </w:r>
          </w:p>
        </w:tc>
        <w:tc>
          <w:tcPr>
            <w:tcW w:w="1481" w:type="dxa"/>
          </w:tcPr>
          <w:p>
            <w:pPr>
              <w:pStyle w:val="TableParagraph"/>
              <w:spacing w:before="14"/>
              <w:ind w:left="212"/>
              <w:rPr>
                <w:b/>
                <w:sz w:val="22"/>
              </w:rPr>
            </w:pPr>
            <w:r>
              <w:rPr>
                <w:b/>
                <w:sz w:val="22"/>
              </w:rPr>
              <w:t>9.0500058</w:t>
            </w:r>
          </w:p>
        </w:tc>
        <w:tc>
          <w:tcPr>
            <w:tcW w:w="1608" w:type="dxa"/>
          </w:tcPr>
          <w:p>
            <w:pPr>
              <w:pStyle w:val="TableParagraph"/>
              <w:spacing w:before="14"/>
              <w:ind w:left="168"/>
              <w:rPr>
                <w:b/>
                <w:sz w:val="22"/>
              </w:rPr>
            </w:pPr>
            <w:r>
              <w:rPr>
                <w:b/>
                <w:sz w:val="22"/>
              </w:rPr>
              <w:t>6.1371111</w:t>
            </w:r>
          </w:p>
        </w:tc>
        <w:tc>
          <w:tcPr>
            <w:tcW w:w="1065" w:type="dxa"/>
          </w:tcPr>
          <w:p>
            <w:pPr>
              <w:pStyle w:val="TableParagraph"/>
              <w:spacing w:before="14"/>
              <w:ind w:right="262"/>
              <w:jc w:val="righ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3</w:t>
            </w:r>
          </w:p>
        </w:tc>
        <w:tc>
          <w:tcPr>
            <w:tcW w:w="862" w:type="dxa"/>
          </w:tcPr>
          <w:p>
            <w:pPr>
              <w:pStyle w:val="TableParagraph"/>
              <w:spacing w:before="14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742.4</w:t>
            </w:r>
          </w:p>
        </w:tc>
        <w:tc>
          <w:tcPr>
            <w:tcW w:w="845" w:type="dxa"/>
          </w:tcPr>
          <w:p>
            <w:pPr>
              <w:pStyle w:val="TableParagraph"/>
              <w:spacing w:before="14"/>
              <w:ind w:left="143"/>
              <w:rPr>
                <w:b/>
                <w:sz w:val="22"/>
              </w:rPr>
            </w:pPr>
            <w:r>
              <w:rPr>
                <w:b/>
                <w:sz w:val="22"/>
              </w:rPr>
              <w:t>158.4</w:t>
            </w:r>
          </w:p>
        </w:tc>
        <w:tc>
          <w:tcPr>
            <w:tcW w:w="959" w:type="dxa"/>
          </w:tcPr>
          <w:p>
            <w:pPr>
              <w:pStyle w:val="TableParagraph"/>
              <w:spacing w:before="14"/>
              <w:ind w:left="198"/>
              <w:rPr>
                <w:b/>
                <w:sz w:val="22"/>
              </w:rPr>
            </w:pPr>
            <w:r>
              <w:rPr>
                <w:b/>
                <w:sz w:val="22"/>
              </w:rPr>
              <w:t>16.8</w:t>
            </w:r>
          </w:p>
        </w:tc>
        <w:tc>
          <w:tcPr>
            <w:tcW w:w="644" w:type="dxa"/>
          </w:tcPr>
          <w:p>
            <w:pPr>
              <w:pStyle w:val="TableParagraph"/>
              <w:spacing w:before="14"/>
              <w:ind w:left="233"/>
              <w:rPr>
                <w:b/>
                <w:sz w:val="22"/>
              </w:rPr>
            </w:pPr>
            <w:r>
              <w:rPr>
                <w:b/>
                <w:sz w:val="22"/>
              </w:rPr>
              <w:t>1.3</w:t>
            </w:r>
          </w:p>
        </w:tc>
        <w:tc>
          <w:tcPr>
            <w:tcW w:w="640" w:type="dxa"/>
          </w:tcPr>
          <w:p>
            <w:pPr>
              <w:pStyle w:val="TableParagraph"/>
              <w:spacing w:before="14"/>
              <w:ind w:left="129"/>
              <w:rPr>
                <w:b/>
                <w:sz w:val="22"/>
              </w:rPr>
            </w:pPr>
            <w:r>
              <w:rPr>
                <w:b/>
                <w:sz w:val="22"/>
              </w:rPr>
              <w:t>4.6</w:t>
            </w:r>
          </w:p>
        </w:tc>
        <w:tc>
          <w:tcPr>
            <w:tcW w:w="675" w:type="dxa"/>
          </w:tcPr>
          <w:p>
            <w:pPr>
              <w:pStyle w:val="TableParagraph"/>
              <w:spacing w:before="14"/>
              <w:ind w:left="120"/>
              <w:rPr>
                <w:b/>
                <w:sz w:val="22"/>
              </w:rPr>
            </w:pPr>
            <w:r>
              <w:rPr>
                <w:b/>
                <w:sz w:val="22"/>
              </w:rPr>
              <w:t>14.9</w:t>
            </w:r>
          </w:p>
        </w:tc>
        <w:tc>
          <w:tcPr>
            <w:tcW w:w="709" w:type="dxa"/>
          </w:tcPr>
          <w:p>
            <w:pPr>
              <w:pStyle w:val="TableParagraph"/>
              <w:spacing w:before="14"/>
              <w:ind w:left="165"/>
              <w:rPr>
                <w:b/>
                <w:sz w:val="22"/>
              </w:rPr>
            </w:pPr>
            <w:r>
              <w:rPr>
                <w:b/>
                <w:sz w:val="22"/>
              </w:rPr>
              <w:t>1.3</w:t>
            </w:r>
          </w:p>
        </w:tc>
        <w:tc>
          <w:tcPr>
            <w:tcW w:w="819" w:type="dxa"/>
          </w:tcPr>
          <w:p>
            <w:pPr>
              <w:pStyle w:val="TableParagraph"/>
              <w:spacing w:before="14"/>
              <w:ind w:left="265"/>
              <w:rPr>
                <w:b/>
                <w:sz w:val="22"/>
              </w:rPr>
            </w:pPr>
            <w:r>
              <w:rPr>
                <w:b/>
                <w:sz w:val="22"/>
              </w:rPr>
              <w:t>3.3</w:t>
            </w:r>
          </w:p>
        </w:tc>
        <w:tc>
          <w:tcPr>
            <w:tcW w:w="831" w:type="dxa"/>
          </w:tcPr>
          <w:p>
            <w:pPr>
              <w:pStyle w:val="TableParagraph"/>
              <w:spacing w:before="14"/>
              <w:ind w:left="166"/>
              <w:rPr>
                <w:b/>
                <w:sz w:val="22"/>
              </w:rPr>
            </w:pPr>
            <w:r>
              <w:rPr>
                <w:b/>
                <w:sz w:val="22"/>
              </w:rPr>
              <w:t>10.3</w:t>
            </w:r>
          </w:p>
        </w:tc>
        <w:tc>
          <w:tcPr>
            <w:tcW w:w="1929" w:type="dxa"/>
          </w:tcPr>
          <w:p>
            <w:pPr>
              <w:pStyle w:val="TableParagraph"/>
              <w:spacing w:before="14"/>
              <w:ind w:left="147"/>
              <w:rPr>
                <w:b/>
                <w:sz w:val="22"/>
              </w:rPr>
            </w:pPr>
            <w:r>
              <w:rPr>
                <w:b/>
                <w:sz w:val="22"/>
              </w:rPr>
              <w:t>QH</w:t>
            </w:r>
          </w:p>
        </w:tc>
      </w:tr>
      <w:tr>
        <w:trPr>
          <w:trHeight w:val="291" w:hRule="atLeast"/>
        </w:trPr>
        <w:tc>
          <w:tcPr>
            <w:tcW w:w="1096" w:type="dxa"/>
          </w:tcPr>
          <w:p>
            <w:pPr>
              <w:pStyle w:val="TableParagraph"/>
              <w:spacing w:before="14"/>
              <w:ind w:right="350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B3</w:t>
            </w:r>
          </w:p>
        </w:tc>
        <w:tc>
          <w:tcPr>
            <w:tcW w:w="1481" w:type="dxa"/>
          </w:tcPr>
          <w:p>
            <w:pPr>
              <w:pStyle w:val="TableParagraph"/>
              <w:spacing w:before="14"/>
              <w:ind w:left="212"/>
              <w:rPr>
                <w:b/>
                <w:sz w:val="22"/>
              </w:rPr>
            </w:pPr>
            <w:r>
              <w:rPr>
                <w:b/>
                <w:sz w:val="22"/>
              </w:rPr>
              <w:t>9.050305</w:t>
            </w:r>
          </w:p>
        </w:tc>
        <w:tc>
          <w:tcPr>
            <w:tcW w:w="1608" w:type="dxa"/>
          </w:tcPr>
          <w:p>
            <w:pPr>
              <w:pStyle w:val="TableParagraph"/>
              <w:spacing w:before="14"/>
              <w:ind w:left="168"/>
              <w:rPr>
                <w:b/>
                <w:sz w:val="22"/>
              </w:rPr>
            </w:pPr>
            <w:r>
              <w:rPr>
                <w:b/>
                <w:sz w:val="22"/>
              </w:rPr>
              <w:t>6.1362861</w:t>
            </w:r>
          </w:p>
        </w:tc>
        <w:tc>
          <w:tcPr>
            <w:tcW w:w="1065" w:type="dxa"/>
          </w:tcPr>
          <w:p>
            <w:pPr>
              <w:pStyle w:val="TableParagraph"/>
              <w:spacing w:before="14"/>
              <w:ind w:right="262"/>
              <w:jc w:val="righ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3</w:t>
            </w:r>
          </w:p>
        </w:tc>
        <w:tc>
          <w:tcPr>
            <w:tcW w:w="862" w:type="dxa"/>
          </w:tcPr>
          <w:p>
            <w:pPr>
              <w:pStyle w:val="TableParagraph"/>
              <w:spacing w:before="14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889.1</w:t>
            </w:r>
          </w:p>
        </w:tc>
        <w:tc>
          <w:tcPr>
            <w:tcW w:w="845" w:type="dxa"/>
          </w:tcPr>
          <w:p>
            <w:pPr>
              <w:pStyle w:val="TableParagraph"/>
              <w:spacing w:before="14"/>
              <w:ind w:left="143"/>
              <w:rPr>
                <w:b/>
                <w:sz w:val="22"/>
              </w:rPr>
            </w:pPr>
            <w:r>
              <w:rPr>
                <w:b/>
                <w:sz w:val="22"/>
              </w:rPr>
              <w:t>156.8</w:t>
            </w:r>
          </w:p>
        </w:tc>
        <w:tc>
          <w:tcPr>
            <w:tcW w:w="959" w:type="dxa"/>
          </w:tcPr>
          <w:p>
            <w:pPr>
              <w:pStyle w:val="TableParagraph"/>
              <w:spacing w:before="14"/>
              <w:ind w:left="198"/>
              <w:rPr>
                <w:b/>
                <w:sz w:val="22"/>
              </w:rPr>
            </w:pPr>
            <w:r>
              <w:rPr>
                <w:b/>
                <w:sz w:val="22"/>
              </w:rPr>
              <w:t>21.1</w:t>
            </w:r>
          </w:p>
        </w:tc>
        <w:tc>
          <w:tcPr>
            <w:tcW w:w="644" w:type="dxa"/>
          </w:tcPr>
          <w:p>
            <w:pPr>
              <w:pStyle w:val="TableParagraph"/>
              <w:spacing w:before="14"/>
              <w:ind w:left="233"/>
              <w:rPr>
                <w:b/>
                <w:sz w:val="22"/>
              </w:rPr>
            </w:pPr>
            <w:r>
              <w:rPr>
                <w:b/>
                <w:sz w:val="22"/>
              </w:rPr>
              <w:t>0.8</w:t>
            </w:r>
          </w:p>
        </w:tc>
        <w:tc>
          <w:tcPr>
            <w:tcW w:w="640" w:type="dxa"/>
          </w:tcPr>
          <w:p>
            <w:pPr>
              <w:pStyle w:val="TableParagraph"/>
              <w:spacing w:before="14"/>
              <w:ind w:left="129"/>
              <w:rPr>
                <w:b/>
                <w:sz w:val="22"/>
              </w:rPr>
            </w:pPr>
            <w:r>
              <w:rPr>
                <w:b/>
                <w:sz w:val="22"/>
              </w:rPr>
              <w:t>4.6</w:t>
            </w:r>
          </w:p>
        </w:tc>
        <w:tc>
          <w:tcPr>
            <w:tcW w:w="675" w:type="dxa"/>
          </w:tcPr>
          <w:p>
            <w:pPr>
              <w:pStyle w:val="TableParagraph"/>
              <w:spacing w:before="14"/>
              <w:ind w:left="120"/>
              <w:rPr>
                <w:b/>
                <w:sz w:val="22"/>
              </w:rPr>
            </w:pPr>
            <w:r>
              <w:rPr>
                <w:b/>
                <w:sz w:val="22"/>
              </w:rPr>
              <w:t>15.6</w:t>
            </w:r>
          </w:p>
        </w:tc>
        <w:tc>
          <w:tcPr>
            <w:tcW w:w="709" w:type="dxa"/>
          </w:tcPr>
          <w:p>
            <w:pPr>
              <w:pStyle w:val="TableParagraph"/>
              <w:spacing w:before="14"/>
              <w:ind w:left="165"/>
              <w:rPr>
                <w:b/>
                <w:sz w:val="22"/>
              </w:rPr>
            </w:pPr>
            <w:r>
              <w:rPr>
                <w:b/>
                <w:sz w:val="22"/>
              </w:rPr>
              <w:t>0.8</w:t>
            </w:r>
          </w:p>
        </w:tc>
        <w:tc>
          <w:tcPr>
            <w:tcW w:w="819" w:type="dxa"/>
          </w:tcPr>
          <w:p>
            <w:pPr>
              <w:pStyle w:val="TableParagraph"/>
              <w:spacing w:before="14"/>
              <w:ind w:left="265"/>
              <w:rPr>
                <w:b/>
                <w:sz w:val="22"/>
              </w:rPr>
            </w:pPr>
            <w:r>
              <w:rPr>
                <w:b/>
                <w:sz w:val="22"/>
              </w:rPr>
              <w:t>3.8</w:t>
            </w:r>
          </w:p>
        </w:tc>
        <w:tc>
          <w:tcPr>
            <w:tcW w:w="831" w:type="dxa"/>
          </w:tcPr>
          <w:p>
            <w:pPr>
              <w:pStyle w:val="TableParagraph"/>
              <w:spacing w:before="14"/>
              <w:ind w:left="166"/>
              <w:rPr>
                <w:b/>
                <w:sz w:val="22"/>
              </w:rPr>
            </w:pPr>
            <w:r>
              <w:rPr>
                <w:b/>
                <w:sz w:val="22"/>
              </w:rPr>
              <w:t>11.0</w:t>
            </w:r>
          </w:p>
        </w:tc>
        <w:tc>
          <w:tcPr>
            <w:tcW w:w="1929" w:type="dxa"/>
          </w:tcPr>
          <w:p>
            <w:pPr>
              <w:pStyle w:val="TableParagraph"/>
              <w:spacing w:before="14"/>
              <w:ind w:left="147"/>
              <w:rPr>
                <w:b/>
                <w:sz w:val="22"/>
              </w:rPr>
            </w:pPr>
            <w:r>
              <w:rPr>
                <w:b/>
                <w:sz w:val="22"/>
              </w:rPr>
              <w:t>QHK</w:t>
            </w:r>
          </w:p>
        </w:tc>
      </w:tr>
      <w:tr>
        <w:trPr>
          <w:trHeight w:val="291" w:hRule="atLeast"/>
        </w:trPr>
        <w:tc>
          <w:tcPr>
            <w:tcW w:w="1096" w:type="dxa"/>
          </w:tcPr>
          <w:p>
            <w:pPr>
              <w:pStyle w:val="TableParagraph"/>
              <w:spacing w:before="15"/>
              <w:ind w:right="350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B4</w:t>
            </w:r>
          </w:p>
        </w:tc>
        <w:tc>
          <w:tcPr>
            <w:tcW w:w="1481" w:type="dxa"/>
          </w:tcPr>
          <w:p>
            <w:pPr>
              <w:pStyle w:val="TableParagraph"/>
              <w:spacing w:before="15"/>
              <w:ind w:left="212"/>
              <w:rPr>
                <w:b/>
                <w:sz w:val="22"/>
              </w:rPr>
            </w:pPr>
            <w:r>
              <w:rPr>
                <w:b/>
                <w:sz w:val="22"/>
              </w:rPr>
              <w:t>9.0602778</w:t>
            </w:r>
          </w:p>
        </w:tc>
        <w:tc>
          <w:tcPr>
            <w:tcW w:w="1608" w:type="dxa"/>
          </w:tcPr>
          <w:p>
            <w:pPr>
              <w:pStyle w:val="TableParagraph"/>
              <w:spacing w:before="15"/>
              <w:ind w:left="168"/>
              <w:rPr>
                <w:b/>
                <w:sz w:val="22"/>
              </w:rPr>
            </w:pPr>
            <w:r>
              <w:rPr>
                <w:b/>
                <w:sz w:val="22"/>
              </w:rPr>
              <w:t>6.1323194</w:t>
            </w:r>
          </w:p>
        </w:tc>
        <w:tc>
          <w:tcPr>
            <w:tcW w:w="1065" w:type="dxa"/>
          </w:tcPr>
          <w:p>
            <w:pPr>
              <w:pStyle w:val="TableParagraph"/>
              <w:spacing w:before="15"/>
              <w:ind w:right="262"/>
              <w:jc w:val="righ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3</w:t>
            </w:r>
          </w:p>
        </w:tc>
        <w:tc>
          <w:tcPr>
            <w:tcW w:w="862" w:type="dxa"/>
          </w:tcPr>
          <w:p>
            <w:pPr>
              <w:pStyle w:val="TableParagraph"/>
              <w:spacing w:before="15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954.9</w:t>
            </w:r>
          </w:p>
        </w:tc>
        <w:tc>
          <w:tcPr>
            <w:tcW w:w="845" w:type="dxa"/>
          </w:tcPr>
          <w:p>
            <w:pPr>
              <w:pStyle w:val="TableParagraph"/>
              <w:spacing w:before="15"/>
              <w:ind w:left="143"/>
              <w:rPr>
                <w:b/>
                <w:sz w:val="22"/>
              </w:rPr>
            </w:pPr>
            <w:r>
              <w:rPr>
                <w:b/>
                <w:sz w:val="22"/>
              </w:rPr>
              <w:t>98.3</w:t>
            </w:r>
          </w:p>
        </w:tc>
        <w:tc>
          <w:tcPr>
            <w:tcW w:w="959" w:type="dxa"/>
          </w:tcPr>
          <w:p>
            <w:pPr>
              <w:pStyle w:val="TableParagraph"/>
              <w:spacing w:before="15"/>
              <w:ind w:left="198"/>
              <w:rPr>
                <w:b/>
                <w:sz w:val="22"/>
              </w:rPr>
            </w:pPr>
            <w:r>
              <w:rPr>
                <w:b/>
                <w:sz w:val="22"/>
              </w:rPr>
              <w:t>132.5</w:t>
            </w:r>
          </w:p>
        </w:tc>
        <w:tc>
          <w:tcPr>
            <w:tcW w:w="644" w:type="dxa"/>
          </w:tcPr>
          <w:p>
            <w:pPr>
              <w:pStyle w:val="TableParagraph"/>
              <w:spacing w:before="15"/>
              <w:ind w:left="233"/>
              <w:rPr>
                <w:b/>
                <w:sz w:val="22"/>
              </w:rPr>
            </w:pPr>
            <w:r>
              <w:rPr>
                <w:b/>
                <w:sz w:val="22"/>
              </w:rPr>
              <w:t>1.1</w:t>
            </w:r>
          </w:p>
        </w:tc>
        <w:tc>
          <w:tcPr>
            <w:tcW w:w="640" w:type="dxa"/>
          </w:tcPr>
          <w:p>
            <w:pPr>
              <w:pStyle w:val="TableParagraph"/>
              <w:spacing w:before="15"/>
              <w:ind w:left="129"/>
              <w:rPr>
                <w:b/>
                <w:sz w:val="22"/>
              </w:rPr>
            </w:pPr>
            <w:r>
              <w:rPr>
                <w:b/>
                <w:sz w:val="22"/>
              </w:rPr>
              <w:t>4.0</w:t>
            </w:r>
          </w:p>
        </w:tc>
        <w:tc>
          <w:tcPr>
            <w:tcW w:w="675" w:type="dxa"/>
          </w:tcPr>
          <w:p>
            <w:pPr>
              <w:pStyle w:val="TableParagraph"/>
              <w:spacing w:before="15"/>
              <w:ind w:left="120"/>
              <w:rPr>
                <w:b/>
                <w:sz w:val="22"/>
              </w:rPr>
            </w:pPr>
            <w:r>
              <w:rPr>
                <w:b/>
                <w:sz w:val="22"/>
              </w:rPr>
              <w:t>7.2</w:t>
            </w:r>
          </w:p>
        </w:tc>
        <w:tc>
          <w:tcPr>
            <w:tcW w:w="709" w:type="dxa"/>
          </w:tcPr>
          <w:p>
            <w:pPr>
              <w:pStyle w:val="TableParagraph"/>
              <w:spacing w:before="15"/>
              <w:ind w:left="165"/>
              <w:rPr>
                <w:b/>
                <w:sz w:val="22"/>
              </w:rPr>
            </w:pPr>
            <w:r>
              <w:rPr>
                <w:b/>
                <w:sz w:val="22"/>
              </w:rPr>
              <w:t>1.1</w:t>
            </w:r>
          </w:p>
        </w:tc>
        <w:tc>
          <w:tcPr>
            <w:tcW w:w="819" w:type="dxa"/>
          </w:tcPr>
          <w:p>
            <w:pPr>
              <w:pStyle w:val="TableParagraph"/>
              <w:spacing w:before="15"/>
              <w:ind w:left="265"/>
              <w:rPr>
                <w:b/>
                <w:sz w:val="22"/>
              </w:rPr>
            </w:pPr>
            <w:r>
              <w:rPr>
                <w:b/>
                <w:sz w:val="22"/>
              </w:rPr>
              <w:t>2.9</w:t>
            </w:r>
          </w:p>
        </w:tc>
        <w:tc>
          <w:tcPr>
            <w:tcW w:w="831" w:type="dxa"/>
          </w:tcPr>
          <w:p>
            <w:pPr>
              <w:pStyle w:val="TableParagraph"/>
              <w:spacing w:before="15"/>
              <w:ind w:left="166"/>
              <w:rPr>
                <w:b/>
                <w:sz w:val="22"/>
              </w:rPr>
            </w:pPr>
            <w:r>
              <w:rPr>
                <w:b/>
                <w:sz w:val="22"/>
              </w:rPr>
              <w:t>3.2</w:t>
            </w:r>
          </w:p>
        </w:tc>
        <w:tc>
          <w:tcPr>
            <w:tcW w:w="1929" w:type="dxa"/>
          </w:tcPr>
          <w:p>
            <w:pPr>
              <w:pStyle w:val="TableParagraph"/>
              <w:spacing w:before="15"/>
              <w:ind w:left="147"/>
              <w:rPr>
                <w:b/>
                <w:sz w:val="22"/>
              </w:rPr>
            </w:pPr>
            <w:r>
              <w:rPr>
                <w:b/>
                <w:sz w:val="22"/>
              </w:rPr>
              <w:t>QH</w:t>
            </w:r>
          </w:p>
        </w:tc>
      </w:tr>
      <w:tr>
        <w:trPr>
          <w:trHeight w:val="290" w:hRule="atLeast"/>
        </w:trPr>
        <w:tc>
          <w:tcPr>
            <w:tcW w:w="1096" w:type="dxa"/>
          </w:tcPr>
          <w:p>
            <w:pPr>
              <w:pStyle w:val="TableParagraph"/>
              <w:spacing w:before="14"/>
              <w:ind w:right="343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C1</w:t>
            </w:r>
          </w:p>
        </w:tc>
        <w:tc>
          <w:tcPr>
            <w:tcW w:w="1481" w:type="dxa"/>
          </w:tcPr>
          <w:p>
            <w:pPr>
              <w:pStyle w:val="TableParagraph"/>
              <w:spacing w:before="14"/>
              <w:ind w:left="212"/>
              <w:rPr>
                <w:b/>
                <w:sz w:val="22"/>
              </w:rPr>
            </w:pPr>
            <w:r>
              <w:rPr>
                <w:b/>
                <w:sz w:val="22"/>
              </w:rPr>
              <w:t>9.0499733</w:t>
            </w:r>
          </w:p>
        </w:tc>
        <w:tc>
          <w:tcPr>
            <w:tcW w:w="1608" w:type="dxa"/>
          </w:tcPr>
          <w:p>
            <w:pPr>
              <w:pStyle w:val="TableParagraph"/>
              <w:spacing w:before="14"/>
              <w:ind w:left="168"/>
              <w:rPr>
                <w:b/>
                <w:sz w:val="22"/>
              </w:rPr>
            </w:pPr>
            <w:r>
              <w:rPr>
                <w:b/>
                <w:sz w:val="22"/>
              </w:rPr>
              <w:t>6.1351833</w:t>
            </w:r>
          </w:p>
        </w:tc>
        <w:tc>
          <w:tcPr>
            <w:tcW w:w="1065" w:type="dxa"/>
          </w:tcPr>
          <w:p>
            <w:pPr>
              <w:pStyle w:val="TableParagraph"/>
              <w:spacing w:before="14"/>
              <w:ind w:right="262"/>
              <w:jc w:val="righ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3</w:t>
            </w:r>
          </w:p>
        </w:tc>
        <w:tc>
          <w:tcPr>
            <w:tcW w:w="862" w:type="dxa"/>
          </w:tcPr>
          <w:p>
            <w:pPr>
              <w:pStyle w:val="TableParagraph"/>
              <w:spacing w:before="14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561.8</w:t>
            </w:r>
          </w:p>
        </w:tc>
        <w:tc>
          <w:tcPr>
            <w:tcW w:w="845" w:type="dxa"/>
          </w:tcPr>
          <w:p>
            <w:pPr>
              <w:pStyle w:val="TableParagraph"/>
              <w:spacing w:before="14"/>
              <w:ind w:left="143"/>
              <w:rPr>
                <w:b/>
                <w:sz w:val="22"/>
              </w:rPr>
            </w:pPr>
            <w:r>
              <w:rPr>
                <w:b/>
                <w:sz w:val="22"/>
              </w:rPr>
              <w:t>47.0</w:t>
            </w:r>
          </w:p>
        </w:tc>
        <w:tc>
          <w:tcPr>
            <w:tcW w:w="959" w:type="dxa"/>
          </w:tcPr>
          <w:p>
            <w:pPr>
              <w:pStyle w:val="TableParagraph"/>
              <w:spacing w:before="14"/>
              <w:ind w:left="198"/>
              <w:rPr>
                <w:b/>
                <w:sz w:val="22"/>
              </w:rPr>
            </w:pPr>
            <w:r>
              <w:rPr>
                <w:b/>
                <w:sz w:val="22"/>
              </w:rPr>
              <w:t>26.0</w:t>
            </w:r>
          </w:p>
        </w:tc>
        <w:tc>
          <w:tcPr>
            <w:tcW w:w="644" w:type="dxa"/>
          </w:tcPr>
          <w:p>
            <w:pPr>
              <w:pStyle w:val="TableParagraph"/>
              <w:spacing w:before="14"/>
              <w:ind w:left="233"/>
              <w:rPr>
                <w:b/>
                <w:sz w:val="22"/>
              </w:rPr>
            </w:pPr>
            <w:r>
              <w:rPr>
                <w:b/>
                <w:sz w:val="22"/>
              </w:rPr>
              <w:t>2.3</w:t>
            </w:r>
          </w:p>
        </w:tc>
        <w:tc>
          <w:tcPr>
            <w:tcW w:w="640" w:type="dxa"/>
          </w:tcPr>
          <w:p>
            <w:pPr>
              <w:pStyle w:val="TableParagraph"/>
              <w:spacing w:before="14"/>
              <w:ind w:left="129"/>
              <w:rPr>
                <w:b/>
                <w:sz w:val="22"/>
              </w:rPr>
            </w:pPr>
            <w:r>
              <w:rPr>
                <w:b/>
                <w:sz w:val="22"/>
              </w:rPr>
              <w:t>4.8</w:t>
            </w:r>
          </w:p>
        </w:tc>
        <w:tc>
          <w:tcPr>
            <w:tcW w:w="675" w:type="dxa"/>
          </w:tcPr>
          <w:p>
            <w:pPr>
              <w:pStyle w:val="TableParagraph"/>
              <w:spacing w:before="14"/>
              <w:ind w:left="120"/>
              <w:rPr>
                <w:b/>
                <w:sz w:val="22"/>
              </w:rPr>
            </w:pPr>
            <w:r>
              <w:rPr>
                <w:b/>
                <w:sz w:val="22"/>
              </w:rPr>
              <w:t>12.7</w:t>
            </w:r>
          </w:p>
        </w:tc>
        <w:tc>
          <w:tcPr>
            <w:tcW w:w="709" w:type="dxa"/>
          </w:tcPr>
          <w:p>
            <w:pPr>
              <w:pStyle w:val="TableParagraph"/>
              <w:spacing w:before="14"/>
              <w:ind w:left="165"/>
              <w:rPr>
                <w:b/>
                <w:sz w:val="22"/>
              </w:rPr>
            </w:pPr>
            <w:r>
              <w:rPr>
                <w:b/>
                <w:sz w:val="22"/>
              </w:rPr>
              <w:t>2.3</w:t>
            </w:r>
          </w:p>
        </w:tc>
        <w:tc>
          <w:tcPr>
            <w:tcW w:w="819" w:type="dxa"/>
          </w:tcPr>
          <w:p>
            <w:pPr>
              <w:pStyle w:val="TableParagraph"/>
              <w:spacing w:before="14"/>
              <w:ind w:left="265"/>
              <w:rPr>
                <w:b/>
                <w:sz w:val="22"/>
              </w:rPr>
            </w:pPr>
            <w:r>
              <w:rPr>
                <w:b/>
                <w:sz w:val="22"/>
              </w:rPr>
              <w:t>2.5</w:t>
            </w:r>
          </w:p>
        </w:tc>
        <w:tc>
          <w:tcPr>
            <w:tcW w:w="831" w:type="dxa"/>
          </w:tcPr>
          <w:p>
            <w:pPr>
              <w:pStyle w:val="TableParagraph"/>
              <w:spacing w:before="14"/>
              <w:ind w:left="166"/>
              <w:rPr>
                <w:b/>
                <w:sz w:val="22"/>
              </w:rPr>
            </w:pPr>
            <w:r>
              <w:rPr>
                <w:b/>
                <w:sz w:val="22"/>
              </w:rPr>
              <w:t>8.0</w:t>
            </w:r>
          </w:p>
        </w:tc>
        <w:tc>
          <w:tcPr>
            <w:tcW w:w="1929" w:type="dxa"/>
          </w:tcPr>
          <w:p>
            <w:pPr>
              <w:pStyle w:val="TableParagraph"/>
              <w:spacing w:before="14"/>
              <w:ind w:left="147"/>
              <w:rPr>
                <w:b/>
                <w:sz w:val="22"/>
              </w:rPr>
            </w:pPr>
            <w:r>
              <w:rPr>
                <w:b/>
                <w:sz w:val="22"/>
              </w:rPr>
              <w:t>QHK</w:t>
            </w:r>
          </w:p>
        </w:tc>
      </w:tr>
      <w:tr>
        <w:trPr>
          <w:trHeight w:val="290" w:hRule="atLeast"/>
        </w:trPr>
        <w:tc>
          <w:tcPr>
            <w:tcW w:w="1096" w:type="dxa"/>
          </w:tcPr>
          <w:p>
            <w:pPr>
              <w:pStyle w:val="TableParagraph"/>
              <w:spacing w:before="14"/>
              <w:ind w:right="343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C2</w:t>
            </w:r>
          </w:p>
        </w:tc>
        <w:tc>
          <w:tcPr>
            <w:tcW w:w="1481" w:type="dxa"/>
          </w:tcPr>
          <w:p>
            <w:pPr>
              <w:pStyle w:val="TableParagraph"/>
              <w:spacing w:before="14"/>
              <w:ind w:left="212"/>
              <w:rPr>
                <w:b/>
                <w:sz w:val="22"/>
              </w:rPr>
            </w:pPr>
            <w:r>
              <w:rPr>
                <w:b/>
                <w:sz w:val="22"/>
              </w:rPr>
              <w:t>9.0574336</w:t>
            </w:r>
          </w:p>
        </w:tc>
        <w:tc>
          <w:tcPr>
            <w:tcW w:w="1608" w:type="dxa"/>
          </w:tcPr>
          <w:p>
            <w:pPr>
              <w:pStyle w:val="TableParagraph"/>
              <w:spacing w:before="14"/>
              <w:ind w:left="168"/>
              <w:rPr>
                <w:b/>
                <w:sz w:val="22"/>
              </w:rPr>
            </w:pPr>
            <w:r>
              <w:rPr>
                <w:b/>
                <w:sz w:val="22"/>
              </w:rPr>
              <w:t>6.1351833</w:t>
            </w:r>
          </w:p>
        </w:tc>
        <w:tc>
          <w:tcPr>
            <w:tcW w:w="1065" w:type="dxa"/>
          </w:tcPr>
          <w:p>
            <w:pPr>
              <w:pStyle w:val="TableParagraph"/>
              <w:spacing w:before="14"/>
              <w:ind w:right="262"/>
              <w:jc w:val="righ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3</w:t>
            </w:r>
          </w:p>
        </w:tc>
        <w:tc>
          <w:tcPr>
            <w:tcW w:w="862" w:type="dxa"/>
          </w:tcPr>
          <w:p>
            <w:pPr>
              <w:pStyle w:val="TableParagraph"/>
              <w:spacing w:before="14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615.1</w:t>
            </w:r>
          </w:p>
        </w:tc>
        <w:tc>
          <w:tcPr>
            <w:tcW w:w="845" w:type="dxa"/>
          </w:tcPr>
          <w:p>
            <w:pPr>
              <w:pStyle w:val="TableParagraph"/>
              <w:spacing w:before="14"/>
              <w:ind w:left="143"/>
              <w:rPr>
                <w:b/>
                <w:sz w:val="22"/>
              </w:rPr>
            </w:pPr>
            <w:r>
              <w:rPr>
                <w:b/>
                <w:sz w:val="22"/>
              </w:rPr>
              <w:t>76.4</w:t>
            </w:r>
          </w:p>
        </w:tc>
        <w:tc>
          <w:tcPr>
            <w:tcW w:w="959" w:type="dxa"/>
          </w:tcPr>
          <w:p>
            <w:pPr>
              <w:pStyle w:val="TableParagraph"/>
              <w:spacing w:before="14"/>
              <w:ind w:left="198"/>
              <w:rPr>
                <w:b/>
                <w:sz w:val="22"/>
              </w:rPr>
            </w:pPr>
            <w:r>
              <w:rPr>
                <w:b/>
                <w:sz w:val="22"/>
              </w:rPr>
              <w:t>29.3</w:t>
            </w:r>
          </w:p>
        </w:tc>
        <w:tc>
          <w:tcPr>
            <w:tcW w:w="644" w:type="dxa"/>
          </w:tcPr>
          <w:p>
            <w:pPr>
              <w:pStyle w:val="TableParagraph"/>
              <w:spacing w:before="14"/>
              <w:ind w:left="233"/>
              <w:rPr>
                <w:b/>
                <w:sz w:val="22"/>
              </w:rPr>
            </w:pPr>
            <w:r>
              <w:rPr>
                <w:b/>
                <w:sz w:val="22"/>
              </w:rPr>
              <w:t>1.5</w:t>
            </w:r>
          </w:p>
        </w:tc>
        <w:tc>
          <w:tcPr>
            <w:tcW w:w="640" w:type="dxa"/>
          </w:tcPr>
          <w:p>
            <w:pPr>
              <w:pStyle w:val="TableParagraph"/>
              <w:spacing w:before="14"/>
              <w:ind w:left="129"/>
              <w:rPr>
                <w:b/>
                <w:sz w:val="22"/>
              </w:rPr>
            </w:pPr>
            <w:r>
              <w:rPr>
                <w:b/>
                <w:sz w:val="22"/>
              </w:rPr>
              <w:t>5.0</w:t>
            </w:r>
          </w:p>
        </w:tc>
        <w:tc>
          <w:tcPr>
            <w:tcW w:w="675" w:type="dxa"/>
          </w:tcPr>
          <w:p>
            <w:pPr>
              <w:pStyle w:val="TableParagraph"/>
              <w:spacing w:before="14"/>
              <w:ind w:left="120"/>
              <w:rPr>
                <w:b/>
                <w:sz w:val="22"/>
              </w:rPr>
            </w:pPr>
            <w:r>
              <w:rPr>
                <w:b/>
                <w:sz w:val="22"/>
              </w:rPr>
              <w:t>38.0</w:t>
            </w:r>
          </w:p>
        </w:tc>
        <w:tc>
          <w:tcPr>
            <w:tcW w:w="709" w:type="dxa"/>
          </w:tcPr>
          <w:p>
            <w:pPr>
              <w:pStyle w:val="TableParagraph"/>
              <w:spacing w:before="14"/>
              <w:ind w:left="165"/>
              <w:rPr>
                <w:b/>
                <w:sz w:val="22"/>
              </w:rPr>
            </w:pPr>
            <w:r>
              <w:rPr>
                <w:b/>
                <w:sz w:val="22"/>
              </w:rPr>
              <w:t>1.5</w:t>
            </w:r>
          </w:p>
        </w:tc>
        <w:tc>
          <w:tcPr>
            <w:tcW w:w="819" w:type="dxa"/>
          </w:tcPr>
          <w:p>
            <w:pPr>
              <w:pStyle w:val="TableParagraph"/>
              <w:spacing w:before="14"/>
              <w:ind w:left="265"/>
              <w:rPr>
                <w:b/>
                <w:sz w:val="22"/>
              </w:rPr>
            </w:pPr>
            <w:r>
              <w:rPr>
                <w:b/>
                <w:sz w:val="22"/>
              </w:rPr>
              <w:t>3.4</w:t>
            </w:r>
          </w:p>
        </w:tc>
        <w:tc>
          <w:tcPr>
            <w:tcW w:w="831" w:type="dxa"/>
          </w:tcPr>
          <w:p>
            <w:pPr>
              <w:pStyle w:val="TableParagraph"/>
              <w:spacing w:before="14"/>
              <w:ind w:left="166"/>
              <w:rPr>
                <w:b/>
                <w:sz w:val="22"/>
              </w:rPr>
            </w:pPr>
            <w:r>
              <w:rPr>
                <w:b/>
                <w:sz w:val="22"/>
              </w:rPr>
              <w:t>33.0</w:t>
            </w:r>
          </w:p>
        </w:tc>
        <w:tc>
          <w:tcPr>
            <w:tcW w:w="1929" w:type="dxa"/>
          </w:tcPr>
          <w:p>
            <w:pPr>
              <w:pStyle w:val="TableParagraph"/>
              <w:spacing w:before="14"/>
              <w:ind w:left="147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Q</w:t>
            </w:r>
          </w:p>
        </w:tc>
      </w:tr>
      <w:tr>
        <w:trPr>
          <w:trHeight w:val="291" w:hRule="atLeast"/>
        </w:trPr>
        <w:tc>
          <w:tcPr>
            <w:tcW w:w="1096" w:type="dxa"/>
          </w:tcPr>
          <w:p>
            <w:pPr>
              <w:pStyle w:val="TableParagraph"/>
              <w:spacing w:before="14"/>
              <w:ind w:right="343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C3</w:t>
            </w:r>
          </w:p>
        </w:tc>
        <w:tc>
          <w:tcPr>
            <w:tcW w:w="1481" w:type="dxa"/>
          </w:tcPr>
          <w:p>
            <w:pPr>
              <w:pStyle w:val="TableParagraph"/>
              <w:spacing w:before="14"/>
              <w:ind w:left="212"/>
              <w:rPr>
                <w:b/>
                <w:sz w:val="22"/>
              </w:rPr>
            </w:pPr>
            <w:r>
              <w:rPr>
                <w:b/>
                <w:sz w:val="22"/>
              </w:rPr>
              <w:t>9.04963</w:t>
            </w:r>
          </w:p>
        </w:tc>
        <w:tc>
          <w:tcPr>
            <w:tcW w:w="1608" w:type="dxa"/>
          </w:tcPr>
          <w:p>
            <w:pPr>
              <w:pStyle w:val="TableParagraph"/>
              <w:spacing w:before="14"/>
              <w:ind w:left="168"/>
              <w:rPr>
                <w:b/>
                <w:sz w:val="22"/>
              </w:rPr>
            </w:pPr>
            <w:r>
              <w:rPr>
                <w:b/>
                <w:sz w:val="22"/>
              </w:rPr>
              <w:t>6.1371278</w:t>
            </w:r>
          </w:p>
        </w:tc>
        <w:tc>
          <w:tcPr>
            <w:tcW w:w="1065" w:type="dxa"/>
          </w:tcPr>
          <w:p>
            <w:pPr>
              <w:pStyle w:val="TableParagraph"/>
              <w:spacing w:before="14"/>
              <w:ind w:right="262"/>
              <w:jc w:val="righ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3</w:t>
            </w:r>
          </w:p>
        </w:tc>
        <w:tc>
          <w:tcPr>
            <w:tcW w:w="862" w:type="dxa"/>
          </w:tcPr>
          <w:p>
            <w:pPr>
              <w:pStyle w:val="TableParagraph"/>
              <w:spacing w:before="14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1654.5</w:t>
            </w:r>
          </w:p>
        </w:tc>
        <w:tc>
          <w:tcPr>
            <w:tcW w:w="845" w:type="dxa"/>
          </w:tcPr>
          <w:p>
            <w:pPr>
              <w:pStyle w:val="TableParagraph"/>
              <w:spacing w:before="14"/>
              <w:ind w:left="143"/>
              <w:rPr>
                <w:b/>
                <w:sz w:val="22"/>
              </w:rPr>
            </w:pPr>
            <w:r>
              <w:rPr>
                <w:b/>
                <w:sz w:val="22"/>
              </w:rPr>
              <w:t>175.1</w:t>
            </w:r>
          </w:p>
        </w:tc>
        <w:tc>
          <w:tcPr>
            <w:tcW w:w="959" w:type="dxa"/>
          </w:tcPr>
          <w:p>
            <w:pPr>
              <w:pStyle w:val="TableParagraph"/>
              <w:spacing w:before="14"/>
              <w:ind w:left="198"/>
              <w:rPr>
                <w:b/>
                <w:sz w:val="22"/>
              </w:rPr>
            </w:pPr>
            <w:r>
              <w:rPr>
                <w:b/>
                <w:sz w:val="22"/>
              </w:rPr>
              <w:t>11.0</w:t>
            </w:r>
          </w:p>
        </w:tc>
        <w:tc>
          <w:tcPr>
            <w:tcW w:w="644" w:type="dxa"/>
          </w:tcPr>
          <w:p>
            <w:pPr>
              <w:pStyle w:val="TableParagraph"/>
              <w:spacing w:before="14"/>
              <w:ind w:left="233"/>
              <w:rPr>
                <w:b/>
                <w:sz w:val="22"/>
              </w:rPr>
            </w:pPr>
            <w:r>
              <w:rPr>
                <w:b/>
                <w:sz w:val="22"/>
              </w:rPr>
              <w:t>0.9</w:t>
            </w:r>
          </w:p>
        </w:tc>
        <w:tc>
          <w:tcPr>
            <w:tcW w:w="640" w:type="dxa"/>
          </w:tcPr>
          <w:p>
            <w:pPr>
              <w:pStyle w:val="TableParagraph"/>
              <w:spacing w:before="14"/>
              <w:ind w:left="129"/>
              <w:rPr>
                <w:b/>
                <w:sz w:val="22"/>
              </w:rPr>
            </w:pPr>
            <w:r>
              <w:rPr>
                <w:b/>
                <w:sz w:val="22"/>
              </w:rPr>
              <w:t>6.2</w:t>
            </w:r>
          </w:p>
        </w:tc>
        <w:tc>
          <w:tcPr>
            <w:tcW w:w="675" w:type="dxa"/>
          </w:tcPr>
          <w:p>
            <w:pPr>
              <w:pStyle w:val="TableParagraph"/>
              <w:spacing w:before="14"/>
              <w:ind w:left="120"/>
              <w:rPr>
                <w:b/>
                <w:sz w:val="22"/>
              </w:rPr>
            </w:pPr>
            <w:r>
              <w:rPr>
                <w:b/>
                <w:sz w:val="22"/>
              </w:rPr>
              <w:t>21.2</w:t>
            </w:r>
          </w:p>
        </w:tc>
        <w:tc>
          <w:tcPr>
            <w:tcW w:w="709" w:type="dxa"/>
          </w:tcPr>
          <w:p>
            <w:pPr>
              <w:pStyle w:val="TableParagraph"/>
              <w:spacing w:before="14"/>
              <w:ind w:left="165"/>
              <w:rPr>
                <w:b/>
                <w:sz w:val="22"/>
              </w:rPr>
            </w:pPr>
            <w:r>
              <w:rPr>
                <w:b/>
                <w:sz w:val="22"/>
              </w:rPr>
              <w:t>0.9</w:t>
            </w:r>
          </w:p>
        </w:tc>
        <w:tc>
          <w:tcPr>
            <w:tcW w:w="819" w:type="dxa"/>
          </w:tcPr>
          <w:p>
            <w:pPr>
              <w:pStyle w:val="TableParagraph"/>
              <w:spacing w:before="14"/>
              <w:ind w:left="265"/>
              <w:rPr>
                <w:b/>
                <w:sz w:val="22"/>
              </w:rPr>
            </w:pPr>
            <w:r>
              <w:rPr>
                <w:b/>
                <w:sz w:val="22"/>
              </w:rPr>
              <w:t>5.3</w:t>
            </w:r>
          </w:p>
        </w:tc>
        <w:tc>
          <w:tcPr>
            <w:tcW w:w="831" w:type="dxa"/>
          </w:tcPr>
          <w:p>
            <w:pPr>
              <w:pStyle w:val="TableParagraph"/>
              <w:spacing w:before="14"/>
              <w:ind w:left="166"/>
              <w:rPr>
                <w:b/>
                <w:sz w:val="22"/>
              </w:rPr>
            </w:pPr>
            <w:r>
              <w:rPr>
                <w:b/>
                <w:sz w:val="22"/>
              </w:rPr>
              <w:t>15.1</w:t>
            </w:r>
          </w:p>
        </w:tc>
        <w:tc>
          <w:tcPr>
            <w:tcW w:w="1929" w:type="dxa"/>
          </w:tcPr>
          <w:p>
            <w:pPr>
              <w:pStyle w:val="TableParagraph"/>
              <w:spacing w:before="14"/>
              <w:ind w:left="147"/>
              <w:rPr>
                <w:b/>
                <w:sz w:val="22"/>
              </w:rPr>
            </w:pPr>
            <w:r>
              <w:rPr>
                <w:b/>
                <w:sz w:val="22"/>
              </w:rPr>
              <w:t>QHK</w:t>
            </w:r>
          </w:p>
        </w:tc>
      </w:tr>
      <w:tr>
        <w:trPr>
          <w:trHeight w:val="291" w:hRule="atLeast"/>
        </w:trPr>
        <w:tc>
          <w:tcPr>
            <w:tcW w:w="1096" w:type="dxa"/>
          </w:tcPr>
          <w:p>
            <w:pPr>
              <w:pStyle w:val="TableParagraph"/>
              <w:spacing w:before="15"/>
              <w:ind w:right="343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C4</w:t>
            </w:r>
          </w:p>
        </w:tc>
        <w:tc>
          <w:tcPr>
            <w:tcW w:w="1481" w:type="dxa"/>
          </w:tcPr>
          <w:p>
            <w:pPr>
              <w:pStyle w:val="TableParagraph"/>
              <w:spacing w:before="15"/>
              <w:ind w:left="212"/>
              <w:rPr>
                <w:b/>
                <w:sz w:val="22"/>
              </w:rPr>
            </w:pPr>
            <w:r>
              <w:rPr>
                <w:b/>
                <w:sz w:val="22"/>
              </w:rPr>
              <w:t>9.0583219</w:t>
            </w:r>
          </w:p>
        </w:tc>
        <w:tc>
          <w:tcPr>
            <w:tcW w:w="1608" w:type="dxa"/>
          </w:tcPr>
          <w:p>
            <w:pPr>
              <w:pStyle w:val="TableParagraph"/>
              <w:spacing w:before="15"/>
              <w:ind w:left="168"/>
              <w:rPr>
                <w:b/>
                <w:sz w:val="22"/>
              </w:rPr>
            </w:pPr>
            <w:r>
              <w:rPr>
                <w:b/>
                <w:sz w:val="22"/>
              </w:rPr>
              <w:t>6.1479528</w:t>
            </w:r>
          </w:p>
        </w:tc>
        <w:tc>
          <w:tcPr>
            <w:tcW w:w="1065" w:type="dxa"/>
          </w:tcPr>
          <w:p>
            <w:pPr>
              <w:pStyle w:val="TableParagraph"/>
              <w:spacing w:before="15"/>
              <w:ind w:right="262"/>
              <w:jc w:val="righ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3</w:t>
            </w:r>
          </w:p>
        </w:tc>
        <w:tc>
          <w:tcPr>
            <w:tcW w:w="862" w:type="dxa"/>
          </w:tcPr>
          <w:p>
            <w:pPr>
              <w:pStyle w:val="TableParagraph"/>
              <w:spacing w:before="15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671.5</w:t>
            </w:r>
          </w:p>
        </w:tc>
        <w:tc>
          <w:tcPr>
            <w:tcW w:w="845" w:type="dxa"/>
          </w:tcPr>
          <w:p>
            <w:pPr>
              <w:pStyle w:val="TableParagraph"/>
              <w:spacing w:before="15"/>
              <w:ind w:left="143"/>
              <w:rPr>
                <w:b/>
                <w:sz w:val="22"/>
              </w:rPr>
            </w:pPr>
            <w:r>
              <w:rPr>
                <w:b/>
                <w:sz w:val="22"/>
              </w:rPr>
              <w:t>63.9</w:t>
            </w:r>
          </w:p>
        </w:tc>
        <w:tc>
          <w:tcPr>
            <w:tcW w:w="959" w:type="dxa"/>
          </w:tcPr>
          <w:p>
            <w:pPr>
              <w:pStyle w:val="TableParagraph"/>
              <w:spacing w:before="15"/>
              <w:ind w:left="198"/>
              <w:rPr>
                <w:b/>
                <w:sz w:val="22"/>
              </w:rPr>
            </w:pPr>
            <w:r>
              <w:rPr>
                <w:b/>
                <w:sz w:val="22"/>
              </w:rPr>
              <w:t>42.6</w:t>
            </w:r>
          </w:p>
        </w:tc>
        <w:tc>
          <w:tcPr>
            <w:tcW w:w="644" w:type="dxa"/>
          </w:tcPr>
          <w:p>
            <w:pPr>
              <w:pStyle w:val="TableParagraph"/>
              <w:spacing w:before="15"/>
              <w:ind w:left="233"/>
              <w:rPr>
                <w:b/>
                <w:sz w:val="22"/>
              </w:rPr>
            </w:pPr>
            <w:r>
              <w:rPr>
                <w:b/>
                <w:sz w:val="22"/>
              </w:rPr>
              <w:t>1.6</w:t>
            </w:r>
          </w:p>
        </w:tc>
        <w:tc>
          <w:tcPr>
            <w:tcW w:w="640" w:type="dxa"/>
          </w:tcPr>
          <w:p>
            <w:pPr>
              <w:pStyle w:val="TableParagraph"/>
              <w:spacing w:before="15"/>
              <w:ind w:left="129"/>
              <w:rPr>
                <w:b/>
                <w:sz w:val="22"/>
              </w:rPr>
            </w:pPr>
            <w:r>
              <w:rPr>
                <w:b/>
                <w:sz w:val="22"/>
              </w:rPr>
              <w:t>11.4</w:t>
            </w:r>
          </w:p>
        </w:tc>
        <w:tc>
          <w:tcPr>
            <w:tcW w:w="675" w:type="dxa"/>
          </w:tcPr>
          <w:p>
            <w:pPr>
              <w:pStyle w:val="TableParagraph"/>
              <w:spacing w:before="15"/>
              <w:ind w:left="120"/>
              <w:rPr>
                <w:b/>
                <w:sz w:val="22"/>
              </w:rPr>
            </w:pPr>
            <w:r>
              <w:rPr>
                <w:b/>
                <w:sz w:val="22"/>
              </w:rPr>
              <w:t>30.1</w:t>
            </w:r>
          </w:p>
        </w:tc>
        <w:tc>
          <w:tcPr>
            <w:tcW w:w="709" w:type="dxa"/>
          </w:tcPr>
          <w:p>
            <w:pPr>
              <w:pStyle w:val="TableParagraph"/>
              <w:spacing w:before="15"/>
              <w:ind w:left="165"/>
              <w:rPr>
                <w:b/>
                <w:sz w:val="22"/>
              </w:rPr>
            </w:pPr>
            <w:r>
              <w:rPr>
                <w:b/>
                <w:sz w:val="22"/>
              </w:rPr>
              <w:t>1.6</w:t>
            </w:r>
          </w:p>
        </w:tc>
        <w:tc>
          <w:tcPr>
            <w:tcW w:w="819" w:type="dxa"/>
          </w:tcPr>
          <w:p>
            <w:pPr>
              <w:pStyle w:val="TableParagraph"/>
              <w:spacing w:before="15"/>
              <w:ind w:left="265"/>
              <w:rPr>
                <w:b/>
                <w:sz w:val="22"/>
              </w:rPr>
            </w:pPr>
            <w:r>
              <w:rPr>
                <w:b/>
                <w:sz w:val="22"/>
              </w:rPr>
              <w:t>9.8</w:t>
            </w:r>
          </w:p>
        </w:tc>
        <w:tc>
          <w:tcPr>
            <w:tcW w:w="831" w:type="dxa"/>
          </w:tcPr>
          <w:p>
            <w:pPr>
              <w:pStyle w:val="TableParagraph"/>
              <w:spacing w:before="15"/>
              <w:ind w:left="166"/>
              <w:rPr>
                <w:b/>
                <w:sz w:val="22"/>
              </w:rPr>
            </w:pPr>
            <w:r>
              <w:rPr>
                <w:b/>
                <w:sz w:val="22"/>
              </w:rPr>
              <w:t>18.7</w:t>
            </w:r>
          </w:p>
        </w:tc>
        <w:tc>
          <w:tcPr>
            <w:tcW w:w="1929" w:type="dxa"/>
          </w:tcPr>
          <w:p>
            <w:pPr>
              <w:pStyle w:val="TableParagraph"/>
              <w:spacing w:before="15"/>
              <w:ind w:left="147"/>
              <w:rPr>
                <w:b/>
                <w:sz w:val="22"/>
              </w:rPr>
            </w:pPr>
            <w:r>
              <w:rPr>
                <w:b/>
                <w:sz w:val="22"/>
              </w:rPr>
              <w:t>QH</w:t>
            </w:r>
          </w:p>
        </w:tc>
      </w:tr>
      <w:tr>
        <w:trPr>
          <w:trHeight w:val="290" w:hRule="atLeast"/>
        </w:trPr>
        <w:tc>
          <w:tcPr>
            <w:tcW w:w="1096" w:type="dxa"/>
          </w:tcPr>
          <w:p>
            <w:pPr>
              <w:pStyle w:val="TableParagraph"/>
              <w:spacing w:before="14"/>
              <w:ind w:right="343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D1</w:t>
            </w:r>
          </w:p>
        </w:tc>
        <w:tc>
          <w:tcPr>
            <w:tcW w:w="1481" w:type="dxa"/>
          </w:tcPr>
          <w:p>
            <w:pPr>
              <w:pStyle w:val="TableParagraph"/>
              <w:spacing w:before="14"/>
              <w:ind w:left="212"/>
              <w:rPr>
                <w:b/>
                <w:sz w:val="22"/>
              </w:rPr>
            </w:pPr>
            <w:r>
              <w:rPr>
                <w:b/>
                <w:sz w:val="22"/>
              </w:rPr>
              <w:t>9.0551728</w:t>
            </w:r>
          </w:p>
        </w:tc>
        <w:tc>
          <w:tcPr>
            <w:tcW w:w="1608" w:type="dxa"/>
          </w:tcPr>
          <w:p>
            <w:pPr>
              <w:pStyle w:val="TableParagraph"/>
              <w:spacing w:before="14"/>
              <w:ind w:left="168"/>
              <w:rPr>
                <w:b/>
                <w:sz w:val="22"/>
              </w:rPr>
            </w:pPr>
            <w:r>
              <w:rPr>
                <w:b/>
                <w:sz w:val="22"/>
              </w:rPr>
              <w:t>6.1379028</w:t>
            </w:r>
          </w:p>
        </w:tc>
        <w:tc>
          <w:tcPr>
            <w:tcW w:w="1065" w:type="dxa"/>
          </w:tcPr>
          <w:p>
            <w:pPr>
              <w:pStyle w:val="TableParagraph"/>
              <w:spacing w:before="14"/>
              <w:ind w:right="262"/>
              <w:jc w:val="righ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3</w:t>
            </w:r>
          </w:p>
        </w:tc>
        <w:tc>
          <w:tcPr>
            <w:tcW w:w="862" w:type="dxa"/>
          </w:tcPr>
          <w:p>
            <w:pPr>
              <w:pStyle w:val="TableParagraph"/>
              <w:spacing w:before="14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417.9</w:t>
            </w:r>
          </w:p>
        </w:tc>
        <w:tc>
          <w:tcPr>
            <w:tcW w:w="845" w:type="dxa"/>
          </w:tcPr>
          <w:p>
            <w:pPr>
              <w:pStyle w:val="TableParagraph"/>
              <w:spacing w:before="14"/>
              <w:ind w:left="143"/>
              <w:rPr>
                <w:b/>
                <w:sz w:val="22"/>
              </w:rPr>
            </w:pPr>
            <w:r>
              <w:rPr>
                <w:b/>
                <w:sz w:val="22"/>
              </w:rPr>
              <w:t>62.3</w:t>
            </w:r>
          </w:p>
        </w:tc>
        <w:tc>
          <w:tcPr>
            <w:tcW w:w="959" w:type="dxa"/>
          </w:tcPr>
          <w:p>
            <w:pPr>
              <w:pStyle w:val="TableParagraph"/>
              <w:spacing w:before="14"/>
              <w:ind w:left="198"/>
              <w:rPr>
                <w:b/>
                <w:sz w:val="22"/>
              </w:rPr>
            </w:pPr>
            <w:r>
              <w:rPr>
                <w:b/>
                <w:sz w:val="22"/>
              </w:rPr>
              <w:t>18.0</w:t>
            </w:r>
          </w:p>
        </w:tc>
        <w:tc>
          <w:tcPr>
            <w:tcW w:w="644" w:type="dxa"/>
          </w:tcPr>
          <w:p>
            <w:pPr>
              <w:pStyle w:val="TableParagraph"/>
              <w:spacing w:before="14"/>
              <w:ind w:left="233"/>
              <w:rPr>
                <w:b/>
                <w:sz w:val="22"/>
              </w:rPr>
            </w:pPr>
            <w:r>
              <w:rPr>
                <w:b/>
                <w:sz w:val="22"/>
              </w:rPr>
              <w:t>1.8</w:t>
            </w:r>
          </w:p>
        </w:tc>
        <w:tc>
          <w:tcPr>
            <w:tcW w:w="640" w:type="dxa"/>
          </w:tcPr>
          <w:p>
            <w:pPr>
              <w:pStyle w:val="TableParagraph"/>
              <w:spacing w:before="14"/>
              <w:ind w:left="129"/>
              <w:rPr>
                <w:b/>
                <w:sz w:val="22"/>
              </w:rPr>
            </w:pPr>
            <w:r>
              <w:rPr>
                <w:b/>
                <w:sz w:val="22"/>
              </w:rPr>
              <w:t>9.7</w:t>
            </w:r>
          </w:p>
        </w:tc>
        <w:tc>
          <w:tcPr>
            <w:tcW w:w="675" w:type="dxa"/>
          </w:tcPr>
          <w:p>
            <w:pPr>
              <w:pStyle w:val="TableParagraph"/>
              <w:spacing w:before="14"/>
              <w:ind w:left="120"/>
              <w:rPr>
                <w:b/>
                <w:sz w:val="22"/>
              </w:rPr>
            </w:pPr>
            <w:r>
              <w:rPr>
                <w:b/>
                <w:sz w:val="22"/>
              </w:rPr>
              <w:t>60.4</w:t>
            </w:r>
          </w:p>
        </w:tc>
        <w:tc>
          <w:tcPr>
            <w:tcW w:w="709" w:type="dxa"/>
          </w:tcPr>
          <w:p>
            <w:pPr>
              <w:pStyle w:val="TableParagraph"/>
              <w:spacing w:before="14"/>
              <w:ind w:left="165"/>
              <w:rPr>
                <w:b/>
                <w:sz w:val="22"/>
              </w:rPr>
            </w:pPr>
            <w:r>
              <w:rPr>
                <w:b/>
                <w:sz w:val="22"/>
              </w:rPr>
              <w:t>1.8</w:t>
            </w:r>
          </w:p>
        </w:tc>
        <w:tc>
          <w:tcPr>
            <w:tcW w:w="819" w:type="dxa"/>
          </w:tcPr>
          <w:p>
            <w:pPr>
              <w:pStyle w:val="TableParagraph"/>
              <w:spacing w:before="14"/>
              <w:ind w:left="265"/>
              <w:rPr>
                <w:b/>
                <w:sz w:val="22"/>
              </w:rPr>
            </w:pPr>
            <w:r>
              <w:rPr>
                <w:b/>
                <w:sz w:val="22"/>
              </w:rPr>
              <w:t>7.9</w:t>
            </w:r>
          </w:p>
        </w:tc>
        <w:tc>
          <w:tcPr>
            <w:tcW w:w="831" w:type="dxa"/>
          </w:tcPr>
          <w:p>
            <w:pPr>
              <w:pStyle w:val="TableParagraph"/>
              <w:spacing w:before="14"/>
              <w:ind w:left="166"/>
              <w:rPr>
                <w:b/>
                <w:sz w:val="22"/>
              </w:rPr>
            </w:pPr>
            <w:r>
              <w:rPr>
                <w:b/>
                <w:sz w:val="22"/>
              </w:rPr>
              <w:t>50.7</w:t>
            </w:r>
          </w:p>
        </w:tc>
        <w:tc>
          <w:tcPr>
            <w:tcW w:w="1929" w:type="dxa"/>
          </w:tcPr>
          <w:p>
            <w:pPr>
              <w:pStyle w:val="TableParagraph"/>
              <w:spacing w:before="14"/>
              <w:ind w:left="147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Q</w:t>
            </w:r>
          </w:p>
        </w:tc>
      </w:tr>
      <w:tr>
        <w:trPr>
          <w:trHeight w:val="290" w:hRule="atLeast"/>
        </w:trPr>
        <w:tc>
          <w:tcPr>
            <w:tcW w:w="1096" w:type="dxa"/>
          </w:tcPr>
          <w:p>
            <w:pPr>
              <w:pStyle w:val="TableParagraph"/>
              <w:spacing w:before="14"/>
              <w:ind w:right="343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D2</w:t>
            </w:r>
          </w:p>
        </w:tc>
        <w:tc>
          <w:tcPr>
            <w:tcW w:w="1481" w:type="dxa"/>
          </w:tcPr>
          <w:p>
            <w:pPr>
              <w:pStyle w:val="TableParagraph"/>
              <w:spacing w:before="14"/>
              <w:ind w:left="212"/>
              <w:rPr>
                <w:b/>
                <w:sz w:val="22"/>
              </w:rPr>
            </w:pPr>
            <w:r>
              <w:rPr>
                <w:b/>
                <w:sz w:val="22"/>
              </w:rPr>
              <w:t>9.0367156</w:t>
            </w:r>
          </w:p>
        </w:tc>
        <w:tc>
          <w:tcPr>
            <w:tcW w:w="1608" w:type="dxa"/>
          </w:tcPr>
          <w:p>
            <w:pPr>
              <w:pStyle w:val="TableParagraph"/>
              <w:spacing w:before="14"/>
              <w:ind w:left="168"/>
              <w:rPr>
                <w:b/>
                <w:sz w:val="22"/>
              </w:rPr>
            </w:pPr>
            <w:r>
              <w:rPr>
                <w:b/>
                <w:sz w:val="22"/>
              </w:rPr>
              <w:t>6.1486361</w:t>
            </w:r>
          </w:p>
        </w:tc>
        <w:tc>
          <w:tcPr>
            <w:tcW w:w="1065" w:type="dxa"/>
          </w:tcPr>
          <w:p>
            <w:pPr>
              <w:pStyle w:val="TableParagraph"/>
              <w:spacing w:before="14"/>
              <w:ind w:right="262"/>
              <w:jc w:val="righ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3</w:t>
            </w:r>
          </w:p>
        </w:tc>
        <w:tc>
          <w:tcPr>
            <w:tcW w:w="862" w:type="dxa"/>
          </w:tcPr>
          <w:p>
            <w:pPr>
              <w:pStyle w:val="TableParagraph"/>
              <w:spacing w:before="14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414.2</w:t>
            </w:r>
          </w:p>
        </w:tc>
        <w:tc>
          <w:tcPr>
            <w:tcW w:w="845" w:type="dxa"/>
          </w:tcPr>
          <w:p>
            <w:pPr>
              <w:pStyle w:val="TableParagraph"/>
              <w:spacing w:before="14"/>
              <w:ind w:left="143"/>
              <w:rPr>
                <w:b/>
                <w:sz w:val="22"/>
              </w:rPr>
            </w:pPr>
            <w:r>
              <w:rPr>
                <w:b/>
                <w:sz w:val="22"/>
              </w:rPr>
              <w:t>168.6</w:t>
            </w:r>
          </w:p>
        </w:tc>
        <w:tc>
          <w:tcPr>
            <w:tcW w:w="959" w:type="dxa"/>
          </w:tcPr>
          <w:p>
            <w:pPr>
              <w:pStyle w:val="TableParagraph"/>
              <w:spacing w:before="14"/>
              <w:ind w:left="198"/>
              <w:rPr>
                <w:b/>
                <w:sz w:val="22"/>
              </w:rPr>
            </w:pPr>
            <w:r>
              <w:rPr>
                <w:b/>
                <w:sz w:val="22"/>
              </w:rPr>
              <w:t>20.2</w:t>
            </w:r>
          </w:p>
        </w:tc>
        <w:tc>
          <w:tcPr>
            <w:tcW w:w="644" w:type="dxa"/>
          </w:tcPr>
          <w:p>
            <w:pPr>
              <w:pStyle w:val="TableParagraph"/>
              <w:spacing w:before="14"/>
              <w:ind w:left="233"/>
              <w:rPr>
                <w:b/>
                <w:sz w:val="22"/>
              </w:rPr>
            </w:pPr>
            <w:r>
              <w:rPr>
                <w:b/>
                <w:sz w:val="22"/>
              </w:rPr>
              <w:t>1.1</w:t>
            </w:r>
          </w:p>
        </w:tc>
        <w:tc>
          <w:tcPr>
            <w:tcW w:w="640" w:type="dxa"/>
          </w:tcPr>
          <w:p>
            <w:pPr>
              <w:pStyle w:val="TableParagraph"/>
              <w:spacing w:before="14"/>
              <w:ind w:left="129"/>
              <w:rPr>
                <w:b/>
                <w:sz w:val="22"/>
              </w:rPr>
            </w:pPr>
            <w:r>
              <w:rPr>
                <w:b/>
                <w:sz w:val="22"/>
              </w:rPr>
              <w:t>4.5</w:t>
            </w:r>
          </w:p>
        </w:tc>
        <w:tc>
          <w:tcPr>
            <w:tcW w:w="675" w:type="dxa"/>
          </w:tcPr>
          <w:p>
            <w:pPr>
              <w:pStyle w:val="TableParagraph"/>
              <w:spacing w:before="14"/>
              <w:ind w:left="120"/>
              <w:rPr>
                <w:b/>
                <w:sz w:val="22"/>
              </w:rPr>
            </w:pPr>
            <w:r>
              <w:rPr>
                <w:b/>
                <w:sz w:val="22"/>
              </w:rPr>
              <w:t>32.2</w:t>
            </w:r>
          </w:p>
        </w:tc>
        <w:tc>
          <w:tcPr>
            <w:tcW w:w="709" w:type="dxa"/>
          </w:tcPr>
          <w:p>
            <w:pPr>
              <w:pStyle w:val="TableParagraph"/>
              <w:spacing w:before="14"/>
              <w:ind w:left="165"/>
              <w:rPr>
                <w:b/>
                <w:sz w:val="22"/>
              </w:rPr>
            </w:pPr>
            <w:r>
              <w:rPr>
                <w:b/>
                <w:sz w:val="22"/>
              </w:rPr>
              <w:t>1.1</w:t>
            </w:r>
          </w:p>
        </w:tc>
        <w:tc>
          <w:tcPr>
            <w:tcW w:w="819" w:type="dxa"/>
          </w:tcPr>
          <w:p>
            <w:pPr>
              <w:pStyle w:val="TableParagraph"/>
              <w:spacing w:before="14"/>
              <w:ind w:left="265"/>
              <w:rPr>
                <w:b/>
                <w:sz w:val="22"/>
              </w:rPr>
            </w:pPr>
            <w:r>
              <w:rPr>
                <w:b/>
                <w:sz w:val="22"/>
              </w:rPr>
              <w:t>3.4</w:t>
            </w:r>
          </w:p>
        </w:tc>
        <w:tc>
          <w:tcPr>
            <w:tcW w:w="831" w:type="dxa"/>
          </w:tcPr>
          <w:p>
            <w:pPr>
              <w:pStyle w:val="TableParagraph"/>
              <w:spacing w:before="14"/>
              <w:ind w:left="166"/>
              <w:rPr>
                <w:b/>
                <w:sz w:val="22"/>
              </w:rPr>
            </w:pPr>
            <w:r>
              <w:rPr>
                <w:b/>
                <w:sz w:val="22"/>
              </w:rPr>
              <w:t>27.7</w:t>
            </w:r>
          </w:p>
        </w:tc>
        <w:tc>
          <w:tcPr>
            <w:tcW w:w="1929" w:type="dxa"/>
          </w:tcPr>
          <w:p>
            <w:pPr>
              <w:pStyle w:val="TableParagraph"/>
              <w:spacing w:before="14"/>
              <w:ind w:left="147"/>
              <w:rPr>
                <w:b/>
                <w:sz w:val="22"/>
              </w:rPr>
            </w:pPr>
            <w:r>
              <w:rPr>
                <w:b/>
                <w:sz w:val="22"/>
              </w:rPr>
              <w:t>QH</w:t>
            </w:r>
          </w:p>
        </w:tc>
      </w:tr>
      <w:tr>
        <w:trPr>
          <w:trHeight w:val="290" w:hRule="atLeast"/>
        </w:trPr>
        <w:tc>
          <w:tcPr>
            <w:tcW w:w="1096" w:type="dxa"/>
          </w:tcPr>
          <w:p>
            <w:pPr>
              <w:pStyle w:val="TableParagraph"/>
              <w:spacing w:before="14"/>
              <w:ind w:right="343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D3</w:t>
            </w:r>
          </w:p>
        </w:tc>
        <w:tc>
          <w:tcPr>
            <w:tcW w:w="1481" w:type="dxa"/>
          </w:tcPr>
          <w:p>
            <w:pPr>
              <w:pStyle w:val="TableParagraph"/>
              <w:spacing w:before="14"/>
              <w:ind w:left="212"/>
              <w:rPr>
                <w:b/>
                <w:sz w:val="22"/>
              </w:rPr>
            </w:pPr>
            <w:r>
              <w:rPr>
                <w:b/>
                <w:sz w:val="22"/>
              </w:rPr>
              <w:t>91340833</w:t>
            </w:r>
          </w:p>
        </w:tc>
        <w:tc>
          <w:tcPr>
            <w:tcW w:w="1608" w:type="dxa"/>
          </w:tcPr>
          <w:p>
            <w:pPr>
              <w:pStyle w:val="TableParagraph"/>
              <w:spacing w:before="14"/>
              <w:ind w:left="168"/>
              <w:rPr>
                <w:b/>
                <w:sz w:val="22"/>
              </w:rPr>
            </w:pPr>
            <w:r>
              <w:rPr>
                <w:b/>
                <w:sz w:val="22"/>
              </w:rPr>
              <w:t>6.1519667</w:t>
            </w:r>
          </w:p>
        </w:tc>
        <w:tc>
          <w:tcPr>
            <w:tcW w:w="1065" w:type="dxa"/>
          </w:tcPr>
          <w:p>
            <w:pPr>
              <w:pStyle w:val="TableParagraph"/>
              <w:spacing w:before="14"/>
              <w:ind w:right="262"/>
              <w:jc w:val="righ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3</w:t>
            </w:r>
          </w:p>
        </w:tc>
        <w:tc>
          <w:tcPr>
            <w:tcW w:w="862" w:type="dxa"/>
          </w:tcPr>
          <w:p>
            <w:pPr>
              <w:pStyle w:val="TableParagraph"/>
              <w:spacing w:before="14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291.4</w:t>
            </w:r>
          </w:p>
        </w:tc>
        <w:tc>
          <w:tcPr>
            <w:tcW w:w="845" w:type="dxa"/>
          </w:tcPr>
          <w:p>
            <w:pPr>
              <w:pStyle w:val="TableParagraph"/>
              <w:spacing w:before="14"/>
              <w:ind w:left="143"/>
              <w:rPr>
                <w:b/>
                <w:sz w:val="22"/>
              </w:rPr>
            </w:pPr>
            <w:r>
              <w:rPr>
                <w:b/>
                <w:sz w:val="22"/>
              </w:rPr>
              <w:t>26.6</w:t>
            </w:r>
          </w:p>
        </w:tc>
        <w:tc>
          <w:tcPr>
            <w:tcW w:w="959" w:type="dxa"/>
          </w:tcPr>
          <w:p>
            <w:pPr>
              <w:pStyle w:val="TableParagraph"/>
              <w:spacing w:before="14"/>
              <w:ind w:left="198"/>
              <w:rPr>
                <w:b/>
                <w:sz w:val="22"/>
              </w:rPr>
            </w:pPr>
            <w:r>
              <w:rPr>
                <w:b/>
                <w:sz w:val="22"/>
              </w:rPr>
              <w:t>5.7</w:t>
            </w:r>
          </w:p>
        </w:tc>
        <w:tc>
          <w:tcPr>
            <w:tcW w:w="644" w:type="dxa"/>
          </w:tcPr>
          <w:p>
            <w:pPr>
              <w:pStyle w:val="TableParagraph"/>
              <w:spacing w:before="14"/>
              <w:ind w:left="233"/>
              <w:rPr>
                <w:b/>
                <w:sz w:val="22"/>
              </w:rPr>
            </w:pPr>
            <w:r>
              <w:rPr>
                <w:b/>
                <w:sz w:val="22"/>
              </w:rPr>
              <w:t>1.5</w:t>
            </w:r>
          </w:p>
        </w:tc>
        <w:tc>
          <w:tcPr>
            <w:tcW w:w="640" w:type="dxa"/>
          </w:tcPr>
          <w:p>
            <w:pPr>
              <w:pStyle w:val="TableParagraph"/>
              <w:spacing w:before="14"/>
              <w:ind w:left="129"/>
              <w:rPr>
                <w:b/>
                <w:sz w:val="22"/>
              </w:rPr>
            </w:pPr>
            <w:r>
              <w:rPr>
                <w:b/>
                <w:sz w:val="22"/>
              </w:rPr>
              <w:t>21.6</w:t>
            </w:r>
          </w:p>
        </w:tc>
        <w:tc>
          <w:tcPr>
            <w:tcW w:w="675" w:type="dxa"/>
          </w:tcPr>
          <w:p>
            <w:pPr>
              <w:pStyle w:val="TableParagraph"/>
              <w:spacing w:before="14"/>
              <w:ind w:left="120"/>
              <w:rPr>
                <w:b/>
                <w:sz w:val="22"/>
              </w:rPr>
            </w:pPr>
            <w:r>
              <w:rPr>
                <w:b/>
                <w:sz w:val="22"/>
              </w:rPr>
              <w:t>38.5</w:t>
            </w:r>
          </w:p>
        </w:tc>
        <w:tc>
          <w:tcPr>
            <w:tcW w:w="709" w:type="dxa"/>
          </w:tcPr>
          <w:p>
            <w:pPr>
              <w:pStyle w:val="TableParagraph"/>
              <w:spacing w:before="14"/>
              <w:ind w:left="165"/>
              <w:rPr>
                <w:b/>
                <w:sz w:val="22"/>
              </w:rPr>
            </w:pPr>
            <w:r>
              <w:rPr>
                <w:b/>
                <w:sz w:val="22"/>
              </w:rPr>
              <w:t>1.5</w:t>
            </w:r>
          </w:p>
        </w:tc>
        <w:tc>
          <w:tcPr>
            <w:tcW w:w="819" w:type="dxa"/>
          </w:tcPr>
          <w:p>
            <w:pPr>
              <w:pStyle w:val="TableParagraph"/>
              <w:spacing w:before="14"/>
              <w:ind w:left="265"/>
              <w:rPr>
                <w:b/>
                <w:sz w:val="22"/>
              </w:rPr>
            </w:pPr>
            <w:r>
              <w:rPr>
                <w:b/>
                <w:sz w:val="22"/>
              </w:rPr>
              <w:t>20.0</w:t>
            </w:r>
          </w:p>
        </w:tc>
        <w:tc>
          <w:tcPr>
            <w:tcW w:w="831" w:type="dxa"/>
          </w:tcPr>
          <w:p>
            <w:pPr>
              <w:pStyle w:val="TableParagraph"/>
              <w:spacing w:before="14"/>
              <w:ind w:left="166"/>
              <w:rPr>
                <w:b/>
                <w:sz w:val="22"/>
              </w:rPr>
            </w:pPr>
            <w:r>
              <w:rPr>
                <w:b/>
                <w:sz w:val="22"/>
              </w:rPr>
              <w:t>169</w:t>
            </w:r>
          </w:p>
        </w:tc>
        <w:tc>
          <w:tcPr>
            <w:tcW w:w="1929" w:type="dxa"/>
          </w:tcPr>
          <w:p>
            <w:pPr>
              <w:pStyle w:val="TableParagraph"/>
              <w:spacing w:before="14"/>
              <w:ind w:left="147"/>
              <w:rPr>
                <w:b/>
                <w:sz w:val="22"/>
              </w:rPr>
            </w:pPr>
            <w:r>
              <w:rPr>
                <w:b/>
                <w:sz w:val="22"/>
              </w:rPr>
              <w:t>QKH</w:t>
            </w:r>
          </w:p>
        </w:tc>
      </w:tr>
      <w:tr>
        <w:trPr>
          <w:trHeight w:val="291" w:hRule="atLeast"/>
        </w:trPr>
        <w:tc>
          <w:tcPr>
            <w:tcW w:w="1096" w:type="dxa"/>
          </w:tcPr>
          <w:p>
            <w:pPr>
              <w:pStyle w:val="TableParagraph"/>
              <w:spacing w:before="14"/>
              <w:ind w:right="343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D4</w:t>
            </w:r>
          </w:p>
        </w:tc>
        <w:tc>
          <w:tcPr>
            <w:tcW w:w="1481" w:type="dxa"/>
          </w:tcPr>
          <w:p>
            <w:pPr>
              <w:pStyle w:val="TableParagraph"/>
              <w:spacing w:before="14"/>
              <w:ind w:left="212"/>
              <w:rPr>
                <w:b/>
                <w:sz w:val="22"/>
              </w:rPr>
            </w:pPr>
            <w:r>
              <w:rPr>
                <w:b/>
                <w:sz w:val="22"/>
              </w:rPr>
              <w:t>9.0461128</w:t>
            </w:r>
          </w:p>
        </w:tc>
        <w:tc>
          <w:tcPr>
            <w:tcW w:w="1608" w:type="dxa"/>
          </w:tcPr>
          <w:p>
            <w:pPr>
              <w:pStyle w:val="TableParagraph"/>
              <w:spacing w:before="14"/>
              <w:ind w:left="168"/>
              <w:rPr>
                <w:b/>
                <w:sz w:val="22"/>
              </w:rPr>
            </w:pPr>
            <w:r>
              <w:rPr>
                <w:b/>
                <w:sz w:val="22"/>
              </w:rPr>
              <w:t>6.1374167</w:t>
            </w:r>
          </w:p>
        </w:tc>
        <w:tc>
          <w:tcPr>
            <w:tcW w:w="1065" w:type="dxa"/>
          </w:tcPr>
          <w:p>
            <w:pPr>
              <w:pStyle w:val="TableParagraph"/>
              <w:spacing w:before="14"/>
              <w:ind w:right="262"/>
              <w:jc w:val="righ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3</w:t>
            </w:r>
          </w:p>
        </w:tc>
        <w:tc>
          <w:tcPr>
            <w:tcW w:w="862" w:type="dxa"/>
          </w:tcPr>
          <w:p>
            <w:pPr>
              <w:pStyle w:val="TableParagraph"/>
              <w:spacing w:before="14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788.8</w:t>
            </w:r>
          </w:p>
        </w:tc>
        <w:tc>
          <w:tcPr>
            <w:tcW w:w="845" w:type="dxa"/>
          </w:tcPr>
          <w:p>
            <w:pPr>
              <w:pStyle w:val="TableParagraph"/>
              <w:spacing w:before="14"/>
              <w:ind w:left="143"/>
              <w:rPr>
                <w:b/>
                <w:sz w:val="22"/>
              </w:rPr>
            </w:pPr>
            <w:r>
              <w:rPr>
                <w:b/>
                <w:sz w:val="22"/>
              </w:rPr>
              <w:t>148.2</w:t>
            </w:r>
          </w:p>
        </w:tc>
        <w:tc>
          <w:tcPr>
            <w:tcW w:w="959" w:type="dxa"/>
          </w:tcPr>
          <w:p>
            <w:pPr>
              <w:pStyle w:val="TableParagraph"/>
              <w:spacing w:before="14"/>
              <w:ind w:left="198"/>
              <w:rPr>
                <w:b/>
                <w:sz w:val="22"/>
              </w:rPr>
            </w:pPr>
            <w:r>
              <w:rPr>
                <w:b/>
                <w:sz w:val="22"/>
              </w:rPr>
              <w:t>25.4</w:t>
            </w:r>
          </w:p>
        </w:tc>
        <w:tc>
          <w:tcPr>
            <w:tcW w:w="644" w:type="dxa"/>
          </w:tcPr>
          <w:p>
            <w:pPr>
              <w:pStyle w:val="TableParagraph"/>
              <w:spacing w:before="14"/>
              <w:ind w:left="233"/>
              <w:rPr>
                <w:b/>
                <w:sz w:val="22"/>
              </w:rPr>
            </w:pPr>
            <w:r>
              <w:rPr>
                <w:b/>
                <w:sz w:val="22"/>
              </w:rPr>
              <w:t>1.0</w:t>
            </w:r>
          </w:p>
        </w:tc>
        <w:tc>
          <w:tcPr>
            <w:tcW w:w="640" w:type="dxa"/>
          </w:tcPr>
          <w:p>
            <w:pPr>
              <w:pStyle w:val="TableParagraph"/>
              <w:spacing w:before="14"/>
              <w:ind w:left="129"/>
              <w:rPr>
                <w:b/>
                <w:sz w:val="22"/>
              </w:rPr>
            </w:pPr>
            <w:r>
              <w:rPr>
                <w:b/>
                <w:sz w:val="22"/>
              </w:rPr>
              <w:t>8.5</w:t>
            </w:r>
          </w:p>
        </w:tc>
        <w:tc>
          <w:tcPr>
            <w:tcW w:w="675" w:type="dxa"/>
          </w:tcPr>
          <w:p>
            <w:pPr>
              <w:pStyle w:val="TableParagraph"/>
              <w:spacing w:before="14"/>
              <w:ind w:left="120"/>
              <w:rPr>
                <w:b/>
                <w:sz w:val="22"/>
              </w:rPr>
            </w:pPr>
            <w:r>
              <w:rPr>
                <w:b/>
                <w:sz w:val="22"/>
              </w:rPr>
              <w:t>56.8</w:t>
            </w:r>
          </w:p>
        </w:tc>
        <w:tc>
          <w:tcPr>
            <w:tcW w:w="709" w:type="dxa"/>
          </w:tcPr>
          <w:p>
            <w:pPr>
              <w:pStyle w:val="TableParagraph"/>
              <w:spacing w:before="14"/>
              <w:ind w:left="165"/>
              <w:rPr>
                <w:b/>
                <w:sz w:val="22"/>
              </w:rPr>
            </w:pPr>
            <w:r>
              <w:rPr>
                <w:b/>
                <w:sz w:val="22"/>
              </w:rPr>
              <w:t>1.0</w:t>
            </w:r>
          </w:p>
        </w:tc>
        <w:tc>
          <w:tcPr>
            <w:tcW w:w="819" w:type="dxa"/>
          </w:tcPr>
          <w:p>
            <w:pPr>
              <w:pStyle w:val="TableParagraph"/>
              <w:spacing w:before="14"/>
              <w:ind w:left="265"/>
              <w:rPr>
                <w:b/>
                <w:sz w:val="22"/>
              </w:rPr>
            </w:pPr>
            <w:r>
              <w:rPr>
                <w:b/>
                <w:sz w:val="22"/>
              </w:rPr>
              <w:t>7.4</w:t>
            </w:r>
          </w:p>
        </w:tc>
        <w:tc>
          <w:tcPr>
            <w:tcW w:w="831" w:type="dxa"/>
          </w:tcPr>
          <w:p>
            <w:pPr>
              <w:pStyle w:val="TableParagraph"/>
              <w:spacing w:before="14"/>
              <w:ind w:left="166"/>
              <w:rPr>
                <w:b/>
                <w:sz w:val="22"/>
              </w:rPr>
            </w:pPr>
            <w:r>
              <w:rPr>
                <w:b/>
                <w:sz w:val="22"/>
              </w:rPr>
              <w:t>48.3</w:t>
            </w:r>
          </w:p>
        </w:tc>
        <w:tc>
          <w:tcPr>
            <w:tcW w:w="1929" w:type="dxa"/>
          </w:tcPr>
          <w:p>
            <w:pPr>
              <w:pStyle w:val="TableParagraph"/>
              <w:spacing w:before="14"/>
              <w:ind w:left="147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Q</w:t>
            </w:r>
          </w:p>
        </w:tc>
      </w:tr>
      <w:tr>
        <w:trPr>
          <w:trHeight w:val="291" w:hRule="atLeast"/>
        </w:trPr>
        <w:tc>
          <w:tcPr>
            <w:tcW w:w="1096" w:type="dxa"/>
          </w:tcPr>
          <w:p>
            <w:pPr>
              <w:pStyle w:val="TableParagraph"/>
              <w:spacing w:before="15"/>
              <w:ind w:right="355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E1</w:t>
            </w:r>
          </w:p>
        </w:tc>
        <w:tc>
          <w:tcPr>
            <w:tcW w:w="1481" w:type="dxa"/>
          </w:tcPr>
          <w:p>
            <w:pPr>
              <w:pStyle w:val="TableParagraph"/>
              <w:spacing w:before="15"/>
              <w:ind w:left="212"/>
              <w:rPr>
                <w:b/>
                <w:sz w:val="22"/>
              </w:rPr>
            </w:pPr>
            <w:r>
              <w:rPr>
                <w:b/>
                <w:sz w:val="22"/>
              </w:rPr>
              <w:t>9.04828</w:t>
            </w:r>
          </w:p>
        </w:tc>
        <w:tc>
          <w:tcPr>
            <w:tcW w:w="1608" w:type="dxa"/>
          </w:tcPr>
          <w:p>
            <w:pPr>
              <w:pStyle w:val="TableParagraph"/>
              <w:spacing w:before="15"/>
              <w:ind w:left="168"/>
              <w:rPr>
                <w:b/>
                <w:sz w:val="22"/>
              </w:rPr>
            </w:pPr>
            <w:r>
              <w:rPr>
                <w:b/>
                <w:sz w:val="22"/>
              </w:rPr>
              <w:t>6.13467</w:t>
            </w:r>
          </w:p>
        </w:tc>
        <w:tc>
          <w:tcPr>
            <w:tcW w:w="1065" w:type="dxa"/>
          </w:tcPr>
          <w:p>
            <w:pPr>
              <w:pStyle w:val="TableParagraph"/>
              <w:spacing w:before="15"/>
              <w:ind w:right="262"/>
              <w:jc w:val="righ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3</w:t>
            </w:r>
          </w:p>
        </w:tc>
        <w:tc>
          <w:tcPr>
            <w:tcW w:w="862" w:type="dxa"/>
          </w:tcPr>
          <w:p>
            <w:pPr>
              <w:pStyle w:val="TableParagraph"/>
              <w:spacing w:before="15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586.2</w:t>
            </w:r>
          </w:p>
        </w:tc>
        <w:tc>
          <w:tcPr>
            <w:tcW w:w="845" w:type="dxa"/>
          </w:tcPr>
          <w:p>
            <w:pPr>
              <w:pStyle w:val="TableParagraph"/>
              <w:spacing w:before="15"/>
              <w:ind w:left="143"/>
              <w:rPr>
                <w:b/>
                <w:sz w:val="22"/>
              </w:rPr>
            </w:pPr>
            <w:r>
              <w:rPr>
                <w:b/>
                <w:sz w:val="22"/>
              </w:rPr>
              <w:t>232.8</w:t>
            </w:r>
          </w:p>
        </w:tc>
        <w:tc>
          <w:tcPr>
            <w:tcW w:w="959" w:type="dxa"/>
          </w:tcPr>
          <w:p>
            <w:pPr>
              <w:pStyle w:val="TableParagraph"/>
              <w:spacing w:before="15"/>
              <w:ind w:left="198"/>
              <w:rPr>
                <w:b/>
                <w:sz w:val="22"/>
              </w:rPr>
            </w:pPr>
            <w:r>
              <w:rPr>
                <w:b/>
                <w:sz w:val="22"/>
              </w:rPr>
              <w:t>39.7</w:t>
            </w:r>
          </w:p>
        </w:tc>
        <w:tc>
          <w:tcPr>
            <w:tcW w:w="644" w:type="dxa"/>
          </w:tcPr>
          <w:p>
            <w:pPr>
              <w:pStyle w:val="TableParagraph"/>
              <w:spacing w:before="15"/>
              <w:ind w:left="233"/>
              <w:rPr>
                <w:b/>
                <w:sz w:val="22"/>
              </w:rPr>
            </w:pPr>
            <w:r>
              <w:rPr>
                <w:b/>
                <w:sz w:val="22"/>
              </w:rPr>
              <w:t>1.7</w:t>
            </w:r>
          </w:p>
        </w:tc>
        <w:tc>
          <w:tcPr>
            <w:tcW w:w="640" w:type="dxa"/>
          </w:tcPr>
          <w:p>
            <w:pPr>
              <w:pStyle w:val="TableParagraph"/>
              <w:spacing w:before="15"/>
              <w:ind w:left="129"/>
              <w:rPr>
                <w:b/>
                <w:sz w:val="22"/>
              </w:rPr>
            </w:pPr>
            <w:r>
              <w:rPr>
                <w:b/>
                <w:sz w:val="22"/>
              </w:rPr>
              <w:t>4.7</w:t>
            </w:r>
          </w:p>
        </w:tc>
        <w:tc>
          <w:tcPr>
            <w:tcW w:w="675" w:type="dxa"/>
          </w:tcPr>
          <w:p>
            <w:pPr>
              <w:pStyle w:val="TableParagraph"/>
              <w:spacing w:before="15"/>
              <w:ind w:left="120"/>
              <w:rPr>
                <w:b/>
                <w:sz w:val="22"/>
              </w:rPr>
            </w:pPr>
            <w:r>
              <w:rPr>
                <w:b/>
                <w:sz w:val="22"/>
              </w:rPr>
              <w:t>38.8</w:t>
            </w:r>
          </w:p>
        </w:tc>
        <w:tc>
          <w:tcPr>
            <w:tcW w:w="709" w:type="dxa"/>
          </w:tcPr>
          <w:p>
            <w:pPr>
              <w:pStyle w:val="TableParagraph"/>
              <w:spacing w:before="15"/>
              <w:ind w:left="165"/>
              <w:rPr>
                <w:b/>
                <w:sz w:val="22"/>
              </w:rPr>
            </w:pPr>
            <w:r>
              <w:rPr>
                <w:b/>
                <w:sz w:val="22"/>
              </w:rPr>
              <w:t>1.7</w:t>
            </w:r>
          </w:p>
        </w:tc>
        <w:tc>
          <w:tcPr>
            <w:tcW w:w="819" w:type="dxa"/>
          </w:tcPr>
          <w:p>
            <w:pPr>
              <w:pStyle w:val="TableParagraph"/>
              <w:spacing w:before="15"/>
              <w:ind w:left="265"/>
              <w:rPr>
                <w:b/>
                <w:sz w:val="22"/>
              </w:rPr>
            </w:pPr>
            <w:r>
              <w:rPr>
                <w:b/>
                <w:sz w:val="22"/>
              </w:rPr>
              <w:t>3.0</w:t>
            </w:r>
          </w:p>
        </w:tc>
        <w:tc>
          <w:tcPr>
            <w:tcW w:w="831" w:type="dxa"/>
          </w:tcPr>
          <w:p>
            <w:pPr>
              <w:pStyle w:val="TableParagraph"/>
              <w:spacing w:before="15"/>
              <w:ind w:left="166"/>
              <w:rPr>
                <w:b/>
                <w:sz w:val="22"/>
              </w:rPr>
            </w:pPr>
            <w:r>
              <w:rPr>
                <w:b/>
                <w:sz w:val="22"/>
              </w:rPr>
              <w:t>34.1</w:t>
            </w:r>
          </w:p>
        </w:tc>
        <w:tc>
          <w:tcPr>
            <w:tcW w:w="1929" w:type="dxa"/>
          </w:tcPr>
          <w:p>
            <w:pPr>
              <w:pStyle w:val="TableParagraph"/>
              <w:spacing w:before="15"/>
              <w:ind w:left="147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Q</w:t>
            </w:r>
          </w:p>
        </w:tc>
      </w:tr>
      <w:tr>
        <w:trPr>
          <w:trHeight w:val="290" w:hRule="atLeast"/>
        </w:trPr>
        <w:tc>
          <w:tcPr>
            <w:tcW w:w="1096" w:type="dxa"/>
          </w:tcPr>
          <w:p>
            <w:pPr>
              <w:pStyle w:val="TableParagraph"/>
              <w:spacing w:before="14"/>
              <w:ind w:right="355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E2</w:t>
            </w:r>
          </w:p>
        </w:tc>
        <w:tc>
          <w:tcPr>
            <w:tcW w:w="1481" w:type="dxa"/>
          </w:tcPr>
          <w:p>
            <w:pPr>
              <w:pStyle w:val="TableParagraph"/>
              <w:spacing w:before="14"/>
              <w:ind w:left="212"/>
              <w:rPr>
                <w:b/>
                <w:sz w:val="22"/>
              </w:rPr>
            </w:pPr>
            <w:r>
              <w:rPr>
                <w:b/>
                <w:sz w:val="22"/>
              </w:rPr>
              <w:t>9.0490617</w:t>
            </w:r>
          </w:p>
        </w:tc>
        <w:tc>
          <w:tcPr>
            <w:tcW w:w="1608" w:type="dxa"/>
          </w:tcPr>
          <w:p>
            <w:pPr>
              <w:pStyle w:val="TableParagraph"/>
              <w:spacing w:before="14"/>
              <w:ind w:left="168"/>
              <w:rPr>
                <w:b/>
                <w:sz w:val="22"/>
              </w:rPr>
            </w:pPr>
            <w:r>
              <w:rPr>
                <w:b/>
                <w:sz w:val="22"/>
              </w:rPr>
              <w:t>6.13487</w:t>
            </w:r>
          </w:p>
        </w:tc>
        <w:tc>
          <w:tcPr>
            <w:tcW w:w="1065" w:type="dxa"/>
          </w:tcPr>
          <w:p>
            <w:pPr>
              <w:pStyle w:val="TableParagraph"/>
              <w:spacing w:before="14"/>
              <w:ind w:right="262"/>
              <w:jc w:val="righ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3</w:t>
            </w:r>
          </w:p>
        </w:tc>
        <w:tc>
          <w:tcPr>
            <w:tcW w:w="862" w:type="dxa"/>
          </w:tcPr>
          <w:p>
            <w:pPr>
              <w:pStyle w:val="TableParagraph"/>
              <w:spacing w:before="14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1415.5</w:t>
            </w:r>
          </w:p>
        </w:tc>
        <w:tc>
          <w:tcPr>
            <w:tcW w:w="845" w:type="dxa"/>
          </w:tcPr>
          <w:p>
            <w:pPr>
              <w:pStyle w:val="TableParagraph"/>
              <w:spacing w:before="14"/>
              <w:ind w:left="143"/>
              <w:rPr>
                <w:b/>
                <w:sz w:val="22"/>
              </w:rPr>
            </w:pPr>
            <w:r>
              <w:rPr>
                <w:b/>
                <w:sz w:val="22"/>
              </w:rPr>
              <w:t>86.9</w:t>
            </w:r>
          </w:p>
        </w:tc>
        <w:tc>
          <w:tcPr>
            <w:tcW w:w="959" w:type="dxa"/>
          </w:tcPr>
          <w:p>
            <w:pPr>
              <w:pStyle w:val="TableParagraph"/>
              <w:spacing w:before="14"/>
              <w:ind w:left="198"/>
              <w:rPr>
                <w:b/>
                <w:sz w:val="22"/>
              </w:rPr>
            </w:pPr>
            <w:r>
              <w:rPr>
                <w:b/>
                <w:sz w:val="22"/>
              </w:rPr>
              <w:t>19.4</w:t>
            </w:r>
          </w:p>
        </w:tc>
        <w:tc>
          <w:tcPr>
            <w:tcW w:w="644" w:type="dxa"/>
          </w:tcPr>
          <w:p>
            <w:pPr>
              <w:pStyle w:val="TableParagraph"/>
              <w:spacing w:before="14"/>
              <w:ind w:left="233"/>
              <w:rPr>
                <w:b/>
                <w:sz w:val="22"/>
              </w:rPr>
            </w:pPr>
            <w:r>
              <w:rPr>
                <w:b/>
                <w:sz w:val="22"/>
              </w:rPr>
              <w:t>0.7</w:t>
            </w:r>
          </w:p>
        </w:tc>
        <w:tc>
          <w:tcPr>
            <w:tcW w:w="640" w:type="dxa"/>
          </w:tcPr>
          <w:p>
            <w:pPr>
              <w:pStyle w:val="TableParagraph"/>
              <w:spacing w:before="14"/>
              <w:ind w:left="129"/>
              <w:rPr>
                <w:b/>
                <w:sz w:val="22"/>
              </w:rPr>
            </w:pPr>
            <w:r>
              <w:rPr>
                <w:b/>
                <w:sz w:val="22"/>
              </w:rPr>
              <w:t>3.3</w:t>
            </w:r>
          </w:p>
        </w:tc>
        <w:tc>
          <w:tcPr>
            <w:tcW w:w="675" w:type="dxa"/>
          </w:tcPr>
          <w:p>
            <w:pPr>
              <w:pStyle w:val="TableParagraph"/>
              <w:spacing w:before="14"/>
              <w:ind w:left="120"/>
              <w:rPr>
                <w:b/>
                <w:sz w:val="22"/>
              </w:rPr>
            </w:pPr>
            <w:r>
              <w:rPr>
                <w:b/>
                <w:sz w:val="22"/>
              </w:rPr>
              <w:t>11.2</w:t>
            </w:r>
          </w:p>
        </w:tc>
        <w:tc>
          <w:tcPr>
            <w:tcW w:w="709" w:type="dxa"/>
          </w:tcPr>
          <w:p>
            <w:pPr>
              <w:pStyle w:val="TableParagraph"/>
              <w:spacing w:before="14"/>
              <w:ind w:left="165"/>
              <w:rPr>
                <w:b/>
                <w:sz w:val="22"/>
              </w:rPr>
            </w:pPr>
            <w:r>
              <w:rPr>
                <w:b/>
                <w:sz w:val="22"/>
              </w:rPr>
              <w:t>0.7</w:t>
            </w:r>
          </w:p>
        </w:tc>
        <w:tc>
          <w:tcPr>
            <w:tcW w:w="819" w:type="dxa"/>
          </w:tcPr>
          <w:p>
            <w:pPr>
              <w:pStyle w:val="TableParagraph"/>
              <w:spacing w:before="14"/>
              <w:ind w:left="265"/>
              <w:rPr>
                <w:b/>
                <w:sz w:val="22"/>
              </w:rPr>
            </w:pPr>
            <w:r>
              <w:rPr>
                <w:b/>
                <w:sz w:val="22"/>
              </w:rPr>
              <w:t>2.7</w:t>
            </w:r>
          </w:p>
        </w:tc>
        <w:tc>
          <w:tcPr>
            <w:tcW w:w="831" w:type="dxa"/>
          </w:tcPr>
          <w:p>
            <w:pPr>
              <w:pStyle w:val="TableParagraph"/>
              <w:spacing w:before="14"/>
              <w:ind w:left="166"/>
              <w:rPr>
                <w:b/>
                <w:sz w:val="22"/>
              </w:rPr>
            </w:pPr>
            <w:r>
              <w:rPr>
                <w:b/>
                <w:sz w:val="22"/>
              </w:rPr>
              <w:t>7.8</w:t>
            </w:r>
          </w:p>
        </w:tc>
        <w:tc>
          <w:tcPr>
            <w:tcW w:w="1929" w:type="dxa"/>
          </w:tcPr>
          <w:p>
            <w:pPr>
              <w:pStyle w:val="TableParagraph"/>
              <w:spacing w:before="14"/>
              <w:ind w:left="147"/>
              <w:rPr>
                <w:b/>
                <w:sz w:val="22"/>
              </w:rPr>
            </w:pPr>
            <w:r>
              <w:rPr>
                <w:b/>
                <w:sz w:val="22"/>
              </w:rPr>
              <w:t>QHK</w:t>
            </w:r>
          </w:p>
        </w:tc>
      </w:tr>
      <w:tr>
        <w:trPr>
          <w:trHeight w:val="290" w:hRule="atLeast"/>
        </w:trPr>
        <w:tc>
          <w:tcPr>
            <w:tcW w:w="1096" w:type="dxa"/>
          </w:tcPr>
          <w:p>
            <w:pPr>
              <w:pStyle w:val="TableParagraph"/>
              <w:spacing w:before="14"/>
              <w:ind w:right="355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E3</w:t>
            </w:r>
          </w:p>
        </w:tc>
        <w:tc>
          <w:tcPr>
            <w:tcW w:w="1481" w:type="dxa"/>
          </w:tcPr>
          <w:p>
            <w:pPr>
              <w:pStyle w:val="TableParagraph"/>
              <w:spacing w:before="14"/>
              <w:ind w:left="212"/>
              <w:rPr>
                <w:b/>
                <w:sz w:val="22"/>
              </w:rPr>
            </w:pPr>
            <w:r>
              <w:rPr>
                <w:b/>
                <w:sz w:val="22"/>
              </w:rPr>
              <w:t>9.0490617</w:t>
            </w:r>
          </w:p>
        </w:tc>
        <w:tc>
          <w:tcPr>
            <w:tcW w:w="1608" w:type="dxa"/>
          </w:tcPr>
          <w:p>
            <w:pPr>
              <w:pStyle w:val="TableParagraph"/>
              <w:spacing w:before="14"/>
              <w:ind w:left="168"/>
              <w:rPr>
                <w:b/>
                <w:sz w:val="22"/>
              </w:rPr>
            </w:pPr>
            <w:r>
              <w:rPr>
                <w:b/>
                <w:sz w:val="22"/>
              </w:rPr>
              <w:t>6.1358533</w:t>
            </w:r>
          </w:p>
        </w:tc>
        <w:tc>
          <w:tcPr>
            <w:tcW w:w="1065" w:type="dxa"/>
          </w:tcPr>
          <w:p>
            <w:pPr>
              <w:pStyle w:val="TableParagraph"/>
              <w:spacing w:before="14"/>
              <w:ind w:right="262"/>
              <w:jc w:val="righ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3</w:t>
            </w:r>
          </w:p>
        </w:tc>
        <w:tc>
          <w:tcPr>
            <w:tcW w:w="862" w:type="dxa"/>
          </w:tcPr>
          <w:p>
            <w:pPr>
              <w:pStyle w:val="TableParagraph"/>
              <w:spacing w:before="14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964.8</w:t>
            </w:r>
          </w:p>
        </w:tc>
        <w:tc>
          <w:tcPr>
            <w:tcW w:w="845" w:type="dxa"/>
          </w:tcPr>
          <w:p>
            <w:pPr>
              <w:pStyle w:val="TableParagraph"/>
              <w:spacing w:before="14"/>
              <w:ind w:left="143"/>
              <w:rPr>
                <w:b/>
                <w:sz w:val="22"/>
              </w:rPr>
            </w:pPr>
            <w:r>
              <w:rPr>
                <w:b/>
                <w:sz w:val="22"/>
              </w:rPr>
              <w:t>41.3</w:t>
            </w:r>
          </w:p>
        </w:tc>
        <w:tc>
          <w:tcPr>
            <w:tcW w:w="959" w:type="dxa"/>
          </w:tcPr>
          <w:p>
            <w:pPr>
              <w:pStyle w:val="TableParagraph"/>
              <w:spacing w:before="14"/>
              <w:ind w:left="198"/>
              <w:rPr>
                <w:b/>
                <w:sz w:val="22"/>
              </w:rPr>
            </w:pPr>
            <w:r>
              <w:rPr>
                <w:b/>
                <w:sz w:val="22"/>
              </w:rPr>
              <w:t>173.2</w:t>
            </w:r>
          </w:p>
        </w:tc>
        <w:tc>
          <w:tcPr>
            <w:tcW w:w="644" w:type="dxa"/>
          </w:tcPr>
          <w:p>
            <w:pPr>
              <w:pStyle w:val="TableParagraph"/>
              <w:spacing w:before="14"/>
              <w:ind w:left="233"/>
              <w:rPr>
                <w:b/>
                <w:sz w:val="22"/>
              </w:rPr>
            </w:pPr>
            <w:r>
              <w:rPr>
                <w:b/>
                <w:sz w:val="22"/>
              </w:rPr>
              <w:t>0.7</w:t>
            </w:r>
          </w:p>
        </w:tc>
        <w:tc>
          <w:tcPr>
            <w:tcW w:w="640" w:type="dxa"/>
          </w:tcPr>
          <w:p>
            <w:pPr>
              <w:pStyle w:val="TableParagraph"/>
              <w:spacing w:before="14"/>
              <w:ind w:left="129"/>
              <w:rPr>
                <w:b/>
                <w:sz w:val="22"/>
              </w:rPr>
            </w:pPr>
            <w:r>
              <w:rPr>
                <w:b/>
                <w:sz w:val="22"/>
              </w:rPr>
              <w:t>3.5</w:t>
            </w:r>
          </w:p>
        </w:tc>
        <w:tc>
          <w:tcPr>
            <w:tcW w:w="675" w:type="dxa"/>
          </w:tcPr>
          <w:p>
            <w:pPr>
              <w:pStyle w:val="TableParagraph"/>
              <w:spacing w:before="14"/>
              <w:ind w:left="120"/>
              <w:rPr>
                <w:b/>
                <w:sz w:val="22"/>
              </w:rPr>
            </w:pPr>
            <w:r>
              <w:rPr>
                <w:b/>
                <w:sz w:val="22"/>
              </w:rPr>
              <w:t>10.8</w:t>
            </w:r>
          </w:p>
        </w:tc>
        <w:tc>
          <w:tcPr>
            <w:tcW w:w="709" w:type="dxa"/>
          </w:tcPr>
          <w:p>
            <w:pPr>
              <w:pStyle w:val="TableParagraph"/>
              <w:spacing w:before="14"/>
              <w:ind w:left="165"/>
              <w:rPr>
                <w:b/>
                <w:sz w:val="22"/>
              </w:rPr>
            </w:pPr>
            <w:r>
              <w:rPr>
                <w:b/>
                <w:sz w:val="22"/>
              </w:rPr>
              <w:t>0.7</w:t>
            </w:r>
          </w:p>
        </w:tc>
        <w:tc>
          <w:tcPr>
            <w:tcW w:w="819" w:type="dxa"/>
          </w:tcPr>
          <w:p>
            <w:pPr>
              <w:pStyle w:val="TableParagraph"/>
              <w:spacing w:before="14"/>
              <w:ind w:left="265"/>
              <w:rPr>
                <w:b/>
                <w:sz w:val="22"/>
              </w:rPr>
            </w:pPr>
            <w:r>
              <w:rPr>
                <w:b/>
                <w:sz w:val="22"/>
              </w:rPr>
              <w:t>2.8</w:t>
            </w:r>
          </w:p>
        </w:tc>
        <w:tc>
          <w:tcPr>
            <w:tcW w:w="831" w:type="dxa"/>
          </w:tcPr>
          <w:p>
            <w:pPr>
              <w:pStyle w:val="TableParagraph"/>
              <w:spacing w:before="14"/>
              <w:ind w:left="166"/>
              <w:rPr>
                <w:b/>
                <w:sz w:val="22"/>
              </w:rPr>
            </w:pPr>
            <w:r>
              <w:rPr>
                <w:b/>
                <w:sz w:val="22"/>
              </w:rPr>
              <w:t>7.2</w:t>
            </w:r>
          </w:p>
        </w:tc>
        <w:tc>
          <w:tcPr>
            <w:tcW w:w="1929" w:type="dxa"/>
          </w:tcPr>
          <w:p>
            <w:pPr>
              <w:pStyle w:val="TableParagraph"/>
              <w:spacing w:before="14"/>
              <w:ind w:left="147"/>
              <w:rPr>
                <w:b/>
                <w:sz w:val="22"/>
              </w:rPr>
            </w:pPr>
            <w:r>
              <w:rPr>
                <w:b/>
                <w:sz w:val="22"/>
              </w:rPr>
              <w:t>QKH</w:t>
            </w:r>
          </w:p>
        </w:tc>
      </w:tr>
      <w:tr>
        <w:trPr>
          <w:trHeight w:val="290" w:hRule="atLeast"/>
        </w:trPr>
        <w:tc>
          <w:tcPr>
            <w:tcW w:w="1096" w:type="dxa"/>
          </w:tcPr>
          <w:p>
            <w:pPr>
              <w:pStyle w:val="TableParagraph"/>
              <w:spacing w:before="14"/>
              <w:ind w:right="355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E4</w:t>
            </w:r>
          </w:p>
        </w:tc>
        <w:tc>
          <w:tcPr>
            <w:tcW w:w="1481" w:type="dxa"/>
          </w:tcPr>
          <w:p>
            <w:pPr>
              <w:pStyle w:val="TableParagraph"/>
              <w:spacing w:before="14"/>
              <w:ind w:left="212"/>
              <w:rPr>
                <w:b/>
                <w:sz w:val="22"/>
              </w:rPr>
            </w:pPr>
            <w:r>
              <w:rPr>
                <w:b/>
                <w:sz w:val="22"/>
              </w:rPr>
              <w:t>9.04884</w:t>
            </w:r>
          </w:p>
        </w:tc>
        <w:tc>
          <w:tcPr>
            <w:tcW w:w="1608" w:type="dxa"/>
          </w:tcPr>
          <w:p>
            <w:pPr>
              <w:pStyle w:val="TableParagraph"/>
              <w:spacing w:before="14"/>
              <w:ind w:left="168"/>
              <w:rPr>
                <w:b/>
                <w:sz w:val="22"/>
              </w:rPr>
            </w:pPr>
            <w:r>
              <w:rPr>
                <w:b/>
                <w:sz w:val="22"/>
              </w:rPr>
              <w:t>6.1367722</w:t>
            </w:r>
          </w:p>
        </w:tc>
        <w:tc>
          <w:tcPr>
            <w:tcW w:w="1065" w:type="dxa"/>
          </w:tcPr>
          <w:p>
            <w:pPr>
              <w:pStyle w:val="TableParagraph"/>
              <w:spacing w:before="14"/>
              <w:ind w:right="262"/>
              <w:jc w:val="righ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3</w:t>
            </w:r>
          </w:p>
        </w:tc>
        <w:tc>
          <w:tcPr>
            <w:tcW w:w="862" w:type="dxa"/>
          </w:tcPr>
          <w:p>
            <w:pPr>
              <w:pStyle w:val="TableParagraph"/>
              <w:spacing w:before="14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538.7</w:t>
            </w:r>
          </w:p>
        </w:tc>
        <w:tc>
          <w:tcPr>
            <w:tcW w:w="845" w:type="dxa"/>
          </w:tcPr>
          <w:p>
            <w:pPr>
              <w:pStyle w:val="TableParagraph"/>
              <w:spacing w:before="14"/>
              <w:ind w:left="143"/>
              <w:rPr>
                <w:b/>
                <w:sz w:val="22"/>
              </w:rPr>
            </w:pPr>
            <w:r>
              <w:rPr>
                <w:b/>
                <w:sz w:val="22"/>
              </w:rPr>
              <w:t>158.2</w:t>
            </w:r>
          </w:p>
        </w:tc>
        <w:tc>
          <w:tcPr>
            <w:tcW w:w="959" w:type="dxa"/>
          </w:tcPr>
          <w:p>
            <w:pPr>
              <w:pStyle w:val="TableParagraph"/>
              <w:spacing w:before="14"/>
              <w:ind w:left="198"/>
              <w:rPr>
                <w:b/>
                <w:sz w:val="22"/>
              </w:rPr>
            </w:pPr>
            <w:r>
              <w:rPr>
                <w:b/>
                <w:sz w:val="22"/>
              </w:rPr>
              <w:t>23.0</w:t>
            </w:r>
          </w:p>
        </w:tc>
        <w:tc>
          <w:tcPr>
            <w:tcW w:w="644" w:type="dxa"/>
          </w:tcPr>
          <w:p>
            <w:pPr>
              <w:pStyle w:val="TableParagraph"/>
              <w:spacing w:before="14"/>
              <w:ind w:left="233"/>
              <w:rPr>
                <w:b/>
                <w:sz w:val="22"/>
              </w:rPr>
            </w:pPr>
            <w:r>
              <w:rPr>
                <w:b/>
                <w:sz w:val="22"/>
              </w:rPr>
              <w:t>0.7</w:t>
            </w:r>
          </w:p>
        </w:tc>
        <w:tc>
          <w:tcPr>
            <w:tcW w:w="640" w:type="dxa"/>
          </w:tcPr>
          <w:p>
            <w:pPr>
              <w:pStyle w:val="TableParagraph"/>
              <w:spacing w:before="14"/>
              <w:ind w:left="129"/>
              <w:rPr>
                <w:b/>
                <w:sz w:val="22"/>
              </w:rPr>
            </w:pPr>
            <w:r>
              <w:rPr>
                <w:b/>
                <w:sz w:val="22"/>
              </w:rPr>
              <w:t>7.1</w:t>
            </w:r>
          </w:p>
        </w:tc>
        <w:tc>
          <w:tcPr>
            <w:tcW w:w="675" w:type="dxa"/>
          </w:tcPr>
          <w:p>
            <w:pPr>
              <w:pStyle w:val="TableParagraph"/>
              <w:spacing w:before="14"/>
              <w:ind w:left="120"/>
              <w:rPr>
                <w:b/>
                <w:sz w:val="22"/>
              </w:rPr>
            </w:pPr>
            <w:r>
              <w:rPr>
                <w:b/>
                <w:sz w:val="22"/>
              </w:rPr>
              <w:t>32.2</w:t>
            </w:r>
          </w:p>
        </w:tc>
        <w:tc>
          <w:tcPr>
            <w:tcW w:w="709" w:type="dxa"/>
          </w:tcPr>
          <w:p>
            <w:pPr>
              <w:pStyle w:val="TableParagraph"/>
              <w:spacing w:before="14"/>
              <w:ind w:left="165"/>
              <w:rPr>
                <w:b/>
                <w:sz w:val="22"/>
              </w:rPr>
            </w:pPr>
            <w:r>
              <w:rPr>
                <w:b/>
                <w:sz w:val="22"/>
              </w:rPr>
              <w:t>0.7</w:t>
            </w:r>
          </w:p>
        </w:tc>
        <w:tc>
          <w:tcPr>
            <w:tcW w:w="819" w:type="dxa"/>
          </w:tcPr>
          <w:p>
            <w:pPr>
              <w:pStyle w:val="TableParagraph"/>
              <w:spacing w:before="14"/>
              <w:ind w:left="265"/>
              <w:rPr>
                <w:b/>
                <w:sz w:val="22"/>
              </w:rPr>
            </w:pPr>
            <w:r>
              <w:rPr>
                <w:b/>
                <w:sz w:val="22"/>
              </w:rPr>
              <w:t>6.4</w:t>
            </w:r>
          </w:p>
        </w:tc>
        <w:tc>
          <w:tcPr>
            <w:tcW w:w="831" w:type="dxa"/>
          </w:tcPr>
          <w:p>
            <w:pPr>
              <w:pStyle w:val="TableParagraph"/>
              <w:spacing w:before="14"/>
              <w:ind w:left="166"/>
              <w:rPr>
                <w:b/>
                <w:sz w:val="22"/>
              </w:rPr>
            </w:pPr>
            <w:r>
              <w:rPr>
                <w:b/>
                <w:sz w:val="22"/>
              </w:rPr>
              <w:t>25.1</w:t>
            </w:r>
          </w:p>
        </w:tc>
        <w:tc>
          <w:tcPr>
            <w:tcW w:w="1929" w:type="dxa"/>
          </w:tcPr>
          <w:p>
            <w:pPr>
              <w:pStyle w:val="TableParagraph"/>
              <w:spacing w:before="14"/>
              <w:ind w:left="147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Q</w:t>
            </w:r>
          </w:p>
        </w:tc>
      </w:tr>
      <w:tr>
        <w:trPr>
          <w:trHeight w:val="291" w:hRule="atLeast"/>
        </w:trPr>
        <w:tc>
          <w:tcPr>
            <w:tcW w:w="1096" w:type="dxa"/>
          </w:tcPr>
          <w:p>
            <w:pPr>
              <w:pStyle w:val="TableParagraph"/>
              <w:spacing w:before="14"/>
              <w:ind w:right="362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F1</w:t>
            </w:r>
          </w:p>
        </w:tc>
        <w:tc>
          <w:tcPr>
            <w:tcW w:w="1481" w:type="dxa"/>
          </w:tcPr>
          <w:p>
            <w:pPr>
              <w:pStyle w:val="TableParagraph"/>
              <w:spacing w:before="14"/>
              <w:ind w:left="212"/>
              <w:rPr>
                <w:b/>
                <w:sz w:val="22"/>
              </w:rPr>
            </w:pPr>
            <w:r>
              <w:rPr>
                <w:b/>
                <w:sz w:val="22"/>
              </w:rPr>
              <w:t>9.0483</w:t>
            </w:r>
          </w:p>
        </w:tc>
        <w:tc>
          <w:tcPr>
            <w:tcW w:w="1608" w:type="dxa"/>
          </w:tcPr>
          <w:p>
            <w:pPr>
              <w:pStyle w:val="TableParagraph"/>
              <w:spacing w:before="14"/>
              <w:ind w:left="168"/>
              <w:rPr>
                <w:b/>
                <w:sz w:val="22"/>
              </w:rPr>
            </w:pPr>
            <w:r>
              <w:rPr>
                <w:b/>
                <w:sz w:val="22"/>
              </w:rPr>
              <w:t>6.1367667</w:t>
            </w:r>
          </w:p>
        </w:tc>
        <w:tc>
          <w:tcPr>
            <w:tcW w:w="1065" w:type="dxa"/>
          </w:tcPr>
          <w:p>
            <w:pPr>
              <w:pStyle w:val="TableParagraph"/>
              <w:spacing w:before="14"/>
              <w:ind w:right="247"/>
              <w:jc w:val="righ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3</w:t>
            </w:r>
          </w:p>
        </w:tc>
        <w:tc>
          <w:tcPr>
            <w:tcW w:w="862" w:type="dxa"/>
          </w:tcPr>
          <w:p>
            <w:pPr>
              <w:pStyle w:val="TableParagraph"/>
              <w:spacing w:before="14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906.3</w:t>
            </w:r>
          </w:p>
        </w:tc>
        <w:tc>
          <w:tcPr>
            <w:tcW w:w="845" w:type="dxa"/>
          </w:tcPr>
          <w:p>
            <w:pPr>
              <w:pStyle w:val="TableParagraph"/>
              <w:spacing w:before="14"/>
              <w:ind w:left="143"/>
              <w:rPr>
                <w:b/>
                <w:sz w:val="22"/>
              </w:rPr>
            </w:pPr>
            <w:r>
              <w:rPr>
                <w:b/>
                <w:sz w:val="22"/>
              </w:rPr>
              <w:t>121.7</w:t>
            </w:r>
          </w:p>
        </w:tc>
        <w:tc>
          <w:tcPr>
            <w:tcW w:w="959" w:type="dxa"/>
          </w:tcPr>
          <w:p>
            <w:pPr>
              <w:pStyle w:val="TableParagraph"/>
              <w:spacing w:before="14"/>
              <w:ind w:left="198"/>
              <w:rPr>
                <w:b/>
                <w:sz w:val="22"/>
              </w:rPr>
            </w:pPr>
            <w:r>
              <w:rPr>
                <w:b/>
                <w:sz w:val="22"/>
              </w:rPr>
              <w:t>16.0</w:t>
            </w:r>
          </w:p>
        </w:tc>
        <w:tc>
          <w:tcPr>
            <w:tcW w:w="644" w:type="dxa"/>
          </w:tcPr>
          <w:p>
            <w:pPr>
              <w:pStyle w:val="TableParagraph"/>
              <w:spacing w:before="14"/>
              <w:ind w:left="233"/>
              <w:rPr>
                <w:b/>
                <w:sz w:val="22"/>
              </w:rPr>
            </w:pPr>
            <w:r>
              <w:rPr>
                <w:b/>
                <w:sz w:val="22"/>
              </w:rPr>
              <w:t>0.6</w:t>
            </w:r>
          </w:p>
        </w:tc>
        <w:tc>
          <w:tcPr>
            <w:tcW w:w="640" w:type="dxa"/>
          </w:tcPr>
          <w:p>
            <w:pPr>
              <w:pStyle w:val="TableParagraph"/>
              <w:spacing w:before="14"/>
              <w:ind w:left="129"/>
              <w:rPr>
                <w:b/>
                <w:sz w:val="22"/>
              </w:rPr>
            </w:pPr>
            <w:r>
              <w:rPr>
                <w:b/>
                <w:sz w:val="22"/>
              </w:rPr>
              <w:t>4.9</w:t>
            </w:r>
          </w:p>
        </w:tc>
        <w:tc>
          <w:tcPr>
            <w:tcW w:w="675" w:type="dxa"/>
          </w:tcPr>
          <w:p>
            <w:pPr>
              <w:pStyle w:val="TableParagraph"/>
              <w:spacing w:before="14"/>
              <w:ind w:left="120"/>
              <w:rPr>
                <w:b/>
                <w:sz w:val="22"/>
              </w:rPr>
            </w:pPr>
            <w:r>
              <w:rPr>
                <w:b/>
                <w:sz w:val="22"/>
              </w:rPr>
              <w:t>13.7</w:t>
            </w:r>
          </w:p>
        </w:tc>
        <w:tc>
          <w:tcPr>
            <w:tcW w:w="709" w:type="dxa"/>
          </w:tcPr>
          <w:p>
            <w:pPr>
              <w:pStyle w:val="TableParagraph"/>
              <w:spacing w:before="14"/>
              <w:ind w:left="165"/>
              <w:rPr>
                <w:b/>
                <w:sz w:val="22"/>
              </w:rPr>
            </w:pPr>
            <w:r>
              <w:rPr>
                <w:b/>
                <w:sz w:val="22"/>
              </w:rPr>
              <w:t>0.6</w:t>
            </w:r>
          </w:p>
        </w:tc>
        <w:tc>
          <w:tcPr>
            <w:tcW w:w="819" w:type="dxa"/>
          </w:tcPr>
          <w:p>
            <w:pPr>
              <w:pStyle w:val="TableParagraph"/>
              <w:spacing w:before="14"/>
              <w:ind w:left="265"/>
              <w:rPr>
                <w:b/>
                <w:sz w:val="22"/>
              </w:rPr>
            </w:pPr>
            <w:r>
              <w:rPr>
                <w:b/>
                <w:sz w:val="22"/>
              </w:rPr>
              <w:t>4.3</w:t>
            </w:r>
          </w:p>
        </w:tc>
        <w:tc>
          <w:tcPr>
            <w:tcW w:w="831" w:type="dxa"/>
          </w:tcPr>
          <w:p>
            <w:pPr>
              <w:pStyle w:val="TableParagraph"/>
              <w:spacing w:before="14"/>
              <w:ind w:left="166"/>
              <w:rPr>
                <w:b/>
                <w:sz w:val="22"/>
              </w:rPr>
            </w:pPr>
            <w:r>
              <w:rPr>
                <w:b/>
                <w:sz w:val="22"/>
              </w:rPr>
              <w:t>8.9</w:t>
            </w:r>
          </w:p>
        </w:tc>
        <w:tc>
          <w:tcPr>
            <w:tcW w:w="1929" w:type="dxa"/>
          </w:tcPr>
          <w:p>
            <w:pPr>
              <w:pStyle w:val="TableParagraph"/>
              <w:spacing w:before="14"/>
              <w:ind w:left="147"/>
              <w:rPr>
                <w:b/>
                <w:sz w:val="22"/>
              </w:rPr>
            </w:pPr>
            <w:r>
              <w:rPr>
                <w:b/>
                <w:sz w:val="22"/>
              </w:rPr>
              <w:t>QHK</w:t>
            </w:r>
          </w:p>
        </w:tc>
      </w:tr>
      <w:tr>
        <w:trPr>
          <w:trHeight w:val="291" w:hRule="atLeast"/>
        </w:trPr>
        <w:tc>
          <w:tcPr>
            <w:tcW w:w="1096" w:type="dxa"/>
          </w:tcPr>
          <w:p>
            <w:pPr>
              <w:pStyle w:val="TableParagraph"/>
              <w:spacing w:before="15"/>
              <w:ind w:right="362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F2</w:t>
            </w:r>
          </w:p>
        </w:tc>
        <w:tc>
          <w:tcPr>
            <w:tcW w:w="1481" w:type="dxa"/>
          </w:tcPr>
          <w:p>
            <w:pPr>
              <w:pStyle w:val="TableParagraph"/>
              <w:spacing w:before="15"/>
              <w:ind w:left="212"/>
              <w:rPr>
                <w:b/>
                <w:sz w:val="22"/>
              </w:rPr>
            </w:pPr>
            <w:r>
              <w:rPr>
                <w:b/>
                <w:sz w:val="22"/>
              </w:rPr>
              <w:t>9.0485533</w:t>
            </w:r>
          </w:p>
        </w:tc>
        <w:tc>
          <w:tcPr>
            <w:tcW w:w="1608" w:type="dxa"/>
          </w:tcPr>
          <w:p>
            <w:pPr>
              <w:pStyle w:val="TableParagraph"/>
              <w:spacing w:before="15"/>
              <w:ind w:left="168"/>
              <w:rPr>
                <w:b/>
                <w:sz w:val="22"/>
              </w:rPr>
            </w:pPr>
            <w:r>
              <w:rPr>
                <w:b/>
                <w:sz w:val="22"/>
              </w:rPr>
              <w:t>6.1357617</w:t>
            </w:r>
          </w:p>
        </w:tc>
        <w:tc>
          <w:tcPr>
            <w:tcW w:w="1065" w:type="dxa"/>
          </w:tcPr>
          <w:p>
            <w:pPr>
              <w:pStyle w:val="TableParagraph"/>
              <w:spacing w:before="15"/>
              <w:ind w:right="262"/>
              <w:jc w:val="righ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3</w:t>
            </w:r>
          </w:p>
        </w:tc>
        <w:tc>
          <w:tcPr>
            <w:tcW w:w="862" w:type="dxa"/>
          </w:tcPr>
          <w:p>
            <w:pPr>
              <w:pStyle w:val="TableParagraph"/>
              <w:spacing w:before="15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895.1</w:t>
            </w:r>
          </w:p>
        </w:tc>
        <w:tc>
          <w:tcPr>
            <w:tcW w:w="845" w:type="dxa"/>
          </w:tcPr>
          <w:p>
            <w:pPr>
              <w:pStyle w:val="TableParagraph"/>
              <w:spacing w:before="15"/>
              <w:ind w:left="143"/>
              <w:rPr>
                <w:b/>
                <w:sz w:val="22"/>
              </w:rPr>
            </w:pPr>
            <w:r>
              <w:rPr>
                <w:b/>
                <w:sz w:val="22"/>
              </w:rPr>
              <w:t>151.4</w:t>
            </w:r>
          </w:p>
        </w:tc>
        <w:tc>
          <w:tcPr>
            <w:tcW w:w="959" w:type="dxa"/>
          </w:tcPr>
          <w:p>
            <w:pPr>
              <w:pStyle w:val="TableParagraph"/>
              <w:spacing w:before="15"/>
              <w:ind w:left="198"/>
              <w:rPr>
                <w:b/>
                <w:sz w:val="22"/>
              </w:rPr>
            </w:pPr>
            <w:r>
              <w:rPr>
                <w:b/>
                <w:sz w:val="22"/>
              </w:rPr>
              <w:t>7.9</w:t>
            </w:r>
          </w:p>
        </w:tc>
        <w:tc>
          <w:tcPr>
            <w:tcW w:w="644" w:type="dxa"/>
          </w:tcPr>
          <w:p>
            <w:pPr>
              <w:pStyle w:val="TableParagraph"/>
              <w:spacing w:before="15"/>
              <w:ind w:left="233"/>
              <w:rPr>
                <w:b/>
                <w:sz w:val="22"/>
              </w:rPr>
            </w:pPr>
            <w:r>
              <w:rPr>
                <w:b/>
                <w:sz w:val="22"/>
              </w:rPr>
              <w:t>0.7</w:t>
            </w:r>
          </w:p>
        </w:tc>
        <w:tc>
          <w:tcPr>
            <w:tcW w:w="640" w:type="dxa"/>
          </w:tcPr>
          <w:p>
            <w:pPr>
              <w:pStyle w:val="TableParagraph"/>
              <w:spacing w:before="15"/>
              <w:ind w:left="129"/>
              <w:rPr>
                <w:b/>
                <w:sz w:val="22"/>
              </w:rPr>
            </w:pPr>
            <w:r>
              <w:rPr>
                <w:b/>
                <w:sz w:val="22"/>
              </w:rPr>
              <w:t>8.1</w:t>
            </w:r>
          </w:p>
        </w:tc>
        <w:tc>
          <w:tcPr>
            <w:tcW w:w="675" w:type="dxa"/>
          </w:tcPr>
          <w:p>
            <w:pPr>
              <w:pStyle w:val="TableParagraph"/>
              <w:spacing w:before="15"/>
              <w:ind w:left="120"/>
              <w:rPr>
                <w:b/>
                <w:sz w:val="22"/>
              </w:rPr>
            </w:pPr>
            <w:r>
              <w:rPr>
                <w:b/>
                <w:sz w:val="22"/>
              </w:rPr>
              <w:t>32.7</w:t>
            </w:r>
          </w:p>
        </w:tc>
        <w:tc>
          <w:tcPr>
            <w:tcW w:w="709" w:type="dxa"/>
          </w:tcPr>
          <w:p>
            <w:pPr>
              <w:pStyle w:val="TableParagraph"/>
              <w:spacing w:before="15"/>
              <w:ind w:left="165"/>
              <w:rPr>
                <w:b/>
                <w:sz w:val="22"/>
              </w:rPr>
            </w:pPr>
            <w:r>
              <w:rPr>
                <w:b/>
                <w:sz w:val="22"/>
              </w:rPr>
              <w:t>0.7</w:t>
            </w:r>
          </w:p>
        </w:tc>
        <w:tc>
          <w:tcPr>
            <w:tcW w:w="819" w:type="dxa"/>
          </w:tcPr>
          <w:p>
            <w:pPr>
              <w:pStyle w:val="TableParagraph"/>
              <w:spacing w:before="15"/>
              <w:ind w:left="265"/>
              <w:rPr>
                <w:b/>
                <w:sz w:val="22"/>
              </w:rPr>
            </w:pPr>
            <w:r>
              <w:rPr>
                <w:b/>
                <w:sz w:val="22"/>
              </w:rPr>
              <w:t>7.4</w:t>
            </w:r>
          </w:p>
        </w:tc>
        <w:tc>
          <w:tcPr>
            <w:tcW w:w="831" w:type="dxa"/>
          </w:tcPr>
          <w:p>
            <w:pPr>
              <w:pStyle w:val="TableParagraph"/>
              <w:spacing w:before="15"/>
              <w:ind w:left="166"/>
              <w:rPr>
                <w:b/>
                <w:sz w:val="22"/>
              </w:rPr>
            </w:pPr>
            <w:r>
              <w:rPr>
                <w:b/>
                <w:sz w:val="22"/>
              </w:rPr>
              <w:t>24.6</w:t>
            </w:r>
          </w:p>
        </w:tc>
        <w:tc>
          <w:tcPr>
            <w:tcW w:w="1929" w:type="dxa"/>
          </w:tcPr>
          <w:p>
            <w:pPr>
              <w:pStyle w:val="TableParagraph"/>
              <w:spacing w:before="15"/>
              <w:ind w:left="147"/>
              <w:rPr>
                <w:b/>
                <w:sz w:val="22"/>
              </w:rPr>
            </w:pPr>
            <w:r>
              <w:rPr>
                <w:b/>
                <w:sz w:val="22"/>
              </w:rPr>
              <w:t>QH</w:t>
            </w:r>
          </w:p>
        </w:tc>
      </w:tr>
      <w:tr>
        <w:trPr>
          <w:trHeight w:val="290" w:hRule="atLeast"/>
        </w:trPr>
        <w:tc>
          <w:tcPr>
            <w:tcW w:w="1096" w:type="dxa"/>
          </w:tcPr>
          <w:p>
            <w:pPr>
              <w:pStyle w:val="TableParagraph"/>
              <w:spacing w:before="14"/>
              <w:ind w:right="362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F3</w:t>
            </w:r>
          </w:p>
        </w:tc>
        <w:tc>
          <w:tcPr>
            <w:tcW w:w="1481" w:type="dxa"/>
          </w:tcPr>
          <w:p>
            <w:pPr>
              <w:pStyle w:val="TableParagraph"/>
              <w:spacing w:before="14"/>
              <w:ind w:left="212"/>
              <w:rPr>
                <w:b/>
                <w:sz w:val="22"/>
              </w:rPr>
            </w:pPr>
            <w:r>
              <w:rPr>
                <w:b/>
                <w:sz w:val="22"/>
              </w:rPr>
              <w:t>9.0486533</w:t>
            </w:r>
          </w:p>
        </w:tc>
        <w:tc>
          <w:tcPr>
            <w:tcW w:w="1608" w:type="dxa"/>
          </w:tcPr>
          <w:p>
            <w:pPr>
              <w:pStyle w:val="TableParagraph"/>
              <w:spacing w:before="14"/>
              <w:ind w:left="168"/>
              <w:rPr>
                <w:b/>
                <w:sz w:val="22"/>
              </w:rPr>
            </w:pPr>
            <w:r>
              <w:rPr>
                <w:b/>
                <w:sz w:val="22"/>
              </w:rPr>
              <w:t>6.1347867</w:t>
            </w:r>
          </w:p>
        </w:tc>
        <w:tc>
          <w:tcPr>
            <w:tcW w:w="1065" w:type="dxa"/>
          </w:tcPr>
          <w:p>
            <w:pPr>
              <w:pStyle w:val="TableParagraph"/>
              <w:spacing w:before="14"/>
              <w:ind w:right="262"/>
              <w:jc w:val="righ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3</w:t>
            </w:r>
          </w:p>
        </w:tc>
        <w:tc>
          <w:tcPr>
            <w:tcW w:w="862" w:type="dxa"/>
          </w:tcPr>
          <w:p>
            <w:pPr>
              <w:pStyle w:val="TableParagraph"/>
              <w:spacing w:before="14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336.2</w:t>
            </w:r>
          </w:p>
        </w:tc>
        <w:tc>
          <w:tcPr>
            <w:tcW w:w="845" w:type="dxa"/>
          </w:tcPr>
          <w:p>
            <w:pPr>
              <w:pStyle w:val="TableParagraph"/>
              <w:spacing w:before="14"/>
              <w:ind w:left="143"/>
              <w:rPr>
                <w:b/>
                <w:sz w:val="22"/>
              </w:rPr>
            </w:pPr>
            <w:r>
              <w:rPr>
                <w:b/>
                <w:sz w:val="22"/>
              </w:rPr>
              <w:t>155.7</w:t>
            </w:r>
          </w:p>
        </w:tc>
        <w:tc>
          <w:tcPr>
            <w:tcW w:w="959" w:type="dxa"/>
          </w:tcPr>
          <w:p>
            <w:pPr>
              <w:pStyle w:val="TableParagraph"/>
              <w:spacing w:before="14"/>
              <w:ind w:left="198"/>
              <w:rPr>
                <w:b/>
                <w:sz w:val="22"/>
              </w:rPr>
            </w:pPr>
            <w:r>
              <w:rPr>
                <w:b/>
                <w:sz w:val="22"/>
              </w:rPr>
              <w:t>75.8</w:t>
            </w:r>
          </w:p>
        </w:tc>
        <w:tc>
          <w:tcPr>
            <w:tcW w:w="644" w:type="dxa"/>
          </w:tcPr>
          <w:p>
            <w:pPr>
              <w:pStyle w:val="TableParagraph"/>
              <w:spacing w:before="14"/>
              <w:ind w:left="233"/>
              <w:rPr>
                <w:b/>
                <w:sz w:val="22"/>
              </w:rPr>
            </w:pPr>
            <w:r>
              <w:rPr>
                <w:b/>
                <w:sz w:val="22"/>
              </w:rPr>
              <w:t>1.9</w:t>
            </w:r>
          </w:p>
        </w:tc>
        <w:tc>
          <w:tcPr>
            <w:tcW w:w="640" w:type="dxa"/>
          </w:tcPr>
          <w:p>
            <w:pPr>
              <w:pStyle w:val="TableParagraph"/>
              <w:spacing w:before="14"/>
              <w:ind w:left="129"/>
              <w:rPr>
                <w:b/>
                <w:sz w:val="22"/>
              </w:rPr>
            </w:pPr>
            <w:r>
              <w:rPr>
                <w:b/>
                <w:sz w:val="22"/>
              </w:rPr>
              <w:t>2.9</w:t>
            </w:r>
          </w:p>
        </w:tc>
        <w:tc>
          <w:tcPr>
            <w:tcW w:w="675" w:type="dxa"/>
          </w:tcPr>
          <w:p>
            <w:pPr>
              <w:pStyle w:val="TableParagraph"/>
              <w:spacing w:before="14"/>
              <w:ind w:left="120"/>
              <w:rPr>
                <w:b/>
                <w:sz w:val="22"/>
              </w:rPr>
            </w:pPr>
            <w:r>
              <w:rPr>
                <w:b/>
                <w:sz w:val="22"/>
              </w:rPr>
              <w:t>14.6</w:t>
            </w:r>
          </w:p>
        </w:tc>
        <w:tc>
          <w:tcPr>
            <w:tcW w:w="709" w:type="dxa"/>
          </w:tcPr>
          <w:p>
            <w:pPr>
              <w:pStyle w:val="TableParagraph"/>
              <w:spacing w:before="14"/>
              <w:ind w:left="165"/>
              <w:rPr>
                <w:b/>
                <w:sz w:val="22"/>
              </w:rPr>
            </w:pPr>
            <w:r>
              <w:rPr>
                <w:b/>
                <w:sz w:val="22"/>
              </w:rPr>
              <w:t>1.9</w:t>
            </w:r>
          </w:p>
        </w:tc>
        <w:tc>
          <w:tcPr>
            <w:tcW w:w="819" w:type="dxa"/>
          </w:tcPr>
          <w:p>
            <w:pPr>
              <w:pStyle w:val="TableParagraph"/>
              <w:spacing w:before="14"/>
              <w:ind w:left="265"/>
              <w:rPr>
                <w:b/>
                <w:sz w:val="22"/>
              </w:rPr>
            </w:pPr>
            <w:r>
              <w:rPr>
                <w:b/>
                <w:sz w:val="22"/>
              </w:rPr>
              <w:t>1.0</w:t>
            </w:r>
          </w:p>
        </w:tc>
        <w:tc>
          <w:tcPr>
            <w:tcW w:w="831" w:type="dxa"/>
          </w:tcPr>
          <w:p>
            <w:pPr>
              <w:pStyle w:val="TableParagraph"/>
              <w:spacing w:before="14"/>
              <w:ind w:left="166"/>
              <w:rPr>
                <w:b/>
                <w:sz w:val="22"/>
              </w:rPr>
            </w:pPr>
            <w:r>
              <w:rPr>
                <w:b/>
                <w:sz w:val="22"/>
              </w:rPr>
              <w:t>11.7</w:t>
            </w:r>
          </w:p>
        </w:tc>
        <w:tc>
          <w:tcPr>
            <w:tcW w:w="1929" w:type="dxa"/>
          </w:tcPr>
          <w:p>
            <w:pPr>
              <w:pStyle w:val="TableParagraph"/>
              <w:spacing w:before="14"/>
              <w:ind w:left="147"/>
              <w:rPr>
                <w:b/>
                <w:sz w:val="22"/>
              </w:rPr>
            </w:pPr>
            <w:r>
              <w:rPr>
                <w:b/>
                <w:sz w:val="22"/>
              </w:rPr>
              <w:t>QH</w:t>
            </w:r>
          </w:p>
        </w:tc>
      </w:tr>
      <w:tr>
        <w:trPr>
          <w:trHeight w:val="290" w:hRule="atLeast"/>
        </w:trPr>
        <w:tc>
          <w:tcPr>
            <w:tcW w:w="1096" w:type="dxa"/>
          </w:tcPr>
          <w:p>
            <w:pPr>
              <w:pStyle w:val="TableParagraph"/>
              <w:spacing w:before="14"/>
              <w:ind w:right="362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F4</w:t>
            </w:r>
          </w:p>
        </w:tc>
        <w:tc>
          <w:tcPr>
            <w:tcW w:w="1481" w:type="dxa"/>
          </w:tcPr>
          <w:p>
            <w:pPr>
              <w:pStyle w:val="TableParagraph"/>
              <w:spacing w:before="14"/>
              <w:ind w:left="212"/>
              <w:rPr>
                <w:b/>
                <w:sz w:val="22"/>
              </w:rPr>
            </w:pPr>
            <w:r>
              <w:rPr>
                <w:b/>
                <w:sz w:val="22"/>
              </w:rPr>
              <w:t>9.048545</w:t>
            </w:r>
          </w:p>
        </w:tc>
        <w:tc>
          <w:tcPr>
            <w:tcW w:w="1608" w:type="dxa"/>
          </w:tcPr>
          <w:p>
            <w:pPr>
              <w:pStyle w:val="TableParagraph"/>
              <w:spacing w:before="14"/>
              <w:ind w:left="168"/>
              <w:rPr>
                <w:b/>
                <w:sz w:val="22"/>
              </w:rPr>
            </w:pPr>
            <w:r>
              <w:rPr>
                <w:b/>
                <w:sz w:val="22"/>
              </w:rPr>
              <w:t>6.1431028</w:t>
            </w:r>
          </w:p>
        </w:tc>
        <w:tc>
          <w:tcPr>
            <w:tcW w:w="1065" w:type="dxa"/>
          </w:tcPr>
          <w:p>
            <w:pPr>
              <w:pStyle w:val="TableParagraph"/>
              <w:spacing w:before="14"/>
              <w:ind w:right="262"/>
              <w:jc w:val="righ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3</w:t>
            </w:r>
          </w:p>
        </w:tc>
        <w:tc>
          <w:tcPr>
            <w:tcW w:w="862" w:type="dxa"/>
          </w:tcPr>
          <w:p>
            <w:pPr>
              <w:pStyle w:val="TableParagraph"/>
              <w:spacing w:before="14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260.9</w:t>
            </w:r>
          </w:p>
        </w:tc>
        <w:tc>
          <w:tcPr>
            <w:tcW w:w="845" w:type="dxa"/>
          </w:tcPr>
          <w:p>
            <w:pPr>
              <w:pStyle w:val="TableParagraph"/>
              <w:spacing w:before="14"/>
              <w:ind w:left="143"/>
              <w:rPr>
                <w:b/>
                <w:sz w:val="22"/>
              </w:rPr>
            </w:pPr>
            <w:r>
              <w:rPr>
                <w:b/>
                <w:sz w:val="22"/>
              </w:rPr>
              <w:t>548.1</w:t>
            </w:r>
          </w:p>
        </w:tc>
        <w:tc>
          <w:tcPr>
            <w:tcW w:w="959" w:type="dxa"/>
          </w:tcPr>
          <w:p>
            <w:pPr>
              <w:pStyle w:val="TableParagraph"/>
              <w:spacing w:before="14"/>
              <w:ind w:left="198"/>
              <w:rPr>
                <w:b/>
                <w:sz w:val="22"/>
              </w:rPr>
            </w:pPr>
            <w:r>
              <w:rPr>
                <w:b/>
                <w:sz w:val="22"/>
              </w:rPr>
              <w:t>24.3</w:t>
            </w:r>
          </w:p>
        </w:tc>
        <w:tc>
          <w:tcPr>
            <w:tcW w:w="644" w:type="dxa"/>
          </w:tcPr>
          <w:p>
            <w:pPr>
              <w:pStyle w:val="TableParagraph"/>
              <w:spacing w:before="14"/>
              <w:ind w:left="233"/>
              <w:rPr>
                <w:b/>
                <w:sz w:val="22"/>
              </w:rPr>
            </w:pPr>
            <w:r>
              <w:rPr>
                <w:b/>
                <w:sz w:val="22"/>
              </w:rPr>
              <w:t>0.5</w:t>
            </w:r>
          </w:p>
        </w:tc>
        <w:tc>
          <w:tcPr>
            <w:tcW w:w="640" w:type="dxa"/>
          </w:tcPr>
          <w:p>
            <w:pPr>
              <w:pStyle w:val="TableParagraph"/>
              <w:spacing w:before="14"/>
              <w:ind w:left="129"/>
              <w:rPr>
                <w:b/>
                <w:sz w:val="22"/>
              </w:rPr>
            </w:pPr>
            <w:r>
              <w:rPr>
                <w:b/>
                <w:sz w:val="22"/>
              </w:rPr>
              <w:t>5.3</w:t>
            </w:r>
          </w:p>
        </w:tc>
        <w:tc>
          <w:tcPr>
            <w:tcW w:w="675" w:type="dxa"/>
          </w:tcPr>
          <w:p>
            <w:pPr>
              <w:pStyle w:val="TableParagraph"/>
              <w:spacing w:before="14"/>
              <w:ind w:left="120"/>
              <w:rPr>
                <w:b/>
                <w:sz w:val="22"/>
              </w:rPr>
            </w:pPr>
            <w:r>
              <w:rPr>
                <w:b/>
                <w:sz w:val="22"/>
              </w:rPr>
              <w:t>67.4</w:t>
            </w:r>
          </w:p>
        </w:tc>
        <w:tc>
          <w:tcPr>
            <w:tcW w:w="709" w:type="dxa"/>
          </w:tcPr>
          <w:p>
            <w:pPr>
              <w:pStyle w:val="TableParagraph"/>
              <w:spacing w:before="14"/>
              <w:ind w:left="165"/>
              <w:rPr>
                <w:b/>
                <w:sz w:val="22"/>
              </w:rPr>
            </w:pPr>
            <w:r>
              <w:rPr>
                <w:b/>
                <w:sz w:val="22"/>
              </w:rPr>
              <w:t>0.5</w:t>
            </w:r>
          </w:p>
        </w:tc>
        <w:tc>
          <w:tcPr>
            <w:tcW w:w="819" w:type="dxa"/>
          </w:tcPr>
          <w:p>
            <w:pPr>
              <w:pStyle w:val="TableParagraph"/>
              <w:spacing w:before="14"/>
              <w:ind w:left="265"/>
              <w:rPr>
                <w:b/>
                <w:sz w:val="22"/>
              </w:rPr>
            </w:pPr>
            <w:r>
              <w:rPr>
                <w:b/>
                <w:sz w:val="22"/>
              </w:rPr>
              <w:t>4.8</w:t>
            </w:r>
          </w:p>
        </w:tc>
        <w:tc>
          <w:tcPr>
            <w:tcW w:w="831" w:type="dxa"/>
          </w:tcPr>
          <w:p>
            <w:pPr>
              <w:pStyle w:val="TableParagraph"/>
              <w:spacing w:before="14"/>
              <w:ind w:left="166"/>
              <w:rPr>
                <w:b/>
                <w:sz w:val="22"/>
              </w:rPr>
            </w:pPr>
            <w:r>
              <w:rPr>
                <w:b/>
                <w:sz w:val="22"/>
              </w:rPr>
              <w:t>62.1</w:t>
            </w:r>
          </w:p>
        </w:tc>
        <w:tc>
          <w:tcPr>
            <w:tcW w:w="1929" w:type="dxa"/>
          </w:tcPr>
          <w:p>
            <w:pPr>
              <w:pStyle w:val="TableParagraph"/>
              <w:spacing w:before="14"/>
              <w:ind w:left="147"/>
              <w:rPr>
                <w:b/>
                <w:sz w:val="22"/>
              </w:rPr>
            </w:pPr>
            <w:r>
              <w:rPr>
                <w:b/>
                <w:sz w:val="22"/>
              </w:rPr>
              <w:t>QKH</w:t>
            </w:r>
          </w:p>
        </w:tc>
      </w:tr>
      <w:tr>
        <w:trPr>
          <w:trHeight w:val="308" w:hRule="atLeast"/>
        </w:trPr>
        <w:tc>
          <w:tcPr>
            <w:tcW w:w="1096" w:type="dxa"/>
            <w:tcBorders>
              <w:bottom w:val="single" w:sz="4" w:space="0" w:color="7E7E7E"/>
            </w:tcBorders>
          </w:tcPr>
          <w:p>
            <w:pPr>
              <w:pStyle w:val="TableParagraph"/>
              <w:spacing w:before="14"/>
              <w:ind w:right="331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G1</w:t>
            </w:r>
          </w:p>
        </w:tc>
        <w:tc>
          <w:tcPr>
            <w:tcW w:w="1481" w:type="dxa"/>
            <w:tcBorders>
              <w:bottom w:val="single" w:sz="4" w:space="0" w:color="7E7E7E"/>
            </w:tcBorders>
          </w:tcPr>
          <w:p>
            <w:pPr>
              <w:pStyle w:val="TableParagraph"/>
              <w:spacing w:before="14"/>
              <w:ind w:left="212"/>
              <w:rPr>
                <w:b/>
                <w:sz w:val="22"/>
              </w:rPr>
            </w:pPr>
            <w:r>
              <w:rPr>
                <w:b/>
                <w:sz w:val="22"/>
              </w:rPr>
              <w:t>9.0581381</w:t>
            </w:r>
          </w:p>
        </w:tc>
        <w:tc>
          <w:tcPr>
            <w:tcW w:w="1608" w:type="dxa"/>
            <w:tcBorders>
              <w:bottom w:val="single" w:sz="4" w:space="0" w:color="7E7E7E"/>
            </w:tcBorders>
          </w:tcPr>
          <w:p>
            <w:pPr>
              <w:pStyle w:val="TableParagraph"/>
              <w:spacing w:before="14"/>
              <w:ind w:left="168"/>
              <w:rPr>
                <w:b/>
                <w:sz w:val="22"/>
              </w:rPr>
            </w:pPr>
            <w:r>
              <w:rPr>
                <w:b/>
                <w:sz w:val="22"/>
              </w:rPr>
              <w:t>6.1369583</w:t>
            </w:r>
          </w:p>
        </w:tc>
        <w:tc>
          <w:tcPr>
            <w:tcW w:w="1065" w:type="dxa"/>
            <w:tcBorders>
              <w:bottom w:val="single" w:sz="4" w:space="0" w:color="7E7E7E"/>
            </w:tcBorders>
          </w:tcPr>
          <w:p>
            <w:pPr>
              <w:pStyle w:val="TableParagraph"/>
              <w:spacing w:before="14"/>
              <w:ind w:right="262"/>
              <w:jc w:val="righ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3</w:t>
            </w:r>
          </w:p>
        </w:tc>
        <w:tc>
          <w:tcPr>
            <w:tcW w:w="862" w:type="dxa"/>
            <w:tcBorders>
              <w:bottom w:val="single" w:sz="4" w:space="0" w:color="7E7E7E"/>
            </w:tcBorders>
          </w:tcPr>
          <w:p>
            <w:pPr>
              <w:pStyle w:val="TableParagraph"/>
              <w:spacing w:before="14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1192.0</w:t>
            </w:r>
          </w:p>
        </w:tc>
        <w:tc>
          <w:tcPr>
            <w:tcW w:w="845" w:type="dxa"/>
            <w:tcBorders>
              <w:bottom w:val="single" w:sz="4" w:space="0" w:color="7E7E7E"/>
            </w:tcBorders>
          </w:tcPr>
          <w:p>
            <w:pPr>
              <w:pStyle w:val="TableParagraph"/>
              <w:spacing w:before="14"/>
              <w:ind w:left="143"/>
              <w:rPr>
                <w:b/>
                <w:sz w:val="22"/>
              </w:rPr>
            </w:pPr>
            <w:r>
              <w:rPr>
                <w:b/>
                <w:sz w:val="22"/>
              </w:rPr>
              <w:t>175.1</w:t>
            </w:r>
          </w:p>
        </w:tc>
        <w:tc>
          <w:tcPr>
            <w:tcW w:w="959" w:type="dxa"/>
            <w:tcBorders>
              <w:bottom w:val="single" w:sz="4" w:space="0" w:color="7E7E7E"/>
            </w:tcBorders>
          </w:tcPr>
          <w:p>
            <w:pPr>
              <w:pStyle w:val="TableParagraph"/>
              <w:spacing w:before="14"/>
              <w:ind w:left="198"/>
              <w:rPr>
                <w:b/>
                <w:sz w:val="22"/>
              </w:rPr>
            </w:pPr>
            <w:r>
              <w:rPr>
                <w:b/>
                <w:sz w:val="22"/>
              </w:rPr>
              <w:t>49.6</w:t>
            </w:r>
          </w:p>
        </w:tc>
        <w:tc>
          <w:tcPr>
            <w:tcW w:w="644" w:type="dxa"/>
            <w:tcBorders>
              <w:bottom w:val="single" w:sz="4" w:space="0" w:color="7E7E7E"/>
            </w:tcBorders>
          </w:tcPr>
          <w:p>
            <w:pPr>
              <w:pStyle w:val="TableParagraph"/>
              <w:spacing w:before="14"/>
              <w:ind w:left="233"/>
              <w:rPr>
                <w:b/>
                <w:sz w:val="22"/>
              </w:rPr>
            </w:pPr>
            <w:r>
              <w:rPr>
                <w:b/>
                <w:sz w:val="22"/>
              </w:rPr>
              <w:t>0.6</w:t>
            </w:r>
          </w:p>
        </w:tc>
        <w:tc>
          <w:tcPr>
            <w:tcW w:w="640" w:type="dxa"/>
            <w:tcBorders>
              <w:bottom w:val="single" w:sz="4" w:space="0" w:color="7E7E7E"/>
            </w:tcBorders>
          </w:tcPr>
          <w:p>
            <w:pPr>
              <w:pStyle w:val="TableParagraph"/>
              <w:spacing w:before="14"/>
              <w:ind w:left="129"/>
              <w:rPr>
                <w:b/>
                <w:sz w:val="22"/>
              </w:rPr>
            </w:pPr>
            <w:r>
              <w:rPr>
                <w:b/>
                <w:sz w:val="22"/>
              </w:rPr>
              <w:t>5.4</w:t>
            </w:r>
          </w:p>
        </w:tc>
        <w:tc>
          <w:tcPr>
            <w:tcW w:w="675" w:type="dxa"/>
            <w:tcBorders>
              <w:bottom w:val="single" w:sz="4" w:space="0" w:color="7E7E7E"/>
            </w:tcBorders>
          </w:tcPr>
          <w:p>
            <w:pPr>
              <w:pStyle w:val="TableParagraph"/>
              <w:spacing w:before="14"/>
              <w:ind w:left="120"/>
              <w:rPr>
                <w:b/>
                <w:sz w:val="22"/>
              </w:rPr>
            </w:pPr>
            <w:r>
              <w:rPr>
                <w:b/>
                <w:sz w:val="22"/>
              </w:rPr>
              <w:t>22.1</w:t>
            </w:r>
          </w:p>
        </w:tc>
        <w:tc>
          <w:tcPr>
            <w:tcW w:w="709" w:type="dxa"/>
            <w:tcBorders>
              <w:bottom w:val="single" w:sz="4" w:space="0" w:color="7E7E7E"/>
            </w:tcBorders>
          </w:tcPr>
          <w:p>
            <w:pPr>
              <w:pStyle w:val="TableParagraph"/>
              <w:spacing w:before="14"/>
              <w:ind w:left="165"/>
              <w:rPr>
                <w:b/>
                <w:sz w:val="22"/>
              </w:rPr>
            </w:pPr>
            <w:r>
              <w:rPr>
                <w:b/>
                <w:sz w:val="22"/>
              </w:rPr>
              <w:t>0.6</w:t>
            </w:r>
          </w:p>
        </w:tc>
        <w:tc>
          <w:tcPr>
            <w:tcW w:w="819" w:type="dxa"/>
            <w:tcBorders>
              <w:bottom w:val="single" w:sz="4" w:space="0" w:color="7E7E7E"/>
            </w:tcBorders>
          </w:tcPr>
          <w:p>
            <w:pPr>
              <w:pStyle w:val="TableParagraph"/>
              <w:spacing w:before="14"/>
              <w:ind w:left="265"/>
              <w:rPr>
                <w:b/>
                <w:sz w:val="22"/>
              </w:rPr>
            </w:pPr>
            <w:r>
              <w:rPr>
                <w:b/>
                <w:sz w:val="22"/>
              </w:rPr>
              <w:t>4.8</w:t>
            </w:r>
          </w:p>
        </w:tc>
        <w:tc>
          <w:tcPr>
            <w:tcW w:w="831" w:type="dxa"/>
            <w:tcBorders>
              <w:bottom w:val="single" w:sz="4" w:space="0" w:color="7E7E7E"/>
            </w:tcBorders>
          </w:tcPr>
          <w:p>
            <w:pPr>
              <w:pStyle w:val="TableParagraph"/>
              <w:spacing w:before="14"/>
              <w:ind w:left="166"/>
              <w:rPr>
                <w:b/>
                <w:sz w:val="22"/>
              </w:rPr>
            </w:pPr>
            <w:r>
              <w:rPr>
                <w:b/>
                <w:sz w:val="22"/>
              </w:rPr>
              <w:t>16.6</w:t>
            </w:r>
          </w:p>
        </w:tc>
        <w:tc>
          <w:tcPr>
            <w:tcW w:w="1929" w:type="dxa"/>
            <w:tcBorders>
              <w:bottom w:val="single" w:sz="4" w:space="0" w:color="7E7E7E"/>
            </w:tcBorders>
          </w:tcPr>
          <w:p>
            <w:pPr>
              <w:pStyle w:val="TableParagraph"/>
              <w:spacing w:before="14"/>
              <w:ind w:left="147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Q</w:t>
            </w:r>
          </w:p>
        </w:tc>
      </w:tr>
    </w:tbl>
    <w:p>
      <w:pPr>
        <w:spacing w:after="0"/>
        <w:rPr>
          <w:sz w:val="22"/>
        </w:rPr>
        <w:sectPr>
          <w:footerReference w:type="default" r:id="rId16"/>
          <w:pgSz w:w="16840" w:h="11910" w:orient="landscape"/>
          <w:pgMar w:footer="1067" w:header="0" w:top="440" w:bottom="1260" w:left="1220" w:right="1220"/>
          <w:pgNumType w:start="1"/>
        </w:sectPr>
      </w:pPr>
    </w:p>
    <w:tbl>
      <w:tblPr>
        <w:tblW w:w="0" w:type="auto"/>
        <w:jc w:val="left"/>
        <w:tblInd w:w="12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81"/>
        <w:gridCol w:w="1480"/>
        <w:gridCol w:w="1607"/>
        <w:gridCol w:w="1064"/>
        <w:gridCol w:w="1705"/>
        <w:gridCol w:w="958"/>
        <w:gridCol w:w="643"/>
        <w:gridCol w:w="638"/>
        <w:gridCol w:w="673"/>
        <w:gridCol w:w="709"/>
        <w:gridCol w:w="819"/>
        <w:gridCol w:w="827"/>
        <w:gridCol w:w="1930"/>
      </w:tblGrid>
      <w:tr>
        <w:trPr>
          <w:trHeight w:val="1140" w:hRule="atLeast"/>
        </w:trPr>
        <w:tc>
          <w:tcPr>
            <w:tcW w:w="1081" w:type="dxa"/>
            <w:tcBorders>
              <w:top w:val="single" w:sz="4" w:space="0" w:color="7E7E7E"/>
            </w:tcBorders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VES</w:t>
            </w:r>
          </w:p>
          <w:p>
            <w:pPr>
              <w:pStyle w:val="TableParagraph"/>
              <w:spacing w:before="21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Stations</w:t>
            </w:r>
          </w:p>
        </w:tc>
        <w:tc>
          <w:tcPr>
            <w:tcW w:w="1480" w:type="dxa"/>
            <w:tcBorders>
              <w:top w:val="single" w:sz="4" w:space="0" w:color="7E7E7E"/>
            </w:tcBorders>
          </w:tcPr>
          <w:p>
            <w:pPr>
              <w:pStyle w:val="TableParagraph"/>
              <w:spacing w:line="251" w:lineRule="exact"/>
              <w:ind w:left="212"/>
              <w:rPr>
                <w:b/>
                <w:sz w:val="22"/>
              </w:rPr>
            </w:pPr>
            <w:r>
              <w:rPr>
                <w:b/>
                <w:sz w:val="22"/>
              </w:rPr>
              <w:t>Latitude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(°)</w:t>
            </w:r>
          </w:p>
        </w:tc>
        <w:tc>
          <w:tcPr>
            <w:tcW w:w="1607" w:type="dxa"/>
            <w:tcBorders>
              <w:top w:val="single" w:sz="4" w:space="0" w:color="7E7E7E"/>
            </w:tcBorders>
          </w:tcPr>
          <w:p>
            <w:pPr>
              <w:pStyle w:val="TableParagraph"/>
              <w:spacing w:line="251" w:lineRule="exact"/>
              <w:ind w:left="170"/>
              <w:rPr>
                <w:b/>
                <w:sz w:val="22"/>
              </w:rPr>
            </w:pPr>
            <w:r>
              <w:rPr>
                <w:b/>
                <w:sz w:val="22"/>
              </w:rPr>
              <w:t>Longitude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(°)</w:t>
            </w:r>
          </w:p>
        </w:tc>
        <w:tc>
          <w:tcPr>
            <w:tcW w:w="1064" w:type="dxa"/>
            <w:tcBorders>
              <w:top w:val="single" w:sz="4" w:space="0" w:color="7E7E7E"/>
            </w:tcBorders>
          </w:tcPr>
          <w:p>
            <w:pPr>
              <w:pStyle w:val="TableParagraph"/>
              <w:spacing w:line="259" w:lineRule="auto"/>
              <w:ind w:left="181" w:right="215"/>
              <w:rPr>
                <w:b/>
                <w:sz w:val="22"/>
              </w:rPr>
            </w:pPr>
            <w:r>
              <w:rPr>
                <w:b/>
                <w:sz w:val="22"/>
              </w:rPr>
              <w:t>No. of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Layers</w:t>
            </w:r>
          </w:p>
        </w:tc>
        <w:tc>
          <w:tcPr>
            <w:tcW w:w="2663" w:type="dxa"/>
            <w:gridSpan w:val="2"/>
            <w:tcBorders>
              <w:top w:val="single" w:sz="4" w:space="0" w:color="7E7E7E"/>
            </w:tcBorders>
          </w:tcPr>
          <w:p>
            <w:pPr>
              <w:pStyle w:val="TableParagraph"/>
              <w:spacing w:line="251" w:lineRule="exact"/>
              <w:ind w:left="108"/>
              <w:rPr>
                <w:b/>
                <w:sz w:val="22"/>
              </w:rPr>
            </w:pPr>
            <w:r>
              <w:rPr>
                <w:b/>
                <w:sz w:val="22"/>
              </w:rPr>
              <w:t>Layer resistivity,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p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(Ωm)</w:t>
            </w:r>
          </w:p>
        </w:tc>
        <w:tc>
          <w:tcPr>
            <w:tcW w:w="1954" w:type="dxa"/>
            <w:gridSpan w:val="3"/>
            <w:tcBorders>
              <w:top w:val="single" w:sz="4" w:space="0" w:color="7E7E7E"/>
            </w:tcBorders>
          </w:tcPr>
          <w:p>
            <w:pPr>
              <w:pStyle w:val="TableParagraph"/>
              <w:spacing w:line="259" w:lineRule="auto"/>
              <w:ind w:left="240" w:right="361"/>
              <w:rPr>
                <w:b/>
                <w:sz w:val="22"/>
              </w:rPr>
            </w:pPr>
            <w:r>
              <w:rPr>
                <w:b/>
                <w:sz w:val="22"/>
              </w:rPr>
              <w:t>Layer depth d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(m)</w:t>
            </w:r>
          </w:p>
        </w:tc>
        <w:tc>
          <w:tcPr>
            <w:tcW w:w="2355" w:type="dxa"/>
            <w:gridSpan w:val="3"/>
            <w:tcBorders>
              <w:top w:val="single" w:sz="4" w:space="0" w:color="7E7E7E"/>
            </w:tcBorders>
          </w:tcPr>
          <w:p>
            <w:pPr>
              <w:pStyle w:val="TableParagraph"/>
              <w:spacing w:line="251" w:lineRule="exact"/>
              <w:ind w:left="174"/>
              <w:rPr>
                <w:b/>
                <w:sz w:val="22"/>
              </w:rPr>
            </w:pPr>
            <w:r>
              <w:rPr>
                <w:b/>
                <w:sz w:val="22"/>
              </w:rPr>
              <w:t>Layer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thickness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h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(m)</w:t>
            </w:r>
          </w:p>
        </w:tc>
        <w:tc>
          <w:tcPr>
            <w:tcW w:w="1930" w:type="dxa"/>
            <w:tcBorders>
              <w:top w:val="single" w:sz="4" w:space="0" w:color="7E7E7E"/>
            </w:tcBorders>
          </w:tcPr>
          <w:p>
            <w:pPr>
              <w:pStyle w:val="TableParagraph"/>
              <w:spacing w:line="251" w:lineRule="exact"/>
              <w:ind w:left="169"/>
              <w:rPr>
                <w:b/>
                <w:sz w:val="22"/>
              </w:rPr>
            </w:pPr>
            <w:r>
              <w:rPr>
                <w:b/>
                <w:sz w:val="22"/>
              </w:rPr>
              <w:t>Curve Types</w:t>
            </w:r>
          </w:p>
        </w:tc>
      </w:tr>
      <w:tr>
        <w:trPr>
          <w:trHeight w:val="434" w:hRule="atLeast"/>
        </w:trPr>
        <w:tc>
          <w:tcPr>
            <w:tcW w:w="5232" w:type="dxa"/>
            <w:gridSpan w:val="4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05" w:type="dxa"/>
            <w:tcBorders>
              <w:top w:val="single" w:sz="4" w:space="0" w:color="7E7E7E"/>
              <w:bottom w:val="single" w:sz="4" w:space="0" w:color="000000"/>
            </w:tcBorders>
          </w:tcPr>
          <w:p>
            <w:pPr>
              <w:pStyle w:val="TableParagraph"/>
              <w:tabs>
                <w:tab w:pos="1008" w:val="left" w:leader="none"/>
              </w:tabs>
              <w:spacing w:line="253" w:lineRule="exact"/>
              <w:ind w:left="385"/>
              <w:rPr>
                <w:b/>
                <w:sz w:val="14"/>
              </w:rPr>
            </w:pPr>
            <w:r>
              <w:rPr>
                <w:b/>
                <w:i/>
                <w:position w:val="2"/>
                <w:sz w:val="22"/>
              </w:rPr>
              <w:t>ρ</w:t>
            </w:r>
            <w:r>
              <w:rPr>
                <w:b/>
                <w:sz w:val="14"/>
              </w:rPr>
              <w:t>1</w:t>
              <w:tab/>
            </w:r>
            <w:r>
              <w:rPr>
                <w:b/>
                <w:i/>
                <w:position w:val="2"/>
                <w:sz w:val="22"/>
              </w:rPr>
              <w:t>ρ</w:t>
            </w:r>
            <w:r>
              <w:rPr>
                <w:b/>
                <w:sz w:val="14"/>
              </w:rPr>
              <w:t>2</w:t>
            </w:r>
          </w:p>
        </w:tc>
        <w:tc>
          <w:tcPr>
            <w:tcW w:w="958" w:type="dxa"/>
            <w:tcBorders>
              <w:top w:val="single" w:sz="4" w:space="0" w:color="7E7E7E"/>
              <w:bottom w:val="single" w:sz="4" w:space="0" w:color="000000"/>
            </w:tcBorders>
          </w:tcPr>
          <w:p>
            <w:pPr>
              <w:pStyle w:val="TableParagraph"/>
              <w:spacing w:line="253" w:lineRule="exact"/>
              <w:ind w:left="203"/>
              <w:rPr>
                <w:b/>
                <w:sz w:val="14"/>
              </w:rPr>
            </w:pPr>
            <w:r>
              <w:rPr>
                <w:b/>
                <w:i/>
                <w:position w:val="2"/>
                <w:sz w:val="22"/>
              </w:rPr>
              <w:t>ρ</w:t>
            </w:r>
            <w:r>
              <w:rPr>
                <w:b/>
                <w:sz w:val="14"/>
              </w:rPr>
              <w:t>3</w:t>
            </w:r>
          </w:p>
        </w:tc>
        <w:tc>
          <w:tcPr>
            <w:tcW w:w="643" w:type="dxa"/>
            <w:tcBorders>
              <w:top w:val="single" w:sz="4" w:space="0" w:color="7E7E7E"/>
              <w:bottom w:val="single" w:sz="4" w:space="0" w:color="000000"/>
            </w:tcBorders>
          </w:tcPr>
          <w:p>
            <w:pPr>
              <w:pStyle w:val="TableParagraph"/>
              <w:spacing w:line="253" w:lineRule="exact"/>
              <w:ind w:left="220" w:right="203"/>
              <w:jc w:val="center"/>
              <w:rPr>
                <w:b/>
                <w:sz w:val="14"/>
              </w:rPr>
            </w:pPr>
            <w:r>
              <w:rPr>
                <w:b/>
                <w:i/>
                <w:position w:val="2"/>
                <w:sz w:val="22"/>
              </w:rPr>
              <w:t>d</w:t>
            </w:r>
            <w:r>
              <w:rPr>
                <w:b/>
                <w:sz w:val="14"/>
              </w:rPr>
              <w:t>1</w:t>
            </w:r>
          </w:p>
        </w:tc>
        <w:tc>
          <w:tcPr>
            <w:tcW w:w="638" w:type="dxa"/>
            <w:tcBorders>
              <w:top w:val="single" w:sz="4" w:space="0" w:color="7E7E7E"/>
              <w:bottom w:val="single" w:sz="4" w:space="0" w:color="000000"/>
            </w:tcBorders>
          </w:tcPr>
          <w:p>
            <w:pPr>
              <w:pStyle w:val="TableParagraph"/>
              <w:spacing w:line="253" w:lineRule="exact"/>
              <w:ind w:left="137"/>
              <w:rPr>
                <w:b/>
                <w:sz w:val="14"/>
              </w:rPr>
            </w:pPr>
            <w:r>
              <w:rPr>
                <w:b/>
                <w:i/>
                <w:position w:val="2"/>
                <w:sz w:val="22"/>
              </w:rPr>
              <w:t>d</w:t>
            </w:r>
            <w:r>
              <w:rPr>
                <w:b/>
                <w:sz w:val="14"/>
              </w:rPr>
              <w:t>2</w:t>
            </w:r>
          </w:p>
        </w:tc>
        <w:tc>
          <w:tcPr>
            <w:tcW w:w="673" w:type="dxa"/>
            <w:tcBorders>
              <w:top w:val="single" w:sz="4" w:space="0" w:color="7E7E7E"/>
              <w:bottom w:val="single" w:sz="4" w:space="0" w:color="000000"/>
            </w:tcBorders>
          </w:tcPr>
          <w:p>
            <w:pPr>
              <w:pStyle w:val="TableParagraph"/>
              <w:spacing w:line="253" w:lineRule="exact"/>
              <w:ind w:left="127"/>
              <w:rPr>
                <w:b/>
                <w:sz w:val="14"/>
              </w:rPr>
            </w:pPr>
            <w:r>
              <w:rPr>
                <w:b/>
                <w:i/>
                <w:position w:val="2"/>
                <w:sz w:val="22"/>
              </w:rPr>
              <w:t>d</w:t>
            </w:r>
            <w:r>
              <w:rPr>
                <w:b/>
                <w:sz w:val="14"/>
              </w:rPr>
              <w:t>3</w:t>
            </w:r>
          </w:p>
        </w:tc>
        <w:tc>
          <w:tcPr>
            <w:tcW w:w="709" w:type="dxa"/>
            <w:tcBorders>
              <w:top w:val="single" w:sz="4" w:space="0" w:color="7E7E7E"/>
              <w:bottom w:val="single" w:sz="4" w:space="0" w:color="000000"/>
            </w:tcBorders>
          </w:tcPr>
          <w:p>
            <w:pPr>
              <w:pStyle w:val="TableParagraph"/>
              <w:spacing w:line="253" w:lineRule="exact"/>
              <w:ind w:left="174"/>
              <w:rPr>
                <w:b/>
                <w:sz w:val="14"/>
              </w:rPr>
            </w:pPr>
            <w:r>
              <w:rPr>
                <w:b/>
                <w:i/>
                <w:position w:val="2"/>
                <w:sz w:val="22"/>
              </w:rPr>
              <w:t>h</w:t>
            </w:r>
            <w:r>
              <w:rPr>
                <w:b/>
                <w:sz w:val="14"/>
              </w:rPr>
              <w:t>1</w:t>
            </w:r>
          </w:p>
        </w:tc>
        <w:tc>
          <w:tcPr>
            <w:tcW w:w="819" w:type="dxa"/>
            <w:tcBorders>
              <w:top w:val="single" w:sz="4" w:space="0" w:color="7E7E7E"/>
              <w:bottom w:val="single" w:sz="4" w:space="0" w:color="000000"/>
            </w:tcBorders>
          </w:tcPr>
          <w:p>
            <w:pPr>
              <w:pStyle w:val="TableParagraph"/>
              <w:spacing w:line="253" w:lineRule="exact"/>
              <w:ind w:left="258" w:right="327"/>
              <w:jc w:val="center"/>
              <w:rPr>
                <w:b/>
                <w:sz w:val="14"/>
              </w:rPr>
            </w:pPr>
            <w:r>
              <w:rPr>
                <w:b/>
                <w:i/>
                <w:position w:val="2"/>
                <w:sz w:val="22"/>
              </w:rPr>
              <w:t>h</w:t>
            </w:r>
            <w:r>
              <w:rPr>
                <w:b/>
                <w:sz w:val="14"/>
              </w:rPr>
              <w:t>2</w:t>
            </w:r>
          </w:p>
        </w:tc>
        <w:tc>
          <w:tcPr>
            <w:tcW w:w="827" w:type="dxa"/>
            <w:tcBorders>
              <w:top w:val="single" w:sz="4" w:space="0" w:color="7E7E7E"/>
              <w:bottom w:val="single" w:sz="4" w:space="0" w:color="000000"/>
            </w:tcBorders>
          </w:tcPr>
          <w:p>
            <w:pPr>
              <w:pStyle w:val="TableParagraph"/>
              <w:spacing w:line="253" w:lineRule="exact"/>
              <w:ind w:left="178"/>
              <w:rPr>
                <w:b/>
                <w:sz w:val="14"/>
              </w:rPr>
            </w:pPr>
            <w:r>
              <w:rPr>
                <w:b/>
                <w:i/>
                <w:position w:val="2"/>
                <w:sz w:val="22"/>
              </w:rPr>
              <w:t>h</w:t>
            </w:r>
            <w:r>
              <w:rPr>
                <w:b/>
                <w:sz w:val="14"/>
              </w:rPr>
              <w:t>3</w:t>
            </w:r>
          </w:p>
        </w:tc>
        <w:tc>
          <w:tcPr>
            <w:tcW w:w="1930" w:type="dxa"/>
            <w:tcBorders>
              <w:top w:val="single" w:sz="4" w:space="0" w:color="7E7E7E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9" w:after="1"/>
        <w:rPr>
          <w:b/>
          <w:sz w:val="19"/>
        </w:rPr>
      </w:pPr>
    </w:p>
    <w:tbl>
      <w:tblPr>
        <w:tblW w:w="0" w:type="auto"/>
        <w:jc w:val="left"/>
        <w:tblInd w:w="1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88"/>
        <w:gridCol w:w="1480"/>
        <w:gridCol w:w="1607"/>
        <w:gridCol w:w="1064"/>
        <w:gridCol w:w="861"/>
        <w:gridCol w:w="844"/>
        <w:gridCol w:w="958"/>
        <w:gridCol w:w="643"/>
        <w:gridCol w:w="638"/>
        <w:gridCol w:w="673"/>
        <w:gridCol w:w="709"/>
        <w:gridCol w:w="819"/>
        <w:gridCol w:w="827"/>
        <w:gridCol w:w="1930"/>
      </w:tblGrid>
      <w:tr>
        <w:trPr>
          <w:trHeight w:val="431" w:hRule="atLeast"/>
        </w:trPr>
        <w:tc>
          <w:tcPr>
            <w:tcW w:w="1088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51" w:lineRule="exact"/>
              <w:ind w:left="475"/>
              <w:rPr>
                <w:b/>
                <w:sz w:val="22"/>
              </w:rPr>
            </w:pPr>
            <w:r>
              <w:rPr>
                <w:b/>
                <w:sz w:val="22"/>
              </w:rPr>
              <w:t>G2</w:t>
            </w:r>
          </w:p>
        </w:tc>
        <w:tc>
          <w:tcPr>
            <w:tcW w:w="1480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51" w:lineRule="exact"/>
              <w:ind w:left="213"/>
              <w:rPr>
                <w:b/>
                <w:sz w:val="22"/>
              </w:rPr>
            </w:pPr>
            <w:r>
              <w:rPr>
                <w:b/>
                <w:sz w:val="22"/>
              </w:rPr>
              <w:t>9.048065</w:t>
            </w:r>
          </w:p>
        </w:tc>
        <w:tc>
          <w:tcPr>
            <w:tcW w:w="1607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51" w:lineRule="exact"/>
              <w:ind w:left="170"/>
              <w:rPr>
                <w:b/>
                <w:sz w:val="22"/>
              </w:rPr>
            </w:pPr>
            <w:r>
              <w:rPr>
                <w:b/>
                <w:sz w:val="22"/>
              </w:rPr>
              <w:t>6.1355633</w:t>
            </w:r>
          </w:p>
        </w:tc>
        <w:tc>
          <w:tcPr>
            <w:tcW w:w="1064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51" w:lineRule="exact"/>
              <w:ind w:right="258"/>
              <w:jc w:val="righ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3</w:t>
            </w:r>
          </w:p>
        </w:tc>
        <w:tc>
          <w:tcPr>
            <w:tcW w:w="861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51" w:lineRule="exact"/>
              <w:ind w:left="109"/>
              <w:rPr>
                <w:b/>
                <w:sz w:val="22"/>
              </w:rPr>
            </w:pPr>
            <w:r>
              <w:rPr>
                <w:b/>
                <w:sz w:val="22"/>
              </w:rPr>
              <w:t>527.2</w:t>
            </w:r>
          </w:p>
        </w:tc>
        <w:tc>
          <w:tcPr>
            <w:tcW w:w="844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51" w:lineRule="exact"/>
              <w:ind w:left="130" w:right="17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111.7</w:t>
            </w:r>
          </w:p>
        </w:tc>
        <w:tc>
          <w:tcPr>
            <w:tcW w:w="958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51" w:lineRule="exact"/>
              <w:ind w:left="204"/>
              <w:rPr>
                <w:b/>
                <w:sz w:val="22"/>
              </w:rPr>
            </w:pPr>
            <w:r>
              <w:rPr>
                <w:b/>
                <w:sz w:val="22"/>
              </w:rPr>
              <w:t>171.3</w:t>
            </w:r>
          </w:p>
        </w:tc>
        <w:tc>
          <w:tcPr>
            <w:tcW w:w="643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51" w:lineRule="exact"/>
              <w:ind w:right="124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0.9</w:t>
            </w:r>
          </w:p>
        </w:tc>
        <w:tc>
          <w:tcPr>
            <w:tcW w:w="638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51" w:lineRule="exact"/>
              <w:ind w:left="137"/>
              <w:rPr>
                <w:b/>
                <w:sz w:val="22"/>
              </w:rPr>
            </w:pPr>
            <w:r>
              <w:rPr>
                <w:b/>
                <w:sz w:val="22"/>
              </w:rPr>
              <w:t>4.1</w:t>
            </w:r>
          </w:p>
        </w:tc>
        <w:tc>
          <w:tcPr>
            <w:tcW w:w="673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51" w:lineRule="exact"/>
              <w:ind w:left="109" w:right="24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8.6</w:t>
            </w:r>
          </w:p>
        </w:tc>
        <w:tc>
          <w:tcPr>
            <w:tcW w:w="709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51" w:lineRule="exact"/>
              <w:ind w:left="175"/>
              <w:rPr>
                <w:b/>
                <w:sz w:val="22"/>
              </w:rPr>
            </w:pPr>
            <w:r>
              <w:rPr>
                <w:b/>
                <w:sz w:val="22"/>
              </w:rPr>
              <w:t>0.9</w:t>
            </w:r>
          </w:p>
        </w:tc>
        <w:tc>
          <w:tcPr>
            <w:tcW w:w="819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51" w:lineRule="exact"/>
              <w:ind w:left="277"/>
              <w:rPr>
                <w:b/>
                <w:sz w:val="22"/>
              </w:rPr>
            </w:pPr>
            <w:r>
              <w:rPr>
                <w:b/>
                <w:sz w:val="22"/>
              </w:rPr>
              <w:t>3.2</w:t>
            </w:r>
          </w:p>
        </w:tc>
        <w:tc>
          <w:tcPr>
            <w:tcW w:w="827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51" w:lineRule="exact"/>
              <w:ind w:left="178"/>
              <w:rPr>
                <w:b/>
                <w:sz w:val="22"/>
              </w:rPr>
            </w:pPr>
            <w:r>
              <w:rPr>
                <w:b/>
                <w:sz w:val="22"/>
              </w:rPr>
              <w:t>4.6</w:t>
            </w:r>
          </w:p>
        </w:tc>
        <w:tc>
          <w:tcPr>
            <w:tcW w:w="1930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51" w:lineRule="exact"/>
              <w:ind w:left="160"/>
              <w:rPr>
                <w:b/>
                <w:sz w:val="22"/>
              </w:rPr>
            </w:pPr>
            <w:r>
              <w:rPr>
                <w:b/>
                <w:sz w:val="22"/>
              </w:rPr>
              <w:t>QH</w:t>
            </w:r>
          </w:p>
        </w:tc>
      </w:tr>
      <w:tr>
        <w:trPr>
          <w:trHeight w:val="346" w:hRule="atLeast"/>
        </w:trPr>
        <w:tc>
          <w:tcPr>
            <w:tcW w:w="1088" w:type="dxa"/>
            <w:tcBorders>
              <w:top w:val="single" w:sz="4" w:space="0" w:color="7E7E7E"/>
            </w:tcBorders>
          </w:tcPr>
          <w:p>
            <w:pPr>
              <w:pStyle w:val="TableParagraph"/>
              <w:spacing w:line="251" w:lineRule="exact"/>
              <w:ind w:left="475"/>
              <w:rPr>
                <w:b/>
                <w:sz w:val="22"/>
              </w:rPr>
            </w:pPr>
            <w:r>
              <w:rPr>
                <w:b/>
                <w:sz w:val="22"/>
              </w:rPr>
              <w:t>G3</w:t>
            </w:r>
          </w:p>
        </w:tc>
        <w:tc>
          <w:tcPr>
            <w:tcW w:w="1480" w:type="dxa"/>
            <w:tcBorders>
              <w:top w:val="single" w:sz="4" w:space="0" w:color="7E7E7E"/>
            </w:tcBorders>
          </w:tcPr>
          <w:p>
            <w:pPr>
              <w:pStyle w:val="TableParagraph"/>
              <w:spacing w:line="251" w:lineRule="exact"/>
              <w:ind w:left="213"/>
              <w:rPr>
                <w:b/>
                <w:sz w:val="22"/>
              </w:rPr>
            </w:pPr>
            <w:r>
              <w:rPr>
                <w:b/>
                <w:sz w:val="22"/>
              </w:rPr>
              <w:t>9.0478967</w:t>
            </w:r>
          </w:p>
        </w:tc>
        <w:tc>
          <w:tcPr>
            <w:tcW w:w="1607" w:type="dxa"/>
            <w:tcBorders>
              <w:top w:val="single" w:sz="4" w:space="0" w:color="7E7E7E"/>
            </w:tcBorders>
          </w:tcPr>
          <w:p>
            <w:pPr>
              <w:pStyle w:val="TableParagraph"/>
              <w:spacing w:line="251" w:lineRule="exact"/>
              <w:ind w:left="170"/>
              <w:rPr>
                <w:b/>
                <w:sz w:val="22"/>
              </w:rPr>
            </w:pPr>
            <w:r>
              <w:rPr>
                <w:b/>
                <w:sz w:val="22"/>
              </w:rPr>
              <w:t>6.1364361</w:t>
            </w:r>
          </w:p>
        </w:tc>
        <w:tc>
          <w:tcPr>
            <w:tcW w:w="1064" w:type="dxa"/>
            <w:tcBorders>
              <w:top w:val="single" w:sz="4" w:space="0" w:color="7E7E7E"/>
            </w:tcBorders>
          </w:tcPr>
          <w:p>
            <w:pPr>
              <w:pStyle w:val="TableParagraph"/>
              <w:spacing w:line="251" w:lineRule="exact"/>
              <w:ind w:right="258"/>
              <w:jc w:val="righ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3</w:t>
            </w:r>
          </w:p>
        </w:tc>
        <w:tc>
          <w:tcPr>
            <w:tcW w:w="861" w:type="dxa"/>
            <w:tcBorders>
              <w:top w:val="single" w:sz="4" w:space="0" w:color="7E7E7E"/>
            </w:tcBorders>
          </w:tcPr>
          <w:p>
            <w:pPr>
              <w:pStyle w:val="TableParagraph"/>
              <w:spacing w:line="251" w:lineRule="exact"/>
              <w:ind w:left="109"/>
              <w:rPr>
                <w:b/>
                <w:sz w:val="22"/>
              </w:rPr>
            </w:pPr>
            <w:r>
              <w:rPr>
                <w:b/>
                <w:sz w:val="22"/>
              </w:rPr>
              <w:t>875.7</w:t>
            </w:r>
          </w:p>
        </w:tc>
        <w:tc>
          <w:tcPr>
            <w:tcW w:w="844" w:type="dxa"/>
            <w:tcBorders>
              <w:top w:val="single" w:sz="4" w:space="0" w:color="7E7E7E"/>
            </w:tcBorders>
          </w:tcPr>
          <w:p>
            <w:pPr>
              <w:pStyle w:val="TableParagraph"/>
              <w:spacing w:line="251" w:lineRule="exact"/>
              <w:ind w:left="19" w:right="17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48.0</w:t>
            </w:r>
          </w:p>
        </w:tc>
        <w:tc>
          <w:tcPr>
            <w:tcW w:w="958" w:type="dxa"/>
            <w:tcBorders>
              <w:top w:val="single" w:sz="4" w:space="0" w:color="7E7E7E"/>
            </w:tcBorders>
          </w:tcPr>
          <w:p>
            <w:pPr>
              <w:pStyle w:val="TableParagraph"/>
              <w:spacing w:line="251" w:lineRule="exact"/>
              <w:ind w:left="204"/>
              <w:rPr>
                <w:b/>
                <w:sz w:val="22"/>
              </w:rPr>
            </w:pPr>
            <w:r>
              <w:rPr>
                <w:b/>
                <w:sz w:val="22"/>
              </w:rPr>
              <w:t>16.0</w:t>
            </w:r>
          </w:p>
        </w:tc>
        <w:tc>
          <w:tcPr>
            <w:tcW w:w="643" w:type="dxa"/>
            <w:tcBorders>
              <w:top w:val="single" w:sz="4" w:space="0" w:color="7E7E7E"/>
            </w:tcBorders>
          </w:tcPr>
          <w:p>
            <w:pPr>
              <w:pStyle w:val="TableParagraph"/>
              <w:spacing w:line="251" w:lineRule="exact"/>
              <w:ind w:right="124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1.0</w:t>
            </w:r>
          </w:p>
        </w:tc>
        <w:tc>
          <w:tcPr>
            <w:tcW w:w="638" w:type="dxa"/>
            <w:tcBorders>
              <w:top w:val="single" w:sz="4" w:space="0" w:color="7E7E7E"/>
            </w:tcBorders>
          </w:tcPr>
          <w:p>
            <w:pPr>
              <w:pStyle w:val="TableParagraph"/>
              <w:spacing w:line="251" w:lineRule="exact"/>
              <w:ind w:left="137"/>
              <w:rPr>
                <w:b/>
                <w:sz w:val="22"/>
              </w:rPr>
            </w:pPr>
            <w:r>
              <w:rPr>
                <w:b/>
                <w:sz w:val="22"/>
              </w:rPr>
              <w:t>12.4</w:t>
            </w:r>
          </w:p>
        </w:tc>
        <w:tc>
          <w:tcPr>
            <w:tcW w:w="673" w:type="dxa"/>
            <w:tcBorders>
              <w:top w:val="single" w:sz="4" w:space="0" w:color="7E7E7E"/>
            </w:tcBorders>
          </w:tcPr>
          <w:p>
            <w:pPr>
              <w:pStyle w:val="TableParagraph"/>
              <w:spacing w:line="251" w:lineRule="exact"/>
              <w:ind w:left="109" w:right="13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35.2</w:t>
            </w:r>
          </w:p>
        </w:tc>
        <w:tc>
          <w:tcPr>
            <w:tcW w:w="709" w:type="dxa"/>
            <w:tcBorders>
              <w:top w:val="single" w:sz="4" w:space="0" w:color="7E7E7E"/>
            </w:tcBorders>
          </w:tcPr>
          <w:p>
            <w:pPr>
              <w:pStyle w:val="TableParagraph"/>
              <w:spacing w:line="251" w:lineRule="exact"/>
              <w:ind w:left="175"/>
              <w:rPr>
                <w:b/>
                <w:sz w:val="22"/>
              </w:rPr>
            </w:pPr>
            <w:r>
              <w:rPr>
                <w:b/>
                <w:sz w:val="22"/>
              </w:rPr>
              <w:t>1.0</w:t>
            </w:r>
          </w:p>
        </w:tc>
        <w:tc>
          <w:tcPr>
            <w:tcW w:w="819" w:type="dxa"/>
            <w:tcBorders>
              <w:top w:val="single" w:sz="4" w:space="0" w:color="7E7E7E"/>
            </w:tcBorders>
          </w:tcPr>
          <w:p>
            <w:pPr>
              <w:pStyle w:val="TableParagraph"/>
              <w:spacing w:line="251" w:lineRule="exact"/>
              <w:ind w:left="277"/>
              <w:rPr>
                <w:b/>
                <w:sz w:val="22"/>
              </w:rPr>
            </w:pPr>
            <w:r>
              <w:rPr>
                <w:b/>
                <w:sz w:val="22"/>
              </w:rPr>
              <w:t>11.4</w:t>
            </w:r>
          </w:p>
        </w:tc>
        <w:tc>
          <w:tcPr>
            <w:tcW w:w="827" w:type="dxa"/>
            <w:tcBorders>
              <w:top w:val="single" w:sz="4" w:space="0" w:color="7E7E7E"/>
            </w:tcBorders>
          </w:tcPr>
          <w:p>
            <w:pPr>
              <w:pStyle w:val="TableParagraph"/>
              <w:spacing w:line="251" w:lineRule="exact"/>
              <w:ind w:left="178"/>
              <w:rPr>
                <w:b/>
                <w:sz w:val="22"/>
              </w:rPr>
            </w:pPr>
            <w:r>
              <w:rPr>
                <w:b/>
                <w:sz w:val="22"/>
              </w:rPr>
              <w:t>22.8</w:t>
            </w:r>
          </w:p>
        </w:tc>
        <w:tc>
          <w:tcPr>
            <w:tcW w:w="1930" w:type="dxa"/>
            <w:tcBorders>
              <w:top w:val="single" w:sz="4" w:space="0" w:color="7E7E7E"/>
            </w:tcBorders>
          </w:tcPr>
          <w:p>
            <w:pPr>
              <w:pStyle w:val="TableParagraph"/>
              <w:spacing w:line="251" w:lineRule="exact"/>
              <w:ind w:left="160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Q</w:t>
            </w:r>
          </w:p>
        </w:tc>
      </w:tr>
      <w:tr>
        <w:trPr>
          <w:trHeight w:val="433" w:hRule="atLeast"/>
        </w:trPr>
        <w:tc>
          <w:tcPr>
            <w:tcW w:w="1088" w:type="dxa"/>
          </w:tcPr>
          <w:p>
            <w:pPr>
              <w:pStyle w:val="TableParagraph"/>
              <w:spacing w:before="86"/>
              <w:ind w:left="475"/>
              <w:rPr>
                <w:b/>
                <w:sz w:val="22"/>
              </w:rPr>
            </w:pPr>
            <w:r>
              <w:rPr>
                <w:b/>
                <w:sz w:val="22"/>
              </w:rPr>
              <w:t>G4</w:t>
            </w:r>
          </w:p>
        </w:tc>
        <w:tc>
          <w:tcPr>
            <w:tcW w:w="1480" w:type="dxa"/>
          </w:tcPr>
          <w:p>
            <w:pPr>
              <w:pStyle w:val="TableParagraph"/>
              <w:spacing w:before="86"/>
              <w:ind w:left="213"/>
              <w:rPr>
                <w:b/>
                <w:sz w:val="22"/>
              </w:rPr>
            </w:pPr>
            <w:r>
              <w:rPr>
                <w:b/>
                <w:sz w:val="22"/>
              </w:rPr>
              <w:t>9.0468839</w:t>
            </w:r>
          </w:p>
        </w:tc>
        <w:tc>
          <w:tcPr>
            <w:tcW w:w="1607" w:type="dxa"/>
          </w:tcPr>
          <w:p>
            <w:pPr>
              <w:pStyle w:val="TableParagraph"/>
              <w:spacing w:before="86"/>
              <w:ind w:left="170"/>
              <w:rPr>
                <w:b/>
                <w:sz w:val="22"/>
              </w:rPr>
            </w:pPr>
            <w:r>
              <w:rPr>
                <w:b/>
                <w:sz w:val="22"/>
              </w:rPr>
              <w:t>6.1375472</w:t>
            </w:r>
          </w:p>
        </w:tc>
        <w:tc>
          <w:tcPr>
            <w:tcW w:w="1064" w:type="dxa"/>
          </w:tcPr>
          <w:p>
            <w:pPr>
              <w:pStyle w:val="TableParagraph"/>
              <w:spacing w:before="86"/>
              <w:ind w:right="258"/>
              <w:jc w:val="righ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3</w:t>
            </w:r>
          </w:p>
        </w:tc>
        <w:tc>
          <w:tcPr>
            <w:tcW w:w="861" w:type="dxa"/>
          </w:tcPr>
          <w:p>
            <w:pPr>
              <w:pStyle w:val="TableParagraph"/>
              <w:spacing w:before="86"/>
              <w:ind w:left="109"/>
              <w:rPr>
                <w:b/>
                <w:sz w:val="22"/>
              </w:rPr>
            </w:pPr>
            <w:r>
              <w:rPr>
                <w:b/>
                <w:sz w:val="22"/>
              </w:rPr>
              <w:t>554.8</w:t>
            </w:r>
          </w:p>
        </w:tc>
        <w:tc>
          <w:tcPr>
            <w:tcW w:w="844" w:type="dxa"/>
          </w:tcPr>
          <w:p>
            <w:pPr>
              <w:pStyle w:val="TableParagraph"/>
              <w:spacing w:before="86"/>
              <w:ind w:left="130" w:right="17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521.1</w:t>
            </w:r>
          </w:p>
        </w:tc>
        <w:tc>
          <w:tcPr>
            <w:tcW w:w="958" w:type="dxa"/>
          </w:tcPr>
          <w:p>
            <w:pPr>
              <w:pStyle w:val="TableParagraph"/>
              <w:spacing w:before="86"/>
              <w:ind w:left="204"/>
              <w:rPr>
                <w:b/>
                <w:sz w:val="22"/>
              </w:rPr>
            </w:pPr>
            <w:r>
              <w:rPr>
                <w:b/>
                <w:sz w:val="22"/>
              </w:rPr>
              <w:t>36.8</w:t>
            </w:r>
          </w:p>
        </w:tc>
        <w:tc>
          <w:tcPr>
            <w:tcW w:w="643" w:type="dxa"/>
          </w:tcPr>
          <w:p>
            <w:pPr>
              <w:pStyle w:val="TableParagraph"/>
              <w:spacing w:before="86"/>
              <w:ind w:right="124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1.3</w:t>
            </w:r>
          </w:p>
        </w:tc>
        <w:tc>
          <w:tcPr>
            <w:tcW w:w="638" w:type="dxa"/>
          </w:tcPr>
          <w:p>
            <w:pPr>
              <w:pStyle w:val="TableParagraph"/>
              <w:spacing w:before="86"/>
              <w:ind w:left="137"/>
              <w:rPr>
                <w:b/>
                <w:sz w:val="22"/>
              </w:rPr>
            </w:pPr>
            <w:r>
              <w:rPr>
                <w:b/>
                <w:sz w:val="22"/>
              </w:rPr>
              <w:t>4.6</w:t>
            </w:r>
          </w:p>
        </w:tc>
        <w:tc>
          <w:tcPr>
            <w:tcW w:w="673" w:type="dxa"/>
          </w:tcPr>
          <w:p>
            <w:pPr>
              <w:pStyle w:val="TableParagraph"/>
              <w:spacing w:before="86"/>
              <w:ind w:left="109" w:right="13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35.2</w:t>
            </w:r>
          </w:p>
        </w:tc>
        <w:tc>
          <w:tcPr>
            <w:tcW w:w="709" w:type="dxa"/>
          </w:tcPr>
          <w:p>
            <w:pPr>
              <w:pStyle w:val="TableParagraph"/>
              <w:spacing w:before="86"/>
              <w:ind w:left="175"/>
              <w:rPr>
                <w:b/>
                <w:sz w:val="22"/>
              </w:rPr>
            </w:pPr>
            <w:r>
              <w:rPr>
                <w:b/>
                <w:sz w:val="22"/>
              </w:rPr>
              <w:t>1.3</w:t>
            </w:r>
          </w:p>
        </w:tc>
        <w:tc>
          <w:tcPr>
            <w:tcW w:w="819" w:type="dxa"/>
          </w:tcPr>
          <w:p>
            <w:pPr>
              <w:pStyle w:val="TableParagraph"/>
              <w:spacing w:before="86"/>
              <w:ind w:left="277"/>
              <w:rPr>
                <w:b/>
                <w:sz w:val="22"/>
              </w:rPr>
            </w:pPr>
            <w:r>
              <w:rPr>
                <w:b/>
                <w:sz w:val="22"/>
              </w:rPr>
              <w:t>3.3</w:t>
            </w:r>
          </w:p>
        </w:tc>
        <w:tc>
          <w:tcPr>
            <w:tcW w:w="827" w:type="dxa"/>
          </w:tcPr>
          <w:p>
            <w:pPr>
              <w:pStyle w:val="TableParagraph"/>
              <w:spacing w:before="86"/>
              <w:ind w:left="178"/>
              <w:rPr>
                <w:b/>
                <w:sz w:val="22"/>
              </w:rPr>
            </w:pPr>
            <w:r>
              <w:rPr>
                <w:b/>
                <w:sz w:val="22"/>
              </w:rPr>
              <w:t>30.6</w:t>
            </w:r>
          </w:p>
        </w:tc>
        <w:tc>
          <w:tcPr>
            <w:tcW w:w="1930" w:type="dxa"/>
          </w:tcPr>
          <w:p>
            <w:pPr>
              <w:pStyle w:val="TableParagraph"/>
              <w:spacing w:before="86"/>
              <w:ind w:left="160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Q</w:t>
            </w:r>
          </w:p>
        </w:tc>
      </w:tr>
      <w:tr>
        <w:trPr>
          <w:trHeight w:val="433" w:hRule="atLeast"/>
        </w:trPr>
        <w:tc>
          <w:tcPr>
            <w:tcW w:w="1088" w:type="dxa"/>
          </w:tcPr>
          <w:p>
            <w:pPr>
              <w:pStyle w:val="TableParagraph"/>
              <w:spacing w:before="85"/>
              <w:ind w:left="475"/>
              <w:rPr>
                <w:b/>
                <w:sz w:val="22"/>
              </w:rPr>
            </w:pPr>
            <w:r>
              <w:rPr>
                <w:b/>
                <w:sz w:val="22"/>
              </w:rPr>
              <w:t>H1</w:t>
            </w:r>
          </w:p>
        </w:tc>
        <w:tc>
          <w:tcPr>
            <w:tcW w:w="1480" w:type="dxa"/>
          </w:tcPr>
          <w:p>
            <w:pPr>
              <w:pStyle w:val="TableParagraph"/>
              <w:spacing w:before="85"/>
              <w:ind w:left="213"/>
              <w:rPr>
                <w:b/>
                <w:sz w:val="22"/>
              </w:rPr>
            </w:pPr>
            <w:r>
              <w:rPr>
                <w:b/>
                <w:sz w:val="22"/>
              </w:rPr>
              <w:t>9.04716</w:t>
            </w:r>
          </w:p>
        </w:tc>
        <w:tc>
          <w:tcPr>
            <w:tcW w:w="1607" w:type="dxa"/>
          </w:tcPr>
          <w:p>
            <w:pPr>
              <w:pStyle w:val="TableParagraph"/>
              <w:spacing w:before="85"/>
              <w:ind w:left="170"/>
              <w:rPr>
                <w:b/>
                <w:sz w:val="22"/>
              </w:rPr>
            </w:pPr>
            <w:r>
              <w:rPr>
                <w:b/>
                <w:sz w:val="22"/>
              </w:rPr>
              <w:t>6.1375444</w:t>
            </w:r>
          </w:p>
        </w:tc>
        <w:tc>
          <w:tcPr>
            <w:tcW w:w="1064" w:type="dxa"/>
          </w:tcPr>
          <w:p>
            <w:pPr>
              <w:pStyle w:val="TableParagraph"/>
              <w:spacing w:before="85"/>
              <w:ind w:right="258"/>
              <w:jc w:val="righ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3</w:t>
            </w:r>
          </w:p>
        </w:tc>
        <w:tc>
          <w:tcPr>
            <w:tcW w:w="861" w:type="dxa"/>
          </w:tcPr>
          <w:p>
            <w:pPr>
              <w:pStyle w:val="TableParagraph"/>
              <w:spacing w:before="85"/>
              <w:ind w:left="109"/>
              <w:rPr>
                <w:b/>
                <w:sz w:val="22"/>
              </w:rPr>
            </w:pPr>
            <w:r>
              <w:rPr>
                <w:b/>
                <w:sz w:val="22"/>
              </w:rPr>
              <w:t>763.1</w:t>
            </w:r>
          </w:p>
        </w:tc>
        <w:tc>
          <w:tcPr>
            <w:tcW w:w="844" w:type="dxa"/>
          </w:tcPr>
          <w:p>
            <w:pPr>
              <w:pStyle w:val="TableParagraph"/>
              <w:spacing w:before="85"/>
              <w:ind w:left="130" w:right="17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259.7</w:t>
            </w:r>
          </w:p>
        </w:tc>
        <w:tc>
          <w:tcPr>
            <w:tcW w:w="958" w:type="dxa"/>
          </w:tcPr>
          <w:p>
            <w:pPr>
              <w:pStyle w:val="TableParagraph"/>
              <w:spacing w:before="85"/>
              <w:ind w:left="204"/>
              <w:rPr>
                <w:b/>
                <w:sz w:val="22"/>
              </w:rPr>
            </w:pPr>
            <w:r>
              <w:rPr>
                <w:b/>
                <w:sz w:val="22"/>
              </w:rPr>
              <w:t>65.0</w:t>
            </w:r>
          </w:p>
        </w:tc>
        <w:tc>
          <w:tcPr>
            <w:tcW w:w="643" w:type="dxa"/>
          </w:tcPr>
          <w:p>
            <w:pPr>
              <w:pStyle w:val="TableParagraph"/>
              <w:spacing w:before="85"/>
              <w:ind w:right="124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0.8</w:t>
            </w:r>
          </w:p>
        </w:tc>
        <w:tc>
          <w:tcPr>
            <w:tcW w:w="638" w:type="dxa"/>
          </w:tcPr>
          <w:p>
            <w:pPr>
              <w:pStyle w:val="TableParagraph"/>
              <w:spacing w:before="85"/>
              <w:ind w:left="137"/>
              <w:rPr>
                <w:b/>
                <w:sz w:val="22"/>
              </w:rPr>
            </w:pPr>
            <w:r>
              <w:rPr>
                <w:b/>
                <w:sz w:val="22"/>
              </w:rPr>
              <w:t>3.7</w:t>
            </w:r>
          </w:p>
        </w:tc>
        <w:tc>
          <w:tcPr>
            <w:tcW w:w="673" w:type="dxa"/>
          </w:tcPr>
          <w:p>
            <w:pPr>
              <w:pStyle w:val="TableParagraph"/>
              <w:spacing w:before="85"/>
              <w:ind w:left="109" w:right="13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15.2</w:t>
            </w:r>
          </w:p>
        </w:tc>
        <w:tc>
          <w:tcPr>
            <w:tcW w:w="709" w:type="dxa"/>
          </w:tcPr>
          <w:p>
            <w:pPr>
              <w:pStyle w:val="TableParagraph"/>
              <w:spacing w:before="85"/>
              <w:ind w:left="175"/>
              <w:rPr>
                <w:b/>
                <w:sz w:val="22"/>
              </w:rPr>
            </w:pPr>
            <w:r>
              <w:rPr>
                <w:b/>
                <w:sz w:val="22"/>
              </w:rPr>
              <w:t>0.8</w:t>
            </w:r>
          </w:p>
        </w:tc>
        <w:tc>
          <w:tcPr>
            <w:tcW w:w="819" w:type="dxa"/>
          </w:tcPr>
          <w:p>
            <w:pPr>
              <w:pStyle w:val="TableParagraph"/>
              <w:spacing w:before="85"/>
              <w:ind w:left="277"/>
              <w:rPr>
                <w:b/>
                <w:sz w:val="22"/>
              </w:rPr>
            </w:pPr>
            <w:r>
              <w:rPr>
                <w:b/>
                <w:sz w:val="22"/>
              </w:rPr>
              <w:t>2.9</w:t>
            </w:r>
          </w:p>
        </w:tc>
        <w:tc>
          <w:tcPr>
            <w:tcW w:w="827" w:type="dxa"/>
          </w:tcPr>
          <w:p>
            <w:pPr>
              <w:pStyle w:val="TableParagraph"/>
              <w:spacing w:before="85"/>
              <w:ind w:left="178"/>
              <w:rPr>
                <w:b/>
                <w:sz w:val="22"/>
              </w:rPr>
            </w:pPr>
            <w:r>
              <w:rPr>
                <w:b/>
                <w:sz w:val="22"/>
              </w:rPr>
              <w:t>11.5</w:t>
            </w:r>
          </w:p>
        </w:tc>
        <w:tc>
          <w:tcPr>
            <w:tcW w:w="1930" w:type="dxa"/>
          </w:tcPr>
          <w:p>
            <w:pPr>
              <w:pStyle w:val="TableParagraph"/>
              <w:spacing w:before="85"/>
              <w:ind w:left="160"/>
              <w:rPr>
                <w:b/>
                <w:sz w:val="22"/>
              </w:rPr>
            </w:pPr>
            <w:r>
              <w:rPr>
                <w:b/>
                <w:sz w:val="22"/>
              </w:rPr>
              <w:t>QH</w:t>
            </w:r>
          </w:p>
        </w:tc>
      </w:tr>
      <w:tr>
        <w:trPr>
          <w:trHeight w:val="433" w:hRule="atLeast"/>
        </w:trPr>
        <w:tc>
          <w:tcPr>
            <w:tcW w:w="1088" w:type="dxa"/>
          </w:tcPr>
          <w:p>
            <w:pPr>
              <w:pStyle w:val="TableParagraph"/>
              <w:spacing w:before="86"/>
              <w:ind w:left="475"/>
              <w:rPr>
                <w:b/>
                <w:sz w:val="22"/>
              </w:rPr>
            </w:pPr>
            <w:r>
              <w:rPr>
                <w:b/>
                <w:sz w:val="22"/>
              </w:rPr>
              <w:t>H2</w:t>
            </w:r>
          </w:p>
        </w:tc>
        <w:tc>
          <w:tcPr>
            <w:tcW w:w="1480" w:type="dxa"/>
          </w:tcPr>
          <w:p>
            <w:pPr>
              <w:pStyle w:val="TableParagraph"/>
              <w:spacing w:before="86"/>
              <w:ind w:left="213"/>
              <w:rPr>
                <w:b/>
                <w:sz w:val="22"/>
              </w:rPr>
            </w:pPr>
            <w:r>
              <w:rPr>
                <w:b/>
                <w:sz w:val="22"/>
              </w:rPr>
              <w:t>9.0467083</w:t>
            </w:r>
          </w:p>
        </w:tc>
        <w:tc>
          <w:tcPr>
            <w:tcW w:w="1607" w:type="dxa"/>
          </w:tcPr>
          <w:p>
            <w:pPr>
              <w:pStyle w:val="TableParagraph"/>
              <w:spacing w:before="86"/>
              <w:ind w:left="170"/>
              <w:rPr>
                <w:b/>
                <w:sz w:val="22"/>
              </w:rPr>
            </w:pPr>
            <w:r>
              <w:rPr>
                <w:b/>
                <w:sz w:val="22"/>
              </w:rPr>
              <w:t>6.1374278</w:t>
            </w:r>
          </w:p>
        </w:tc>
        <w:tc>
          <w:tcPr>
            <w:tcW w:w="1064" w:type="dxa"/>
          </w:tcPr>
          <w:p>
            <w:pPr>
              <w:pStyle w:val="TableParagraph"/>
              <w:spacing w:before="86"/>
              <w:ind w:right="258"/>
              <w:jc w:val="righ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3</w:t>
            </w:r>
          </w:p>
        </w:tc>
        <w:tc>
          <w:tcPr>
            <w:tcW w:w="861" w:type="dxa"/>
          </w:tcPr>
          <w:p>
            <w:pPr>
              <w:pStyle w:val="TableParagraph"/>
              <w:spacing w:before="86"/>
              <w:ind w:left="109"/>
              <w:rPr>
                <w:b/>
                <w:sz w:val="22"/>
              </w:rPr>
            </w:pPr>
            <w:r>
              <w:rPr>
                <w:b/>
                <w:sz w:val="22"/>
              </w:rPr>
              <w:t>780.9</w:t>
            </w:r>
          </w:p>
        </w:tc>
        <w:tc>
          <w:tcPr>
            <w:tcW w:w="844" w:type="dxa"/>
          </w:tcPr>
          <w:p>
            <w:pPr>
              <w:pStyle w:val="TableParagraph"/>
              <w:spacing w:before="86"/>
              <w:ind w:left="19" w:right="17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50.7</w:t>
            </w:r>
          </w:p>
        </w:tc>
        <w:tc>
          <w:tcPr>
            <w:tcW w:w="958" w:type="dxa"/>
          </w:tcPr>
          <w:p>
            <w:pPr>
              <w:pStyle w:val="TableParagraph"/>
              <w:spacing w:before="86"/>
              <w:ind w:left="204"/>
              <w:rPr>
                <w:b/>
                <w:sz w:val="22"/>
              </w:rPr>
            </w:pPr>
            <w:r>
              <w:rPr>
                <w:b/>
                <w:sz w:val="22"/>
              </w:rPr>
              <w:t>27.3</w:t>
            </w:r>
          </w:p>
        </w:tc>
        <w:tc>
          <w:tcPr>
            <w:tcW w:w="643" w:type="dxa"/>
          </w:tcPr>
          <w:p>
            <w:pPr>
              <w:pStyle w:val="TableParagraph"/>
              <w:spacing w:before="86"/>
              <w:ind w:right="124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1.6</w:t>
            </w:r>
          </w:p>
        </w:tc>
        <w:tc>
          <w:tcPr>
            <w:tcW w:w="638" w:type="dxa"/>
          </w:tcPr>
          <w:p>
            <w:pPr>
              <w:pStyle w:val="TableParagraph"/>
              <w:spacing w:before="86"/>
              <w:ind w:left="137"/>
              <w:rPr>
                <w:b/>
                <w:sz w:val="22"/>
              </w:rPr>
            </w:pPr>
            <w:r>
              <w:rPr>
                <w:b/>
                <w:sz w:val="22"/>
              </w:rPr>
              <w:t>24.5</w:t>
            </w:r>
          </w:p>
        </w:tc>
        <w:tc>
          <w:tcPr>
            <w:tcW w:w="673" w:type="dxa"/>
          </w:tcPr>
          <w:p>
            <w:pPr>
              <w:pStyle w:val="TableParagraph"/>
              <w:spacing w:before="86"/>
              <w:ind w:left="109" w:right="13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45.5</w:t>
            </w:r>
          </w:p>
        </w:tc>
        <w:tc>
          <w:tcPr>
            <w:tcW w:w="709" w:type="dxa"/>
          </w:tcPr>
          <w:p>
            <w:pPr>
              <w:pStyle w:val="TableParagraph"/>
              <w:spacing w:before="86"/>
              <w:ind w:left="175"/>
              <w:rPr>
                <w:b/>
                <w:sz w:val="22"/>
              </w:rPr>
            </w:pPr>
            <w:r>
              <w:rPr>
                <w:b/>
                <w:sz w:val="22"/>
              </w:rPr>
              <w:t>1.6</w:t>
            </w:r>
          </w:p>
        </w:tc>
        <w:tc>
          <w:tcPr>
            <w:tcW w:w="819" w:type="dxa"/>
          </w:tcPr>
          <w:p>
            <w:pPr>
              <w:pStyle w:val="TableParagraph"/>
              <w:spacing w:before="86"/>
              <w:ind w:left="277"/>
              <w:rPr>
                <w:b/>
                <w:sz w:val="22"/>
              </w:rPr>
            </w:pPr>
            <w:r>
              <w:rPr>
                <w:b/>
                <w:sz w:val="22"/>
              </w:rPr>
              <w:t>22.9</w:t>
            </w:r>
          </w:p>
        </w:tc>
        <w:tc>
          <w:tcPr>
            <w:tcW w:w="827" w:type="dxa"/>
          </w:tcPr>
          <w:p>
            <w:pPr>
              <w:pStyle w:val="TableParagraph"/>
              <w:spacing w:before="86"/>
              <w:ind w:left="178"/>
              <w:rPr>
                <w:b/>
                <w:sz w:val="22"/>
              </w:rPr>
            </w:pPr>
            <w:r>
              <w:rPr>
                <w:b/>
                <w:sz w:val="22"/>
              </w:rPr>
              <w:t>20.9</w:t>
            </w:r>
          </w:p>
        </w:tc>
        <w:tc>
          <w:tcPr>
            <w:tcW w:w="1930" w:type="dxa"/>
          </w:tcPr>
          <w:p>
            <w:pPr>
              <w:pStyle w:val="TableParagraph"/>
              <w:spacing w:before="86"/>
              <w:ind w:left="160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Q</w:t>
            </w:r>
          </w:p>
        </w:tc>
      </w:tr>
      <w:tr>
        <w:trPr>
          <w:trHeight w:val="431" w:hRule="atLeast"/>
        </w:trPr>
        <w:tc>
          <w:tcPr>
            <w:tcW w:w="1088" w:type="dxa"/>
          </w:tcPr>
          <w:p>
            <w:pPr>
              <w:pStyle w:val="TableParagraph"/>
              <w:spacing w:before="85"/>
              <w:ind w:left="475"/>
              <w:rPr>
                <w:b/>
                <w:sz w:val="22"/>
              </w:rPr>
            </w:pPr>
            <w:r>
              <w:rPr>
                <w:b/>
                <w:sz w:val="22"/>
              </w:rPr>
              <w:t>H3</w:t>
            </w:r>
          </w:p>
        </w:tc>
        <w:tc>
          <w:tcPr>
            <w:tcW w:w="1480" w:type="dxa"/>
          </w:tcPr>
          <w:p>
            <w:pPr>
              <w:pStyle w:val="TableParagraph"/>
              <w:spacing w:before="85"/>
              <w:ind w:left="213"/>
              <w:rPr>
                <w:b/>
                <w:sz w:val="22"/>
              </w:rPr>
            </w:pPr>
            <w:r>
              <w:rPr>
                <w:b/>
                <w:sz w:val="22"/>
              </w:rPr>
              <w:t>9.0473733</w:t>
            </w:r>
          </w:p>
        </w:tc>
        <w:tc>
          <w:tcPr>
            <w:tcW w:w="1607" w:type="dxa"/>
          </w:tcPr>
          <w:p>
            <w:pPr>
              <w:pStyle w:val="TableParagraph"/>
              <w:spacing w:before="85"/>
              <w:ind w:left="170"/>
              <w:rPr>
                <w:b/>
                <w:sz w:val="22"/>
              </w:rPr>
            </w:pPr>
            <w:r>
              <w:rPr>
                <w:b/>
                <w:sz w:val="22"/>
              </w:rPr>
              <w:t>6.1364417</w:t>
            </w:r>
          </w:p>
        </w:tc>
        <w:tc>
          <w:tcPr>
            <w:tcW w:w="1064" w:type="dxa"/>
          </w:tcPr>
          <w:p>
            <w:pPr>
              <w:pStyle w:val="TableParagraph"/>
              <w:spacing w:before="85"/>
              <w:ind w:right="258"/>
              <w:jc w:val="righ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3</w:t>
            </w:r>
          </w:p>
        </w:tc>
        <w:tc>
          <w:tcPr>
            <w:tcW w:w="861" w:type="dxa"/>
          </w:tcPr>
          <w:p>
            <w:pPr>
              <w:pStyle w:val="TableParagraph"/>
              <w:spacing w:before="85"/>
              <w:ind w:left="109"/>
              <w:rPr>
                <w:b/>
                <w:sz w:val="22"/>
              </w:rPr>
            </w:pPr>
            <w:r>
              <w:rPr>
                <w:b/>
                <w:sz w:val="22"/>
              </w:rPr>
              <w:t>872.1</w:t>
            </w:r>
          </w:p>
        </w:tc>
        <w:tc>
          <w:tcPr>
            <w:tcW w:w="844" w:type="dxa"/>
          </w:tcPr>
          <w:p>
            <w:pPr>
              <w:pStyle w:val="TableParagraph"/>
              <w:spacing w:before="85"/>
              <w:ind w:left="19" w:right="17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76.9</w:t>
            </w:r>
          </w:p>
        </w:tc>
        <w:tc>
          <w:tcPr>
            <w:tcW w:w="958" w:type="dxa"/>
          </w:tcPr>
          <w:p>
            <w:pPr>
              <w:pStyle w:val="TableParagraph"/>
              <w:spacing w:before="85"/>
              <w:ind w:left="204"/>
              <w:rPr>
                <w:b/>
                <w:sz w:val="22"/>
              </w:rPr>
            </w:pPr>
            <w:r>
              <w:rPr>
                <w:b/>
                <w:sz w:val="22"/>
              </w:rPr>
              <w:t>73.2</w:t>
            </w:r>
          </w:p>
        </w:tc>
        <w:tc>
          <w:tcPr>
            <w:tcW w:w="643" w:type="dxa"/>
          </w:tcPr>
          <w:p>
            <w:pPr>
              <w:pStyle w:val="TableParagraph"/>
              <w:spacing w:before="85"/>
              <w:ind w:right="124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0.6</w:t>
            </w:r>
          </w:p>
        </w:tc>
        <w:tc>
          <w:tcPr>
            <w:tcW w:w="638" w:type="dxa"/>
          </w:tcPr>
          <w:p>
            <w:pPr>
              <w:pStyle w:val="TableParagraph"/>
              <w:spacing w:before="85"/>
              <w:ind w:left="137"/>
              <w:rPr>
                <w:b/>
                <w:sz w:val="22"/>
              </w:rPr>
            </w:pPr>
            <w:r>
              <w:rPr>
                <w:b/>
                <w:sz w:val="22"/>
              </w:rPr>
              <w:t>5.9</w:t>
            </w:r>
          </w:p>
        </w:tc>
        <w:tc>
          <w:tcPr>
            <w:tcW w:w="673" w:type="dxa"/>
          </w:tcPr>
          <w:p>
            <w:pPr>
              <w:pStyle w:val="TableParagraph"/>
              <w:spacing w:before="85"/>
              <w:ind w:left="109" w:right="13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11.9</w:t>
            </w:r>
          </w:p>
        </w:tc>
        <w:tc>
          <w:tcPr>
            <w:tcW w:w="709" w:type="dxa"/>
          </w:tcPr>
          <w:p>
            <w:pPr>
              <w:pStyle w:val="TableParagraph"/>
              <w:spacing w:before="85"/>
              <w:ind w:left="175"/>
              <w:rPr>
                <w:b/>
                <w:sz w:val="22"/>
              </w:rPr>
            </w:pPr>
            <w:r>
              <w:rPr>
                <w:b/>
                <w:sz w:val="22"/>
              </w:rPr>
              <w:t>0.6</w:t>
            </w:r>
          </w:p>
        </w:tc>
        <w:tc>
          <w:tcPr>
            <w:tcW w:w="819" w:type="dxa"/>
          </w:tcPr>
          <w:p>
            <w:pPr>
              <w:pStyle w:val="TableParagraph"/>
              <w:spacing w:before="85"/>
              <w:ind w:left="277"/>
              <w:rPr>
                <w:b/>
                <w:sz w:val="22"/>
              </w:rPr>
            </w:pPr>
            <w:r>
              <w:rPr>
                <w:b/>
                <w:sz w:val="22"/>
              </w:rPr>
              <w:t>5.3</w:t>
            </w:r>
          </w:p>
        </w:tc>
        <w:tc>
          <w:tcPr>
            <w:tcW w:w="827" w:type="dxa"/>
          </w:tcPr>
          <w:p>
            <w:pPr>
              <w:pStyle w:val="TableParagraph"/>
              <w:spacing w:before="85"/>
              <w:ind w:left="178"/>
              <w:rPr>
                <w:b/>
                <w:sz w:val="22"/>
              </w:rPr>
            </w:pPr>
            <w:r>
              <w:rPr>
                <w:b/>
                <w:sz w:val="22"/>
              </w:rPr>
              <w:t>6.0</w:t>
            </w:r>
          </w:p>
        </w:tc>
        <w:tc>
          <w:tcPr>
            <w:tcW w:w="1930" w:type="dxa"/>
          </w:tcPr>
          <w:p>
            <w:pPr>
              <w:pStyle w:val="TableParagraph"/>
              <w:spacing w:before="85"/>
              <w:ind w:left="160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Q</w:t>
            </w:r>
          </w:p>
        </w:tc>
      </w:tr>
      <w:tr>
        <w:trPr>
          <w:trHeight w:val="433" w:hRule="atLeast"/>
        </w:trPr>
        <w:tc>
          <w:tcPr>
            <w:tcW w:w="1088" w:type="dxa"/>
          </w:tcPr>
          <w:p>
            <w:pPr>
              <w:pStyle w:val="TableParagraph"/>
              <w:spacing w:before="85"/>
              <w:ind w:left="475"/>
              <w:rPr>
                <w:b/>
                <w:sz w:val="22"/>
              </w:rPr>
            </w:pPr>
            <w:r>
              <w:rPr>
                <w:b/>
                <w:sz w:val="22"/>
              </w:rPr>
              <w:t>H4</w:t>
            </w:r>
          </w:p>
        </w:tc>
        <w:tc>
          <w:tcPr>
            <w:tcW w:w="1480" w:type="dxa"/>
          </w:tcPr>
          <w:p>
            <w:pPr>
              <w:pStyle w:val="TableParagraph"/>
              <w:spacing w:before="85"/>
              <w:ind w:left="213"/>
              <w:rPr>
                <w:b/>
                <w:sz w:val="22"/>
              </w:rPr>
            </w:pPr>
            <w:r>
              <w:rPr>
                <w:b/>
                <w:sz w:val="22"/>
              </w:rPr>
              <w:t>9.0475833</w:t>
            </w:r>
          </w:p>
        </w:tc>
        <w:tc>
          <w:tcPr>
            <w:tcW w:w="1607" w:type="dxa"/>
          </w:tcPr>
          <w:p>
            <w:pPr>
              <w:pStyle w:val="TableParagraph"/>
              <w:spacing w:before="85"/>
              <w:ind w:left="170"/>
              <w:rPr>
                <w:b/>
                <w:sz w:val="22"/>
              </w:rPr>
            </w:pPr>
            <w:r>
              <w:rPr>
                <w:b/>
                <w:sz w:val="22"/>
              </w:rPr>
              <w:t>6.1355</w:t>
            </w:r>
          </w:p>
        </w:tc>
        <w:tc>
          <w:tcPr>
            <w:tcW w:w="1064" w:type="dxa"/>
          </w:tcPr>
          <w:p>
            <w:pPr>
              <w:pStyle w:val="TableParagraph"/>
              <w:spacing w:before="85"/>
              <w:ind w:right="258"/>
              <w:jc w:val="righ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3</w:t>
            </w:r>
          </w:p>
        </w:tc>
        <w:tc>
          <w:tcPr>
            <w:tcW w:w="861" w:type="dxa"/>
          </w:tcPr>
          <w:p>
            <w:pPr>
              <w:pStyle w:val="TableParagraph"/>
              <w:spacing w:before="85"/>
              <w:ind w:left="109"/>
              <w:rPr>
                <w:b/>
                <w:sz w:val="22"/>
              </w:rPr>
            </w:pPr>
            <w:r>
              <w:rPr>
                <w:b/>
                <w:sz w:val="22"/>
              </w:rPr>
              <w:t>823.2</w:t>
            </w:r>
          </w:p>
        </w:tc>
        <w:tc>
          <w:tcPr>
            <w:tcW w:w="844" w:type="dxa"/>
          </w:tcPr>
          <w:p>
            <w:pPr>
              <w:pStyle w:val="TableParagraph"/>
              <w:spacing w:before="85"/>
              <w:ind w:left="130" w:right="17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295.3</w:t>
            </w:r>
          </w:p>
        </w:tc>
        <w:tc>
          <w:tcPr>
            <w:tcW w:w="958" w:type="dxa"/>
          </w:tcPr>
          <w:p>
            <w:pPr>
              <w:pStyle w:val="TableParagraph"/>
              <w:spacing w:before="85"/>
              <w:ind w:left="204"/>
              <w:rPr>
                <w:b/>
                <w:sz w:val="22"/>
              </w:rPr>
            </w:pPr>
            <w:r>
              <w:rPr>
                <w:b/>
                <w:sz w:val="22"/>
              </w:rPr>
              <w:t>29.8</w:t>
            </w:r>
          </w:p>
        </w:tc>
        <w:tc>
          <w:tcPr>
            <w:tcW w:w="643" w:type="dxa"/>
          </w:tcPr>
          <w:p>
            <w:pPr>
              <w:pStyle w:val="TableParagraph"/>
              <w:spacing w:before="85"/>
              <w:ind w:right="124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0.5</w:t>
            </w:r>
          </w:p>
        </w:tc>
        <w:tc>
          <w:tcPr>
            <w:tcW w:w="638" w:type="dxa"/>
          </w:tcPr>
          <w:p>
            <w:pPr>
              <w:pStyle w:val="TableParagraph"/>
              <w:spacing w:before="85"/>
              <w:ind w:left="137"/>
              <w:rPr>
                <w:b/>
                <w:sz w:val="22"/>
              </w:rPr>
            </w:pPr>
            <w:r>
              <w:rPr>
                <w:b/>
                <w:sz w:val="22"/>
              </w:rPr>
              <w:t>4.3</w:t>
            </w:r>
          </w:p>
        </w:tc>
        <w:tc>
          <w:tcPr>
            <w:tcW w:w="673" w:type="dxa"/>
          </w:tcPr>
          <w:p>
            <w:pPr>
              <w:pStyle w:val="TableParagraph"/>
              <w:spacing w:before="85"/>
              <w:ind w:left="109" w:right="13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21.2</w:t>
            </w:r>
          </w:p>
        </w:tc>
        <w:tc>
          <w:tcPr>
            <w:tcW w:w="709" w:type="dxa"/>
          </w:tcPr>
          <w:p>
            <w:pPr>
              <w:pStyle w:val="TableParagraph"/>
              <w:spacing w:before="85"/>
              <w:ind w:left="175"/>
              <w:rPr>
                <w:b/>
                <w:sz w:val="22"/>
              </w:rPr>
            </w:pPr>
            <w:r>
              <w:rPr>
                <w:b/>
                <w:sz w:val="22"/>
              </w:rPr>
              <w:t>0.5</w:t>
            </w:r>
          </w:p>
        </w:tc>
        <w:tc>
          <w:tcPr>
            <w:tcW w:w="819" w:type="dxa"/>
          </w:tcPr>
          <w:p>
            <w:pPr>
              <w:pStyle w:val="TableParagraph"/>
              <w:spacing w:before="85"/>
              <w:ind w:left="277"/>
              <w:rPr>
                <w:b/>
                <w:sz w:val="22"/>
              </w:rPr>
            </w:pPr>
            <w:r>
              <w:rPr>
                <w:b/>
                <w:sz w:val="22"/>
              </w:rPr>
              <w:t>3.8</w:t>
            </w:r>
          </w:p>
        </w:tc>
        <w:tc>
          <w:tcPr>
            <w:tcW w:w="827" w:type="dxa"/>
          </w:tcPr>
          <w:p>
            <w:pPr>
              <w:pStyle w:val="TableParagraph"/>
              <w:spacing w:before="85"/>
              <w:ind w:left="178"/>
              <w:rPr>
                <w:b/>
                <w:sz w:val="22"/>
              </w:rPr>
            </w:pPr>
            <w:r>
              <w:rPr>
                <w:b/>
                <w:sz w:val="22"/>
              </w:rPr>
              <w:t>16.9</w:t>
            </w:r>
          </w:p>
        </w:tc>
        <w:tc>
          <w:tcPr>
            <w:tcW w:w="1930" w:type="dxa"/>
          </w:tcPr>
          <w:p>
            <w:pPr>
              <w:pStyle w:val="TableParagraph"/>
              <w:spacing w:before="85"/>
              <w:ind w:left="160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Q</w:t>
            </w:r>
          </w:p>
        </w:tc>
      </w:tr>
      <w:tr>
        <w:trPr>
          <w:trHeight w:val="433" w:hRule="atLeast"/>
        </w:trPr>
        <w:tc>
          <w:tcPr>
            <w:tcW w:w="1088" w:type="dxa"/>
          </w:tcPr>
          <w:p>
            <w:pPr>
              <w:pStyle w:val="TableParagraph"/>
              <w:spacing w:before="86"/>
              <w:ind w:left="475"/>
              <w:rPr>
                <w:b/>
                <w:sz w:val="22"/>
              </w:rPr>
            </w:pPr>
            <w:r>
              <w:rPr>
                <w:b/>
                <w:sz w:val="22"/>
              </w:rPr>
              <w:t>I1</w:t>
            </w:r>
          </w:p>
        </w:tc>
        <w:tc>
          <w:tcPr>
            <w:tcW w:w="1480" w:type="dxa"/>
          </w:tcPr>
          <w:p>
            <w:pPr>
              <w:pStyle w:val="TableParagraph"/>
              <w:spacing w:before="86"/>
              <w:ind w:left="213"/>
              <w:rPr>
                <w:b/>
                <w:sz w:val="22"/>
              </w:rPr>
            </w:pPr>
            <w:r>
              <w:rPr>
                <w:b/>
                <w:sz w:val="22"/>
              </w:rPr>
              <w:t>9.0477222</w:t>
            </w:r>
          </w:p>
        </w:tc>
        <w:tc>
          <w:tcPr>
            <w:tcW w:w="1607" w:type="dxa"/>
          </w:tcPr>
          <w:p>
            <w:pPr>
              <w:pStyle w:val="TableParagraph"/>
              <w:spacing w:before="86"/>
              <w:ind w:left="170"/>
              <w:rPr>
                <w:b/>
                <w:sz w:val="22"/>
              </w:rPr>
            </w:pPr>
            <w:r>
              <w:rPr>
                <w:b/>
                <w:sz w:val="22"/>
              </w:rPr>
              <w:t>6.1345278</w:t>
            </w:r>
          </w:p>
        </w:tc>
        <w:tc>
          <w:tcPr>
            <w:tcW w:w="1064" w:type="dxa"/>
          </w:tcPr>
          <w:p>
            <w:pPr>
              <w:pStyle w:val="TableParagraph"/>
              <w:spacing w:before="86"/>
              <w:ind w:right="258"/>
              <w:jc w:val="righ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3</w:t>
            </w:r>
          </w:p>
        </w:tc>
        <w:tc>
          <w:tcPr>
            <w:tcW w:w="861" w:type="dxa"/>
          </w:tcPr>
          <w:p>
            <w:pPr>
              <w:pStyle w:val="TableParagraph"/>
              <w:spacing w:before="86"/>
              <w:ind w:left="109"/>
              <w:rPr>
                <w:b/>
                <w:sz w:val="22"/>
              </w:rPr>
            </w:pPr>
            <w:r>
              <w:rPr>
                <w:b/>
                <w:sz w:val="22"/>
              </w:rPr>
              <w:t>1339.4</w:t>
            </w:r>
          </w:p>
        </w:tc>
        <w:tc>
          <w:tcPr>
            <w:tcW w:w="844" w:type="dxa"/>
          </w:tcPr>
          <w:p>
            <w:pPr>
              <w:pStyle w:val="TableParagraph"/>
              <w:spacing w:before="86"/>
              <w:ind w:left="130" w:right="17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196.2</w:t>
            </w:r>
          </w:p>
        </w:tc>
        <w:tc>
          <w:tcPr>
            <w:tcW w:w="958" w:type="dxa"/>
          </w:tcPr>
          <w:p>
            <w:pPr>
              <w:pStyle w:val="TableParagraph"/>
              <w:spacing w:before="86"/>
              <w:ind w:left="204"/>
              <w:rPr>
                <w:b/>
                <w:sz w:val="22"/>
              </w:rPr>
            </w:pPr>
            <w:r>
              <w:rPr>
                <w:b/>
                <w:sz w:val="22"/>
              </w:rPr>
              <w:t>30.4</w:t>
            </w:r>
          </w:p>
        </w:tc>
        <w:tc>
          <w:tcPr>
            <w:tcW w:w="643" w:type="dxa"/>
          </w:tcPr>
          <w:p>
            <w:pPr>
              <w:pStyle w:val="TableParagraph"/>
              <w:spacing w:before="86"/>
              <w:ind w:right="124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0.5</w:t>
            </w:r>
          </w:p>
        </w:tc>
        <w:tc>
          <w:tcPr>
            <w:tcW w:w="638" w:type="dxa"/>
          </w:tcPr>
          <w:p>
            <w:pPr>
              <w:pStyle w:val="TableParagraph"/>
              <w:spacing w:before="86"/>
              <w:ind w:left="137"/>
              <w:rPr>
                <w:b/>
                <w:sz w:val="22"/>
              </w:rPr>
            </w:pPr>
            <w:r>
              <w:rPr>
                <w:b/>
                <w:sz w:val="22"/>
              </w:rPr>
              <w:t>3.6</w:t>
            </w:r>
          </w:p>
        </w:tc>
        <w:tc>
          <w:tcPr>
            <w:tcW w:w="673" w:type="dxa"/>
          </w:tcPr>
          <w:p>
            <w:pPr>
              <w:pStyle w:val="TableParagraph"/>
              <w:spacing w:before="86"/>
              <w:ind w:left="109" w:right="13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25.0</w:t>
            </w:r>
          </w:p>
        </w:tc>
        <w:tc>
          <w:tcPr>
            <w:tcW w:w="709" w:type="dxa"/>
          </w:tcPr>
          <w:p>
            <w:pPr>
              <w:pStyle w:val="TableParagraph"/>
              <w:spacing w:before="86"/>
              <w:ind w:left="175"/>
              <w:rPr>
                <w:b/>
                <w:sz w:val="22"/>
              </w:rPr>
            </w:pPr>
            <w:r>
              <w:rPr>
                <w:b/>
                <w:sz w:val="22"/>
              </w:rPr>
              <w:t>0.5</w:t>
            </w:r>
          </w:p>
        </w:tc>
        <w:tc>
          <w:tcPr>
            <w:tcW w:w="819" w:type="dxa"/>
          </w:tcPr>
          <w:p>
            <w:pPr>
              <w:pStyle w:val="TableParagraph"/>
              <w:spacing w:before="86"/>
              <w:ind w:left="277"/>
              <w:rPr>
                <w:b/>
                <w:sz w:val="22"/>
              </w:rPr>
            </w:pPr>
            <w:r>
              <w:rPr>
                <w:b/>
                <w:sz w:val="22"/>
              </w:rPr>
              <w:t>3.1</w:t>
            </w:r>
          </w:p>
        </w:tc>
        <w:tc>
          <w:tcPr>
            <w:tcW w:w="827" w:type="dxa"/>
          </w:tcPr>
          <w:p>
            <w:pPr>
              <w:pStyle w:val="TableParagraph"/>
              <w:spacing w:before="86"/>
              <w:ind w:left="178"/>
              <w:rPr>
                <w:b/>
                <w:sz w:val="22"/>
              </w:rPr>
            </w:pPr>
            <w:r>
              <w:rPr>
                <w:b/>
                <w:sz w:val="22"/>
              </w:rPr>
              <w:t>21.4</w:t>
            </w:r>
          </w:p>
        </w:tc>
        <w:tc>
          <w:tcPr>
            <w:tcW w:w="1930" w:type="dxa"/>
          </w:tcPr>
          <w:p>
            <w:pPr>
              <w:pStyle w:val="TableParagraph"/>
              <w:spacing w:before="86"/>
              <w:ind w:left="160"/>
              <w:rPr>
                <w:b/>
                <w:sz w:val="22"/>
              </w:rPr>
            </w:pPr>
            <w:r>
              <w:rPr>
                <w:b/>
                <w:sz w:val="22"/>
              </w:rPr>
              <w:t>QH</w:t>
            </w:r>
          </w:p>
        </w:tc>
      </w:tr>
      <w:tr>
        <w:trPr>
          <w:trHeight w:val="433" w:hRule="atLeast"/>
        </w:trPr>
        <w:tc>
          <w:tcPr>
            <w:tcW w:w="1088" w:type="dxa"/>
          </w:tcPr>
          <w:p>
            <w:pPr>
              <w:pStyle w:val="TableParagraph"/>
              <w:spacing w:before="85"/>
              <w:ind w:left="475"/>
              <w:rPr>
                <w:b/>
                <w:sz w:val="22"/>
              </w:rPr>
            </w:pPr>
            <w:r>
              <w:rPr>
                <w:b/>
                <w:sz w:val="22"/>
              </w:rPr>
              <w:t>I2</w:t>
            </w:r>
          </w:p>
        </w:tc>
        <w:tc>
          <w:tcPr>
            <w:tcW w:w="1480" w:type="dxa"/>
          </w:tcPr>
          <w:p>
            <w:pPr>
              <w:pStyle w:val="TableParagraph"/>
              <w:spacing w:before="85"/>
              <w:ind w:left="213"/>
              <w:rPr>
                <w:b/>
                <w:sz w:val="22"/>
              </w:rPr>
            </w:pPr>
            <w:r>
              <w:rPr>
                <w:b/>
                <w:sz w:val="22"/>
              </w:rPr>
              <w:t>9.04725</w:t>
            </w:r>
          </w:p>
        </w:tc>
        <w:tc>
          <w:tcPr>
            <w:tcW w:w="1607" w:type="dxa"/>
          </w:tcPr>
          <w:p>
            <w:pPr>
              <w:pStyle w:val="TableParagraph"/>
              <w:spacing w:before="85"/>
              <w:ind w:left="170"/>
              <w:rPr>
                <w:b/>
                <w:sz w:val="22"/>
              </w:rPr>
            </w:pPr>
            <w:r>
              <w:rPr>
                <w:b/>
                <w:sz w:val="22"/>
              </w:rPr>
              <w:t>6.134444</w:t>
            </w:r>
          </w:p>
        </w:tc>
        <w:tc>
          <w:tcPr>
            <w:tcW w:w="1064" w:type="dxa"/>
          </w:tcPr>
          <w:p>
            <w:pPr>
              <w:pStyle w:val="TableParagraph"/>
              <w:spacing w:before="85"/>
              <w:ind w:right="258"/>
              <w:jc w:val="righ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3</w:t>
            </w:r>
          </w:p>
        </w:tc>
        <w:tc>
          <w:tcPr>
            <w:tcW w:w="861" w:type="dxa"/>
          </w:tcPr>
          <w:p>
            <w:pPr>
              <w:pStyle w:val="TableParagraph"/>
              <w:spacing w:before="85"/>
              <w:ind w:left="109"/>
              <w:rPr>
                <w:b/>
                <w:sz w:val="22"/>
              </w:rPr>
            </w:pPr>
            <w:r>
              <w:rPr>
                <w:b/>
                <w:sz w:val="22"/>
              </w:rPr>
              <w:t>1167.3</w:t>
            </w:r>
          </w:p>
        </w:tc>
        <w:tc>
          <w:tcPr>
            <w:tcW w:w="844" w:type="dxa"/>
          </w:tcPr>
          <w:p>
            <w:pPr>
              <w:pStyle w:val="TableParagraph"/>
              <w:spacing w:before="85"/>
              <w:ind w:left="130" w:right="17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331.8</w:t>
            </w:r>
          </w:p>
        </w:tc>
        <w:tc>
          <w:tcPr>
            <w:tcW w:w="958" w:type="dxa"/>
          </w:tcPr>
          <w:p>
            <w:pPr>
              <w:pStyle w:val="TableParagraph"/>
              <w:spacing w:before="85"/>
              <w:ind w:left="204"/>
              <w:rPr>
                <w:b/>
                <w:sz w:val="22"/>
              </w:rPr>
            </w:pPr>
            <w:r>
              <w:rPr>
                <w:b/>
                <w:sz w:val="22"/>
              </w:rPr>
              <w:t>16.5</w:t>
            </w:r>
          </w:p>
        </w:tc>
        <w:tc>
          <w:tcPr>
            <w:tcW w:w="643" w:type="dxa"/>
          </w:tcPr>
          <w:p>
            <w:pPr>
              <w:pStyle w:val="TableParagraph"/>
              <w:spacing w:before="85"/>
              <w:ind w:right="124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0.5</w:t>
            </w:r>
          </w:p>
        </w:tc>
        <w:tc>
          <w:tcPr>
            <w:tcW w:w="638" w:type="dxa"/>
          </w:tcPr>
          <w:p>
            <w:pPr>
              <w:pStyle w:val="TableParagraph"/>
              <w:spacing w:before="85"/>
              <w:ind w:left="137"/>
              <w:rPr>
                <w:b/>
                <w:sz w:val="22"/>
              </w:rPr>
            </w:pPr>
            <w:r>
              <w:rPr>
                <w:b/>
                <w:sz w:val="22"/>
              </w:rPr>
              <w:t>4.2</w:t>
            </w:r>
          </w:p>
        </w:tc>
        <w:tc>
          <w:tcPr>
            <w:tcW w:w="673" w:type="dxa"/>
          </w:tcPr>
          <w:p>
            <w:pPr>
              <w:pStyle w:val="TableParagraph"/>
              <w:spacing w:before="85"/>
              <w:ind w:left="109" w:right="13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21.3</w:t>
            </w:r>
          </w:p>
        </w:tc>
        <w:tc>
          <w:tcPr>
            <w:tcW w:w="709" w:type="dxa"/>
          </w:tcPr>
          <w:p>
            <w:pPr>
              <w:pStyle w:val="TableParagraph"/>
              <w:spacing w:before="85"/>
              <w:ind w:left="175"/>
              <w:rPr>
                <w:b/>
                <w:sz w:val="22"/>
              </w:rPr>
            </w:pPr>
            <w:r>
              <w:rPr>
                <w:b/>
                <w:sz w:val="22"/>
              </w:rPr>
              <w:t>0.5</w:t>
            </w:r>
          </w:p>
        </w:tc>
        <w:tc>
          <w:tcPr>
            <w:tcW w:w="819" w:type="dxa"/>
          </w:tcPr>
          <w:p>
            <w:pPr>
              <w:pStyle w:val="TableParagraph"/>
              <w:spacing w:before="85"/>
              <w:ind w:left="277"/>
              <w:rPr>
                <w:b/>
                <w:sz w:val="22"/>
              </w:rPr>
            </w:pPr>
            <w:r>
              <w:rPr>
                <w:b/>
                <w:sz w:val="22"/>
              </w:rPr>
              <w:t>3.7</w:t>
            </w:r>
          </w:p>
        </w:tc>
        <w:tc>
          <w:tcPr>
            <w:tcW w:w="827" w:type="dxa"/>
          </w:tcPr>
          <w:p>
            <w:pPr>
              <w:pStyle w:val="TableParagraph"/>
              <w:spacing w:before="85"/>
              <w:ind w:left="178"/>
              <w:rPr>
                <w:b/>
                <w:sz w:val="22"/>
              </w:rPr>
            </w:pPr>
            <w:r>
              <w:rPr>
                <w:b/>
                <w:sz w:val="22"/>
              </w:rPr>
              <w:t>17.1</w:t>
            </w:r>
          </w:p>
        </w:tc>
        <w:tc>
          <w:tcPr>
            <w:tcW w:w="1930" w:type="dxa"/>
          </w:tcPr>
          <w:p>
            <w:pPr>
              <w:pStyle w:val="TableParagraph"/>
              <w:spacing w:before="85"/>
              <w:ind w:left="160"/>
              <w:rPr>
                <w:b/>
                <w:sz w:val="22"/>
              </w:rPr>
            </w:pPr>
            <w:r>
              <w:rPr>
                <w:b/>
                <w:sz w:val="22"/>
              </w:rPr>
              <w:t>QH</w:t>
            </w:r>
          </w:p>
        </w:tc>
      </w:tr>
      <w:tr>
        <w:trPr>
          <w:trHeight w:val="433" w:hRule="atLeast"/>
        </w:trPr>
        <w:tc>
          <w:tcPr>
            <w:tcW w:w="1088" w:type="dxa"/>
          </w:tcPr>
          <w:p>
            <w:pPr>
              <w:pStyle w:val="TableParagraph"/>
              <w:spacing w:before="86"/>
              <w:ind w:left="475"/>
              <w:rPr>
                <w:b/>
                <w:sz w:val="22"/>
              </w:rPr>
            </w:pPr>
            <w:r>
              <w:rPr>
                <w:b/>
                <w:sz w:val="22"/>
              </w:rPr>
              <w:t>I3</w:t>
            </w:r>
          </w:p>
        </w:tc>
        <w:tc>
          <w:tcPr>
            <w:tcW w:w="1480" w:type="dxa"/>
          </w:tcPr>
          <w:p>
            <w:pPr>
              <w:pStyle w:val="TableParagraph"/>
              <w:spacing w:before="86"/>
              <w:ind w:left="213"/>
              <w:rPr>
                <w:b/>
                <w:sz w:val="22"/>
              </w:rPr>
            </w:pPr>
            <w:r>
              <w:rPr>
                <w:b/>
                <w:sz w:val="22"/>
              </w:rPr>
              <w:t>9.0471389</w:t>
            </w:r>
          </w:p>
        </w:tc>
        <w:tc>
          <w:tcPr>
            <w:tcW w:w="1607" w:type="dxa"/>
          </w:tcPr>
          <w:p>
            <w:pPr>
              <w:pStyle w:val="TableParagraph"/>
              <w:spacing w:before="86"/>
              <w:ind w:left="170"/>
              <w:rPr>
                <w:b/>
                <w:sz w:val="22"/>
              </w:rPr>
            </w:pPr>
            <w:r>
              <w:rPr>
                <w:b/>
                <w:sz w:val="22"/>
              </w:rPr>
              <w:t>6.1355</w:t>
            </w:r>
          </w:p>
        </w:tc>
        <w:tc>
          <w:tcPr>
            <w:tcW w:w="1064" w:type="dxa"/>
          </w:tcPr>
          <w:p>
            <w:pPr>
              <w:pStyle w:val="TableParagraph"/>
              <w:spacing w:before="86"/>
              <w:ind w:right="258"/>
              <w:jc w:val="righ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3</w:t>
            </w:r>
          </w:p>
        </w:tc>
        <w:tc>
          <w:tcPr>
            <w:tcW w:w="861" w:type="dxa"/>
          </w:tcPr>
          <w:p>
            <w:pPr>
              <w:pStyle w:val="TableParagraph"/>
              <w:spacing w:before="86"/>
              <w:ind w:left="109"/>
              <w:rPr>
                <w:b/>
                <w:sz w:val="22"/>
              </w:rPr>
            </w:pPr>
            <w:r>
              <w:rPr>
                <w:b/>
                <w:sz w:val="22"/>
              </w:rPr>
              <w:t>1120.5</w:t>
            </w:r>
          </w:p>
        </w:tc>
        <w:tc>
          <w:tcPr>
            <w:tcW w:w="844" w:type="dxa"/>
          </w:tcPr>
          <w:p>
            <w:pPr>
              <w:pStyle w:val="TableParagraph"/>
              <w:spacing w:before="86"/>
              <w:ind w:left="130" w:right="17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192.5</w:t>
            </w:r>
          </w:p>
        </w:tc>
        <w:tc>
          <w:tcPr>
            <w:tcW w:w="958" w:type="dxa"/>
          </w:tcPr>
          <w:p>
            <w:pPr>
              <w:pStyle w:val="TableParagraph"/>
              <w:spacing w:before="86"/>
              <w:ind w:left="204"/>
              <w:rPr>
                <w:b/>
                <w:sz w:val="22"/>
              </w:rPr>
            </w:pPr>
            <w:r>
              <w:rPr>
                <w:b/>
                <w:sz w:val="22"/>
              </w:rPr>
              <w:t>19.7</w:t>
            </w:r>
          </w:p>
        </w:tc>
        <w:tc>
          <w:tcPr>
            <w:tcW w:w="643" w:type="dxa"/>
          </w:tcPr>
          <w:p>
            <w:pPr>
              <w:pStyle w:val="TableParagraph"/>
              <w:spacing w:before="86"/>
              <w:ind w:right="124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0.6</w:t>
            </w:r>
          </w:p>
        </w:tc>
        <w:tc>
          <w:tcPr>
            <w:tcW w:w="638" w:type="dxa"/>
          </w:tcPr>
          <w:p>
            <w:pPr>
              <w:pStyle w:val="TableParagraph"/>
              <w:spacing w:before="86"/>
              <w:ind w:left="137"/>
              <w:rPr>
                <w:b/>
                <w:sz w:val="22"/>
              </w:rPr>
            </w:pPr>
            <w:r>
              <w:rPr>
                <w:b/>
                <w:sz w:val="22"/>
              </w:rPr>
              <w:t>5.0</w:t>
            </w:r>
          </w:p>
        </w:tc>
        <w:tc>
          <w:tcPr>
            <w:tcW w:w="673" w:type="dxa"/>
          </w:tcPr>
          <w:p>
            <w:pPr>
              <w:pStyle w:val="TableParagraph"/>
              <w:spacing w:before="86"/>
              <w:ind w:left="109" w:right="13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28.5</w:t>
            </w:r>
          </w:p>
        </w:tc>
        <w:tc>
          <w:tcPr>
            <w:tcW w:w="709" w:type="dxa"/>
          </w:tcPr>
          <w:p>
            <w:pPr>
              <w:pStyle w:val="TableParagraph"/>
              <w:spacing w:before="86"/>
              <w:ind w:left="175"/>
              <w:rPr>
                <w:b/>
                <w:sz w:val="22"/>
              </w:rPr>
            </w:pPr>
            <w:r>
              <w:rPr>
                <w:b/>
                <w:sz w:val="22"/>
              </w:rPr>
              <w:t>0.6</w:t>
            </w:r>
          </w:p>
        </w:tc>
        <w:tc>
          <w:tcPr>
            <w:tcW w:w="819" w:type="dxa"/>
          </w:tcPr>
          <w:p>
            <w:pPr>
              <w:pStyle w:val="TableParagraph"/>
              <w:spacing w:before="86"/>
              <w:ind w:left="277"/>
              <w:rPr>
                <w:b/>
                <w:sz w:val="22"/>
              </w:rPr>
            </w:pPr>
            <w:r>
              <w:rPr>
                <w:b/>
                <w:sz w:val="22"/>
              </w:rPr>
              <w:t>4.4</w:t>
            </w:r>
          </w:p>
        </w:tc>
        <w:tc>
          <w:tcPr>
            <w:tcW w:w="827" w:type="dxa"/>
          </w:tcPr>
          <w:p>
            <w:pPr>
              <w:pStyle w:val="TableParagraph"/>
              <w:spacing w:before="86"/>
              <w:ind w:left="178"/>
              <w:rPr>
                <w:b/>
                <w:sz w:val="22"/>
              </w:rPr>
            </w:pPr>
            <w:r>
              <w:rPr>
                <w:b/>
                <w:sz w:val="22"/>
              </w:rPr>
              <w:t>23.5</w:t>
            </w:r>
          </w:p>
        </w:tc>
        <w:tc>
          <w:tcPr>
            <w:tcW w:w="1930" w:type="dxa"/>
          </w:tcPr>
          <w:p>
            <w:pPr>
              <w:pStyle w:val="TableParagraph"/>
              <w:spacing w:before="86"/>
              <w:ind w:left="160"/>
              <w:rPr>
                <w:b/>
                <w:sz w:val="22"/>
              </w:rPr>
            </w:pPr>
            <w:r>
              <w:rPr>
                <w:b/>
                <w:sz w:val="22"/>
              </w:rPr>
              <w:t>QH</w:t>
            </w:r>
          </w:p>
        </w:tc>
      </w:tr>
      <w:tr>
        <w:trPr>
          <w:trHeight w:val="431" w:hRule="atLeast"/>
        </w:trPr>
        <w:tc>
          <w:tcPr>
            <w:tcW w:w="1088" w:type="dxa"/>
          </w:tcPr>
          <w:p>
            <w:pPr>
              <w:pStyle w:val="TableParagraph"/>
              <w:spacing w:before="85"/>
              <w:ind w:left="475"/>
              <w:rPr>
                <w:b/>
                <w:sz w:val="22"/>
              </w:rPr>
            </w:pPr>
            <w:r>
              <w:rPr>
                <w:b/>
                <w:sz w:val="22"/>
              </w:rPr>
              <w:t>I4</w:t>
            </w:r>
          </w:p>
        </w:tc>
        <w:tc>
          <w:tcPr>
            <w:tcW w:w="1480" w:type="dxa"/>
          </w:tcPr>
          <w:p>
            <w:pPr>
              <w:pStyle w:val="TableParagraph"/>
              <w:spacing w:before="85"/>
              <w:ind w:left="213"/>
              <w:rPr>
                <w:b/>
                <w:sz w:val="22"/>
              </w:rPr>
            </w:pPr>
            <w:r>
              <w:rPr>
                <w:b/>
                <w:sz w:val="22"/>
              </w:rPr>
              <w:t>9.0468889</w:t>
            </w:r>
          </w:p>
        </w:tc>
        <w:tc>
          <w:tcPr>
            <w:tcW w:w="1607" w:type="dxa"/>
          </w:tcPr>
          <w:p>
            <w:pPr>
              <w:pStyle w:val="TableParagraph"/>
              <w:spacing w:before="85"/>
              <w:ind w:left="170"/>
              <w:rPr>
                <w:b/>
                <w:sz w:val="22"/>
              </w:rPr>
            </w:pPr>
            <w:r>
              <w:rPr>
                <w:b/>
                <w:sz w:val="22"/>
              </w:rPr>
              <w:t>6.1365556</w:t>
            </w:r>
          </w:p>
        </w:tc>
        <w:tc>
          <w:tcPr>
            <w:tcW w:w="1064" w:type="dxa"/>
          </w:tcPr>
          <w:p>
            <w:pPr>
              <w:pStyle w:val="TableParagraph"/>
              <w:spacing w:before="85"/>
              <w:ind w:right="258"/>
              <w:jc w:val="righ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3</w:t>
            </w:r>
          </w:p>
        </w:tc>
        <w:tc>
          <w:tcPr>
            <w:tcW w:w="861" w:type="dxa"/>
          </w:tcPr>
          <w:p>
            <w:pPr>
              <w:pStyle w:val="TableParagraph"/>
              <w:spacing w:before="85"/>
              <w:ind w:left="109"/>
              <w:rPr>
                <w:b/>
                <w:sz w:val="22"/>
              </w:rPr>
            </w:pPr>
            <w:r>
              <w:rPr>
                <w:b/>
                <w:sz w:val="22"/>
              </w:rPr>
              <w:t>1647.5</w:t>
            </w:r>
          </w:p>
        </w:tc>
        <w:tc>
          <w:tcPr>
            <w:tcW w:w="844" w:type="dxa"/>
          </w:tcPr>
          <w:p>
            <w:pPr>
              <w:pStyle w:val="TableParagraph"/>
              <w:spacing w:before="85"/>
              <w:ind w:left="130" w:right="17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169.1</w:t>
            </w:r>
          </w:p>
        </w:tc>
        <w:tc>
          <w:tcPr>
            <w:tcW w:w="958" w:type="dxa"/>
          </w:tcPr>
          <w:p>
            <w:pPr>
              <w:pStyle w:val="TableParagraph"/>
              <w:spacing w:before="85"/>
              <w:ind w:left="204"/>
              <w:rPr>
                <w:b/>
                <w:sz w:val="22"/>
              </w:rPr>
            </w:pPr>
            <w:r>
              <w:rPr>
                <w:b/>
                <w:sz w:val="22"/>
              </w:rPr>
              <w:t>93.7</w:t>
            </w:r>
          </w:p>
        </w:tc>
        <w:tc>
          <w:tcPr>
            <w:tcW w:w="643" w:type="dxa"/>
          </w:tcPr>
          <w:p>
            <w:pPr>
              <w:pStyle w:val="TableParagraph"/>
              <w:spacing w:before="85"/>
              <w:ind w:right="124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0.4</w:t>
            </w:r>
          </w:p>
        </w:tc>
        <w:tc>
          <w:tcPr>
            <w:tcW w:w="638" w:type="dxa"/>
          </w:tcPr>
          <w:p>
            <w:pPr>
              <w:pStyle w:val="TableParagraph"/>
              <w:spacing w:before="85"/>
              <w:ind w:left="137"/>
              <w:rPr>
                <w:b/>
                <w:sz w:val="22"/>
              </w:rPr>
            </w:pPr>
            <w:r>
              <w:rPr>
                <w:b/>
                <w:sz w:val="22"/>
              </w:rPr>
              <w:t>6.4</w:t>
            </w:r>
          </w:p>
        </w:tc>
        <w:tc>
          <w:tcPr>
            <w:tcW w:w="673" w:type="dxa"/>
          </w:tcPr>
          <w:p>
            <w:pPr>
              <w:pStyle w:val="TableParagraph"/>
              <w:spacing w:before="85"/>
              <w:ind w:left="109" w:right="24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9.7</w:t>
            </w:r>
          </w:p>
        </w:tc>
        <w:tc>
          <w:tcPr>
            <w:tcW w:w="709" w:type="dxa"/>
          </w:tcPr>
          <w:p>
            <w:pPr>
              <w:pStyle w:val="TableParagraph"/>
              <w:spacing w:before="85"/>
              <w:ind w:left="175"/>
              <w:rPr>
                <w:b/>
                <w:sz w:val="22"/>
              </w:rPr>
            </w:pPr>
            <w:r>
              <w:rPr>
                <w:b/>
                <w:sz w:val="22"/>
              </w:rPr>
              <w:t>0.4</w:t>
            </w:r>
          </w:p>
        </w:tc>
        <w:tc>
          <w:tcPr>
            <w:tcW w:w="819" w:type="dxa"/>
          </w:tcPr>
          <w:p>
            <w:pPr>
              <w:pStyle w:val="TableParagraph"/>
              <w:spacing w:before="85"/>
              <w:ind w:left="277"/>
              <w:rPr>
                <w:b/>
                <w:sz w:val="22"/>
              </w:rPr>
            </w:pPr>
            <w:r>
              <w:rPr>
                <w:b/>
                <w:sz w:val="22"/>
              </w:rPr>
              <w:t>6.0</w:t>
            </w:r>
          </w:p>
        </w:tc>
        <w:tc>
          <w:tcPr>
            <w:tcW w:w="827" w:type="dxa"/>
          </w:tcPr>
          <w:p>
            <w:pPr>
              <w:pStyle w:val="TableParagraph"/>
              <w:spacing w:before="85"/>
              <w:ind w:left="178"/>
              <w:rPr>
                <w:b/>
                <w:sz w:val="22"/>
              </w:rPr>
            </w:pPr>
            <w:r>
              <w:rPr>
                <w:b/>
                <w:sz w:val="22"/>
              </w:rPr>
              <w:t>3.3</w:t>
            </w:r>
          </w:p>
        </w:tc>
        <w:tc>
          <w:tcPr>
            <w:tcW w:w="1930" w:type="dxa"/>
          </w:tcPr>
          <w:p>
            <w:pPr>
              <w:pStyle w:val="TableParagraph"/>
              <w:spacing w:before="85"/>
              <w:ind w:left="160"/>
              <w:rPr>
                <w:b/>
                <w:sz w:val="22"/>
              </w:rPr>
            </w:pPr>
            <w:r>
              <w:rPr>
                <w:b/>
                <w:sz w:val="22"/>
              </w:rPr>
              <w:t>QKH</w:t>
            </w:r>
          </w:p>
        </w:tc>
      </w:tr>
      <w:tr>
        <w:trPr>
          <w:trHeight w:val="433" w:hRule="atLeast"/>
        </w:trPr>
        <w:tc>
          <w:tcPr>
            <w:tcW w:w="1088" w:type="dxa"/>
          </w:tcPr>
          <w:p>
            <w:pPr>
              <w:pStyle w:val="TableParagraph"/>
              <w:spacing w:before="85"/>
              <w:ind w:left="475"/>
              <w:rPr>
                <w:b/>
                <w:sz w:val="22"/>
              </w:rPr>
            </w:pPr>
            <w:r>
              <w:rPr>
                <w:b/>
                <w:sz w:val="22"/>
              </w:rPr>
              <w:t>J1</w:t>
            </w:r>
          </w:p>
        </w:tc>
        <w:tc>
          <w:tcPr>
            <w:tcW w:w="1480" w:type="dxa"/>
          </w:tcPr>
          <w:p>
            <w:pPr>
              <w:pStyle w:val="TableParagraph"/>
              <w:spacing w:before="85"/>
              <w:ind w:left="213"/>
              <w:rPr>
                <w:b/>
                <w:sz w:val="22"/>
              </w:rPr>
            </w:pPr>
            <w:r>
              <w:rPr>
                <w:b/>
                <w:sz w:val="22"/>
              </w:rPr>
              <w:t>9.0458889</w:t>
            </w:r>
          </w:p>
        </w:tc>
        <w:tc>
          <w:tcPr>
            <w:tcW w:w="1607" w:type="dxa"/>
          </w:tcPr>
          <w:p>
            <w:pPr>
              <w:pStyle w:val="TableParagraph"/>
              <w:spacing w:before="85"/>
              <w:ind w:left="170"/>
              <w:rPr>
                <w:b/>
                <w:sz w:val="22"/>
              </w:rPr>
            </w:pPr>
            <w:r>
              <w:rPr>
                <w:b/>
                <w:sz w:val="22"/>
              </w:rPr>
              <w:t>6.13825</w:t>
            </w:r>
          </w:p>
        </w:tc>
        <w:tc>
          <w:tcPr>
            <w:tcW w:w="1064" w:type="dxa"/>
          </w:tcPr>
          <w:p>
            <w:pPr>
              <w:pStyle w:val="TableParagraph"/>
              <w:spacing w:before="85"/>
              <w:ind w:right="258"/>
              <w:jc w:val="righ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3</w:t>
            </w:r>
          </w:p>
        </w:tc>
        <w:tc>
          <w:tcPr>
            <w:tcW w:w="861" w:type="dxa"/>
          </w:tcPr>
          <w:p>
            <w:pPr>
              <w:pStyle w:val="TableParagraph"/>
              <w:spacing w:before="85"/>
              <w:ind w:left="109"/>
              <w:rPr>
                <w:b/>
                <w:sz w:val="22"/>
              </w:rPr>
            </w:pPr>
            <w:r>
              <w:rPr>
                <w:b/>
                <w:sz w:val="22"/>
              </w:rPr>
              <w:t>620.5</w:t>
            </w:r>
          </w:p>
        </w:tc>
        <w:tc>
          <w:tcPr>
            <w:tcW w:w="844" w:type="dxa"/>
          </w:tcPr>
          <w:p>
            <w:pPr>
              <w:pStyle w:val="TableParagraph"/>
              <w:spacing w:before="85"/>
              <w:ind w:left="130" w:right="17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115.5</w:t>
            </w:r>
          </w:p>
        </w:tc>
        <w:tc>
          <w:tcPr>
            <w:tcW w:w="958" w:type="dxa"/>
          </w:tcPr>
          <w:p>
            <w:pPr>
              <w:pStyle w:val="TableParagraph"/>
              <w:spacing w:before="85"/>
              <w:ind w:left="204"/>
              <w:rPr>
                <w:b/>
                <w:sz w:val="22"/>
              </w:rPr>
            </w:pPr>
            <w:r>
              <w:rPr>
                <w:b/>
                <w:sz w:val="22"/>
              </w:rPr>
              <w:t>26.7</w:t>
            </w:r>
          </w:p>
        </w:tc>
        <w:tc>
          <w:tcPr>
            <w:tcW w:w="643" w:type="dxa"/>
          </w:tcPr>
          <w:p>
            <w:pPr>
              <w:pStyle w:val="TableParagraph"/>
              <w:spacing w:before="85"/>
              <w:ind w:right="124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2.1</w:t>
            </w:r>
          </w:p>
        </w:tc>
        <w:tc>
          <w:tcPr>
            <w:tcW w:w="638" w:type="dxa"/>
          </w:tcPr>
          <w:p>
            <w:pPr>
              <w:pStyle w:val="TableParagraph"/>
              <w:spacing w:before="85"/>
              <w:ind w:left="137"/>
              <w:rPr>
                <w:b/>
                <w:sz w:val="22"/>
              </w:rPr>
            </w:pPr>
            <w:r>
              <w:rPr>
                <w:b/>
                <w:sz w:val="22"/>
              </w:rPr>
              <w:t>12.5</w:t>
            </w:r>
          </w:p>
        </w:tc>
        <w:tc>
          <w:tcPr>
            <w:tcW w:w="673" w:type="dxa"/>
          </w:tcPr>
          <w:p>
            <w:pPr>
              <w:pStyle w:val="TableParagraph"/>
              <w:spacing w:before="85"/>
              <w:ind w:left="109" w:right="13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37.1</w:t>
            </w:r>
          </w:p>
        </w:tc>
        <w:tc>
          <w:tcPr>
            <w:tcW w:w="709" w:type="dxa"/>
          </w:tcPr>
          <w:p>
            <w:pPr>
              <w:pStyle w:val="TableParagraph"/>
              <w:spacing w:before="85"/>
              <w:ind w:left="175"/>
              <w:rPr>
                <w:b/>
                <w:sz w:val="22"/>
              </w:rPr>
            </w:pPr>
            <w:r>
              <w:rPr>
                <w:b/>
                <w:sz w:val="22"/>
              </w:rPr>
              <w:t>0.4</w:t>
            </w:r>
          </w:p>
        </w:tc>
        <w:tc>
          <w:tcPr>
            <w:tcW w:w="819" w:type="dxa"/>
          </w:tcPr>
          <w:p>
            <w:pPr>
              <w:pStyle w:val="TableParagraph"/>
              <w:spacing w:before="85"/>
              <w:ind w:left="277"/>
              <w:rPr>
                <w:b/>
                <w:sz w:val="22"/>
              </w:rPr>
            </w:pPr>
            <w:r>
              <w:rPr>
                <w:b/>
                <w:sz w:val="22"/>
              </w:rPr>
              <w:t>6.0</w:t>
            </w:r>
          </w:p>
        </w:tc>
        <w:tc>
          <w:tcPr>
            <w:tcW w:w="827" w:type="dxa"/>
          </w:tcPr>
          <w:p>
            <w:pPr>
              <w:pStyle w:val="TableParagraph"/>
              <w:spacing w:before="85"/>
              <w:ind w:left="178"/>
              <w:rPr>
                <w:b/>
                <w:sz w:val="22"/>
              </w:rPr>
            </w:pPr>
            <w:r>
              <w:rPr>
                <w:b/>
                <w:sz w:val="22"/>
              </w:rPr>
              <w:t>3.3</w:t>
            </w:r>
          </w:p>
        </w:tc>
        <w:tc>
          <w:tcPr>
            <w:tcW w:w="1930" w:type="dxa"/>
          </w:tcPr>
          <w:p>
            <w:pPr>
              <w:pStyle w:val="TableParagraph"/>
              <w:spacing w:before="85"/>
              <w:ind w:left="160"/>
              <w:rPr>
                <w:b/>
                <w:sz w:val="22"/>
              </w:rPr>
            </w:pPr>
            <w:r>
              <w:rPr>
                <w:b/>
                <w:sz w:val="22"/>
              </w:rPr>
              <w:t>QHK</w:t>
            </w:r>
          </w:p>
        </w:tc>
      </w:tr>
      <w:tr>
        <w:trPr>
          <w:trHeight w:val="433" w:hRule="atLeast"/>
        </w:trPr>
        <w:tc>
          <w:tcPr>
            <w:tcW w:w="1088" w:type="dxa"/>
          </w:tcPr>
          <w:p>
            <w:pPr>
              <w:pStyle w:val="TableParagraph"/>
              <w:spacing w:before="86"/>
              <w:ind w:left="475"/>
              <w:rPr>
                <w:b/>
                <w:sz w:val="22"/>
              </w:rPr>
            </w:pPr>
            <w:r>
              <w:rPr>
                <w:b/>
                <w:sz w:val="22"/>
              </w:rPr>
              <w:t>J2</w:t>
            </w:r>
          </w:p>
        </w:tc>
        <w:tc>
          <w:tcPr>
            <w:tcW w:w="1480" w:type="dxa"/>
          </w:tcPr>
          <w:p>
            <w:pPr>
              <w:pStyle w:val="TableParagraph"/>
              <w:spacing w:before="86"/>
              <w:ind w:left="213"/>
              <w:rPr>
                <w:b/>
                <w:sz w:val="22"/>
              </w:rPr>
            </w:pPr>
            <w:r>
              <w:rPr>
                <w:b/>
                <w:sz w:val="22"/>
              </w:rPr>
              <w:t>9.0450833</w:t>
            </w:r>
          </w:p>
        </w:tc>
        <w:tc>
          <w:tcPr>
            <w:tcW w:w="1607" w:type="dxa"/>
          </w:tcPr>
          <w:p>
            <w:pPr>
              <w:pStyle w:val="TableParagraph"/>
              <w:spacing w:before="86"/>
              <w:ind w:left="170"/>
              <w:rPr>
                <w:b/>
                <w:sz w:val="22"/>
              </w:rPr>
            </w:pPr>
            <w:r>
              <w:rPr>
                <w:b/>
                <w:sz w:val="22"/>
              </w:rPr>
              <w:t>6.1400556</w:t>
            </w:r>
          </w:p>
        </w:tc>
        <w:tc>
          <w:tcPr>
            <w:tcW w:w="1064" w:type="dxa"/>
          </w:tcPr>
          <w:p>
            <w:pPr>
              <w:pStyle w:val="TableParagraph"/>
              <w:spacing w:before="86"/>
              <w:ind w:right="258"/>
              <w:jc w:val="righ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3</w:t>
            </w:r>
          </w:p>
        </w:tc>
        <w:tc>
          <w:tcPr>
            <w:tcW w:w="861" w:type="dxa"/>
          </w:tcPr>
          <w:p>
            <w:pPr>
              <w:pStyle w:val="TableParagraph"/>
              <w:spacing w:before="86"/>
              <w:ind w:left="109"/>
              <w:rPr>
                <w:b/>
                <w:sz w:val="22"/>
              </w:rPr>
            </w:pPr>
            <w:r>
              <w:rPr>
                <w:b/>
                <w:sz w:val="22"/>
              </w:rPr>
              <w:t>880.6</w:t>
            </w:r>
          </w:p>
        </w:tc>
        <w:tc>
          <w:tcPr>
            <w:tcW w:w="844" w:type="dxa"/>
          </w:tcPr>
          <w:p>
            <w:pPr>
              <w:pStyle w:val="TableParagraph"/>
              <w:spacing w:before="86"/>
              <w:ind w:left="130" w:right="17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282.7</w:t>
            </w:r>
          </w:p>
        </w:tc>
        <w:tc>
          <w:tcPr>
            <w:tcW w:w="958" w:type="dxa"/>
          </w:tcPr>
          <w:p>
            <w:pPr>
              <w:pStyle w:val="TableParagraph"/>
              <w:spacing w:before="86"/>
              <w:ind w:left="204"/>
              <w:rPr>
                <w:b/>
                <w:sz w:val="22"/>
              </w:rPr>
            </w:pPr>
            <w:r>
              <w:rPr>
                <w:b/>
                <w:sz w:val="22"/>
              </w:rPr>
              <w:t>17.1</w:t>
            </w:r>
          </w:p>
        </w:tc>
        <w:tc>
          <w:tcPr>
            <w:tcW w:w="643" w:type="dxa"/>
          </w:tcPr>
          <w:p>
            <w:pPr>
              <w:pStyle w:val="TableParagraph"/>
              <w:spacing w:before="86"/>
              <w:ind w:right="124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0.4</w:t>
            </w:r>
          </w:p>
        </w:tc>
        <w:tc>
          <w:tcPr>
            <w:tcW w:w="638" w:type="dxa"/>
          </w:tcPr>
          <w:p>
            <w:pPr>
              <w:pStyle w:val="TableParagraph"/>
              <w:spacing w:before="86"/>
              <w:ind w:left="137"/>
              <w:rPr>
                <w:b/>
                <w:sz w:val="22"/>
              </w:rPr>
            </w:pPr>
            <w:r>
              <w:rPr>
                <w:b/>
                <w:sz w:val="22"/>
              </w:rPr>
              <w:t>5.0</w:t>
            </w:r>
          </w:p>
        </w:tc>
        <w:tc>
          <w:tcPr>
            <w:tcW w:w="673" w:type="dxa"/>
          </w:tcPr>
          <w:p>
            <w:pPr>
              <w:pStyle w:val="TableParagraph"/>
              <w:spacing w:before="86"/>
              <w:ind w:left="109" w:right="13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23.8</w:t>
            </w:r>
          </w:p>
        </w:tc>
        <w:tc>
          <w:tcPr>
            <w:tcW w:w="709" w:type="dxa"/>
          </w:tcPr>
          <w:p>
            <w:pPr>
              <w:pStyle w:val="TableParagraph"/>
              <w:spacing w:before="86"/>
              <w:ind w:left="175"/>
              <w:rPr>
                <w:b/>
                <w:sz w:val="22"/>
              </w:rPr>
            </w:pPr>
            <w:r>
              <w:rPr>
                <w:b/>
                <w:sz w:val="22"/>
              </w:rPr>
              <w:t>0.4</w:t>
            </w:r>
          </w:p>
        </w:tc>
        <w:tc>
          <w:tcPr>
            <w:tcW w:w="819" w:type="dxa"/>
          </w:tcPr>
          <w:p>
            <w:pPr>
              <w:pStyle w:val="TableParagraph"/>
              <w:spacing w:before="86"/>
              <w:ind w:left="277"/>
              <w:rPr>
                <w:b/>
                <w:sz w:val="22"/>
              </w:rPr>
            </w:pPr>
            <w:r>
              <w:rPr>
                <w:b/>
                <w:sz w:val="22"/>
              </w:rPr>
              <w:t>4.7</w:t>
            </w:r>
          </w:p>
        </w:tc>
        <w:tc>
          <w:tcPr>
            <w:tcW w:w="827" w:type="dxa"/>
          </w:tcPr>
          <w:p>
            <w:pPr>
              <w:pStyle w:val="TableParagraph"/>
              <w:spacing w:before="86"/>
              <w:ind w:left="178"/>
              <w:rPr>
                <w:b/>
                <w:sz w:val="22"/>
              </w:rPr>
            </w:pPr>
            <w:r>
              <w:rPr>
                <w:b/>
                <w:sz w:val="22"/>
              </w:rPr>
              <w:t>18.8</w:t>
            </w:r>
          </w:p>
        </w:tc>
        <w:tc>
          <w:tcPr>
            <w:tcW w:w="1930" w:type="dxa"/>
          </w:tcPr>
          <w:p>
            <w:pPr>
              <w:pStyle w:val="TableParagraph"/>
              <w:spacing w:before="86"/>
              <w:ind w:left="160"/>
              <w:rPr>
                <w:b/>
                <w:sz w:val="22"/>
              </w:rPr>
            </w:pPr>
            <w:r>
              <w:rPr>
                <w:b/>
                <w:sz w:val="22"/>
              </w:rPr>
              <w:t>QH</w:t>
            </w:r>
          </w:p>
        </w:tc>
      </w:tr>
      <w:tr>
        <w:trPr>
          <w:trHeight w:val="433" w:hRule="atLeast"/>
        </w:trPr>
        <w:tc>
          <w:tcPr>
            <w:tcW w:w="1088" w:type="dxa"/>
          </w:tcPr>
          <w:p>
            <w:pPr>
              <w:pStyle w:val="TableParagraph"/>
              <w:spacing w:before="85"/>
              <w:ind w:left="475"/>
              <w:rPr>
                <w:b/>
                <w:sz w:val="22"/>
              </w:rPr>
            </w:pPr>
            <w:r>
              <w:rPr>
                <w:b/>
                <w:sz w:val="22"/>
              </w:rPr>
              <w:t>J3</w:t>
            </w:r>
          </w:p>
        </w:tc>
        <w:tc>
          <w:tcPr>
            <w:tcW w:w="1480" w:type="dxa"/>
          </w:tcPr>
          <w:p>
            <w:pPr>
              <w:pStyle w:val="TableParagraph"/>
              <w:spacing w:before="85"/>
              <w:ind w:left="213"/>
              <w:rPr>
                <w:b/>
                <w:sz w:val="22"/>
              </w:rPr>
            </w:pPr>
            <w:r>
              <w:rPr>
                <w:b/>
                <w:sz w:val="22"/>
              </w:rPr>
              <w:t>9.0462778</w:t>
            </w:r>
          </w:p>
        </w:tc>
        <w:tc>
          <w:tcPr>
            <w:tcW w:w="1607" w:type="dxa"/>
          </w:tcPr>
          <w:p>
            <w:pPr>
              <w:pStyle w:val="TableParagraph"/>
              <w:spacing w:before="85"/>
              <w:ind w:left="170"/>
              <w:rPr>
                <w:b/>
                <w:sz w:val="22"/>
              </w:rPr>
            </w:pPr>
            <w:r>
              <w:rPr>
                <w:b/>
                <w:sz w:val="22"/>
              </w:rPr>
              <w:t>6.1374167</w:t>
            </w:r>
          </w:p>
        </w:tc>
        <w:tc>
          <w:tcPr>
            <w:tcW w:w="1064" w:type="dxa"/>
          </w:tcPr>
          <w:p>
            <w:pPr>
              <w:pStyle w:val="TableParagraph"/>
              <w:spacing w:before="85"/>
              <w:ind w:right="258"/>
              <w:jc w:val="righ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3</w:t>
            </w:r>
          </w:p>
        </w:tc>
        <w:tc>
          <w:tcPr>
            <w:tcW w:w="861" w:type="dxa"/>
          </w:tcPr>
          <w:p>
            <w:pPr>
              <w:pStyle w:val="TableParagraph"/>
              <w:spacing w:before="85"/>
              <w:ind w:left="109"/>
              <w:rPr>
                <w:b/>
                <w:sz w:val="22"/>
              </w:rPr>
            </w:pPr>
            <w:r>
              <w:rPr>
                <w:b/>
                <w:sz w:val="22"/>
              </w:rPr>
              <w:t>372.4</w:t>
            </w:r>
          </w:p>
        </w:tc>
        <w:tc>
          <w:tcPr>
            <w:tcW w:w="844" w:type="dxa"/>
          </w:tcPr>
          <w:p>
            <w:pPr>
              <w:pStyle w:val="TableParagraph"/>
              <w:spacing w:before="85"/>
              <w:ind w:left="130" w:right="17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118.9</w:t>
            </w:r>
          </w:p>
        </w:tc>
        <w:tc>
          <w:tcPr>
            <w:tcW w:w="958" w:type="dxa"/>
          </w:tcPr>
          <w:p>
            <w:pPr>
              <w:pStyle w:val="TableParagraph"/>
              <w:spacing w:before="85"/>
              <w:ind w:left="204"/>
              <w:rPr>
                <w:b/>
                <w:sz w:val="22"/>
              </w:rPr>
            </w:pPr>
            <w:r>
              <w:rPr>
                <w:b/>
                <w:sz w:val="22"/>
              </w:rPr>
              <w:t>61.1</w:t>
            </w:r>
          </w:p>
        </w:tc>
        <w:tc>
          <w:tcPr>
            <w:tcW w:w="643" w:type="dxa"/>
          </w:tcPr>
          <w:p>
            <w:pPr>
              <w:pStyle w:val="TableParagraph"/>
              <w:spacing w:before="85"/>
              <w:ind w:right="124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0.7</w:t>
            </w:r>
          </w:p>
        </w:tc>
        <w:tc>
          <w:tcPr>
            <w:tcW w:w="638" w:type="dxa"/>
          </w:tcPr>
          <w:p>
            <w:pPr>
              <w:pStyle w:val="TableParagraph"/>
              <w:spacing w:before="85"/>
              <w:ind w:left="137"/>
              <w:rPr>
                <w:b/>
                <w:sz w:val="22"/>
              </w:rPr>
            </w:pPr>
            <w:r>
              <w:rPr>
                <w:b/>
                <w:sz w:val="22"/>
              </w:rPr>
              <w:t>6.6</w:t>
            </w:r>
          </w:p>
        </w:tc>
        <w:tc>
          <w:tcPr>
            <w:tcW w:w="673" w:type="dxa"/>
          </w:tcPr>
          <w:p>
            <w:pPr>
              <w:pStyle w:val="TableParagraph"/>
              <w:spacing w:before="85"/>
              <w:ind w:left="109" w:right="13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19.4</w:t>
            </w:r>
          </w:p>
        </w:tc>
        <w:tc>
          <w:tcPr>
            <w:tcW w:w="709" w:type="dxa"/>
          </w:tcPr>
          <w:p>
            <w:pPr>
              <w:pStyle w:val="TableParagraph"/>
              <w:spacing w:before="85"/>
              <w:ind w:left="175"/>
              <w:rPr>
                <w:b/>
                <w:sz w:val="22"/>
              </w:rPr>
            </w:pPr>
            <w:r>
              <w:rPr>
                <w:b/>
                <w:sz w:val="22"/>
              </w:rPr>
              <w:t>0.4</w:t>
            </w:r>
          </w:p>
        </w:tc>
        <w:tc>
          <w:tcPr>
            <w:tcW w:w="819" w:type="dxa"/>
          </w:tcPr>
          <w:p>
            <w:pPr>
              <w:pStyle w:val="TableParagraph"/>
              <w:spacing w:before="85"/>
              <w:ind w:left="277"/>
              <w:rPr>
                <w:b/>
                <w:sz w:val="22"/>
              </w:rPr>
            </w:pPr>
            <w:r>
              <w:rPr>
                <w:b/>
                <w:sz w:val="22"/>
              </w:rPr>
              <w:t>4.7</w:t>
            </w:r>
          </w:p>
        </w:tc>
        <w:tc>
          <w:tcPr>
            <w:tcW w:w="827" w:type="dxa"/>
          </w:tcPr>
          <w:p>
            <w:pPr>
              <w:pStyle w:val="TableParagraph"/>
              <w:spacing w:before="85"/>
              <w:ind w:left="178"/>
              <w:rPr>
                <w:b/>
                <w:sz w:val="22"/>
              </w:rPr>
            </w:pPr>
            <w:r>
              <w:rPr>
                <w:b/>
                <w:sz w:val="22"/>
              </w:rPr>
              <w:t>18.8</w:t>
            </w:r>
          </w:p>
        </w:tc>
        <w:tc>
          <w:tcPr>
            <w:tcW w:w="1930" w:type="dxa"/>
          </w:tcPr>
          <w:p>
            <w:pPr>
              <w:pStyle w:val="TableParagraph"/>
              <w:spacing w:before="85"/>
              <w:ind w:left="160"/>
              <w:rPr>
                <w:b/>
                <w:sz w:val="22"/>
              </w:rPr>
            </w:pPr>
            <w:r>
              <w:rPr>
                <w:b/>
                <w:sz w:val="22"/>
              </w:rPr>
              <w:t>QH</w:t>
            </w:r>
          </w:p>
        </w:tc>
      </w:tr>
      <w:tr>
        <w:trPr>
          <w:trHeight w:val="519" w:hRule="atLeast"/>
        </w:trPr>
        <w:tc>
          <w:tcPr>
            <w:tcW w:w="1088" w:type="dxa"/>
            <w:tcBorders>
              <w:bottom w:val="single" w:sz="4" w:space="0" w:color="7E7E7E"/>
            </w:tcBorders>
          </w:tcPr>
          <w:p>
            <w:pPr>
              <w:pStyle w:val="TableParagraph"/>
              <w:spacing w:before="86"/>
              <w:ind w:left="475"/>
              <w:rPr>
                <w:b/>
                <w:sz w:val="22"/>
              </w:rPr>
            </w:pPr>
            <w:r>
              <w:rPr>
                <w:b/>
                <w:sz w:val="22"/>
              </w:rPr>
              <w:t>J4</w:t>
            </w:r>
          </w:p>
        </w:tc>
        <w:tc>
          <w:tcPr>
            <w:tcW w:w="1480" w:type="dxa"/>
            <w:tcBorders>
              <w:bottom w:val="single" w:sz="4" w:space="0" w:color="7E7E7E"/>
            </w:tcBorders>
          </w:tcPr>
          <w:p>
            <w:pPr>
              <w:pStyle w:val="TableParagraph"/>
              <w:spacing w:before="86"/>
              <w:ind w:left="213"/>
              <w:rPr>
                <w:b/>
                <w:sz w:val="22"/>
              </w:rPr>
            </w:pPr>
            <w:r>
              <w:rPr>
                <w:b/>
                <w:sz w:val="22"/>
              </w:rPr>
              <w:t>9.0465278</w:t>
            </w:r>
          </w:p>
        </w:tc>
        <w:tc>
          <w:tcPr>
            <w:tcW w:w="1607" w:type="dxa"/>
            <w:tcBorders>
              <w:bottom w:val="single" w:sz="4" w:space="0" w:color="7E7E7E"/>
            </w:tcBorders>
          </w:tcPr>
          <w:p>
            <w:pPr>
              <w:pStyle w:val="TableParagraph"/>
              <w:spacing w:before="86"/>
              <w:ind w:left="170"/>
              <w:rPr>
                <w:b/>
                <w:sz w:val="22"/>
              </w:rPr>
            </w:pPr>
            <w:r>
              <w:rPr>
                <w:b/>
                <w:sz w:val="22"/>
              </w:rPr>
              <w:t>6.1363056</w:t>
            </w:r>
          </w:p>
        </w:tc>
        <w:tc>
          <w:tcPr>
            <w:tcW w:w="1064" w:type="dxa"/>
            <w:tcBorders>
              <w:bottom w:val="single" w:sz="4" w:space="0" w:color="7E7E7E"/>
            </w:tcBorders>
          </w:tcPr>
          <w:p>
            <w:pPr>
              <w:pStyle w:val="TableParagraph"/>
              <w:spacing w:before="86"/>
              <w:ind w:right="258"/>
              <w:jc w:val="righ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3</w:t>
            </w:r>
          </w:p>
        </w:tc>
        <w:tc>
          <w:tcPr>
            <w:tcW w:w="861" w:type="dxa"/>
            <w:tcBorders>
              <w:bottom w:val="single" w:sz="4" w:space="0" w:color="7E7E7E"/>
            </w:tcBorders>
          </w:tcPr>
          <w:p>
            <w:pPr>
              <w:pStyle w:val="TableParagraph"/>
              <w:spacing w:before="86"/>
              <w:ind w:left="109"/>
              <w:rPr>
                <w:b/>
                <w:sz w:val="22"/>
              </w:rPr>
            </w:pPr>
            <w:r>
              <w:rPr>
                <w:b/>
                <w:sz w:val="22"/>
              </w:rPr>
              <w:t>1031.6</w:t>
            </w:r>
          </w:p>
        </w:tc>
        <w:tc>
          <w:tcPr>
            <w:tcW w:w="844" w:type="dxa"/>
            <w:tcBorders>
              <w:bottom w:val="single" w:sz="4" w:space="0" w:color="7E7E7E"/>
            </w:tcBorders>
          </w:tcPr>
          <w:p>
            <w:pPr>
              <w:pStyle w:val="TableParagraph"/>
              <w:spacing w:before="86"/>
              <w:ind w:left="130" w:right="17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220.2</w:t>
            </w:r>
          </w:p>
        </w:tc>
        <w:tc>
          <w:tcPr>
            <w:tcW w:w="958" w:type="dxa"/>
            <w:tcBorders>
              <w:bottom w:val="single" w:sz="4" w:space="0" w:color="7E7E7E"/>
            </w:tcBorders>
          </w:tcPr>
          <w:p>
            <w:pPr>
              <w:pStyle w:val="TableParagraph"/>
              <w:spacing w:before="86"/>
              <w:ind w:left="204"/>
              <w:rPr>
                <w:b/>
                <w:sz w:val="22"/>
              </w:rPr>
            </w:pPr>
            <w:r>
              <w:rPr>
                <w:b/>
                <w:sz w:val="22"/>
              </w:rPr>
              <w:t>37.4</w:t>
            </w:r>
          </w:p>
        </w:tc>
        <w:tc>
          <w:tcPr>
            <w:tcW w:w="643" w:type="dxa"/>
            <w:tcBorders>
              <w:bottom w:val="single" w:sz="4" w:space="0" w:color="7E7E7E"/>
            </w:tcBorders>
          </w:tcPr>
          <w:p>
            <w:pPr>
              <w:pStyle w:val="TableParagraph"/>
              <w:spacing w:before="86"/>
              <w:ind w:right="124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0.4</w:t>
            </w:r>
          </w:p>
        </w:tc>
        <w:tc>
          <w:tcPr>
            <w:tcW w:w="638" w:type="dxa"/>
            <w:tcBorders>
              <w:bottom w:val="single" w:sz="4" w:space="0" w:color="7E7E7E"/>
            </w:tcBorders>
          </w:tcPr>
          <w:p>
            <w:pPr>
              <w:pStyle w:val="TableParagraph"/>
              <w:spacing w:before="86"/>
              <w:ind w:left="137"/>
              <w:rPr>
                <w:b/>
                <w:sz w:val="22"/>
              </w:rPr>
            </w:pPr>
            <w:r>
              <w:rPr>
                <w:b/>
                <w:sz w:val="22"/>
              </w:rPr>
              <w:t>3.6</w:t>
            </w:r>
          </w:p>
        </w:tc>
        <w:tc>
          <w:tcPr>
            <w:tcW w:w="673" w:type="dxa"/>
            <w:tcBorders>
              <w:bottom w:val="single" w:sz="4" w:space="0" w:color="7E7E7E"/>
            </w:tcBorders>
          </w:tcPr>
          <w:p>
            <w:pPr>
              <w:pStyle w:val="TableParagraph"/>
              <w:spacing w:before="86"/>
              <w:ind w:left="109" w:right="13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32.7</w:t>
            </w:r>
          </w:p>
        </w:tc>
        <w:tc>
          <w:tcPr>
            <w:tcW w:w="709" w:type="dxa"/>
            <w:tcBorders>
              <w:bottom w:val="single" w:sz="4" w:space="0" w:color="7E7E7E"/>
            </w:tcBorders>
          </w:tcPr>
          <w:p>
            <w:pPr>
              <w:pStyle w:val="TableParagraph"/>
              <w:spacing w:before="86"/>
              <w:ind w:left="175"/>
              <w:rPr>
                <w:b/>
                <w:sz w:val="22"/>
              </w:rPr>
            </w:pPr>
            <w:r>
              <w:rPr>
                <w:b/>
                <w:sz w:val="22"/>
              </w:rPr>
              <w:t>0.4</w:t>
            </w:r>
          </w:p>
        </w:tc>
        <w:tc>
          <w:tcPr>
            <w:tcW w:w="819" w:type="dxa"/>
            <w:tcBorders>
              <w:bottom w:val="single" w:sz="4" w:space="0" w:color="7E7E7E"/>
            </w:tcBorders>
          </w:tcPr>
          <w:p>
            <w:pPr>
              <w:pStyle w:val="TableParagraph"/>
              <w:spacing w:before="86"/>
              <w:ind w:left="277"/>
              <w:rPr>
                <w:b/>
                <w:sz w:val="22"/>
              </w:rPr>
            </w:pPr>
            <w:r>
              <w:rPr>
                <w:b/>
                <w:sz w:val="22"/>
              </w:rPr>
              <w:t>3.2</w:t>
            </w:r>
          </w:p>
        </w:tc>
        <w:tc>
          <w:tcPr>
            <w:tcW w:w="827" w:type="dxa"/>
            <w:tcBorders>
              <w:bottom w:val="single" w:sz="4" w:space="0" w:color="7E7E7E"/>
            </w:tcBorders>
          </w:tcPr>
          <w:p>
            <w:pPr>
              <w:pStyle w:val="TableParagraph"/>
              <w:spacing w:before="86"/>
              <w:ind w:left="178"/>
              <w:rPr>
                <w:b/>
                <w:sz w:val="22"/>
              </w:rPr>
            </w:pPr>
            <w:r>
              <w:rPr>
                <w:b/>
                <w:sz w:val="22"/>
              </w:rPr>
              <w:t>29.1</w:t>
            </w:r>
          </w:p>
        </w:tc>
        <w:tc>
          <w:tcPr>
            <w:tcW w:w="1930" w:type="dxa"/>
            <w:tcBorders>
              <w:bottom w:val="single" w:sz="4" w:space="0" w:color="7E7E7E"/>
            </w:tcBorders>
          </w:tcPr>
          <w:p>
            <w:pPr>
              <w:pStyle w:val="TableParagraph"/>
              <w:spacing w:before="86"/>
              <w:ind w:left="160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Q</w:t>
            </w:r>
          </w:p>
        </w:tc>
      </w:tr>
    </w:tbl>
    <w:p>
      <w:pPr>
        <w:spacing w:after="0"/>
        <w:rPr>
          <w:sz w:val="22"/>
        </w:rPr>
        <w:sectPr>
          <w:pgSz w:w="16840" w:h="11910" w:orient="landscape"/>
          <w:pgMar w:header="0" w:footer="1067" w:top="720" w:bottom="1260" w:left="1220" w:right="1220"/>
        </w:sectPr>
      </w:pPr>
    </w:p>
    <w:p>
      <w:pPr>
        <w:pStyle w:val="BodyText"/>
        <w:spacing w:line="480" w:lineRule="auto" w:before="64"/>
        <w:ind w:left="1287" w:right="1409"/>
        <w:jc w:val="both"/>
      </w:pPr>
      <w:r>
        <w:rPr/>
        <w:t>In order to ascertain the aquifer protectivity, transmissivity and soil corrosivity of the</w:t>
      </w:r>
      <w:r>
        <w:rPr>
          <w:spacing w:val="1"/>
        </w:rPr>
        <w:t> </w:t>
      </w:r>
      <w:r>
        <w:rPr/>
        <w:t>area under consideration, the longitudinal conductance and transverse resistance values</w:t>
      </w:r>
      <w:r>
        <w:rPr>
          <w:spacing w:val="1"/>
        </w:rPr>
        <w:t> </w:t>
      </w:r>
      <w:r>
        <w:rPr/>
        <w:t>were evaluated from the measured resistivity values andthe thicknesses of the layers</w:t>
      </w:r>
      <w:r>
        <w:rPr>
          <w:spacing w:val="1"/>
        </w:rPr>
        <w:t> </w:t>
      </w:r>
      <w:r>
        <w:rPr/>
        <w:t>using</w:t>
      </w:r>
      <w:r>
        <w:rPr>
          <w:spacing w:val="-3"/>
        </w:rPr>
        <w:t> </w:t>
      </w:r>
      <w:r>
        <w:rPr/>
        <w:t>table</w:t>
      </w:r>
      <w:r>
        <w:rPr>
          <w:spacing w:val="-1"/>
        </w:rPr>
        <w:t> </w:t>
      </w:r>
      <w:r>
        <w:rPr/>
        <w:t>3.1 and 3.2</w:t>
      </w:r>
      <w:r>
        <w:rPr>
          <w:spacing w:val="2"/>
        </w:rPr>
        <w:t> </w:t>
      </w:r>
      <w:r>
        <w:rPr/>
        <w:t>respectively</w:t>
      </w:r>
      <w:r>
        <w:rPr>
          <w:spacing w:val="-3"/>
        </w:rPr>
        <w:t> </w:t>
      </w:r>
      <w:r>
        <w:rPr/>
        <w:t>as</w:t>
      </w:r>
      <w:r>
        <w:rPr>
          <w:spacing w:val="2"/>
        </w:rPr>
        <w:t> </w:t>
      </w:r>
      <w:r>
        <w:rPr/>
        <w:t>shown in Table (4.2).</w:t>
      </w:r>
    </w:p>
    <w:p>
      <w:pPr>
        <w:pStyle w:val="BodyText"/>
        <w:spacing w:before="162"/>
        <w:ind w:left="1287"/>
        <w:jc w:val="both"/>
      </w:pPr>
      <w:r>
        <w:rPr/>
        <w:t>The</w:t>
      </w:r>
      <w:r>
        <w:rPr>
          <w:spacing w:val="19"/>
        </w:rPr>
        <w:t> </w:t>
      </w:r>
      <w:r>
        <w:rPr/>
        <w:t>longitudinal</w:t>
      </w:r>
      <w:r>
        <w:rPr>
          <w:spacing w:val="21"/>
        </w:rPr>
        <w:t> </w:t>
      </w:r>
      <w:r>
        <w:rPr/>
        <w:t>conductance</w:t>
      </w:r>
      <w:r>
        <w:rPr>
          <w:spacing w:val="19"/>
        </w:rPr>
        <w:t> </w:t>
      </w:r>
      <w:r>
        <w:rPr/>
        <w:t>also</w:t>
      </w:r>
      <w:r>
        <w:rPr>
          <w:spacing w:val="22"/>
        </w:rPr>
        <w:t> </w:t>
      </w:r>
      <w:r>
        <w:rPr/>
        <w:t>shows</w:t>
      </w:r>
      <w:r>
        <w:rPr>
          <w:spacing w:val="22"/>
        </w:rPr>
        <w:t> </w:t>
      </w:r>
      <w:r>
        <w:rPr/>
        <w:t>a</w:t>
      </w:r>
      <w:r>
        <w:rPr>
          <w:spacing w:val="20"/>
        </w:rPr>
        <w:t> </w:t>
      </w:r>
      <w:r>
        <w:rPr/>
        <w:t>variation</w:t>
      </w:r>
      <w:r>
        <w:rPr>
          <w:spacing w:val="20"/>
        </w:rPr>
        <w:t> </w:t>
      </w:r>
      <w:r>
        <w:rPr/>
        <w:t>from</w:t>
      </w:r>
      <w:r>
        <w:rPr>
          <w:spacing w:val="21"/>
        </w:rPr>
        <w:t> </w:t>
      </w:r>
      <w:r>
        <w:rPr/>
        <w:t>0.001</w:t>
      </w:r>
      <w:r>
        <w:rPr>
          <w:spacing w:val="20"/>
        </w:rPr>
        <w:t> </w:t>
      </w:r>
      <w:r>
        <w:rPr/>
        <w:t>Siemens</w:t>
      </w:r>
      <w:r>
        <w:rPr>
          <w:spacing w:val="21"/>
        </w:rPr>
        <w:t> </w:t>
      </w:r>
      <w:r>
        <w:rPr/>
        <w:t>in</w:t>
      </w:r>
      <w:r>
        <w:rPr>
          <w:spacing w:val="21"/>
        </w:rPr>
        <w:t> </w:t>
      </w:r>
      <w:r>
        <w:rPr/>
        <w:t>VES</w:t>
      </w:r>
      <w:r>
        <w:rPr>
          <w:spacing w:val="21"/>
        </w:rPr>
        <w:t> </w:t>
      </w:r>
      <w:r>
        <w:rPr/>
        <w:t>4</w:t>
      </w:r>
      <w:r>
        <w:rPr>
          <w:spacing w:val="21"/>
        </w:rPr>
        <w:t> </w:t>
      </w:r>
      <w:r>
        <w:rPr/>
        <w:t>to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480" w:lineRule="auto"/>
        <w:ind w:left="1287" w:right="1405"/>
        <w:jc w:val="both"/>
      </w:pPr>
      <w:r>
        <w:rPr/>
        <w:t>4.465 Siemens in VES 23.</w:t>
      </w:r>
      <w:r>
        <w:rPr>
          <w:spacing w:val="1"/>
        </w:rPr>
        <w:t> </w:t>
      </w:r>
      <w:r>
        <w:rPr/>
        <w:t>On average, all the VES points show values of longitudinal</w:t>
      </w:r>
      <w:r>
        <w:rPr>
          <w:spacing w:val="1"/>
        </w:rPr>
        <w:t> </w:t>
      </w:r>
      <w:r>
        <w:rPr/>
        <w:t>conductance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less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1.0</w:t>
      </w:r>
      <w:r>
        <w:rPr>
          <w:spacing w:val="1"/>
        </w:rPr>
        <w:t> </w:t>
      </w:r>
      <w:r>
        <w:rPr/>
        <w:t>Siemens,</w:t>
      </w:r>
      <w:r>
        <w:rPr>
          <w:spacing w:val="1"/>
        </w:rPr>
        <w:t> </w:t>
      </w:r>
      <w:r>
        <w:rPr/>
        <w:t>suggesting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overburden</w:t>
      </w:r>
      <w:r>
        <w:rPr>
          <w:spacing w:val="1"/>
        </w:rPr>
        <w:t> </w:t>
      </w:r>
      <w:r>
        <w:rPr/>
        <w:t>rock</w:t>
      </w:r>
      <w:r>
        <w:rPr>
          <w:spacing w:val="1"/>
        </w:rPr>
        <w:t> </w:t>
      </w:r>
      <w:r>
        <w:rPr/>
        <w:t>materials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quantity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impermeable</w:t>
      </w:r>
      <w:r>
        <w:rPr>
          <w:spacing w:val="1"/>
        </w:rPr>
        <w:t> </w:t>
      </w:r>
      <w:r>
        <w:rPr/>
        <w:t>clay</w:t>
      </w:r>
      <w:r>
        <w:rPr>
          <w:spacing w:val="1"/>
        </w:rPr>
        <w:t> </w:t>
      </w:r>
      <w:r>
        <w:rPr/>
        <w:t>overlying</w:t>
      </w:r>
      <w:r>
        <w:rPr>
          <w:spacing w:val="1"/>
        </w:rPr>
        <w:t> </w:t>
      </w:r>
      <w:r>
        <w:rPr/>
        <w:t>strata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demonstrates</w:t>
      </w:r>
      <w:r>
        <w:rPr>
          <w:spacing w:val="-1"/>
        </w:rPr>
        <w:t> </w:t>
      </w:r>
      <w:r>
        <w:rPr/>
        <w:t>high infiltration rates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surface</w:t>
      </w:r>
      <w:r>
        <w:rPr>
          <w:spacing w:val="-1"/>
        </w:rPr>
        <w:t> </w:t>
      </w:r>
      <w:r>
        <w:rPr/>
        <w:t>contaminants</w:t>
      </w:r>
      <w:r>
        <w:rPr>
          <w:spacing w:val="-1"/>
        </w:rPr>
        <w:t> </w:t>
      </w:r>
      <w:r>
        <w:rPr/>
        <w:t>into the</w:t>
      </w:r>
      <w:r>
        <w:rPr>
          <w:spacing w:val="-1"/>
        </w:rPr>
        <w:t> </w:t>
      </w:r>
      <w:r>
        <w:rPr/>
        <w:t>aquifer.</w:t>
      </w:r>
    </w:p>
    <w:p>
      <w:pPr>
        <w:pStyle w:val="BodyText"/>
        <w:spacing w:line="480" w:lineRule="auto" w:before="1"/>
        <w:ind w:left="1287" w:right="1406"/>
        <w:jc w:val="both"/>
      </w:pPr>
      <w:r>
        <w:rPr/>
        <w:t>The</w:t>
      </w:r>
      <w:r>
        <w:rPr>
          <w:spacing w:val="1"/>
        </w:rPr>
        <w:t> </w:t>
      </w:r>
      <w:r>
        <w:rPr/>
        <w:t>resistivity</w:t>
      </w:r>
      <w:r>
        <w:rPr>
          <w:spacing w:val="1"/>
        </w:rPr>
        <w:t> </w:t>
      </w:r>
      <w:r>
        <w:rPr/>
        <w:t>values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measurements</w:t>
      </w:r>
      <w:r>
        <w:rPr>
          <w:spacing w:val="1"/>
        </w:rPr>
        <w:t> </w:t>
      </w:r>
      <w:r>
        <w:rPr/>
        <w:t>show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overburden</w:t>
      </w:r>
      <w:r>
        <w:rPr>
          <w:spacing w:val="1"/>
        </w:rPr>
        <w:t> </w:t>
      </w:r>
      <w:r>
        <w:rPr/>
        <w:t>resistivity values are relatively low in VES 6, 7, 9, 12, 17, 18, 21 and 28. This indicates</w:t>
      </w:r>
      <w:r>
        <w:rPr>
          <w:spacing w:val="1"/>
        </w:rPr>
        <w:t> </w:t>
      </w:r>
      <w:r>
        <w:rPr/>
        <w:t>that the areas are generally corrosive, having weak conductance and aquifer protective</w:t>
      </w:r>
      <w:r>
        <w:rPr>
          <w:spacing w:val="1"/>
        </w:rPr>
        <w:t> </w:t>
      </w:r>
      <w:r>
        <w:rPr/>
        <w:t>capacity.</w:t>
      </w:r>
    </w:p>
    <w:p>
      <w:pPr>
        <w:pStyle w:val="BodyText"/>
        <w:spacing w:line="480" w:lineRule="auto"/>
        <w:ind w:left="1287" w:right="1411"/>
        <w:jc w:val="both"/>
      </w:pPr>
      <w:r>
        <w:rPr/>
        <w:t>This corrosivity could be attributed to the chemical constituents of the area and may</w:t>
      </w:r>
      <w:r>
        <w:rPr>
          <w:spacing w:val="1"/>
        </w:rPr>
        <w:t> </w:t>
      </w:r>
      <w:r>
        <w:rPr/>
        <w:t>cause</w:t>
      </w:r>
      <w:r>
        <w:rPr>
          <w:spacing w:val="-2"/>
        </w:rPr>
        <w:t> </w:t>
      </w:r>
      <w:r>
        <w:rPr/>
        <w:t>disease</w:t>
      </w:r>
      <w:r>
        <w:rPr>
          <w:spacing w:val="-1"/>
        </w:rPr>
        <w:t> </w:t>
      </w:r>
      <w:r>
        <w:rPr/>
        <w:t>if any</w:t>
      </w:r>
      <w:r>
        <w:rPr>
          <w:spacing w:val="-4"/>
        </w:rPr>
        <w:t> </w:t>
      </w:r>
      <w:r>
        <w:rPr/>
        <w:t>form</w:t>
      </w:r>
      <w:r>
        <w:rPr>
          <w:spacing w:val="2"/>
        </w:rPr>
        <w:t> </w:t>
      </w:r>
      <w:r>
        <w:rPr/>
        <w:t>of agricultural</w:t>
      </w:r>
      <w:r>
        <w:rPr>
          <w:spacing w:val="1"/>
        </w:rPr>
        <w:t> </w:t>
      </w:r>
      <w:r>
        <w:rPr/>
        <w:t>activities is done</w:t>
      </w:r>
      <w:r>
        <w:rPr>
          <w:spacing w:val="-1"/>
        </w:rPr>
        <w:t> </w:t>
      </w:r>
      <w:r>
        <w:rPr/>
        <w:t>and consumed.</w:t>
      </w:r>
    </w:p>
    <w:p>
      <w:pPr>
        <w:pStyle w:val="BodyText"/>
        <w:spacing w:line="480" w:lineRule="auto"/>
        <w:ind w:left="1287" w:right="1406"/>
        <w:jc w:val="both"/>
      </w:pPr>
      <w:r>
        <w:rPr/>
        <w:t>The information obtained from geophysical investigation (Table 4.1) reveals that the</w:t>
      </w:r>
      <w:r>
        <w:rPr>
          <w:spacing w:val="1"/>
        </w:rPr>
        <w:t> </w:t>
      </w:r>
      <w:r>
        <w:rPr/>
        <w:t>study area with geoelectric parameter shows Five subsurface geoelectric units were</w:t>
      </w:r>
      <w:r>
        <w:rPr>
          <w:spacing w:val="1"/>
        </w:rPr>
        <w:t> </w:t>
      </w:r>
      <w:r>
        <w:rPr/>
        <w:t>delineated</w:t>
      </w:r>
      <w:r>
        <w:rPr>
          <w:spacing w:val="1"/>
        </w:rPr>
        <w:t> </w:t>
      </w:r>
      <w:r>
        <w:rPr/>
        <w:t>beneath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VES</w:t>
      </w:r>
      <w:r>
        <w:rPr>
          <w:spacing w:val="1"/>
        </w:rPr>
        <w:t> </w:t>
      </w:r>
      <w:r>
        <w:rPr/>
        <w:t>sections.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lithological</w:t>
      </w:r>
      <w:r>
        <w:rPr>
          <w:spacing w:val="1"/>
        </w:rPr>
        <w:t> </w:t>
      </w:r>
      <w:r>
        <w:rPr/>
        <w:t>variability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subsurface</w:t>
      </w:r>
      <w:r>
        <w:rPr>
          <w:spacing w:val="-57"/>
        </w:rPr>
        <w:t> </w:t>
      </w:r>
      <w:r>
        <w:rPr/>
        <w:t>lithology of the study area is characterised by the variability in the geoelectric properties</w:t>
      </w:r>
      <w:r>
        <w:rPr>
          <w:spacing w:val="-57"/>
        </w:rPr>
        <w:t> </w:t>
      </w:r>
      <w:r>
        <w:rPr/>
        <w:t>of these geomaterials. The resistivities obtained in the study area ranges from 5.0 Ωm to</w:t>
      </w:r>
      <w:r>
        <w:rPr>
          <w:spacing w:val="-57"/>
        </w:rPr>
        <w:t> </w:t>
      </w:r>
      <w:r>
        <w:rPr/>
        <w:t>1640 Ωm, representing clayey soil, silty-sand,</w:t>
      </w:r>
      <w:r>
        <w:rPr>
          <w:spacing w:val="60"/>
        </w:rPr>
        <w:t> </w:t>
      </w:r>
      <w:r>
        <w:rPr/>
        <w:t>sandstone and</w:t>
      </w:r>
      <w:r>
        <w:rPr>
          <w:spacing w:val="60"/>
        </w:rPr>
        <w:t> </w:t>
      </w:r>
      <w:r>
        <w:rPr/>
        <w:t>sandstone intercalated</w:t>
      </w:r>
      <w:r>
        <w:rPr>
          <w:spacing w:val="1"/>
        </w:rPr>
        <w:t> </w:t>
      </w:r>
      <w:r>
        <w:rPr/>
        <w:t>with gravel. There exist resistivity overlapps values between moderately resistive and</w:t>
      </w:r>
      <w:r>
        <w:rPr>
          <w:spacing w:val="1"/>
        </w:rPr>
        <w:t> </w:t>
      </w:r>
      <w:r>
        <w:rPr/>
        <w:t>highly conductive geomaterials. The apparent thickness and depths of the geoelectric</w:t>
      </w:r>
      <w:r>
        <w:rPr>
          <w:spacing w:val="1"/>
        </w:rPr>
        <w:t> </w:t>
      </w:r>
      <w:r>
        <w:rPr/>
        <w:t>layer</w:t>
      </w:r>
      <w:r>
        <w:rPr>
          <w:spacing w:val="13"/>
        </w:rPr>
        <w:t> </w:t>
      </w:r>
      <w:r>
        <w:rPr/>
        <w:t>were</w:t>
      </w:r>
      <w:r>
        <w:rPr>
          <w:spacing w:val="16"/>
        </w:rPr>
        <w:t> </w:t>
      </w:r>
      <w:r>
        <w:rPr/>
        <w:t>established</w:t>
      </w:r>
      <w:r>
        <w:rPr>
          <w:spacing w:val="15"/>
        </w:rPr>
        <w:t> </w:t>
      </w:r>
      <w:r>
        <w:rPr/>
        <w:t>with</w:t>
      </w:r>
      <w:r>
        <w:rPr>
          <w:spacing w:val="15"/>
        </w:rPr>
        <w:t> </w:t>
      </w:r>
      <w:r>
        <w:rPr/>
        <w:t>the</w:t>
      </w:r>
      <w:r>
        <w:rPr>
          <w:spacing w:val="15"/>
        </w:rPr>
        <w:t> </w:t>
      </w:r>
      <w:r>
        <w:rPr/>
        <w:t>depth</w:t>
      </w:r>
      <w:r>
        <w:rPr>
          <w:spacing w:val="16"/>
        </w:rPr>
        <w:t> </w:t>
      </w:r>
      <w:r>
        <w:rPr/>
        <w:t>of</w:t>
      </w:r>
      <w:r>
        <w:rPr>
          <w:spacing w:val="14"/>
        </w:rPr>
        <w:t> </w:t>
      </w:r>
      <w:r>
        <w:rPr/>
        <w:t>the</w:t>
      </w:r>
      <w:r>
        <w:rPr>
          <w:spacing w:val="15"/>
        </w:rPr>
        <w:t> </w:t>
      </w:r>
      <w:r>
        <w:rPr/>
        <w:t>first</w:t>
      </w:r>
      <w:r>
        <w:rPr>
          <w:spacing w:val="16"/>
        </w:rPr>
        <w:t> </w:t>
      </w:r>
      <w:r>
        <w:rPr/>
        <w:t>geoelectric</w:t>
      </w:r>
      <w:r>
        <w:rPr>
          <w:spacing w:val="14"/>
        </w:rPr>
        <w:t> </w:t>
      </w:r>
      <w:r>
        <w:rPr/>
        <w:t>layer</w:t>
      </w:r>
      <w:r>
        <w:rPr>
          <w:spacing w:val="17"/>
        </w:rPr>
        <w:t> </w:t>
      </w:r>
      <w:r>
        <w:rPr/>
        <w:t>ranging</w:t>
      </w:r>
      <w:r>
        <w:rPr>
          <w:spacing w:val="15"/>
        </w:rPr>
        <w:t> </w:t>
      </w:r>
      <w:r>
        <w:rPr/>
        <w:t>between</w:t>
      </w:r>
      <w:r>
        <w:rPr>
          <w:spacing w:val="15"/>
        </w:rPr>
        <w:t> </w:t>
      </w:r>
      <w:r>
        <w:rPr/>
        <w:t>0.3</w:t>
      </w:r>
      <w:r>
        <w:rPr>
          <w:spacing w:val="-58"/>
        </w:rPr>
        <w:t> </w:t>
      </w:r>
      <w:r>
        <w:rPr/>
        <w:t>m</w:t>
      </w:r>
      <w:r>
        <w:rPr>
          <w:spacing w:val="25"/>
        </w:rPr>
        <w:t> </w:t>
      </w:r>
      <w:r>
        <w:rPr/>
        <w:t>and</w:t>
      </w:r>
      <w:r>
        <w:rPr>
          <w:spacing w:val="25"/>
        </w:rPr>
        <w:t> </w:t>
      </w:r>
      <w:r>
        <w:rPr/>
        <w:t>2.3</w:t>
      </w:r>
      <w:r>
        <w:rPr>
          <w:spacing w:val="26"/>
        </w:rPr>
        <w:t> </w:t>
      </w:r>
      <w:r>
        <w:rPr/>
        <w:t>m,</w:t>
      </w:r>
      <w:r>
        <w:rPr>
          <w:spacing w:val="25"/>
        </w:rPr>
        <w:t> </w:t>
      </w:r>
      <w:r>
        <w:rPr/>
        <w:t>the</w:t>
      </w:r>
      <w:r>
        <w:rPr>
          <w:spacing w:val="25"/>
        </w:rPr>
        <w:t> </w:t>
      </w:r>
      <w:r>
        <w:rPr/>
        <w:t>second</w:t>
      </w:r>
      <w:r>
        <w:rPr>
          <w:spacing w:val="25"/>
        </w:rPr>
        <w:t> </w:t>
      </w:r>
      <w:r>
        <w:rPr/>
        <w:t>layer</w:t>
      </w:r>
      <w:r>
        <w:rPr>
          <w:spacing w:val="25"/>
        </w:rPr>
        <w:t> </w:t>
      </w:r>
      <w:r>
        <w:rPr/>
        <w:t>depth</w:t>
      </w:r>
      <w:r>
        <w:rPr>
          <w:spacing w:val="25"/>
        </w:rPr>
        <w:t> </w:t>
      </w:r>
      <w:r>
        <w:rPr/>
        <w:t>ranges</w:t>
      </w:r>
      <w:r>
        <w:rPr>
          <w:spacing w:val="26"/>
        </w:rPr>
        <w:t> </w:t>
      </w:r>
      <w:r>
        <w:rPr/>
        <w:t>from</w:t>
      </w:r>
      <w:r>
        <w:rPr>
          <w:spacing w:val="25"/>
        </w:rPr>
        <w:t> </w:t>
      </w:r>
      <w:r>
        <w:rPr/>
        <w:t>2</w:t>
      </w:r>
      <w:r>
        <w:rPr>
          <w:spacing w:val="25"/>
        </w:rPr>
        <w:t> </w:t>
      </w:r>
      <w:r>
        <w:rPr/>
        <w:t>m</w:t>
      </w:r>
      <w:r>
        <w:rPr>
          <w:spacing w:val="26"/>
        </w:rPr>
        <w:t> </w:t>
      </w:r>
      <w:r>
        <w:rPr/>
        <w:t>to</w:t>
      </w:r>
      <w:r>
        <w:rPr>
          <w:spacing w:val="23"/>
        </w:rPr>
        <w:t> </w:t>
      </w:r>
      <w:r>
        <w:rPr/>
        <w:t>58</w:t>
      </w:r>
      <w:r>
        <w:rPr>
          <w:spacing w:val="26"/>
        </w:rPr>
        <w:t> </w:t>
      </w:r>
      <w:r>
        <w:rPr/>
        <w:t>m,</w:t>
      </w:r>
      <w:r>
        <w:rPr>
          <w:spacing w:val="23"/>
        </w:rPr>
        <w:t> </w:t>
      </w:r>
      <w:r>
        <w:rPr/>
        <w:t>the</w:t>
      </w:r>
      <w:r>
        <w:rPr>
          <w:spacing w:val="25"/>
        </w:rPr>
        <w:t> </w:t>
      </w:r>
      <w:r>
        <w:rPr/>
        <w:t>third-</w:t>
      </w:r>
      <w:r>
        <w:rPr>
          <w:spacing w:val="24"/>
        </w:rPr>
        <w:t> </w:t>
      </w:r>
      <w:r>
        <w:rPr/>
        <w:t>and</w:t>
      </w:r>
      <w:r>
        <w:rPr>
          <w:spacing w:val="26"/>
        </w:rPr>
        <w:t> </w:t>
      </w:r>
      <w:r>
        <w:rPr/>
        <w:t>fourth-</w:t>
      </w:r>
    </w:p>
    <w:p>
      <w:pPr>
        <w:spacing w:after="0" w:line="480" w:lineRule="auto"/>
        <w:jc w:val="both"/>
        <w:sectPr>
          <w:footerReference w:type="default" r:id="rId17"/>
          <w:pgSz w:w="11910" w:h="16840"/>
          <w:pgMar w:footer="987" w:header="0" w:top="1320" w:bottom="1180" w:left="700" w:right="0"/>
          <w:pgNumType w:start="1"/>
        </w:sectPr>
      </w:pPr>
    </w:p>
    <w:p>
      <w:pPr>
        <w:pStyle w:val="BodyText"/>
        <w:spacing w:line="480" w:lineRule="auto" w:before="64"/>
        <w:ind w:left="1287" w:right="1405"/>
        <w:jc w:val="both"/>
      </w:pPr>
      <w:r>
        <w:rPr/>
        <w:t>layer depths ranges from</w:t>
      </w:r>
      <w:r>
        <w:rPr>
          <w:spacing w:val="60"/>
        </w:rPr>
        <w:t> </w:t>
      </w:r>
      <w:r>
        <w:rPr/>
        <w:t>6 m to 66m and 25 m to 90 m respectively. The thickness of</w:t>
      </w:r>
      <w:r>
        <w:rPr>
          <w:spacing w:val="1"/>
        </w:rPr>
        <w:t> </w:t>
      </w:r>
      <w:r>
        <w:rPr/>
        <w:t>the geoelectric layers also varies as the</w:t>
      </w:r>
      <w:r>
        <w:rPr>
          <w:spacing w:val="1"/>
        </w:rPr>
        <w:t> </w:t>
      </w:r>
      <w:r>
        <w:rPr/>
        <w:t>first</w:t>
      </w:r>
      <w:r>
        <w:rPr>
          <w:spacing w:val="1"/>
        </w:rPr>
        <w:t> </w:t>
      </w:r>
      <w:r>
        <w:rPr/>
        <w:t>geoelectric layer</w:t>
      </w:r>
      <w:r>
        <w:rPr>
          <w:spacing w:val="60"/>
        </w:rPr>
        <w:t> </w:t>
      </w:r>
      <w:r>
        <w:rPr/>
        <w:t>expresses a thickness</w:t>
      </w:r>
      <w:r>
        <w:rPr>
          <w:spacing w:val="1"/>
        </w:rPr>
        <w:t> </w:t>
      </w:r>
      <w:r>
        <w:rPr/>
        <w:t>range of 0.3 m to 2.3 m, the second layer thickness ranges from 2 m to 32 m, the third</w:t>
      </w:r>
      <w:r>
        <w:rPr>
          <w:spacing w:val="1"/>
        </w:rPr>
        <w:t> </w:t>
      </w:r>
      <w:r>
        <w:rPr/>
        <w:t>layer ranges from 2 m to 62 m while the thickness of the fourth layer ranges between 12</w:t>
      </w:r>
      <w:r>
        <w:rPr>
          <w:spacing w:val="1"/>
        </w:rPr>
        <w:t> </w:t>
      </w:r>
      <w:r>
        <w:rPr/>
        <w:t>m to 52 m. The depth and thickness of the fifth geoelectric layer extends beyond the</w:t>
      </w:r>
      <w:r>
        <w:rPr>
          <w:spacing w:val="1"/>
        </w:rPr>
        <w:t> </w:t>
      </w:r>
      <w:r>
        <w:rPr/>
        <w:t>probe depth of this investigation.</w:t>
      </w:r>
      <w:r>
        <w:rPr>
          <w:spacing w:val="60"/>
        </w:rPr>
        <w:t> </w:t>
      </w:r>
      <w:r>
        <w:rPr/>
        <w:t>The depth of the fifth layer is</w:t>
      </w:r>
      <w:r>
        <w:rPr>
          <w:spacing w:val="60"/>
        </w:rPr>
        <w:t> </w:t>
      </w:r>
      <w:r>
        <w:rPr/>
        <w:t>proposed to be infinite</w:t>
      </w:r>
      <w:r>
        <w:rPr>
          <w:spacing w:val="1"/>
        </w:rPr>
        <w:t> </w:t>
      </w:r>
      <w:r>
        <w:rPr/>
        <w:t>in extent. Forty VES points, which is in (Table 4.2). The three distinct zones deﬁned are</w:t>
      </w:r>
      <w:r>
        <w:rPr>
          <w:spacing w:val="-57"/>
        </w:rPr>
        <w:t> </w:t>
      </w:r>
      <w:r>
        <w:rPr/>
        <w:t>weak, moderate, and good aquifer protective capacity, based on the numerical values</w:t>
      </w:r>
      <w:r>
        <w:rPr>
          <w:spacing w:val="1"/>
        </w:rPr>
        <w:t> </w:t>
      </w:r>
      <w:r>
        <w:rPr/>
        <w:t>assigned to each point. VES 6, 7, 9,12, 17, 18, 21 and 28. The area with weak aquifer</w:t>
      </w:r>
      <w:r>
        <w:rPr>
          <w:spacing w:val="1"/>
        </w:rPr>
        <w:t> </w:t>
      </w:r>
      <w:r>
        <w:rPr/>
        <w:t>protective capacity covering 20% of the mapped area. Moderate protective capacity at</w:t>
      </w:r>
      <w:r>
        <w:rPr>
          <w:spacing w:val="1"/>
        </w:rPr>
        <w:t> </w:t>
      </w:r>
      <w:r>
        <w:rPr/>
        <w:t>VES</w:t>
      </w:r>
      <w:r>
        <w:rPr>
          <w:spacing w:val="5"/>
        </w:rPr>
        <w:t> </w:t>
      </w:r>
      <w:r>
        <w:rPr/>
        <w:t>1,</w:t>
      </w:r>
      <w:r>
        <w:rPr>
          <w:spacing w:val="4"/>
        </w:rPr>
        <w:t> </w:t>
      </w:r>
      <w:r>
        <w:rPr/>
        <w:t>2,</w:t>
      </w:r>
      <w:r>
        <w:rPr>
          <w:spacing w:val="4"/>
        </w:rPr>
        <w:t> </w:t>
      </w:r>
      <w:r>
        <w:rPr/>
        <w:t>3,</w:t>
      </w:r>
      <w:r>
        <w:rPr>
          <w:spacing w:val="4"/>
        </w:rPr>
        <w:t> </w:t>
      </w:r>
      <w:r>
        <w:rPr/>
        <w:t>4,</w:t>
      </w:r>
      <w:r>
        <w:rPr>
          <w:spacing w:val="8"/>
        </w:rPr>
        <w:t> </w:t>
      </w:r>
      <w:r>
        <w:rPr/>
        <w:t>5,</w:t>
      </w:r>
      <w:r>
        <w:rPr>
          <w:spacing w:val="4"/>
        </w:rPr>
        <w:t> </w:t>
      </w:r>
      <w:r>
        <w:rPr/>
        <w:t>8,</w:t>
      </w:r>
      <w:r>
        <w:rPr>
          <w:spacing w:val="4"/>
        </w:rPr>
        <w:t> </w:t>
      </w:r>
      <w:r>
        <w:rPr/>
        <w:t>10,</w:t>
      </w:r>
      <w:r>
        <w:rPr>
          <w:spacing w:val="9"/>
        </w:rPr>
        <w:t> </w:t>
      </w:r>
      <w:r>
        <w:rPr/>
        <w:t>11,</w:t>
      </w:r>
      <w:r>
        <w:rPr>
          <w:spacing w:val="5"/>
        </w:rPr>
        <w:t> </w:t>
      </w:r>
      <w:r>
        <w:rPr/>
        <w:t>13,</w:t>
      </w:r>
      <w:r>
        <w:rPr>
          <w:spacing w:val="4"/>
        </w:rPr>
        <w:t> </w:t>
      </w:r>
      <w:r>
        <w:rPr/>
        <w:t>14,</w:t>
      </w:r>
      <w:r>
        <w:rPr>
          <w:spacing w:val="4"/>
        </w:rPr>
        <w:t> </w:t>
      </w:r>
      <w:r>
        <w:rPr/>
        <w:t>16,</w:t>
      </w:r>
      <w:r>
        <w:rPr>
          <w:spacing w:val="4"/>
        </w:rPr>
        <w:t> </w:t>
      </w:r>
      <w:r>
        <w:rPr/>
        <w:t>19,</w:t>
      </w:r>
      <w:r>
        <w:rPr>
          <w:spacing w:val="10"/>
        </w:rPr>
        <w:t> </w:t>
      </w:r>
      <w:r>
        <w:rPr/>
        <w:t>24,</w:t>
      </w:r>
      <w:r>
        <w:rPr>
          <w:spacing w:val="4"/>
        </w:rPr>
        <w:t> </w:t>
      </w:r>
      <w:r>
        <w:rPr/>
        <w:t>25,</w:t>
      </w:r>
      <w:r>
        <w:rPr>
          <w:spacing w:val="4"/>
        </w:rPr>
        <w:t> </w:t>
      </w:r>
      <w:r>
        <w:rPr/>
        <w:t>26,</w:t>
      </w:r>
      <w:r>
        <w:rPr>
          <w:spacing w:val="4"/>
        </w:rPr>
        <w:t> </w:t>
      </w:r>
      <w:r>
        <w:rPr/>
        <w:t>27,</w:t>
      </w:r>
      <w:r>
        <w:rPr>
          <w:spacing w:val="5"/>
        </w:rPr>
        <w:t> </w:t>
      </w:r>
      <w:r>
        <w:rPr/>
        <w:t>29,</w:t>
      </w:r>
      <w:r>
        <w:rPr>
          <w:spacing w:val="4"/>
        </w:rPr>
        <w:t> </w:t>
      </w:r>
      <w:r>
        <w:rPr/>
        <w:t>30,</w:t>
      </w:r>
      <w:r>
        <w:rPr>
          <w:spacing w:val="6"/>
        </w:rPr>
        <w:t> </w:t>
      </w:r>
      <w:r>
        <w:rPr/>
        <w:t>31,</w:t>
      </w:r>
      <w:r>
        <w:rPr>
          <w:spacing w:val="4"/>
        </w:rPr>
        <w:t> </w:t>
      </w:r>
      <w:r>
        <w:rPr/>
        <w:t>32,</w:t>
      </w:r>
      <w:r>
        <w:rPr>
          <w:spacing w:val="4"/>
        </w:rPr>
        <w:t> </w:t>
      </w:r>
      <w:r>
        <w:rPr/>
        <w:t>33,</w:t>
      </w:r>
      <w:r>
        <w:rPr>
          <w:spacing w:val="4"/>
        </w:rPr>
        <w:t> </w:t>
      </w:r>
      <w:r>
        <w:rPr/>
        <w:t>34,</w:t>
      </w:r>
      <w:r>
        <w:rPr>
          <w:spacing w:val="4"/>
        </w:rPr>
        <w:t> </w:t>
      </w:r>
      <w:r>
        <w:rPr/>
        <w:t>35,</w:t>
      </w:r>
      <w:r>
        <w:rPr>
          <w:spacing w:val="4"/>
        </w:rPr>
        <w:t> </w:t>
      </w:r>
      <w:r>
        <w:rPr/>
        <w:t>36,</w:t>
      </w:r>
    </w:p>
    <w:p>
      <w:pPr>
        <w:pStyle w:val="BodyText"/>
        <w:spacing w:before="2"/>
        <w:ind w:left="1287"/>
        <w:jc w:val="both"/>
      </w:pPr>
      <w:r>
        <w:rPr/>
        <w:t>37,</w:t>
      </w:r>
      <w:r>
        <w:rPr>
          <w:spacing w:val="5"/>
        </w:rPr>
        <w:t> </w:t>
      </w:r>
      <w:r>
        <w:rPr/>
        <w:t>38,</w:t>
      </w:r>
      <w:r>
        <w:rPr>
          <w:spacing w:val="6"/>
        </w:rPr>
        <w:t> </w:t>
      </w:r>
      <w:r>
        <w:rPr/>
        <w:t>39</w:t>
      </w:r>
      <w:r>
        <w:rPr>
          <w:spacing w:val="5"/>
        </w:rPr>
        <w:t> </w:t>
      </w:r>
      <w:r>
        <w:rPr/>
        <w:t>and</w:t>
      </w:r>
      <w:r>
        <w:rPr>
          <w:spacing w:val="6"/>
        </w:rPr>
        <w:t> </w:t>
      </w:r>
      <w:r>
        <w:rPr/>
        <w:t>40;</w:t>
      </w:r>
      <w:r>
        <w:rPr>
          <w:spacing w:val="6"/>
        </w:rPr>
        <w:t> </w:t>
      </w:r>
      <w:r>
        <w:rPr/>
        <w:t>which</w:t>
      </w:r>
      <w:r>
        <w:rPr>
          <w:spacing w:val="4"/>
        </w:rPr>
        <w:t> </w:t>
      </w:r>
      <w:r>
        <w:rPr/>
        <w:t>constitute</w:t>
      </w:r>
      <w:r>
        <w:rPr>
          <w:spacing w:val="6"/>
        </w:rPr>
        <w:t> </w:t>
      </w:r>
      <w:r>
        <w:rPr/>
        <w:t>72.5%</w:t>
      </w:r>
      <w:r>
        <w:rPr>
          <w:spacing w:val="5"/>
        </w:rPr>
        <w:t> </w:t>
      </w:r>
      <w:r>
        <w:rPr/>
        <w:t>of</w:t>
      </w:r>
      <w:r>
        <w:rPr>
          <w:spacing w:val="8"/>
        </w:rPr>
        <w:t> </w:t>
      </w:r>
      <w:r>
        <w:rPr/>
        <w:t>the</w:t>
      </w:r>
      <w:r>
        <w:rPr>
          <w:spacing w:val="3"/>
        </w:rPr>
        <w:t> </w:t>
      </w:r>
      <w:r>
        <w:rPr/>
        <w:t>study</w:t>
      </w:r>
      <w:r>
        <w:rPr>
          <w:spacing w:val="2"/>
        </w:rPr>
        <w:t> </w:t>
      </w:r>
      <w:r>
        <w:rPr/>
        <w:t>area</w:t>
      </w:r>
      <w:r>
        <w:rPr>
          <w:spacing w:val="6"/>
        </w:rPr>
        <w:t> </w:t>
      </w:r>
      <w:r>
        <w:rPr/>
        <w:t>and</w:t>
      </w:r>
      <w:r>
        <w:rPr>
          <w:spacing w:val="8"/>
        </w:rPr>
        <w:t> </w:t>
      </w:r>
      <w:r>
        <w:rPr/>
        <w:t>good</w:t>
      </w:r>
      <w:r>
        <w:rPr>
          <w:spacing w:val="6"/>
        </w:rPr>
        <w:t> </w:t>
      </w:r>
      <w:r>
        <w:rPr/>
        <w:t>aquifer</w:t>
      </w:r>
      <w:r>
        <w:rPr>
          <w:spacing w:val="5"/>
        </w:rPr>
        <w:t> </w:t>
      </w:r>
      <w:r>
        <w:rPr/>
        <w:t>protective</w:t>
      </w:r>
    </w:p>
    <w:p>
      <w:pPr>
        <w:pStyle w:val="BodyText"/>
      </w:pPr>
    </w:p>
    <w:p>
      <w:pPr>
        <w:pStyle w:val="BodyText"/>
        <w:spacing w:line="480" w:lineRule="auto"/>
        <w:ind w:left="1287" w:right="1406"/>
        <w:jc w:val="both"/>
      </w:pPr>
      <w:r>
        <w:rPr/>
        <w:t>capacity at VES 15, 20, 22 and 23 is 7.5%. Using the inferred layer resistivities and</w:t>
      </w:r>
      <w:r>
        <w:rPr>
          <w:spacing w:val="1"/>
        </w:rPr>
        <w:t> </w:t>
      </w:r>
      <w:r>
        <w:rPr/>
        <w:t>thicknesses, longitudinal conductance (a Dar Zarrouk parameter) was used as a criterion</w:t>
      </w:r>
      <w:r>
        <w:rPr>
          <w:spacing w:val="-57"/>
        </w:rPr>
        <w:t> </w:t>
      </w:r>
      <w:r>
        <w:rPr/>
        <w:t>for the aquifer protective capacity rating. The soil corrosivity in the study area was also</w:t>
      </w:r>
      <w:r>
        <w:rPr>
          <w:spacing w:val="1"/>
        </w:rPr>
        <w:t> </w:t>
      </w:r>
      <w:r>
        <w:rPr/>
        <w:t>determined from table (4.6 to 4.25), using the ﬁrst layer resistivity and comparing with</w:t>
      </w:r>
      <w:r>
        <w:rPr>
          <w:spacing w:val="1"/>
        </w:rPr>
        <w:t> </w:t>
      </w:r>
      <w:r>
        <w:rPr/>
        <w:t>that</w:t>
      </w:r>
      <w:r>
        <w:rPr>
          <w:spacing w:val="13"/>
        </w:rPr>
        <w:t> </w:t>
      </w:r>
      <w:r>
        <w:rPr/>
        <w:t>of</w:t>
      </w:r>
      <w:r>
        <w:rPr>
          <w:spacing w:val="13"/>
        </w:rPr>
        <w:t> </w:t>
      </w:r>
      <w:r>
        <w:rPr/>
        <w:t>(Table</w:t>
      </w:r>
      <w:r>
        <w:rPr>
          <w:spacing w:val="13"/>
        </w:rPr>
        <w:t> </w:t>
      </w:r>
      <w:r>
        <w:rPr/>
        <w:t>3.1).</w:t>
      </w:r>
      <w:r>
        <w:rPr>
          <w:spacing w:val="13"/>
        </w:rPr>
        <w:t> </w:t>
      </w:r>
      <w:r>
        <w:rPr/>
        <w:t>VES</w:t>
      </w:r>
      <w:r>
        <w:rPr>
          <w:spacing w:val="16"/>
        </w:rPr>
        <w:t> </w:t>
      </w:r>
      <w:r>
        <w:rPr/>
        <w:t>4,</w:t>
      </w:r>
      <w:r>
        <w:rPr>
          <w:spacing w:val="14"/>
        </w:rPr>
        <w:t> </w:t>
      </w:r>
      <w:r>
        <w:rPr/>
        <w:t>5,</w:t>
      </w:r>
      <w:r>
        <w:rPr>
          <w:spacing w:val="14"/>
        </w:rPr>
        <w:t> </w:t>
      </w:r>
      <w:r>
        <w:rPr/>
        <w:t>6,</w:t>
      </w:r>
      <w:r>
        <w:rPr>
          <w:spacing w:val="14"/>
        </w:rPr>
        <w:t> </w:t>
      </w:r>
      <w:r>
        <w:rPr/>
        <w:t>7,</w:t>
      </w:r>
      <w:r>
        <w:rPr>
          <w:spacing w:val="13"/>
        </w:rPr>
        <w:t> </w:t>
      </w:r>
      <w:r>
        <w:rPr/>
        <w:t>8,</w:t>
      </w:r>
      <w:r>
        <w:rPr>
          <w:spacing w:val="14"/>
        </w:rPr>
        <w:t> </w:t>
      </w:r>
      <w:r>
        <w:rPr/>
        <w:t>11,</w:t>
      </w:r>
      <w:r>
        <w:rPr>
          <w:spacing w:val="14"/>
        </w:rPr>
        <w:t> </w:t>
      </w:r>
      <w:r>
        <w:rPr/>
        <w:t>12,</w:t>
      </w:r>
      <w:r>
        <w:rPr>
          <w:spacing w:val="14"/>
        </w:rPr>
        <w:t> </w:t>
      </w:r>
      <w:r>
        <w:rPr/>
        <w:t>16,</w:t>
      </w:r>
      <w:r>
        <w:rPr>
          <w:spacing w:val="11"/>
        </w:rPr>
        <w:t> </w:t>
      </w:r>
      <w:r>
        <w:rPr/>
        <w:t>18,</w:t>
      </w:r>
      <w:r>
        <w:rPr>
          <w:spacing w:val="13"/>
        </w:rPr>
        <w:t> </w:t>
      </w:r>
      <w:r>
        <w:rPr/>
        <w:t>19,</w:t>
      </w:r>
      <w:r>
        <w:rPr>
          <w:spacing w:val="14"/>
        </w:rPr>
        <w:t> </w:t>
      </w:r>
      <w:r>
        <w:rPr/>
        <w:t>21,</w:t>
      </w:r>
      <w:r>
        <w:rPr>
          <w:spacing w:val="14"/>
        </w:rPr>
        <w:t> </w:t>
      </w:r>
      <w:r>
        <w:rPr/>
        <w:t>25,</w:t>
      </w:r>
      <w:r>
        <w:rPr>
          <w:spacing w:val="15"/>
        </w:rPr>
        <w:t> </w:t>
      </w:r>
      <w:r>
        <w:rPr/>
        <w:t>27,</w:t>
      </w:r>
      <w:r>
        <w:rPr>
          <w:spacing w:val="13"/>
        </w:rPr>
        <w:t> </w:t>
      </w:r>
      <w:r>
        <w:rPr/>
        <w:t>29,</w:t>
      </w:r>
      <w:r>
        <w:rPr>
          <w:spacing w:val="14"/>
        </w:rPr>
        <w:t> </w:t>
      </w:r>
      <w:r>
        <w:rPr/>
        <w:t>31,</w:t>
      </w:r>
      <w:r>
        <w:rPr>
          <w:spacing w:val="14"/>
        </w:rPr>
        <w:t> </w:t>
      </w:r>
      <w:r>
        <w:rPr/>
        <w:t>32,</w:t>
      </w:r>
      <w:r>
        <w:rPr>
          <w:spacing w:val="14"/>
        </w:rPr>
        <w:t> </w:t>
      </w:r>
      <w:r>
        <w:rPr/>
        <w:t>33,</w:t>
      </w:r>
      <w:r>
        <w:rPr>
          <w:spacing w:val="13"/>
        </w:rPr>
        <w:t> </w:t>
      </w:r>
      <w:r>
        <w:rPr/>
        <w:t>34,</w:t>
      </w:r>
    </w:p>
    <w:p>
      <w:pPr>
        <w:pStyle w:val="BodyText"/>
        <w:spacing w:before="1"/>
        <w:ind w:left="1287"/>
        <w:jc w:val="both"/>
      </w:pPr>
      <w:r>
        <w:rPr/>
        <w:t>35,</w:t>
      </w:r>
      <w:r>
        <w:rPr>
          <w:spacing w:val="13"/>
        </w:rPr>
        <w:t> </w:t>
      </w:r>
      <w:r>
        <w:rPr/>
        <w:t>36,</w:t>
      </w:r>
      <w:r>
        <w:rPr>
          <w:spacing w:val="14"/>
        </w:rPr>
        <w:t> </w:t>
      </w:r>
      <w:r>
        <w:rPr/>
        <w:t>38</w:t>
      </w:r>
      <w:r>
        <w:rPr>
          <w:spacing w:val="17"/>
        </w:rPr>
        <w:t> </w:t>
      </w:r>
      <w:r>
        <w:rPr/>
        <w:t>and</w:t>
      </w:r>
      <w:r>
        <w:rPr>
          <w:spacing w:val="14"/>
        </w:rPr>
        <w:t> </w:t>
      </w:r>
      <w:r>
        <w:rPr/>
        <w:t>40</w:t>
      </w:r>
      <w:r>
        <w:rPr>
          <w:spacing w:val="16"/>
        </w:rPr>
        <w:t> </w:t>
      </w:r>
      <w:r>
        <w:rPr/>
        <w:t>suggest</w:t>
      </w:r>
      <w:r>
        <w:rPr>
          <w:spacing w:val="14"/>
        </w:rPr>
        <w:t> </w:t>
      </w:r>
      <w:r>
        <w:rPr/>
        <w:t>that</w:t>
      </w:r>
      <w:r>
        <w:rPr>
          <w:spacing w:val="14"/>
        </w:rPr>
        <w:t> </w:t>
      </w:r>
      <w:r>
        <w:rPr/>
        <w:t>the</w:t>
      </w:r>
      <w:r>
        <w:rPr>
          <w:spacing w:val="13"/>
        </w:rPr>
        <w:t> </w:t>
      </w:r>
      <w:r>
        <w:rPr/>
        <w:t>subsurface</w:t>
      </w:r>
      <w:r>
        <w:rPr>
          <w:spacing w:val="15"/>
        </w:rPr>
        <w:t> </w:t>
      </w:r>
      <w:r>
        <w:rPr/>
        <w:t>(soil)</w:t>
      </w:r>
      <w:r>
        <w:rPr>
          <w:spacing w:val="13"/>
        </w:rPr>
        <w:t> </w:t>
      </w:r>
      <w:r>
        <w:rPr/>
        <w:t>is</w:t>
      </w:r>
      <w:r>
        <w:rPr>
          <w:spacing w:val="14"/>
        </w:rPr>
        <w:t> </w:t>
      </w:r>
      <w:r>
        <w:rPr/>
        <w:t>practically</w:t>
      </w:r>
      <w:r>
        <w:rPr>
          <w:spacing w:val="11"/>
        </w:rPr>
        <w:t> </w:t>
      </w:r>
      <w:r>
        <w:rPr/>
        <w:t>noncorrosive.</w:t>
      </w:r>
      <w:r>
        <w:rPr>
          <w:spacing w:val="13"/>
        </w:rPr>
        <w:t> </w:t>
      </w:r>
      <w:r>
        <w:rPr/>
        <w:t>VES</w:t>
      </w:r>
      <w:r>
        <w:rPr>
          <w:spacing w:val="20"/>
        </w:rPr>
        <w:t> </w:t>
      </w:r>
      <w:r>
        <w:rPr/>
        <w:t>1,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/>
        <w:ind w:left="1287" w:right="1407"/>
        <w:jc w:val="both"/>
      </w:pPr>
      <w:r>
        <w:rPr/>
        <w:t>2, 3, 9, 10, 13, 14, 15, 17, 20, 23, 24, 26, 28, 30, 37 and 39 suggest slightly corrosive</w:t>
      </w:r>
      <w:r>
        <w:rPr>
          <w:spacing w:val="1"/>
        </w:rPr>
        <w:t> </w:t>
      </w:r>
      <w:r>
        <w:rPr/>
        <w:t>material. Figure</w:t>
      </w:r>
      <w:r>
        <w:rPr>
          <w:spacing w:val="-1"/>
        </w:rPr>
        <w:t> </w:t>
      </w:r>
      <w:r>
        <w:rPr/>
        <w:t>4.3</w:t>
      </w:r>
      <w:r>
        <w:rPr>
          <w:spacing w:val="-1"/>
        </w:rPr>
        <w:t> </w:t>
      </w:r>
      <w:r>
        <w:rPr/>
        <w:t>shows the</w:t>
      </w:r>
      <w:r>
        <w:rPr>
          <w:spacing w:val="-1"/>
        </w:rPr>
        <w:t> </w:t>
      </w:r>
      <w:r>
        <w:rPr/>
        <w:t>corrosivity</w:t>
      </w:r>
      <w:r>
        <w:rPr>
          <w:spacing w:val="-5"/>
        </w:rPr>
        <w:t> </w:t>
      </w:r>
      <w:r>
        <w:rPr/>
        <w:t>rating</w:t>
      </w:r>
      <w:r>
        <w:rPr>
          <w:spacing w:val="-1"/>
        </w:rPr>
        <w:t> </w:t>
      </w:r>
      <w:r>
        <w:rPr/>
        <w:t>of the</w:t>
      </w:r>
      <w:r>
        <w:rPr>
          <w:spacing w:val="-2"/>
        </w:rPr>
        <w:t> </w:t>
      </w:r>
      <w:r>
        <w:rPr/>
        <w:t>study</w:t>
      </w:r>
      <w:r>
        <w:rPr>
          <w:spacing w:val="-3"/>
        </w:rPr>
        <w:t> </w:t>
      </w:r>
      <w:r>
        <w:rPr/>
        <w:t>area.</w:t>
      </w:r>
    </w:p>
    <w:p>
      <w:pPr>
        <w:spacing w:after="0" w:line="480" w:lineRule="auto"/>
        <w:jc w:val="both"/>
        <w:sectPr>
          <w:pgSz w:w="11910" w:h="16840"/>
          <w:pgMar w:header="0" w:footer="987" w:top="1320" w:bottom="1260" w:left="700" w:right="0"/>
        </w:sectPr>
      </w:pPr>
    </w:p>
    <w:p>
      <w:pPr>
        <w:pStyle w:val="BodyText"/>
        <w:ind w:left="1279"/>
        <w:rPr>
          <w:sz w:val="20"/>
        </w:rPr>
      </w:pPr>
      <w:r>
        <w:rPr>
          <w:sz w:val="20"/>
        </w:rPr>
        <w:pict>
          <v:group style="width:442.6pt;height:280.45pt;mso-position-horizontal-relative:char;mso-position-vertical-relative:line" coordorigin="0,0" coordsize="8852,5609">
            <v:shape style="position:absolute;left:4425;top:227;width:1067;height:2349" coordorigin="4426,228" coordsize="1067,2349" path="m4426,228l4426,2576,5492,483,5421,449,5349,416,5275,387,5201,359,5126,334,5051,312,4974,292,4897,275,4820,261,4742,249,4663,240,4584,233,4505,229,4426,228xe" filled="true" fillcolor="#4f81bc" stroked="false">
              <v:path arrowok="t"/>
              <v:fill type="solid"/>
            </v:shape>
            <v:shape style="position:absolute;left:2077;top:483;width:4698;height:4442" coordorigin="2077,483" coordsize="4698,4442" path="m5492,483l4426,2576,2193,1850,2170,1923,2150,1996,2133,2069,2118,2142,2105,2215,2095,2288,2087,2361,2082,2433,2078,2506,2077,2579,2078,2651,2082,2723,2087,2794,2095,2865,2105,2936,2117,3007,2131,3076,2148,3146,2166,3214,2186,3282,2209,3349,2233,3416,2259,3481,2288,3546,2318,3610,2350,3673,2384,3735,2420,3796,2457,3856,2497,3915,2538,3973,2581,4029,2626,4084,2672,4138,2720,4190,2770,4241,2821,4291,2875,4339,2929,4386,2985,4431,3043,4474,3102,4516,3163,4556,3225,4594,3289,4631,3354,4666,3421,4698,3489,4729,3558,4758,3628,4784,3700,4809,3773,4831,3846,4851,3919,4869,3992,4884,4065,4896,4138,4907,4211,4915,4284,4920,4356,4924,4429,4925,4501,4923,4573,4920,4644,4914,4716,4907,4786,4897,4857,4885,4927,4870,4996,4854,5064,4836,5132,4815,5200,4793,5266,4769,5332,4742,5396,4714,5460,4684,5523,4652,5585,4618,5646,4582,5706,4544,5765,4505,5823,4464,5879,4421,5934,4376,5988,4330,6041,4281,6092,4232,6141,4180,6190,4127,6236,4073,6281,4016,6325,3959,6366,3899,6406,3839,6445,3776,6481,3713,6516,3648,6548,3581,6579,3513,6608,3444,6635,3373,6659,3301,6682,3228,6702,3154,6719,3081,6735,3007,6747,2933,6757,2859,6765,2785,6771,2711,6774,2637,6775,2563,6773,2490,6769,2417,6763,2344,6755,2271,6744,2199,6731,2128,6716,2056,6699,1986,6680,1916,6658,1847,6635,1778,6609,1711,6581,1644,6552,1578,6520,1513,6486,1449,6450,1386,6413,1324,6373,1263,6331,1203,6288,1145,6243,1087,6195,1032,6146,977,6096,924,6043,872,5989,822,5932,774,5875,727,5815,682,5754,639,5691,597,5626,557,5560,519,5492,483xe" filled="true" fillcolor="#c0504d" stroked="false">
              <v:path arrowok="t"/>
              <v:fill type="solid"/>
            </v:shape>
            <v:shape style="position:absolute;left:2077;top:483;width:4698;height:4442" coordorigin="2077,483" coordsize="4698,4442" path="m4426,2576l2193,1850,2170,1923,2150,1996,2133,2069,2118,2142,2105,2215,2095,2288,2087,2361,2082,2433,2078,2506,2077,2579,2078,2651,2082,2723,2087,2794,2095,2865,2105,2936,2117,3007,2131,3076,2148,3146,2166,3214,2186,3282,2209,3349,2233,3416,2259,3481,2288,3546,2318,3610,2350,3673,2384,3735,2420,3796,2457,3856,2497,3915,2538,3973,2581,4029,2626,4084,2672,4138,2720,4190,2770,4241,2821,4291,2875,4339,2929,4386,2985,4431,3043,4474,3102,4516,3163,4556,3225,4594,3289,4631,3354,4666,3421,4698,3489,4729,3558,4758,3628,4784,3700,4809,3773,4831,3846,4851,3919,4869,3992,4884,4065,4896,4138,4907,4211,4915,4284,4920,4356,4924,4429,4925,4501,4923,4573,4920,4644,4914,4716,4907,4786,4897,4857,4885,4927,4870,4996,4854,5064,4836,5132,4815,5200,4793,5266,4769,5332,4742,5396,4714,5460,4684,5523,4652,5585,4618,5646,4582,5706,4544,5765,4505,5823,4464,5879,4421,5934,4376,5988,4330,6041,4281,6092,4232,6141,4180,6190,4127,6236,4073,6281,4016,6325,3959,6366,3899,6406,3839,6445,3776,6481,3713,6516,3648,6548,3581,6579,3513,6608,3444,6635,3373,6659,3301,6682,3228,6702,3154,6719,3081,6735,3007,6747,2933,6757,2859,6765,2785,6771,2711,6774,2637,6775,2563,6773,2490,6769,2417,6763,2344,6755,2271,6744,2199,6731,2128,6716,2056,6699,1986,6680,1916,6658,1847,6635,1778,6609,1711,6581,1644,6552,1578,6520,1513,6486,1449,6450,1386,6413,1324,6373,1263,6331,1203,6288,1145,6243,1087,6195,1032,6146,977,6096,924,6043,872,5989,822,5932,774,5875,727,5815,682,5754,639,5691,597,5626,557,5560,519,5492,483,4426,2576xe" filled="false" stroked="true" strokeweight="1.44pt" strokecolor="#ffffff">
              <v:path arrowok="t"/>
              <v:stroke dashstyle="solid"/>
            </v:shape>
            <v:shape style="position:absolute;left:2192;top:227;width:2234;height:2349" coordorigin="2193,228" coordsize="2234,2349" path="m4426,228l4348,229,4270,233,4193,239,4117,248,4041,259,3966,273,3892,289,3819,307,3746,328,3674,351,3603,376,3534,404,3465,433,3397,465,3330,499,3265,535,3201,573,3138,612,3076,654,3016,698,2957,744,2899,791,2844,841,2789,892,2736,945,2685,999,2636,1056,2588,1114,2542,1173,2498,1234,2456,1297,2416,1361,2378,1427,2342,1494,2307,1563,2275,1633,2246,1704,2218,1776,2193,1850,4426,2576,4426,228xe" filled="true" fillcolor="#9bba58" stroked="false">
              <v:path arrowok="t"/>
              <v:fill type="solid"/>
            </v:shape>
            <v:shape style="position:absolute;left:2192;top:227;width:2234;height:2349" coordorigin="2193,228" coordsize="2234,2349" path="m4426,2576l4426,228,4348,229,4270,233,4193,239,4117,248,4041,259,3966,273,3892,289,3819,307,3746,328,3674,351,3603,376,3534,404,3465,433,3397,465,3330,499,3265,535,3201,573,3138,612,3076,654,3016,698,2957,744,2899,791,2844,841,2789,892,2736,945,2685,999,2636,1056,2588,1114,2542,1173,2498,1234,2456,1297,2416,1361,2378,1427,2342,1494,2307,1563,2275,1633,2246,1704,2218,1776,2193,1850,4426,2576xm4426,2576l4426,228,4426,228,4426,2576e" filled="false" stroked="true" strokeweight="1.44pt" strokecolor="#ffffff">
              <v:path arrowok="t"/>
              <v:stroke dashstyle="solid"/>
            </v:shape>
            <v:rect style="position:absolute;left:2964;top:5263;width:99;height:99" filled="true" fillcolor="#4f81bc" stroked="false">
              <v:fill type="solid"/>
            </v:rect>
            <v:rect style="position:absolute;left:3674;top:5263;width:101;height:99" filled="true" fillcolor="#c0504d" stroked="false">
              <v:fill type="solid"/>
            </v:rect>
            <v:rect style="position:absolute;left:4730;top:5263;width:99;height:99" filled="true" fillcolor="#9bba58" stroked="false">
              <v:fill type="solid"/>
            </v:rect>
            <v:rect style="position:absolute;left:5465;top:5263;width:99;height:99" filled="true" fillcolor="#8063a1" stroked="false">
              <v:fill type="solid"/>
            </v:rect>
            <v:rect style="position:absolute;left:7;top:7;width:8837;height:5594" filled="false" stroked="true" strokeweight=".75pt" strokecolor="#d9d9d9">
              <v:stroke dashstyle="solid"/>
            </v:rect>
            <v:shape style="position:absolute;left:3106;top:5229;width:2877;height:180" type="#_x0000_t202" filled="false" stroked="false">
              <v:textbox inset="0,0,0,0">
                <w:txbxContent>
                  <w:p>
                    <w:pPr>
                      <w:tabs>
                        <w:tab w:pos="711" w:val="left" w:leader="none"/>
                        <w:tab w:pos="1765" w:val="left" w:leader="none"/>
                        <w:tab w:pos="2501" w:val="left" w:leader="none"/>
                      </w:tabs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color w:val="585858"/>
                        <w:sz w:val="18"/>
                      </w:rPr>
                      <w:t>Good</w:t>
                      <w:tab/>
                      <w:t>Moderate</w:t>
                      <w:tab/>
                      <w:t>Weak</w:t>
                      <w:tab/>
                      <w:t>Poor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3"/>
        <w:rPr>
          <w:sz w:val="29"/>
        </w:rPr>
      </w:pPr>
    </w:p>
    <w:p>
      <w:pPr>
        <w:pStyle w:val="BodyText"/>
        <w:spacing w:before="90"/>
        <w:ind w:left="1277" w:right="1402"/>
        <w:jc w:val="center"/>
        <w:rPr>
          <w:sz w:val="18"/>
        </w:rPr>
      </w:pPr>
      <w:r>
        <w:rPr>
          <w:color w:val="121212"/>
        </w:rPr>
        <w:t>Figure</w:t>
      </w:r>
      <w:r>
        <w:rPr>
          <w:color w:val="121212"/>
          <w:spacing w:val="-2"/>
        </w:rPr>
        <w:t> </w:t>
      </w:r>
      <w:r>
        <w:rPr>
          <w:color w:val="121212"/>
        </w:rPr>
        <w:t>4.3Soil</w:t>
      </w:r>
      <w:r>
        <w:rPr>
          <w:color w:val="121212"/>
          <w:spacing w:val="-1"/>
        </w:rPr>
        <w:t> </w:t>
      </w:r>
      <w:r>
        <w:rPr>
          <w:color w:val="121212"/>
        </w:rPr>
        <w:t>corrosivity</w:t>
      </w:r>
      <w:r>
        <w:rPr>
          <w:color w:val="121212"/>
          <w:spacing w:val="-1"/>
        </w:rPr>
        <w:t> </w:t>
      </w:r>
      <w:r>
        <w:rPr>
          <w:color w:val="121212"/>
        </w:rPr>
        <w:t>rating</w:t>
      </w:r>
      <w:r>
        <w:rPr>
          <w:color w:val="121212"/>
          <w:spacing w:val="-3"/>
        </w:rPr>
        <w:t> </w:t>
      </w:r>
      <w:r>
        <w:rPr>
          <w:color w:val="121212"/>
        </w:rPr>
        <w:t>of study</w:t>
      </w:r>
      <w:r>
        <w:rPr>
          <w:color w:val="121212"/>
          <w:spacing w:val="-3"/>
        </w:rPr>
        <w:t> </w:t>
      </w:r>
      <w:r>
        <w:rPr>
          <w:color w:val="121212"/>
        </w:rPr>
        <w:t>area</w:t>
      </w:r>
      <w:r>
        <w:rPr>
          <w:color w:val="121212"/>
          <w:sz w:val="18"/>
        </w:rPr>
        <w:t>.</w:t>
      </w:r>
    </w:p>
    <w:p>
      <w:pPr>
        <w:spacing w:after="0"/>
        <w:jc w:val="center"/>
        <w:rPr>
          <w:sz w:val="18"/>
        </w:rPr>
        <w:sectPr>
          <w:pgSz w:w="11910" w:h="16840"/>
          <w:pgMar w:header="0" w:footer="987" w:top="1380" w:bottom="1260" w:left="700" w:right="0"/>
        </w:sectPr>
      </w:pPr>
    </w:p>
    <w:p>
      <w:pPr>
        <w:pStyle w:val="Heading2"/>
        <w:spacing w:after="4"/>
        <w:ind w:left="1287" w:right="1492" w:firstLine="0"/>
        <w:jc w:val="left"/>
      </w:pPr>
      <w:r>
        <w:rPr/>
        <w:t>Table</w:t>
      </w:r>
      <w:r>
        <w:rPr>
          <w:spacing w:val="26"/>
        </w:rPr>
        <w:t> </w:t>
      </w:r>
      <w:r>
        <w:rPr/>
        <w:t>4.2</w:t>
      </w:r>
      <w:r>
        <w:rPr>
          <w:spacing w:val="24"/>
        </w:rPr>
        <w:t> </w:t>
      </w:r>
      <w:r>
        <w:rPr/>
        <w:t>Summary</w:t>
      </w:r>
      <w:r>
        <w:rPr>
          <w:spacing w:val="26"/>
        </w:rPr>
        <w:t> </w:t>
      </w:r>
      <w:r>
        <w:rPr/>
        <w:t>Interpretation</w:t>
      </w:r>
      <w:r>
        <w:rPr>
          <w:spacing w:val="27"/>
        </w:rPr>
        <w:t> </w:t>
      </w:r>
      <w:r>
        <w:rPr/>
        <w:t>of</w:t>
      </w:r>
      <w:r>
        <w:rPr>
          <w:spacing w:val="25"/>
        </w:rPr>
        <w:t> </w:t>
      </w:r>
      <w:r>
        <w:rPr/>
        <w:t>soil</w:t>
      </w:r>
      <w:r>
        <w:rPr>
          <w:spacing w:val="25"/>
        </w:rPr>
        <w:t> </w:t>
      </w:r>
      <w:r>
        <w:rPr/>
        <w:t>corrosivity</w:t>
      </w:r>
      <w:r>
        <w:rPr>
          <w:spacing w:val="25"/>
        </w:rPr>
        <w:t> </w:t>
      </w:r>
      <w:r>
        <w:rPr/>
        <w:t>and</w:t>
      </w:r>
      <w:r>
        <w:rPr>
          <w:spacing w:val="27"/>
        </w:rPr>
        <w:t> </w:t>
      </w:r>
      <w:r>
        <w:rPr/>
        <w:t>aquifer</w:t>
      </w:r>
      <w:r>
        <w:rPr>
          <w:spacing w:val="25"/>
        </w:rPr>
        <w:t> </w:t>
      </w:r>
      <w:r>
        <w:rPr/>
        <w:t>protective</w:t>
      </w:r>
      <w:r>
        <w:rPr>
          <w:spacing w:val="-57"/>
        </w:rPr>
        <w:t> </w:t>
      </w:r>
      <w:r>
        <w:rPr/>
        <w:t>capacity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all the profiles.</w:t>
      </w:r>
    </w:p>
    <w:p>
      <w:pPr>
        <w:pStyle w:val="BodyText"/>
        <w:spacing w:line="20" w:lineRule="exact"/>
        <w:ind w:left="1179"/>
        <w:rPr>
          <w:sz w:val="2"/>
        </w:rPr>
      </w:pPr>
      <w:r>
        <w:rPr>
          <w:sz w:val="2"/>
        </w:rPr>
        <w:pict>
          <v:group style="width:487.1pt;height:.5pt;mso-position-horizontal-relative:char;mso-position-vertical-relative:line" coordorigin="0,0" coordsize="9742,10">
            <v:shape style="position:absolute;left:0;top:0;width:9742;height:10" coordorigin="0,0" coordsize="9742,10" path="m2180,0l0,0,0,10,2180,10,2180,0xm5689,0l2189,0,2180,0,2180,10,2189,10,5689,10,5689,0xm7581,0l5699,0,5689,0,5689,10,5699,10,7581,10,7581,0xm9741,0l7590,0,7581,0,7581,10,7590,10,9741,10,9741,0xe" filled="true" fillcolor="#7e7e7e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pgSz w:w="11910" w:h="16840"/>
          <w:pgMar w:header="0" w:footer="987" w:top="1320" w:bottom="1260" w:left="700" w:right="0"/>
        </w:sectPr>
      </w:pPr>
    </w:p>
    <w:p>
      <w:pPr>
        <w:spacing w:line="240" w:lineRule="auto" w:before="0"/>
        <w:ind w:left="1647" w:right="-17" w:firstLine="0"/>
        <w:jc w:val="left"/>
        <w:rPr>
          <w:b/>
          <w:sz w:val="22"/>
        </w:rPr>
      </w:pPr>
      <w:r>
        <w:rPr>
          <w:b/>
          <w:sz w:val="22"/>
        </w:rPr>
        <w:t>Average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Transverse</w:t>
      </w:r>
    </w:p>
    <w:p>
      <w:pPr>
        <w:tabs>
          <w:tab w:pos="4596" w:val="left" w:leader="none"/>
        </w:tabs>
        <w:spacing w:line="240" w:lineRule="auto" w:before="0"/>
        <w:ind w:left="4596" w:right="0" w:hanging="3512"/>
        <w:jc w:val="left"/>
        <w:rPr>
          <w:b/>
          <w:sz w:val="22"/>
        </w:rPr>
      </w:pPr>
      <w:r>
        <w:rPr/>
        <w:br w:type="column"/>
      </w:r>
      <w:r>
        <w:rPr>
          <w:b/>
          <w:sz w:val="22"/>
        </w:rPr>
        <w:t>Soil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Corrosivity</w:t>
        <w:tab/>
        <w:t>Average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Conductance</w:t>
      </w:r>
    </w:p>
    <w:p>
      <w:pPr>
        <w:spacing w:line="240" w:lineRule="auto" w:before="0"/>
        <w:ind w:left="614" w:right="1011" w:firstLine="0"/>
        <w:jc w:val="left"/>
        <w:rPr>
          <w:b/>
          <w:sz w:val="22"/>
        </w:rPr>
      </w:pPr>
      <w:r>
        <w:rPr/>
        <w:br w:type="column"/>
      </w:r>
      <w:r>
        <w:rPr>
          <w:b/>
          <w:sz w:val="22"/>
        </w:rPr>
        <w:t>Aquifer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Protective</w:t>
      </w:r>
    </w:p>
    <w:p>
      <w:pPr>
        <w:spacing w:after="0" w:line="240" w:lineRule="auto"/>
        <w:jc w:val="left"/>
        <w:rPr>
          <w:sz w:val="22"/>
        </w:rPr>
        <w:sectPr>
          <w:type w:val="continuous"/>
          <w:pgSz w:w="11910" w:h="16840"/>
          <w:pgMar w:top="1320" w:bottom="280" w:left="700" w:right="0"/>
          <w:cols w:num="3" w:equalWidth="0">
            <w:col w:w="2701" w:space="40"/>
            <w:col w:w="5832" w:space="39"/>
            <w:col w:w="2598"/>
          </w:cols>
        </w:sectPr>
      </w:pPr>
    </w:p>
    <w:tbl>
      <w:tblPr>
        <w:tblW w:w="0" w:type="auto"/>
        <w:jc w:val="left"/>
        <w:tblInd w:w="11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3"/>
        <w:gridCol w:w="1684"/>
        <w:gridCol w:w="3707"/>
        <w:gridCol w:w="1079"/>
        <w:gridCol w:w="865"/>
        <w:gridCol w:w="1982"/>
      </w:tblGrid>
      <w:tr>
        <w:trPr>
          <w:trHeight w:val="750" w:hRule="atLeast"/>
        </w:trPr>
        <w:tc>
          <w:tcPr>
            <w:tcW w:w="433" w:type="dxa"/>
            <w:tcBorders>
              <w:bottom w:val="single" w:sz="4" w:space="0" w:color="7E7E7E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84" w:type="dxa"/>
            <w:tcBorders>
              <w:bottom w:val="single" w:sz="4" w:space="0" w:color="7E7E7E"/>
            </w:tcBorders>
          </w:tcPr>
          <w:p>
            <w:pPr>
              <w:pStyle w:val="TableParagraph"/>
              <w:ind w:left="42" w:right="247"/>
              <w:rPr>
                <w:b/>
                <w:sz w:val="22"/>
              </w:rPr>
            </w:pPr>
            <w:r>
              <w:rPr>
                <w:b/>
                <w:sz w:val="22"/>
              </w:rPr>
              <w:t>Resistance Per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VES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Points</w:t>
            </w:r>
          </w:p>
          <w:p>
            <w:pPr>
              <w:pStyle w:val="TableParagraph"/>
              <w:spacing w:line="236" w:lineRule="exact"/>
              <w:ind w:left="42"/>
              <w:rPr>
                <w:b/>
                <w:sz w:val="22"/>
              </w:rPr>
            </w:pPr>
            <w:r>
              <w:rPr>
                <w:b/>
                <w:sz w:val="22"/>
              </w:rPr>
              <w:t>(Ωm</w:t>
            </w:r>
            <w:r>
              <w:rPr>
                <w:b/>
                <w:sz w:val="22"/>
                <w:vertAlign w:val="superscript"/>
              </w:rPr>
              <w:t>2</w:t>
            </w:r>
            <w:r>
              <w:rPr>
                <w:b/>
                <w:sz w:val="22"/>
                <w:vertAlign w:val="baseline"/>
              </w:rPr>
              <w:t>)</w:t>
            </w:r>
          </w:p>
        </w:tc>
        <w:tc>
          <w:tcPr>
            <w:tcW w:w="3707" w:type="dxa"/>
            <w:tcBorders>
              <w:bottom w:val="single" w:sz="4" w:space="0" w:color="7E7E7E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79" w:type="dxa"/>
            <w:tcBorders>
              <w:bottom w:val="single" w:sz="4" w:space="0" w:color="7E7E7E"/>
            </w:tcBorders>
          </w:tcPr>
          <w:p>
            <w:pPr>
              <w:pStyle w:val="TableParagraph"/>
              <w:ind w:left="340" w:right="132"/>
              <w:rPr>
                <w:b/>
                <w:sz w:val="22"/>
              </w:rPr>
            </w:pPr>
            <w:r>
              <w:rPr>
                <w:b/>
                <w:sz w:val="22"/>
              </w:rPr>
              <w:t>Per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Points</w:t>
            </w:r>
          </w:p>
        </w:tc>
        <w:tc>
          <w:tcPr>
            <w:tcW w:w="865" w:type="dxa"/>
            <w:tcBorders>
              <w:bottom w:val="single" w:sz="4" w:space="0" w:color="7E7E7E"/>
            </w:tcBorders>
          </w:tcPr>
          <w:p>
            <w:pPr>
              <w:pStyle w:val="TableParagraph"/>
              <w:spacing w:line="242" w:lineRule="exact"/>
              <w:ind w:left="149"/>
              <w:rPr>
                <w:b/>
                <w:sz w:val="22"/>
              </w:rPr>
            </w:pPr>
            <w:r>
              <w:rPr>
                <w:b/>
                <w:sz w:val="22"/>
              </w:rPr>
              <w:t>VES</w:t>
            </w:r>
          </w:p>
        </w:tc>
        <w:tc>
          <w:tcPr>
            <w:tcW w:w="1982" w:type="dxa"/>
            <w:tcBorders>
              <w:bottom w:val="single" w:sz="4" w:space="0" w:color="7E7E7E"/>
            </w:tcBorders>
          </w:tcPr>
          <w:p>
            <w:pPr>
              <w:pStyle w:val="TableParagraph"/>
              <w:spacing w:line="242" w:lineRule="exact"/>
              <w:ind w:left="285"/>
              <w:rPr>
                <w:b/>
                <w:sz w:val="22"/>
              </w:rPr>
            </w:pPr>
            <w:r>
              <w:rPr>
                <w:b/>
                <w:sz w:val="22"/>
              </w:rPr>
              <w:t>Capacity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Rating</w:t>
            </w:r>
          </w:p>
        </w:tc>
      </w:tr>
      <w:tr>
        <w:trPr>
          <w:trHeight w:val="254" w:hRule="atLeast"/>
        </w:trPr>
        <w:tc>
          <w:tcPr>
            <w:tcW w:w="433" w:type="dxa"/>
            <w:tcBorders>
              <w:top w:val="single" w:sz="4" w:space="0" w:color="7E7E7E"/>
            </w:tcBorders>
          </w:tcPr>
          <w:p>
            <w:pPr>
              <w:pStyle w:val="TableParagraph"/>
              <w:spacing w:line="234" w:lineRule="exact"/>
              <w:ind w:left="115"/>
              <w:rPr>
                <w:b/>
                <w:sz w:val="22"/>
              </w:rPr>
            </w:pPr>
            <w:r>
              <w:rPr>
                <w:b/>
                <w:sz w:val="22"/>
              </w:rPr>
              <w:t>1.</w:t>
            </w:r>
          </w:p>
        </w:tc>
        <w:tc>
          <w:tcPr>
            <w:tcW w:w="1684" w:type="dxa"/>
            <w:tcBorders>
              <w:top w:val="single" w:sz="4" w:space="0" w:color="7E7E7E"/>
            </w:tcBorders>
          </w:tcPr>
          <w:p>
            <w:pPr>
              <w:pStyle w:val="TableParagraph"/>
              <w:spacing w:line="234" w:lineRule="exact"/>
              <w:ind w:left="774"/>
              <w:rPr>
                <w:sz w:val="22"/>
              </w:rPr>
            </w:pPr>
            <w:r>
              <w:rPr>
                <w:sz w:val="22"/>
              </w:rPr>
              <w:t>174.32</w:t>
            </w:r>
          </w:p>
        </w:tc>
        <w:tc>
          <w:tcPr>
            <w:tcW w:w="3707" w:type="dxa"/>
            <w:tcBorders>
              <w:top w:val="single" w:sz="4" w:space="0" w:color="7E7E7E"/>
            </w:tcBorders>
          </w:tcPr>
          <w:p>
            <w:pPr>
              <w:pStyle w:val="TableParagraph"/>
              <w:spacing w:line="234" w:lineRule="exact"/>
              <w:ind w:left="175"/>
              <w:rPr>
                <w:b/>
                <w:sz w:val="22"/>
              </w:rPr>
            </w:pPr>
            <w:r>
              <w:rPr>
                <w:b/>
                <w:sz w:val="22"/>
              </w:rPr>
              <w:t>Slightly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Corrosive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(SC)</w:t>
            </w:r>
          </w:p>
        </w:tc>
        <w:tc>
          <w:tcPr>
            <w:tcW w:w="1079" w:type="dxa"/>
            <w:tcBorders>
              <w:top w:val="single" w:sz="4" w:space="0" w:color="7E7E7E"/>
            </w:tcBorders>
          </w:tcPr>
          <w:p>
            <w:pPr>
              <w:pStyle w:val="TableParagraph"/>
              <w:spacing w:line="234" w:lineRule="exact"/>
              <w:ind w:right="240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0.215</w:t>
            </w:r>
          </w:p>
        </w:tc>
        <w:tc>
          <w:tcPr>
            <w:tcW w:w="865" w:type="dxa"/>
            <w:tcBorders>
              <w:top w:val="single" w:sz="4" w:space="0" w:color="7E7E7E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82" w:type="dxa"/>
            <w:tcBorders>
              <w:top w:val="single" w:sz="4" w:space="0" w:color="7E7E7E"/>
            </w:tcBorders>
          </w:tcPr>
          <w:p>
            <w:pPr>
              <w:pStyle w:val="TableParagraph"/>
              <w:spacing w:line="234" w:lineRule="exact"/>
              <w:ind w:left="285"/>
              <w:rPr>
                <w:b/>
                <w:sz w:val="22"/>
              </w:rPr>
            </w:pPr>
            <w:r>
              <w:rPr>
                <w:b/>
                <w:sz w:val="22"/>
              </w:rPr>
              <w:t>Moderate</w:t>
            </w:r>
          </w:p>
        </w:tc>
      </w:tr>
      <w:tr>
        <w:trPr>
          <w:trHeight w:val="253" w:hRule="atLeast"/>
        </w:trPr>
        <w:tc>
          <w:tcPr>
            <w:tcW w:w="433" w:type="dxa"/>
          </w:tcPr>
          <w:p>
            <w:pPr>
              <w:pStyle w:val="TableParagraph"/>
              <w:spacing w:line="233" w:lineRule="exact"/>
              <w:ind w:left="115"/>
              <w:rPr>
                <w:b/>
                <w:sz w:val="22"/>
              </w:rPr>
            </w:pPr>
            <w:r>
              <w:rPr>
                <w:b/>
                <w:sz w:val="22"/>
              </w:rPr>
              <w:t>2.</w:t>
            </w:r>
          </w:p>
        </w:tc>
        <w:tc>
          <w:tcPr>
            <w:tcW w:w="1684" w:type="dxa"/>
          </w:tcPr>
          <w:p>
            <w:pPr>
              <w:pStyle w:val="TableParagraph"/>
              <w:spacing w:line="233" w:lineRule="exact"/>
              <w:ind w:left="774"/>
              <w:rPr>
                <w:sz w:val="22"/>
              </w:rPr>
            </w:pPr>
            <w:r>
              <w:rPr>
                <w:sz w:val="22"/>
              </w:rPr>
              <w:t>165.82</w:t>
            </w:r>
          </w:p>
        </w:tc>
        <w:tc>
          <w:tcPr>
            <w:tcW w:w="3707" w:type="dxa"/>
          </w:tcPr>
          <w:p>
            <w:pPr>
              <w:pStyle w:val="TableParagraph"/>
              <w:spacing w:line="233" w:lineRule="exact"/>
              <w:ind w:left="175"/>
              <w:rPr>
                <w:b/>
                <w:sz w:val="22"/>
              </w:rPr>
            </w:pPr>
            <w:r>
              <w:rPr>
                <w:b/>
                <w:sz w:val="22"/>
              </w:rPr>
              <w:t>Slightly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Corrosive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(SC)</w:t>
            </w:r>
          </w:p>
        </w:tc>
        <w:tc>
          <w:tcPr>
            <w:tcW w:w="1079" w:type="dxa"/>
          </w:tcPr>
          <w:p>
            <w:pPr>
              <w:pStyle w:val="TableParagraph"/>
              <w:spacing w:line="233" w:lineRule="exact"/>
              <w:ind w:right="240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0.348</w:t>
            </w:r>
          </w:p>
        </w:tc>
        <w:tc>
          <w:tcPr>
            <w:tcW w:w="86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82" w:type="dxa"/>
          </w:tcPr>
          <w:p>
            <w:pPr>
              <w:pStyle w:val="TableParagraph"/>
              <w:spacing w:line="233" w:lineRule="exact"/>
              <w:ind w:left="285"/>
              <w:rPr>
                <w:b/>
                <w:sz w:val="22"/>
              </w:rPr>
            </w:pPr>
            <w:r>
              <w:rPr>
                <w:b/>
                <w:sz w:val="22"/>
              </w:rPr>
              <w:t>Moderate</w:t>
            </w:r>
          </w:p>
        </w:tc>
      </w:tr>
      <w:tr>
        <w:trPr>
          <w:trHeight w:val="252" w:hRule="atLeast"/>
        </w:trPr>
        <w:tc>
          <w:tcPr>
            <w:tcW w:w="433" w:type="dxa"/>
          </w:tcPr>
          <w:p>
            <w:pPr>
              <w:pStyle w:val="TableParagraph"/>
              <w:spacing w:line="232" w:lineRule="exact"/>
              <w:ind w:left="115"/>
              <w:rPr>
                <w:b/>
                <w:sz w:val="22"/>
              </w:rPr>
            </w:pPr>
            <w:r>
              <w:rPr>
                <w:b/>
                <w:sz w:val="22"/>
              </w:rPr>
              <w:t>3.</w:t>
            </w:r>
          </w:p>
        </w:tc>
        <w:tc>
          <w:tcPr>
            <w:tcW w:w="1684" w:type="dxa"/>
          </w:tcPr>
          <w:p>
            <w:pPr>
              <w:pStyle w:val="TableParagraph"/>
              <w:spacing w:line="232" w:lineRule="exact"/>
              <w:ind w:left="774"/>
              <w:rPr>
                <w:sz w:val="22"/>
              </w:rPr>
            </w:pPr>
            <w:r>
              <w:rPr>
                <w:sz w:val="22"/>
              </w:rPr>
              <w:t>166.56</w:t>
            </w:r>
          </w:p>
        </w:tc>
        <w:tc>
          <w:tcPr>
            <w:tcW w:w="3707" w:type="dxa"/>
          </w:tcPr>
          <w:p>
            <w:pPr>
              <w:pStyle w:val="TableParagraph"/>
              <w:spacing w:line="232" w:lineRule="exact"/>
              <w:ind w:left="175"/>
              <w:rPr>
                <w:b/>
                <w:sz w:val="22"/>
              </w:rPr>
            </w:pPr>
            <w:r>
              <w:rPr>
                <w:b/>
                <w:sz w:val="22"/>
              </w:rPr>
              <w:t>Slightly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Corrosive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(SC)</w:t>
            </w:r>
          </w:p>
        </w:tc>
        <w:tc>
          <w:tcPr>
            <w:tcW w:w="1079" w:type="dxa"/>
          </w:tcPr>
          <w:p>
            <w:pPr>
              <w:pStyle w:val="TableParagraph"/>
              <w:spacing w:line="232" w:lineRule="exact"/>
              <w:ind w:right="240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0.420</w:t>
            </w:r>
          </w:p>
        </w:tc>
        <w:tc>
          <w:tcPr>
            <w:tcW w:w="86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82" w:type="dxa"/>
          </w:tcPr>
          <w:p>
            <w:pPr>
              <w:pStyle w:val="TableParagraph"/>
              <w:spacing w:line="232" w:lineRule="exact"/>
              <w:ind w:left="285"/>
              <w:rPr>
                <w:b/>
                <w:sz w:val="22"/>
              </w:rPr>
            </w:pPr>
            <w:r>
              <w:rPr>
                <w:b/>
                <w:sz w:val="22"/>
              </w:rPr>
              <w:t>Moderate</w:t>
            </w:r>
          </w:p>
        </w:tc>
      </w:tr>
      <w:tr>
        <w:trPr>
          <w:trHeight w:val="253" w:hRule="atLeast"/>
        </w:trPr>
        <w:tc>
          <w:tcPr>
            <w:tcW w:w="433" w:type="dxa"/>
          </w:tcPr>
          <w:p>
            <w:pPr>
              <w:pStyle w:val="TableParagraph"/>
              <w:spacing w:line="233" w:lineRule="exact"/>
              <w:ind w:left="115"/>
              <w:rPr>
                <w:b/>
                <w:sz w:val="22"/>
              </w:rPr>
            </w:pPr>
            <w:r>
              <w:rPr>
                <w:b/>
                <w:sz w:val="22"/>
              </w:rPr>
              <w:t>4.</w:t>
            </w:r>
          </w:p>
        </w:tc>
        <w:tc>
          <w:tcPr>
            <w:tcW w:w="1684" w:type="dxa"/>
          </w:tcPr>
          <w:p>
            <w:pPr>
              <w:pStyle w:val="TableParagraph"/>
              <w:spacing w:line="233" w:lineRule="exact"/>
              <w:ind w:left="774"/>
              <w:rPr>
                <w:sz w:val="22"/>
              </w:rPr>
            </w:pPr>
            <w:r>
              <w:rPr>
                <w:sz w:val="22"/>
              </w:rPr>
              <w:t>254.58</w:t>
            </w:r>
          </w:p>
        </w:tc>
        <w:tc>
          <w:tcPr>
            <w:tcW w:w="3707" w:type="dxa"/>
          </w:tcPr>
          <w:p>
            <w:pPr>
              <w:pStyle w:val="TableParagraph"/>
              <w:spacing w:line="233" w:lineRule="exact"/>
              <w:ind w:left="175"/>
              <w:rPr>
                <w:b/>
                <w:sz w:val="22"/>
              </w:rPr>
            </w:pPr>
            <w:r>
              <w:rPr>
                <w:b/>
                <w:sz w:val="22"/>
              </w:rPr>
              <w:t>Practically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Non-Corrosive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(PNC)</w:t>
            </w:r>
          </w:p>
        </w:tc>
        <w:tc>
          <w:tcPr>
            <w:tcW w:w="1079" w:type="dxa"/>
          </w:tcPr>
          <w:p>
            <w:pPr>
              <w:pStyle w:val="TableParagraph"/>
              <w:spacing w:line="233" w:lineRule="exact"/>
              <w:ind w:right="240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0.321</w:t>
            </w:r>
          </w:p>
        </w:tc>
        <w:tc>
          <w:tcPr>
            <w:tcW w:w="86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82" w:type="dxa"/>
          </w:tcPr>
          <w:p>
            <w:pPr>
              <w:pStyle w:val="TableParagraph"/>
              <w:spacing w:line="233" w:lineRule="exact"/>
              <w:ind w:left="285"/>
              <w:rPr>
                <w:b/>
                <w:sz w:val="22"/>
              </w:rPr>
            </w:pPr>
            <w:r>
              <w:rPr>
                <w:b/>
                <w:sz w:val="22"/>
              </w:rPr>
              <w:t>Moderate</w:t>
            </w:r>
          </w:p>
        </w:tc>
      </w:tr>
      <w:tr>
        <w:trPr>
          <w:trHeight w:val="253" w:hRule="atLeast"/>
        </w:trPr>
        <w:tc>
          <w:tcPr>
            <w:tcW w:w="433" w:type="dxa"/>
          </w:tcPr>
          <w:p>
            <w:pPr>
              <w:pStyle w:val="TableParagraph"/>
              <w:spacing w:line="233" w:lineRule="exact"/>
              <w:ind w:left="115"/>
              <w:rPr>
                <w:b/>
                <w:sz w:val="22"/>
              </w:rPr>
            </w:pPr>
            <w:r>
              <w:rPr>
                <w:b/>
                <w:sz w:val="22"/>
              </w:rPr>
              <w:t>5.</w:t>
            </w:r>
          </w:p>
        </w:tc>
        <w:tc>
          <w:tcPr>
            <w:tcW w:w="1684" w:type="dxa"/>
          </w:tcPr>
          <w:p>
            <w:pPr>
              <w:pStyle w:val="TableParagraph"/>
              <w:spacing w:line="233" w:lineRule="exact"/>
              <w:ind w:left="774"/>
              <w:rPr>
                <w:sz w:val="22"/>
              </w:rPr>
            </w:pPr>
            <w:r>
              <w:rPr>
                <w:sz w:val="22"/>
              </w:rPr>
              <w:t>255.62</w:t>
            </w:r>
          </w:p>
        </w:tc>
        <w:tc>
          <w:tcPr>
            <w:tcW w:w="3707" w:type="dxa"/>
          </w:tcPr>
          <w:p>
            <w:pPr>
              <w:pStyle w:val="TableParagraph"/>
              <w:spacing w:line="233" w:lineRule="exact"/>
              <w:ind w:left="175"/>
              <w:rPr>
                <w:b/>
                <w:sz w:val="22"/>
              </w:rPr>
            </w:pPr>
            <w:r>
              <w:rPr>
                <w:b/>
                <w:sz w:val="22"/>
              </w:rPr>
              <w:t>Practically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Non-Corrosive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(PNC))</w:t>
            </w:r>
          </w:p>
        </w:tc>
        <w:tc>
          <w:tcPr>
            <w:tcW w:w="1079" w:type="dxa"/>
          </w:tcPr>
          <w:p>
            <w:pPr>
              <w:pStyle w:val="TableParagraph"/>
              <w:spacing w:line="233" w:lineRule="exact"/>
              <w:ind w:right="240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0.333</w:t>
            </w:r>
          </w:p>
        </w:tc>
        <w:tc>
          <w:tcPr>
            <w:tcW w:w="86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82" w:type="dxa"/>
          </w:tcPr>
          <w:p>
            <w:pPr>
              <w:pStyle w:val="TableParagraph"/>
              <w:spacing w:line="233" w:lineRule="exact"/>
              <w:ind w:left="285"/>
              <w:rPr>
                <w:b/>
                <w:sz w:val="22"/>
              </w:rPr>
            </w:pPr>
            <w:r>
              <w:rPr>
                <w:b/>
                <w:sz w:val="22"/>
              </w:rPr>
              <w:t>Moderate</w:t>
            </w:r>
          </w:p>
        </w:tc>
      </w:tr>
      <w:tr>
        <w:trPr>
          <w:trHeight w:val="253" w:hRule="atLeast"/>
        </w:trPr>
        <w:tc>
          <w:tcPr>
            <w:tcW w:w="433" w:type="dxa"/>
          </w:tcPr>
          <w:p>
            <w:pPr>
              <w:pStyle w:val="TableParagraph"/>
              <w:spacing w:line="233" w:lineRule="exact"/>
              <w:ind w:left="115"/>
              <w:rPr>
                <w:b/>
                <w:sz w:val="22"/>
              </w:rPr>
            </w:pPr>
            <w:r>
              <w:rPr>
                <w:b/>
                <w:sz w:val="22"/>
              </w:rPr>
              <w:t>6.</w:t>
            </w:r>
          </w:p>
        </w:tc>
        <w:tc>
          <w:tcPr>
            <w:tcW w:w="1684" w:type="dxa"/>
          </w:tcPr>
          <w:p>
            <w:pPr>
              <w:pStyle w:val="TableParagraph"/>
              <w:spacing w:line="233" w:lineRule="exact"/>
              <w:ind w:left="774"/>
              <w:rPr>
                <w:sz w:val="22"/>
              </w:rPr>
            </w:pPr>
            <w:r>
              <w:rPr>
                <w:sz w:val="22"/>
              </w:rPr>
              <w:t>233.00</w:t>
            </w:r>
          </w:p>
        </w:tc>
        <w:tc>
          <w:tcPr>
            <w:tcW w:w="3707" w:type="dxa"/>
          </w:tcPr>
          <w:p>
            <w:pPr>
              <w:pStyle w:val="TableParagraph"/>
              <w:spacing w:line="233" w:lineRule="exact"/>
              <w:ind w:left="175"/>
              <w:rPr>
                <w:b/>
                <w:sz w:val="22"/>
              </w:rPr>
            </w:pPr>
            <w:r>
              <w:rPr>
                <w:b/>
                <w:sz w:val="22"/>
              </w:rPr>
              <w:t>Practically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Non-Corrosive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(PNC)</w:t>
            </w:r>
          </w:p>
        </w:tc>
        <w:tc>
          <w:tcPr>
            <w:tcW w:w="1079" w:type="dxa"/>
          </w:tcPr>
          <w:p>
            <w:pPr>
              <w:pStyle w:val="TableParagraph"/>
              <w:spacing w:line="233" w:lineRule="exact"/>
              <w:ind w:right="240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0.169</w:t>
            </w:r>
          </w:p>
        </w:tc>
        <w:tc>
          <w:tcPr>
            <w:tcW w:w="86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82" w:type="dxa"/>
          </w:tcPr>
          <w:p>
            <w:pPr>
              <w:pStyle w:val="TableParagraph"/>
              <w:spacing w:line="233" w:lineRule="exact"/>
              <w:ind w:left="285"/>
              <w:rPr>
                <w:b/>
                <w:sz w:val="22"/>
              </w:rPr>
            </w:pPr>
            <w:r>
              <w:rPr>
                <w:b/>
                <w:sz w:val="22"/>
              </w:rPr>
              <w:t>Weak</w:t>
            </w:r>
          </w:p>
        </w:tc>
      </w:tr>
      <w:tr>
        <w:trPr>
          <w:trHeight w:val="253" w:hRule="atLeast"/>
        </w:trPr>
        <w:tc>
          <w:tcPr>
            <w:tcW w:w="433" w:type="dxa"/>
          </w:tcPr>
          <w:p>
            <w:pPr>
              <w:pStyle w:val="TableParagraph"/>
              <w:spacing w:line="233" w:lineRule="exact"/>
              <w:ind w:left="115"/>
              <w:rPr>
                <w:b/>
                <w:sz w:val="22"/>
              </w:rPr>
            </w:pPr>
            <w:r>
              <w:rPr>
                <w:b/>
                <w:sz w:val="22"/>
              </w:rPr>
              <w:t>7.</w:t>
            </w:r>
          </w:p>
        </w:tc>
        <w:tc>
          <w:tcPr>
            <w:tcW w:w="1684" w:type="dxa"/>
          </w:tcPr>
          <w:p>
            <w:pPr>
              <w:pStyle w:val="TableParagraph"/>
              <w:spacing w:line="233" w:lineRule="exact"/>
              <w:ind w:left="774"/>
              <w:rPr>
                <w:sz w:val="22"/>
              </w:rPr>
            </w:pPr>
            <w:r>
              <w:rPr>
                <w:sz w:val="22"/>
              </w:rPr>
              <w:t>234.84</w:t>
            </w:r>
          </w:p>
        </w:tc>
        <w:tc>
          <w:tcPr>
            <w:tcW w:w="3707" w:type="dxa"/>
          </w:tcPr>
          <w:p>
            <w:pPr>
              <w:pStyle w:val="TableParagraph"/>
              <w:spacing w:line="233" w:lineRule="exact"/>
              <w:ind w:left="175"/>
              <w:rPr>
                <w:b/>
                <w:sz w:val="22"/>
              </w:rPr>
            </w:pPr>
            <w:r>
              <w:rPr>
                <w:b/>
                <w:sz w:val="22"/>
              </w:rPr>
              <w:t>Practically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Non-Corrosive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(PNC)</w:t>
            </w:r>
          </w:p>
        </w:tc>
        <w:tc>
          <w:tcPr>
            <w:tcW w:w="1079" w:type="dxa"/>
          </w:tcPr>
          <w:p>
            <w:pPr>
              <w:pStyle w:val="TableParagraph"/>
              <w:spacing w:line="233" w:lineRule="exact"/>
              <w:ind w:right="240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0.171</w:t>
            </w:r>
          </w:p>
        </w:tc>
        <w:tc>
          <w:tcPr>
            <w:tcW w:w="86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82" w:type="dxa"/>
          </w:tcPr>
          <w:p>
            <w:pPr>
              <w:pStyle w:val="TableParagraph"/>
              <w:spacing w:line="233" w:lineRule="exact"/>
              <w:ind w:left="285"/>
              <w:rPr>
                <w:b/>
                <w:sz w:val="22"/>
              </w:rPr>
            </w:pPr>
            <w:r>
              <w:rPr>
                <w:b/>
                <w:sz w:val="22"/>
              </w:rPr>
              <w:t>Weak</w:t>
            </w:r>
          </w:p>
        </w:tc>
      </w:tr>
      <w:tr>
        <w:trPr>
          <w:trHeight w:val="253" w:hRule="atLeast"/>
        </w:trPr>
        <w:tc>
          <w:tcPr>
            <w:tcW w:w="433" w:type="dxa"/>
          </w:tcPr>
          <w:p>
            <w:pPr>
              <w:pStyle w:val="TableParagraph"/>
              <w:spacing w:line="233" w:lineRule="exact"/>
              <w:ind w:left="115"/>
              <w:rPr>
                <w:b/>
                <w:sz w:val="22"/>
              </w:rPr>
            </w:pPr>
            <w:r>
              <w:rPr>
                <w:b/>
                <w:sz w:val="22"/>
              </w:rPr>
              <w:t>8.</w:t>
            </w:r>
          </w:p>
        </w:tc>
        <w:tc>
          <w:tcPr>
            <w:tcW w:w="1684" w:type="dxa"/>
          </w:tcPr>
          <w:p>
            <w:pPr>
              <w:pStyle w:val="TableParagraph"/>
              <w:spacing w:line="233" w:lineRule="exact"/>
              <w:ind w:left="774"/>
              <w:rPr>
                <w:sz w:val="22"/>
              </w:rPr>
            </w:pPr>
            <w:r>
              <w:rPr>
                <w:sz w:val="22"/>
              </w:rPr>
              <w:t>257.68</w:t>
            </w:r>
          </w:p>
        </w:tc>
        <w:tc>
          <w:tcPr>
            <w:tcW w:w="3707" w:type="dxa"/>
          </w:tcPr>
          <w:p>
            <w:pPr>
              <w:pStyle w:val="TableParagraph"/>
              <w:spacing w:line="233" w:lineRule="exact"/>
              <w:ind w:left="175"/>
              <w:rPr>
                <w:b/>
                <w:sz w:val="22"/>
              </w:rPr>
            </w:pPr>
            <w:r>
              <w:rPr>
                <w:b/>
                <w:sz w:val="22"/>
              </w:rPr>
              <w:t>Practically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Non-Corrosive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(PNC)</w:t>
            </w:r>
          </w:p>
        </w:tc>
        <w:tc>
          <w:tcPr>
            <w:tcW w:w="1079" w:type="dxa"/>
          </w:tcPr>
          <w:p>
            <w:pPr>
              <w:pStyle w:val="TableParagraph"/>
              <w:spacing w:line="233" w:lineRule="exact"/>
              <w:ind w:right="240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0.399</w:t>
            </w:r>
          </w:p>
        </w:tc>
        <w:tc>
          <w:tcPr>
            <w:tcW w:w="86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82" w:type="dxa"/>
          </w:tcPr>
          <w:p>
            <w:pPr>
              <w:pStyle w:val="TableParagraph"/>
              <w:spacing w:line="233" w:lineRule="exact"/>
              <w:ind w:left="285"/>
              <w:rPr>
                <w:b/>
                <w:sz w:val="22"/>
              </w:rPr>
            </w:pPr>
            <w:r>
              <w:rPr>
                <w:b/>
                <w:sz w:val="22"/>
              </w:rPr>
              <w:t>Moderate</w:t>
            </w:r>
          </w:p>
        </w:tc>
      </w:tr>
      <w:tr>
        <w:trPr>
          <w:trHeight w:val="253" w:hRule="atLeast"/>
        </w:trPr>
        <w:tc>
          <w:tcPr>
            <w:tcW w:w="433" w:type="dxa"/>
          </w:tcPr>
          <w:p>
            <w:pPr>
              <w:pStyle w:val="TableParagraph"/>
              <w:spacing w:line="233" w:lineRule="exact"/>
              <w:ind w:left="115"/>
              <w:rPr>
                <w:b/>
                <w:sz w:val="22"/>
              </w:rPr>
            </w:pPr>
            <w:r>
              <w:rPr>
                <w:b/>
                <w:sz w:val="22"/>
              </w:rPr>
              <w:t>9.</w:t>
            </w:r>
          </w:p>
        </w:tc>
        <w:tc>
          <w:tcPr>
            <w:tcW w:w="1684" w:type="dxa"/>
          </w:tcPr>
          <w:p>
            <w:pPr>
              <w:pStyle w:val="TableParagraph"/>
              <w:spacing w:line="233" w:lineRule="exact"/>
              <w:ind w:left="774"/>
              <w:rPr>
                <w:sz w:val="22"/>
              </w:rPr>
            </w:pPr>
            <w:r>
              <w:rPr>
                <w:sz w:val="22"/>
              </w:rPr>
              <w:t>148.36</w:t>
            </w:r>
          </w:p>
        </w:tc>
        <w:tc>
          <w:tcPr>
            <w:tcW w:w="3707" w:type="dxa"/>
          </w:tcPr>
          <w:p>
            <w:pPr>
              <w:pStyle w:val="TableParagraph"/>
              <w:spacing w:line="233" w:lineRule="exact"/>
              <w:ind w:left="175"/>
              <w:rPr>
                <w:b/>
                <w:sz w:val="22"/>
              </w:rPr>
            </w:pPr>
            <w:r>
              <w:rPr>
                <w:b/>
                <w:sz w:val="22"/>
              </w:rPr>
              <w:t>Slightly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Corrosive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(SC)</w:t>
            </w:r>
          </w:p>
        </w:tc>
        <w:tc>
          <w:tcPr>
            <w:tcW w:w="1079" w:type="dxa"/>
          </w:tcPr>
          <w:p>
            <w:pPr>
              <w:pStyle w:val="TableParagraph"/>
              <w:spacing w:line="233" w:lineRule="exact"/>
              <w:ind w:right="240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0.117</w:t>
            </w:r>
          </w:p>
        </w:tc>
        <w:tc>
          <w:tcPr>
            <w:tcW w:w="86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82" w:type="dxa"/>
          </w:tcPr>
          <w:p>
            <w:pPr>
              <w:pStyle w:val="TableParagraph"/>
              <w:spacing w:line="233" w:lineRule="exact"/>
              <w:ind w:left="285"/>
              <w:rPr>
                <w:b/>
                <w:sz w:val="22"/>
              </w:rPr>
            </w:pPr>
            <w:r>
              <w:rPr>
                <w:b/>
                <w:sz w:val="22"/>
              </w:rPr>
              <w:t>Weak</w:t>
            </w:r>
          </w:p>
        </w:tc>
      </w:tr>
      <w:tr>
        <w:trPr>
          <w:trHeight w:val="251" w:hRule="atLeast"/>
        </w:trPr>
        <w:tc>
          <w:tcPr>
            <w:tcW w:w="433" w:type="dxa"/>
          </w:tcPr>
          <w:p>
            <w:pPr>
              <w:pStyle w:val="TableParagraph"/>
              <w:spacing w:line="232" w:lineRule="exact"/>
              <w:ind w:left="115"/>
              <w:rPr>
                <w:b/>
                <w:sz w:val="22"/>
              </w:rPr>
            </w:pPr>
            <w:r>
              <w:rPr>
                <w:b/>
                <w:sz w:val="22"/>
              </w:rPr>
              <w:t>10.</w:t>
            </w:r>
          </w:p>
        </w:tc>
        <w:tc>
          <w:tcPr>
            <w:tcW w:w="1684" w:type="dxa"/>
          </w:tcPr>
          <w:p>
            <w:pPr>
              <w:pStyle w:val="TableParagraph"/>
              <w:spacing w:line="232" w:lineRule="exact"/>
              <w:ind w:left="790"/>
              <w:rPr>
                <w:sz w:val="22"/>
              </w:rPr>
            </w:pPr>
            <w:r>
              <w:rPr>
                <w:sz w:val="22"/>
              </w:rPr>
              <w:t>153.02</w:t>
            </w:r>
          </w:p>
        </w:tc>
        <w:tc>
          <w:tcPr>
            <w:tcW w:w="3707" w:type="dxa"/>
          </w:tcPr>
          <w:p>
            <w:pPr>
              <w:pStyle w:val="TableParagraph"/>
              <w:spacing w:line="232" w:lineRule="exact"/>
              <w:ind w:left="175"/>
              <w:rPr>
                <w:b/>
                <w:sz w:val="22"/>
              </w:rPr>
            </w:pPr>
            <w:r>
              <w:rPr>
                <w:b/>
                <w:sz w:val="22"/>
              </w:rPr>
              <w:t>Slightly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Corrosive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(SC)</w:t>
            </w:r>
          </w:p>
        </w:tc>
        <w:tc>
          <w:tcPr>
            <w:tcW w:w="1079" w:type="dxa"/>
          </w:tcPr>
          <w:p>
            <w:pPr>
              <w:pStyle w:val="TableParagraph"/>
              <w:spacing w:line="232" w:lineRule="exact"/>
              <w:ind w:right="240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0.388</w:t>
            </w:r>
          </w:p>
        </w:tc>
        <w:tc>
          <w:tcPr>
            <w:tcW w:w="86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82" w:type="dxa"/>
          </w:tcPr>
          <w:p>
            <w:pPr>
              <w:pStyle w:val="TableParagraph"/>
              <w:spacing w:line="232" w:lineRule="exact"/>
              <w:ind w:left="285"/>
              <w:rPr>
                <w:b/>
                <w:sz w:val="22"/>
              </w:rPr>
            </w:pPr>
            <w:r>
              <w:rPr>
                <w:b/>
                <w:sz w:val="22"/>
              </w:rPr>
              <w:t>Moderate</w:t>
            </w:r>
          </w:p>
        </w:tc>
      </w:tr>
      <w:tr>
        <w:trPr>
          <w:trHeight w:val="253" w:hRule="atLeast"/>
        </w:trPr>
        <w:tc>
          <w:tcPr>
            <w:tcW w:w="433" w:type="dxa"/>
          </w:tcPr>
          <w:p>
            <w:pPr>
              <w:pStyle w:val="TableParagraph"/>
              <w:spacing w:line="233" w:lineRule="exact"/>
              <w:ind w:left="115"/>
              <w:rPr>
                <w:b/>
                <w:sz w:val="22"/>
              </w:rPr>
            </w:pPr>
            <w:r>
              <w:rPr>
                <w:b/>
                <w:sz w:val="22"/>
              </w:rPr>
              <w:t>11.</w:t>
            </w:r>
          </w:p>
        </w:tc>
        <w:tc>
          <w:tcPr>
            <w:tcW w:w="1684" w:type="dxa"/>
          </w:tcPr>
          <w:p>
            <w:pPr>
              <w:pStyle w:val="TableParagraph"/>
              <w:spacing w:line="233" w:lineRule="exact"/>
              <w:ind w:left="790"/>
              <w:rPr>
                <w:sz w:val="22"/>
              </w:rPr>
            </w:pPr>
            <w:r>
              <w:rPr>
                <w:sz w:val="22"/>
              </w:rPr>
              <w:t>417.78</w:t>
            </w:r>
          </w:p>
        </w:tc>
        <w:tc>
          <w:tcPr>
            <w:tcW w:w="3707" w:type="dxa"/>
          </w:tcPr>
          <w:p>
            <w:pPr>
              <w:pStyle w:val="TableParagraph"/>
              <w:spacing w:line="233" w:lineRule="exact"/>
              <w:ind w:left="175"/>
              <w:rPr>
                <w:b/>
                <w:sz w:val="22"/>
              </w:rPr>
            </w:pPr>
            <w:r>
              <w:rPr>
                <w:b/>
                <w:sz w:val="22"/>
              </w:rPr>
              <w:t>Practically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Non-Corrosive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(PNC)</w:t>
            </w:r>
          </w:p>
        </w:tc>
        <w:tc>
          <w:tcPr>
            <w:tcW w:w="1079" w:type="dxa"/>
          </w:tcPr>
          <w:p>
            <w:pPr>
              <w:pStyle w:val="TableParagraph"/>
              <w:spacing w:line="233" w:lineRule="exact"/>
              <w:ind w:right="240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0.280</w:t>
            </w:r>
          </w:p>
        </w:tc>
        <w:tc>
          <w:tcPr>
            <w:tcW w:w="86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82" w:type="dxa"/>
          </w:tcPr>
          <w:p>
            <w:pPr>
              <w:pStyle w:val="TableParagraph"/>
              <w:spacing w:line="233" w:lineRule="exact"/>
              <w:ind w:left="285"/>
              <w:rPr>
                <w:b/>
                <w:sz w:val="22"/>
              </w:rPr>
            </w:pPr>
            <w:r>
              <w:rPr>
                <w:b/>
                <w:sz w:val="22"/>
              </w:rPr>
              <w:t>Moderate</w:t>
            </w:r>
          </w:p>
        </w:tc>
      </w:tr>
      <w:tr>
        <w:trPr>
          <w:trHeight w:val="253" w:hRule="atLeast"/>
        </w:trPr>
        <w:tc>
          <w:tcPr>
            <w:tcW w:w="433" w:type="dxa"/>
          </w:tcPr>
          <w:p>
            <w:pPr>
              <w:pStyle w:val="TableParagraph"/>
              <w:spacing w:line="233" w:lineRule="exact"/>
              <w:ind w:left="115"/>
              <w:rPr>
                <w:b/>
                <w:sz w:val="22"/>
              </w:rPr>
            </w:pPr>
            <w:r>
              <w:rPr>
                <w:b/>
                <w:sz w:val="22"/>
              </w:rPr>
              <w:t>12.</w:t>
            </w:r>
          </w:p>
        </w:tc>
        <w:tc>
          <w:tcPr>
            <w:tcW w:w="1684" w:type="dxa"/>
          </w:tcPr>
          <w:p>
            <w:pPr>
              <w:pStyle w:val="TableParagraph"/>
              <w:spacing w:line="233" w:lineRule="exact"/>
              <w:ind w:left="790"/>
              <w:rPr>
                <w:sz w:val="22"/>
              </w:rPr>
            </w:pPr>
            <w:r>
              <w:rPr>
                <w:sz w:val="22"/>
              </w:rPr>
              <w:t>186.78</w:t>
            </w:r>
          </w:p>
        </w:tc>
        <w:tc>
          <w:tcPr>
            <w:tcW w:w="3707" w:type="dxa"/>
          </w:tcPr>
          <w:p>
            <w:pPr>
              <w:pStyle w:val="TableParagraph"/>
              <w:spacing w:line="233" w:lineRule="exact"/>
              <w:ind w:left="175"/>
              <w:rPr>
                <w:b/>
                <w:sz w:val="22"/>
              </w:rPr>
            </w:pPr>
            <w:r>
              <w:rPr>
                <w:b/>
                <w:sz w:val="22"/>
              </w:rPr>
              <w:t>Practically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Non-Corrosive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(PNC)</w:t>
            </w:r>
          </w:p>
        </w:tc>
        <w:tc>
          <w:tcPr>
            <w:tcW w:w="1079" w:type="dxa"/>
          </w:tcPr>
          <w:p>
            <w:pPr>
              <w:pStyle w:val="TableParagraph"/>
              <w:spacing w:line="233" w:lineRule="exact"/>
              <w:ind w:right="240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0.118</w:t>
            </w:r>
          </w:p>
        </w:tc>
        <w:tc>
          <w:tcPr>
            <w:tcW w:w="86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82" w:type="dxa"/>
          </w:tcPr>
          <w:p>
            <w:pPr>
              <w:pStyle w:val="TableParagraph"/>
              <w:spacing w:line="233" w:lineRule="exact"/>
              <w:ind w:left="285"/>
              <w:rPr>
                <w:b/>
                <w:sz w:val="22"/>
              </w:rPr>
            </w:pPr>
            <w:r>
              <w:rPr>
                <w:b/>
                <w:sz w:val="22"/>
              </w:rPr>
              <w:t>Weak</w:t>
            </w:r>
          </w:p>
        </w:tc>
      </w:tr>
      <w:tr>
        <w:trPr>
          <w:trHeight w:val="253" w:hRule="atLeast"/>
        </w:trPr>
        <w:tc>
          <w:tcPr>
            <w:tcW w:w="433" w:type="dxa"/>
          </w:tcPr>
          <w:p>
            <w:pPr>
              <w:pStyle w:val="TableParagraph"/>
              <w:spacing w:line="233" w:lineRule="exact"/>
              <w:ind w:left="115"/>
              <w:rPr>
                <w:b/>
                <w:sz w:val="22"/>
              </w:rPr>
            </w:pPr>
            <w:r>
              <w:rPr>
                <w:b/>
                <w:sz w:val="22"/>
              </w:rPr>
              <w:t>13.</w:t>
            </w:r>
          </w:p>
        </w:tc>
        <w:tc>
          <w:tcPr>
            <w:tcW w:w="1684" w:type="dxa"/>
          </w:tcPr>
          <w:p>
            <w:pPr>
              <w:pStyle w:val="TableParagraph"/>
              <w:spacing w:line="233" w:lineRule="exact"/>
              <w:ind w:left="790"/>
              <w:rPr>
                <w:sz w:val="22"/>
              </w:rPr>
            </w:pPr>
            <w:r>
              <w:rPr>
                <w:sz w:val="22"/>
              </w:rPr>
              <w:t>105.22</w:t>
            </w:r>
          </w:p>
        </w:tc>
        <w:tc>
          <w:tcPr>
            <w:tcW w:w="3707" w:type="dxa"/>
          </w:tcPr>
          <w:p>
            <w:pPr>
              <w:pStyle w:val="TableParagraph"/>
              <w:spacing w:line="233" w:lineRule="exact"/>
              <w:ind w:left="175"/>
              <w:rPr>
                <w:b/>
                <w:sz w:val="22"/>
              </w:rPr>
            </w:pPr>
            <w:r>
              <w:rPr>
                <w:b/>
                <w:sz w:val="22"/>
              </w:rPr>
              <w:t>Slightly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Corrosive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(SC)</w:t>
            </w:r>
          </w:p>
        </w:tc>
        <w:tc>
          <w:tcPr>
            <w:tcW w:w="1079" w:type="dxa"/>
          </w:tcPr>
          <w:p>
            <w:pPr>
              <w:pStyle w:val="TableParagraph"/>
              <w:spacing w:line="233" w:lineRule="exact"/>
              <w:ind w:right="240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0.589</w:t>
            </w:r>
          </w:p>
        </w:tc>
        <w:tc>
          <w:tcPr>
            <w:tcW w:w="86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82" w:type="dxa"/>
          </w:tcPr>
          <w:p>
            <w:pPr>
              <w:pStyle w:val="TableParagraph"/>
              <w:spacing w:line="233" w:lineRule="exact"/>
              <w:ind w:left="285"/>
              <w:rPr>
                <w:b/>
                <w:sz w:val="22"/>
              </w:rPr>
            </w:pPr>
            <w:r>
              <w:rPr>
                <w:b/>
                <w:sz w:val="22"/>
              </w:rPr>
              <w:t>Moderate</w:t>
            </w:r>
          </w:p>
        </w:tc>
      </w:tr>
      <w:tr>
        <w:trPr>
          <w:trHeight w:val="253" w:hRule="atLeast"/>
        </w:trPr>
        <w:tc>
          <w:tcPr>
            <w:tcW w:w="433" w:type="dxa"/>
          </w:tcPr>
          <w:p>
            <w:pPr>
              <w:pStyle w:val="TableParagraph"/>
              <w:spacing w:line="233" w:lineRule="exact"/>
              <w:ind w:left="115"/>
              <w:rPr>
                <w:b/>
                <w:sz w:val="22"/>
              </w:rPr>
            </w:pPr>
            <w:r>
              <w:rPr>
                <w:b/>
                <w:sz w:val="22"/>
              </w:rPr>
              <w:t>14.</w:t>
            </w:r>
          </w:p>
        </w:tc>
        <w:tc>
          <w:tcPr>
            <w:tcW w:w="1684" w:type="dxa"/>
          </w:tcPr>
          <w:p>
            <w:pPr>
              <w:pStyle w:val="TableParagraph"/>
              <w:spacing w:line="233" w:lineRule="exact"/>
              <w:ind w:left="790"/>
              <w:rPr>
                <w:sz w:val="22"/>
              </w:rPr>
            </w:pPr>
            <w:r>
              <w:rPr>
                <w:sz w:val="22"/>
              </w:rPr>
              <w:t>128.96</w:t>
            </w:r>
          </w:p>
        </w:tc>
        <w:tc>
          <w:tcPr>
            <w:tcW w:w="3707" w:type="dxa"/>
          </w:tcPr>
          <w:p>
            <w:pPr>
              <w:pStyle w:val="TableParagraph"/>
              <w:spacing w:line="233" w:lineRule="exact"/>
              <w:ind w:left="175"/>
              <w:rPr>
                <w:b/>
                <w:sz w:val="22"/>
              </w:rPr>
            </w:pPr>
            <w:r>
              <w:rPr>
                <w:b/>
                <w:sz w:val="22"/>
              </w:rPr>
              <w:t>Slightly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Corrosive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(SC)</w:t>
            </w:r>
          </w:p>
        </w:tc>
        <w:tc>
          <w:tcPr>
            <w:tcW w:w="1079" w:type="dxa"/>
          </w:tcPr>
          <w:p>
            <w:pPr>
              <w:pStyle w:val="TableParagraph"/>
              <w:spacing w:line="233" w:lineRule="exact"/>
              <w:ind w:right="240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0.278</w:t>
            </w:r>
          </w:p>
        </w:tc>
        <w:tc>
          <w:tcPr>
            <w:tcW w:w="86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82" w:type="dxa"/>
          </w:tcPr>
          <w:p>
            <w:pPr>
              <w:pStyle w:val="TableParagraph"/>
              <w:spacing w:line="233" w:lineRule="exact"/>
              <w:ind w:left="285"/>
              <w:rPr>
                <w:b/>
                <w:sz w:val="22"/>
              </w:rPr>
            </w:pPr>
            <w:r>
              <w:rPr>
                <w:b/>
                <w:sz w:val="22"/>
              </w:rPr>
              <w:t>Moderate</w:t>
            </w:r>
          </w:p>
        </w:tc>
      </w:tr>
      <w:tr>
        <w:trPr>
          <w:trHeight w:val="252" w:hRule="atLeast"/>
        </w:trPr>
        <w:tc>
          <w:tcPr>
            <w:tcW w:w="433" w:type="dxa"/>
          </w:tcPr>
          <w:p>
            <w:pPr>
              <w:pStyle w:val="TableParagraph"/>
              <w:spacing w:line="232" w:lineRule="exact"/>
              <w:ind w:left="115"/>
              <w:rPr>
                <w:b/>
                <w:sz w:val="22"/>
              </w:rPr>
            </w:pPr>
            <w:r>
              <w:rPr>
                <w:b/>
                <w:sz w:val="22"/>
              </w:rPr>
              <w:t>15.</w:t>
            </w:r>
          </w:p>
        </w:tc>
        <w:tc>
          <w:tcPr>
            <w:tcW w:w="1684" w:type="dxa"/>
          </w:tcPr>
          <w:p>
            <w:pPr>
              <w:pStyle w:val="TableParagraph"/>
              <w:spacing w:line="232" w:lineRule="exact"/>
              <w:ind w:left="790"/>
              <w:rPr>
                <w:sz w:val="22"/>
              </w:rPr>
            </w:pPr>
            <w:r>
              <w:rPr>
                <w:sz w:val="22"/>
              </w:rPr>
              <w:t>91.62</w:t>
            </w:r>
          </w:p>
        </w:tc>
        <w:tc>
          <w:tcPr>
            <w:tcW w:w="3707" w:type="dxa"/>
          </w:tcPr>
          <w:p>
            <w:pPr>
              <w:pStyle w:val="TableParagraph"/>
              <w:spacing w:line="232" w:lineRule="exact"/>
              <w:ind w:left="175"/>
              <w:rPr>
                <w:b/>
                <w:sz w:val="22"/>
              </w:rPr>
            </w:pPr>
            <w:r>
              <w:rPr>
                <w:b/>
                <w:sz w:val="22"/>
              </w:rPr>
              <w:t>Slightly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Corrosive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(SC)</w:t>
            </w:r>
          </w:p>
        </w:tc>
        <w:tc>
          <w:tcPr>
            <w:tcW w:w="1079" w:type="dxa"/>
          </w:tcPr>
          <w:p>
            <w:pPr>
              <w:pStyle w:val="TableParagraph"/>
              <w:spacing w:line="232" w:lineRule="exact"/>
              <w:ind w:right="240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0.902</w:t>
            </w:r>
          </w:p>
        </w:tc>
        <w:tc>
          <w:tcPr>
            <w:tcW w:w="86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82" w:type="dxa"/>
          </w:tcPr>
          <w:p>
            <w:pPr>
              <w:pStyle w:val="TableParagraph"/>
              <w:spacing w:line="232" w:lineRule="exact"/>
              <w:ind w:left="285"/>
              <w:rPr>
                <w:b/>
                <w:sz w:val="22"/>
              </w:rPr>
            </w:pPr>
            <w:r>
              <w:rPr>
                <w:b/>
                <w:sz w:val="22"/>
              </w:rPr>
              <w:t>Good</w:t>
            </w:r>
          </w:p>
        </w:tc>
      </w:tr>
      <w:tr>
        <w:trPr>
          <w:trHeight w:val="253" w:hRule="atLeast"/>
        </w:trPr>
        <w:tc>
          <w:tcPr>
            <w:tcW w:w="433" w:type="dxa"/>
          </w:tcPr>
          <w:p>
            <w:pPr>
              <w:pStyle w:val="TableParagraph"/>
              <w:spacing w:line="233" w:lineRule="exact"/>
              <w:ind w:left="115"/>
              <w:rPr>
                <w:b/>
                <w:sz w:val="22"/>
              </w:rPr>
            </w:pPr>
            <w:r>
              <w:rPr>
                <w:b/>
                <w:sz w:val="22"/>
              </w:rPr>
              <w:t>16.</w:t>
            </w:r>
          </w:p>
        </w:tc>
        <w:tc>
          <w:tcPr>
            <w:tcW w:w="1684" w:type="dxa"/>
          </w:tcPr>
          <w:p>
            <w:pPr>
              <w:pStyle w:val="TableParagraph"/>
              <w:spacing w:line="233" w:lineRule="exact"/>
              <w:ind w:left="790"/>
              <w:rPr>
                <w:sz w:val="22"/>
              </w:rPr>
            </w:pPr>
            <w:r>
              <w:rPr>
                <w:sz w:val="22"/>
              </w:rPr>
              <w:t>199.66</w:t>
            </w:r>
          </w:p>
        </w:tc>
        <w:tc>
          <w:tcPr>
            <w:tcW w:w="3707" w:type="dxa"/>
          </w:tcPr>
          <w:p>
            <w:pPr>
              <w:pStyle w:val="TableParagraph"/>
              <w:spacing w:line="233" w:lineRule="exact"/>
              <w:ind w:left="175"/>
              <w:rPr>
                <w:b/>
                <w:sz w:val="22"/>
              </w:rPr>
            </w:pPr>
            <w:r>
              <w:rPr>
                <w:b/>
                <w:sz w:val="22"/>
              </w:rPr>
              <w:t>Practically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Non-Corrosive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(PNC)</w:t>
            </w:r>
          </w:p>
        </w:tc>
        <w:tc>
          <w:tcPr>
            <w:tcW w:w="1079" w:type="dxa"/>
          </w:tcPr>
          <w:p>
            <w:pPr>
              <w:pStyle w:val="TableParagraph"/>
              <w:spacing w:line="233" w:lineRule="exact"/>
              <w:ind w:right="240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0.288</w:t>
            </w:r>
          </w:p>
        </w:tc>
        <w:tc>
          <w:tcPr>
            <w:tcW w:w="86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82" w:type="dxa"/>
          </w:tcPr>
          <w:p>
            <w:pPr>
              <w:pStyle w:val="TableParagraph"/>
              <w:spacing w:line="233" w:lineRule="exact"/>
              <w:ind w:left="285"/>
              <w:rPr>
                <w:b/>
                <w:sz w:val="22"/>
              </w:rPr>
            </w:pPr>
            <w:r>
              <w:rPr>
                <w:b/>
                <w:sz w:val="22"/>
              </w:rPr>
              <w:t>Moderate</w:t>
            </w:r>
          </w:p>
        </w:tc>
      </w:tr>
      <w:tr>
        <w:trPr>
          <w:trHeight w:val="253" w:hRule="atLeast"/>
        </w:trPr>
        <w:tc>
          <w:tcPr>
            <w:tcW w:w="433" w:type="dxa"/>
          </w:tcPr>
          <w:p>
            <w:pPr>
              <w:pStyle w:val="TableParagraph"/>
              <w:spacing w:line="233" w:lineRule="exact"/>
              <w:ind w:left="115"/>
              <w:rPr>
                <w:b/>
                <w:sz w:val="22"/>
              </w:rPr>
            </w:pPr>
            <w:r>
              <w:rPr>
                <w:b/>
                <w:sz w:val="22"/>
              </w:rPr>
              <w:t>17.</w:t>
            </w:r>
          </w:p>
        </w:tc>
        <w:tc>
          <w:tcPr>
            <w:tcW w:w="1684" w:type="dxa"/>
          </w:tcPr>
          <w:p>
            <w:pPr>
              <w:pStyle w:val="TableParagraph"/>
              <w:spacing w:line="233" w:lineRule="exact"/>
              <w:ind w:left="790"/>
              <w:rPr>
                <w:sz w:val="22"/>
              </w:rPr>
            </w:pPr>
            <w:r>
              <w:rPr>
                <w:sz w:val="22"/>
              </w:rPr>
              <w:t>174.14</w:t>
            </w:r>
          </w:p>
        </w:tc>
        <w:tc>
          <w:tcPr>
            <w:tcW w:w="3707" w:type="dxa"/>
          </w:tcPr>
          <w:p>
            <w:pPr>
              <w:pStyle w:val="TableParagraph"/>
              <w:spacing w:line="233" w:lineRule="exact"/>
              <w:ind w:left="175"/>
              <w:rPr>
                <w:b/>
                <w:sz w:val="22"/>
              </w:rPr>
            </w:pPr>
            <w:r>
              <w:rPr>
                <w:b/>
                <w:sz w:val="22"/>
              </w:rPr>
              <w:t>Slightly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Corrosive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(SC)</w:t>
            </w:r>
          </w:p>
        </w:tc>
        <w:tc>
          <w:tcPr>
            <w:tcW w:w="1079" w:type="dxa"/>
          </w:tcPr>
          <w:p>
            <w:pPr>
              <w:pStyle w:val="TableParagraph"/>
              <w:spacing w:line="233" w:lineRule="exact"/>
              <w:ind w:right="240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0.175</w:t>
            </w:r>
          </w:p>
        </w:tc>
        <w:tc>
          <w:tcPr>
            <w:tcW w:w="86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82" w:type="dxa"/>
          </w:tcPr>
          <w:p>
            <w:pPr>
              <w:pStyle w:val="TableParagraph"/>
              <w:spacing w:line="233" w:lineRule="exact"/>
              <w:ind w:left="285"/>
              <w:rPr>
                <w:b/>
                <w:sz w:val="22"/>
              </w:rPr>
            </w:pPr>
            <w:r>
              <w:rPr>
                <w:b/>
                <w:sz w:val="22"/>
              </w:rPr>
              <w:t>Weak</w:t>
            </w:r>
          </w:p>
        </w:tc>
      </w:tr>
      <w:tr>
        <w:trPr>
          <w:trHeight w:val="253" w:hRule="atLeast"/>
        </w:trPr>
        <w:tc>
          <w:tcPr>
            <w:tcW w:w="433" w:type="dxa"/>
          </w:tcPr>
          <w:p>
            <w:pPr>
              <w:pStyle w:val="TableParagraph"/>
              <w:spacing w:line="233" w:lineRule="exact"/>
              <w:ind w:left="115"/>
              <w:rPr>
                <w:b/>
                <w:sz w:val="22"/>
              </w:rPr>
            </w:pPr>
            <w:r>
              <w:rPr>
                <w:b/>
                <w:sz w:val="22"/>
              </w:rPr>
              <w:t>18.</w:t>
            </w:r>
          </w:p>
        </w:tc>
        <w:tc>
          <w:tcPr>
            <w:tcW w:w="1684" w:type="dxa"/>
          </w:tcPr>
          <w:p>
            <w:pPr>
              <w:pStyle w:val="TableParagraph"/>
              <w:spacing w:line="233" w:lineRule="exact"/>
              <w:ind w:left="790"/>
              <w:rPr>
                <w:sz w:val="22"/>
              </w:rPr>
            </w:pPr>
            <w:r>
              <w:rPr>
                <w:sz w:val="22"/>
              </w:rPr>
              <w:t>3470.90</w:t>
            </w:r>
          </w:p>
        </w:tc>
        <w:tc>
          <w:tcPr>
            <w:tcW w:w="3707" w:type="dxa"/>
          </w:tcPr>
          <w:p>
            <w:pPr>
              <w:pStyle w:val="TableParagraph"/>
              <w:spacing w:line="233" w:lineRule="exact"/>
              <w:ind w:left="175"/>
              <w:rPr>
                <w:b/>
                <w:sz w:val="22"/>
              </w:rPr>
            </w:pPr>
            <w:r>
              <w:rPr>
                <w:b/>
                <w:sz w:val="22"/>
              </w:rPr>
              <w:t>Practically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Non-Corrosive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(PNC)</w:t>
            </w:r>
          </w:p>
        </w:tc>
        <w:tc>
          <w:tcPr>
            <w:tcW w:w="1079" w:type="dxa"/>
          </w:tcPr>
          <w:p>
            <w:pPr>
              <w:pStyle w:val="TableParagraph"/>
              <w:spacing w:line="233" w:lineRule="exact"/>
              <w:ind w:right="240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0.167</w:t>
            </w:r>
          </w:p>
        </w:tc>
        <w:tc>
          <w:tcPr>
            <w:tcW w:w="86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82" w:type="dxa"/>
          </w:tcPr>
          <w:p>
            <w:pPr>
              <w:pStyle w:val="TableParagraph"/>
              <w:spacing w:line="233" w:lineRule="exact"/>
              <w:ind w:left="285"/>
              <w:rPr>
                <w:b/>
                <w:sz w:val="22"/>
              </w:rPr>
            </w:pPr>
            <w:r>
              <w:rPr>
                <w:b/>
                <w:sz w:val="22"/>
              </w:rPr>
              <w:t>Weak</w:t>
            </w:r>
          </w:p>
        </w:tc>
      </w:tr>
      <w:tr>
        <w:trPr>
          <w:trHeight w:val="253" w:hRule="atLeast"/>
        </w:trPr>
        <w:tc>
          <w:tcPr>
            <w:tcW w:w="433" w:type="dxa"/>
          </w:tcPr>
          <w:p>
            <w:pPr>
              <w:pStyle w:val="TableParagraph"/>
              <w:spacing w:line="233" w:lineRule="exact"/>
              <w:ind w:left="115"/>
              <w:rPr>
                <w:b/>
                <w:sz w:val="22"/>
              </w:rPr>
            </w:pPr>
            <w:r>
              <w:rPr>
                <w:b/>
                <w:sz w:val="22"/>
              </w:rPr>
              <w:t>19.</w:t>
            </w:r>
          </w:p>
        </w:tc>
        <w:tc>
          <w:tcPr>
            <w:tcW w:w="1684" w:type="dxa"/>
          </w:tcPr>
          <w:p>
            <w:pPr>
              <w:pStyle w:val="TableParagraph"/>
              <w:spacing w:line="233" w:lineRule="exact"/>
              <w:ind w:left="790"/>
              <w:rPr>
                <w:sz w:val="22"/>
              </w:rPr>
            </w:pPr>
            <w:r>
              <w:rPr>
                <w:sz w:val="22"/>
              </w:rPr>
              <w:t>244.62</w:t>
            </w:r>
          </w:p>
        </w:tc>
        <w:tc>
          <w:tcPr>
            <w:tcW w:w="3707" w:type="dxa"/>
          </w:tcPr>
          <w:p>
            <w:pPr>
              <w:pStyle w:val="TableParagraph"/>
              <w:spacing w:line="233" w:lineRule="exact"/>
              <w:ind w:left="175"/>
              <w:rPr>
                <w:b/>
                <w:sz w:val="22"/>
              </w:rPr>
            </w:pPr>
            <w:r>
              <w:rPr>
                <w:b/>
                <w:sz w:val="22"/>
              </w:rPr>
              <w:t>Practically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Non-Corrosive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(PNC)</w:t>
            </w:r>
          </w:p>
        </w:tc>
        <w:tc>
          <w:tcPr>
            <w:tcW w:w="1079" w:type="dxa"/>
          </w:tcPr>
          <w:p>
            <w:pPr>
              <w:pStyle w:val="TableParagraph"/>
              <w:spacing w:line="233" w:lineRule="exact"/>
              <w:ind w:right="240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0.205</w:t>
            </w:r>
          </w:p>
        </w:tc>
        <w:tc>
          <w:tcPr>
            <w:tcW w:w="86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82" w:type="dxa"/>
          </w:tcPr>
          <w:p>
            <w:pPr>
              <w:pStyle w:val="TableParagraph"/>
              <w:spacing w:line="233" w:lineRule="exact"/>
              <w:ind w:left="285"/>
              <w:rPr>
                <w:b/>
                <w:sz w:val="22"/>
              </w:rPr>
            </w:pPr>
            <w:r>
              <w:rPr>
                <w:b/>
                <w:sz w:val="22"/>
              </w:rPr>
              <w:t>Moderate</w:t>
            </w:r>
          </w:p>
        </w:tc>
      </w:tr>
      <w:tr>
        <w:trPr>
          <w:trHeight w:val="252" w:hRule="atLeast"/>
        </w:trPr>
        <w:tc>
          <w:tcPr>
            <w:tcW w:w="433" w:type="dxa"/>
          </w:tcPr>
          <w:p>
            <w:pPr>
              <w:pStyle w:val="TableParagraph"/>
              <w:spacing w:line="232" w:lineRule="exact"/>
              <w:ind w:left="115"/>
              <w:rPr>
                <w:b/>
                <w:sz w:val="22"/>
              </w:rPr>
            </w:pPr>
            <w:r>
              <w:rPr>
                <w:b/>
                <w:sz w:val="22"/>
              </w:rPr>
              <w:t>20.</w:t>
            </w:r>
          </w:p>
        </w:tc>
        <w:tc>
          <w:tcPr>
            <w:tcW w:w="1684" w:type="dxa"/>
          </w:tcPr>
          <w:p>
            <w:pPr>
              <w:pStyle w:val="TableParagraph"/>
              <w:spacing w:line="232" w:lineRule="exact"/>
              <w:ind w:left="790"/>
              <w:rPr>
                <w:sz w:val="22"/>
              </w:rPr>
            </w:pPr>
            <w:r>
              <w:rPr>
                <w:sz w:val="22"/>
              </w:rPr>
              <w:t>148.92</w:t>
            </w:r>
          </w:p>
        </w:tc>
        <w:tc>
          <w:tcPr>
            <w:tcW w:w="3707" w:type="dxa"/>
          </w:tcPr>
          <w:p>
            <w:pPr>
              <w:pStyle w:val="TableParagraph"/>
              <w:spacing w:line="232" w:lineRule="exact"/>
              <w:ind w:left="175"/>
              <w:rPr>
                <w:b/>
                <w:sz w:val="22"/>
              </w:rPr>
            </w:pPr>
            <w:r>
              <w:rPr>
                <w:b/>
                <w:sz w:val="22"/>
              </w:rPr>
              <w:t>Slightly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Corrosive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(SC)</w:t>
            </w:r>
          </w:p>
        </w:tc>
        <w:tc>
          <w:tcPr>
            <w:tcW w:w="1079" w:type="dxa"/>
          </w:tcPr>
          <w:p>
            <w:pPr>
              <w:pStyle w:val="TableParagraph"/>
              <w:spacing w:line="232" w:lineRule="exact"/>
              <w:ind w:right="240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0.648</w:t>
            </w:r>
          </w:p>
        </w:tc>
        <w:tc>
          <w:tcPr>
            <w:tcW w:w="86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82" w:type="dxa"/>
          </w:tcPr>
          <w:p>
            <w:pPr>
              <w:pStyle w:val="TableParagraph"/>
              <w:spacing w:line="232" w:lineRule="exact"/>
              <w:ind w:left="285"/>
              <w:rPr>
                <w:b/>
                <w:sz w:val="22"/>
              </w:rPr>
            </w:pPr>
            <w:r>
              <w:rPr>
                <w:b/>
                <w:sz w:val="22"/>
              </w:rPr>
              <w:t>Good</w:t>
            </w:r>
          </w:p>
        </w:tc>
      </w:tr>
      <w:tr>
        <w:trPr>
          <w:trHeight w:val="253" w:hRule="atLeast"/>
        </w:trPr>
        <w:tc>
          <w:tcPr>
            <w:tcW w:w="433" w:type="dxa"/>
          </w:tcPr>
          <w:p>
            <w:pPr>
              <w:pStyle w:val="TableParagraph"/>
              <w:spacing w:line="233" w:lineRule="exact"/>
              <w:ind w:left="115"/>
              <w:rPr>
                <w:b/>
                <w:sz w:val="22"/>
              </w:rPr>
            </w:pPr>
            <w:r>
              <w:rPr>
                <w:b/>
                <w:sz w:val="22"/>
              </w:rPr>
              <w:t>21.</w:t>
            </w:r>
          </w:p>
        </w:tc>
        <w:tc>
          <w:tcPr>
            <w:tcW w:w="1684" w:type="dxa"/>
          </w:tcPr>
          <w:p>
            <w:pPr>
              <w:pStyle w:val="TableParagraph"/>
              <w:spacing w:line="233" w:lineRule="exact"/>
              <w:ind w:left="790"/>
              <w:rPr>
                <w:sz w:val="22"/>
              </w:rPr>
            </w:pPr>
            <w:r>
              <w:rPr>
                <w:sz w:val="22"/>
              </w:rPr>
              <w:t>244.84</w:t>
            </w:r>
          </w:p>
        </w:tc>
        <w:tc>
          <w:tcPr>
            <w:tcW w:w="3707" w:type="dxa"/>
          </w:tcPr>
          <w:p>
            <w:pPr>
              <w:pStyle w:val="TableParagraph"/>
              <w:spacing w:line="233" w:lineRule="exact"/>
              <w:ind w:left="175"/>
              <w:rPr>
                <w:b/>
                <w:sz w:val="22"/>
              </w:rPr>
            </w:pPr>
            <w:r>
              <w:rPr>
                <w:b/>
                <w:sz w:val="22"/>
              </w:rPr>
              <w:t>Practically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Non-Corrosive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(PNC)</w:t>
            </w:r>
          </w:p>
        </w:tc>
        <w:tc>
          <w:tcPr>
            <w:tcW w:w="1079" w:type="dxa"/>
          </w:tcPr>
          <w:p>
            <w:pPr>
              <w:pStyle w:val="TableParagraph"/>
              <w:spacing w:line="233" w:lineRule="exact"/>
              <w:ind w:right="240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0.198</w:t>
            </w:r>
          </w:p>
        </w:tc>
        <w:tc>
          <w:tcPr>
            <w:tcW w:w="86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82" w:type="dxa"/>
          </w:tcPr>
          <w:p>
            <w:pPr>
              <w:pStyle w:val="TableParagraph"/>
              <w:spacing w:line="233" w:lineRule="exact"/>
              <w:ind w:left="285"/>
              <w:rPr>
                <w:b/>
                <w:sz w:val="22"/>
              </w:rPr>
            </w:pPr>
            <w:r>
              <w:rPr>
                <w:b/>
                <w:sz w:val="22"/>
              </w:rPr>
              <w:t>Weak</w:t>
            </w:r>
          </w:p>
        </w:tc>
      </w:tr>
      <w:tr>
        <w:trPr>
          <w:trHeight w:val="253" w:hRule="atLeast"/>
        </w:trPr>
        <w:tc>
          <w:tcPr>
            <w:tcW w:w="433" w:type="dxa"/>
          </w:tcPr>
          <w:p>
            <w:pPr>
              <w:pStyle w:val="TableParagraph"/>
              <w:spacing w:line="233" w:lineRule="exact"/>
              <w:ind w:left="115"/>
              <w:rPr>
                <w:b/>
                <w:sz w:val="22"/>
              </w:rPr>
            </w:pPr>
            <w:r>
              <w:rPr>
                <w:b/>
                <w:sz w:val="22"/>
              </w:rPr>
              <w:t>22.</w:t>
            </w:r>
          </w:p>
        </w:tc>
        <w:tc>
          <w:tcPr>
            <w:tcW w:w="1684" w:type="dxa"/>
          </w:tcPr>
          <w:p>
            <w:pPr>
              <w:pStyle w:val="TableParagraph"/>
              <w:spacing w:line="233" w:lineRule="exact"/>
              <w:ind w:left="790"/>
              <w:rPr>
                <w:sz w:val="22"/>
              </w:rPr>
            </w:pPr>
            <w:r>
              <w:rPr>
                <w:sz w:val="22"/>
              </w:rPr>
              <w:t>232.40</w:t>
            </w:r>
          </w:p>
        </w:tc>
        <w:tc>
          <w:tcPr>
            <w:tcW w:w="3707" w:type="dxa"/>
          </w:tcPr>
          <w:p>
            <w:pPr>
              <w:pStyle w:val="TableParagraph"/>
              <w:spacing w:line="233" w:lineRule="exact"/>
              <w:ind w:left="175"/>
              <w:rPr>
                <w:b/>
                <w:sz w:val="22"/>
              </w:rPr>
            </w:pPr>
            <w:r>
              <w:rPr>
                <w:b/>
                <w:sz w:val="22"/>
              </w:rPr>
              <w:t>Practically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Non-Corrosive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(PNC)</w:t>
            </w:r>
          </w:p>
        </w:tc>
        <w:tc>
          <w:tcPr>
            <w:tcW w:w="1079" w:type="dxa"/>
          </w:tcPr>
          <w:p>
            <w:pPr>
              <w:pStyle w:val="TableParagraph"/>
              <w:spacing w:line="233" w:lineRule="exact"/>
              <w:ind w:right="240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0.732</w:t>
            </w:r>
          </w:p>
        </w:tc>
        <w:tc>
          <w:tcPr>
            <w:tcW w:w="86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82" w:type="dxa"/>
          </w:tcPr>
          <w:p>
            <w:pPr>
              <w:pStyle w:val="TableParagraph"/>
              <w:spacing w:line="233" w:lineRule="exact"/>
              <w:ind w:left="285"/>
              <w:rPr>
                <w:b/>
                <w:sz w:val="22"/>
              </w:rPr>
            </w:pPr>
            <w:r>
              <w:rPr>
                <w:b/>
                <w:sz w:val="22"/>
              </w:rPr>
              <w:t>Good</w:t>
            </w:r>
          </w:p>
        </w:tc>
      </w:tr>
      <w:tr>
        <w:trPr>
          <w:trHeight w:val="253" w:hRule="atLeast"/>
        </w:trPr>
        <w:tc>
          <w:tcPr>
            <w:tcW w:w="433" w:type="dxa"/>
          </w:tcPr>
          <w:p>
            <w:pPr>
              <w:pStyle w:val="TableParagraph"/>
              <w:spacing w:line="233" w:lineRule="exact"/>
              <w:ind w:left="115"/>
              <w:rPr>
                <w:b/>
                <w:sz w:val="22"/>
              </w:rPr>
            </w:pPr>
            <w:r>
              <w:rPr>
                <w:b/>
                <w:sz w:val="22"/>
              </w:rPr>
              <w:t>23.</w:t>
            </w:r>
          </w:p>
        </w:tc>
        <w:tc>
          <w:tcPr>
            <w:tcW w:w="1684" w:type="dxa"/>
          </w:tcPr>
          <w:p>
            <w:pPr>
              <w:pStyle w:val="TableParagraph"/>
              <w:spacing w:line="233" w:lineRule="exact"/>
              <w:ind w:left="790"/>
              <w:rPr>
                <w:sz w:val="22"/>
              </w:rPr>
            </w:pPr>
            <w:r>
              <w:rPr>
                <w:sz w:val="22"/>
              </w:rPr>
              <w:t>121.82</w:t>
            </w:r>
          </w:p>
        </w:tc>
        <w:tc>
          <w:tcPr>
            <w:tcW w:w="3707" w:type="dxa"/>
          </w:tcPr>
          <w:p>
            <w:pPr>
              <w:pStyle w:val="TableParagraph"/>
              <w:spacing w:line="233" w:lineRule="exact"/>
              <w:ind w:left="175"/>
              <w:rPr>
                <w:b/>
                <w:sz w:val="22"/>
              </w:rPr>
            </w:pPr>
            <w:r>
              <w:rPr>
                <w:b/>
                <w:sz w:val="22"/>
              </w:rPr>
              <w:t>Slightly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Corrosive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(SC)</w:t>
            </w:r>
          </w:p>
        </w:tc>
        <w:tc>
          <w:tcPr>
            <w:tcW w:w="1079" w:type="dxa"/>
          </w:tcPr>
          <w:p>
            <w:pPr>
              <w:pStyle w:val="TableParagraph"/>
              <w:spacing w:line="233" w:lineRule="exact"/>
              <w:ind w:right="240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0.925</w:t>
            </w:r>
          </w:p>
        </w:tc>
        <w:tc>
          <w:tcPr>
            <w:tcW w:w="86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82" w:type="dxa"/>
          </w:tcPr>
          <w:p>
            <w:pPr>
              <w:pStyle w:val="TableParagraph"/>
              <w:spacing w:line="233" w:lineRule="exact"/>
              <w:ind w:left="285"/>
              <w:rPr>
                <w:b/>
                <w:sz w:val="22"/>
              </w:rPr>
            </w:pPr>
            <w:r>
              <w:rPr>
                <w:b/>
                <w:sz w:val="22"/>
              </w:rPr>
              <w:t>Good</w:t>
            </w:r>
          </w:p>
        </w:tc>
      </w:tr>
      <w:tr>
        <w:trPr>
          <w:trHeight w:val="253" w:hRule="atLeast"/>
        </w:trPr>
        <w:tc>
          <w:tcPr>
            <w:tcW w:w="433" w:type="dxa"/>
          </w:tcPr>
          <w:p>
            <w:pPr>
              <w:pStyle w:val="TableParagraph"/>
              <w:spacing w:line="233" w:lineRule="exact"/>
              <w:ind w:left="115"/>
              <w:rPr>
                <w:b/>
                <w:sz w:val="22"/>
              </w:rPr>
            </w:pPr>
            <w:r>
              <w:rPr>
                <w:b/>
                <w:sz w:val="22"/>
              </w:rPr>
              <w:t>24.</w:t>
            </w:r>
          </w:p>
        </w:tc>
        <w:tc>
          <w:tcPr>
            <w:tcW w:w="1684" w:type="dxa"/>
          </w:tcPr>
          <w:p>
            <w:pPr>
              <w:pStyle w:val="TableParagraph"/>
              <w:spacing w:line="233" w:lineRule="exact"/>
              <w:ind w:left="790"/>
              <w:rPr>
                <w:sz w:val="22"/>
              </w:rPr>
            </w:pPr>
            <w:r>
              <w:rPr>
                <w:sz w:val="22"/>
              </w:rPr>
              <w:t>170.08</w:t>
            </w:r>
          </w:p>
        </w:tc>
        <w:tc>
          <w:tcPr>
            <w:tcW w:w="3707" w:type="dxa"/>
          </w:tcPr>
          <w:p>
            <w:pPr>
              <w:pStyle w:val="TableParagraph"/>
              <w:spacing w:line="233" w:lineRule="exact"/>
              <w:ind w:left="175"/>
              <w:rPr>
                <w:b/>
                <w:sz w:val="22"/>
              </w:rPr>
            </w:pPr>
            <w:r>
              <w:rPr>
                <w:b/>
                <w:sz w:val="22"/>
              </w:rPr>
              <w:t>Slightly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Corrosive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(SC)</w:t>
            </w:r>
          </w:p>
        </w:tc>
        <w:tc>
          <w:tcPr>
            <w:tcW w:w="1079" w:type="dxa"/>
          </w:tcPr>
          <w:p>
            <w:pPr>
              <w:pStyle w:val="TableParagraph"/>
              <w:spacing w:line="233" w:lineRule="exact"/>
              <w:ind w:right="240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0.513</w:t>
            </w:r>
          </w:p>
        </w:tc>
        <w:tc>
          <w:tcPr>
            <w:tcW w:w="86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82" w:type="dxa"/>
          </w:tcPr>
          <w:p>
            <w:pPr>
              <w:pStyle w:val="TableParagraph"/>
              <w:spacing w:line="233" w:lineRule="exact"/>
              <w:ind w:left="285"/>
              <w:rPr>
                <w:b/>
                <w:sz w:val="22"/>
              </w:rPr>
            </w:pPr>
            <w:r>
              <w:rPr>
                <w:b/>
                <w:sz w:val="22"/>
              </w:rPr>
              <w:t>Moderate</w:t>
            </w:r>
          </w:p>
        </w:tc>
      </w:tr>
      <w:tr>
        <w:trPr>
          <w:trHeight w:val="252" w:hRule="atLeast"/>
        </w:trPr>
        <w:tc>
          <w:tcPr>
            <w:tcW w:w="433" w:type="dxa"/>
          </w:tcPr>
          <w:p>
            <w:pPr>
              <w:pStyle w:val="TableParagraph"/>
              <w:spacing w:line="232" w:lineRule="exact"/>
              <w:ind w:left="115"/>
              <w:rPr>
                <w:b/>
                <w:sz w:val="22"/>
              </w:rPr>
            </w:pPr>
            <w:r>
              <w:rPr>
                <w:b/>
                <w:sz w:val="22"/>
              </w:rPr>
              <w:t>25.</w:t>
            </w:r>
          </w:p>
        </w:tc>
        <w:tc>
          <w:tcPr>
            <w:tcW w:w="1684" w:type="dxa"/>
          </w:tcPr>
          <w:p>
            <w:pPr>
              <w:pStyle w:val="TableParagraph"/>
              <w:spacing w:line="232" w:lineRule="exact"/>
              <w:ind w:left="790"/>
              <w:rPr>
                <w:sz w:val="22"/>
              </w:rPr>
            </w:pPr>
            <w:r>
              <w:rPr>
                <w:sz w:val="22"/>
              </w:rPr>
              <w:t>293.30</w:t>
            </w:r>
          </w:p>
        </w:tc>
        <w:tc>
          <w:tcPr>
            <w:tcW w:w="3707" w:type="dxa"/>
          </w:tcPr>
          <w:p>
            <w:pPr>
              <w:pStyle w:val="TableParagraph"/>
              <w:spacing w:line="232" w:lineRule="exact"/>
              <w:ind w:left="175"/>
              <w:rPr>
                <w:b/>
                <w:sz w:val="22"/>
              </w:rPr>
            </w:pPr>
            <w:r>
              <w:rPr>
                <w:b/>
                <w:sz w:val="22"/>
              </w:rPr>
              <w:t>Practically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Non-Corrosive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(PNC)</w:t>
            </w:r>
          </w:p>
        </w:tc>
        <w:tc>
          <w:tcPr>
            <w:tcW w:w="1079" w:type="dxa"/>
          </w:tcPr>
          <w:p>
            <w:pPr>
              <w:pStyle w:val="TableParagraph"/>
              <w:spacing w:line="232" w:lineRule="exact"/>
              <w:ind w:right="240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0.582</w:t>
            </w:r>
          </w:p>
        </w:tc>
        <w:tc>
          <w:tcPr>
            <w:tcW w:w="86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82" w:type="dxa"/>
          </w:tcPr>
          <w:p>
            <w:pPr>
              <w:pStyle w:val="TableParagraph"/>
              <w:spacing w:line="232" w:lineRule="exact"/>
              <w:ind w:left="285"/>
              <w:rPr>
                <w:b/>
                <w:sz w:val="22"/>
              </w:rPr>
            </w:pPr>
            <w:r>
              <w:rPr>
                <w:b/>
                <w:sz w:val="22"/>
              </w:rPr>
              <w:t>Moderate</w:t>
            </w:r>
          </w:p>
        </w:tc>
      </w:tr>
      <w:tr>
        <w:trPr>
          <w:trHeight w:val="253" w:hRule="atLeast"/>
        </w:trPr>
        <w:tc>
          <w:tcPr>
            <w:tcW w:w="433" w:type="dxa"/>
          </w:tcPr>
          <w:p>
            <w:pPr>
              <w:pStyle w:val="TableParagraph"/>
              <w:spacing w:line="233" w:lineRule="exact"/>
              <w:ind w:left="115"/>
              <w:rPr>
                <w:b/>
                <w:sz w:val="22"/>
              </w:rPr>
            </w:pPr>
            <w:r>
              <w:rPr>
                <w:b/>
                <w:sz w:val="22"/>
              </w:rPr>
              <w:t>26.</w:t>
            </w:r>
          </w:p>
        </w:tc>
        <w:tc>
          <w:tcPr>
            <w:tcW w:w="1684" w:type="dxa"/>
          </w:tcPr>
          <w:p>
            <w:pPr>
              <w:pStyle w:val="TableParagraph"/>
              <w:spacing w:line="233" w:lineRule="exact"/>
              <w:ind w:left="790"/>
              <w:rPr>
                <w:sz w:val="22"/>
              </w:rPr>
            </w:pPr>
            <w:r>
              <w:rPr>
                <w:sz w:val="22"/>
              </w:rPr>
              <w:t>173.94</w:t>
            </w:r>
          </w:p>
        </w:tc>
        <w:tc>
          <w:tcPr>
            <w:tcW w:w="3707" w:type="dxa"/>
          </w:tcPr>
          <w:p>
            <w:pPr>
              <w:pStyle w:val="TableParagraph"/>
              <w:spacing w:line="233" w:lineRule="exact"/>
              <w:ind w:left="175"/>
              <w:rPr>
                <w:b/>
                <w:sz w:val="22"/>
              </w:rPr>
            </w:pPr>
            <w:r>
              <w:rPr>
                <w:b/>
                <w:sz w:val="22"/>
              </w:rPr>
              <w:t>Slightly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Corrosive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(SC)</w:t>
            </w:r>
          </w:p>
        </w:tc>
        <w:tc>
          <w:tcPr>
            <w:tcW w:w="1079" w:type="dxa"/>
          </w:tcPr>
          <w:p>
            <w:pPr>
              <w:pStyle w:val="TableParagraph"/>
              <w:spacing w:line="233" w:lineRule="exact"/>
              <w:ind w:right="240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0.457</w:t>
            </w:r>
          </w:p>
        </w:tc>
        <w:tc>
          <w:tcPr>
            <w:tcW w:w="86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82" w:type="dxa"/>
          </w:tcPr>
          <w:p>
            <w:pPr>
              <w:pStyle w:val="TableParagraph"/>
              <w:spacing w:line="233" w:lineRule="exact"/>
              <w:ind w:left="285"/>
              <w:rPr>
                <w:b/>
                <w:sz w:val="22"/>
              </w:rPr>
            </w:pPr>
            <w:r>
              <w:rPr>
                <w:b/>
                <w:sz w:val="22"/>
              </w:rPr>
              <w:t>Moderate</w:t>
            </w:r>
          </w:p>
        </w:tc>
      </w:tr>
      <w:tr>
        <w:trPr>
          <w:trHeight w:val="253" w:hRule="atLeast"/>
        </w:trPr>
        <w:tc>
          <w:tcPr>
            <w:tcW w:w="433" w:type="dxa"/>
          </w:tcPr>
          <w:p>
            <w:pPr>
              <w:pStyle w:val="TableParagraph"/>
              <w:spacing w:line="233" w:lineRule="exact"/>
              <w:ind w:left="115"/>
              <w:rPr>
                <w:b/>
                <w:sz w:val="22"/>
              </w:rPr>
            </w:pPr>
            <w:r>
              <w:rPr>
                <w:b/>
                <w:sz w:val="22"/>
              </w:rPr>
              <w:t>27.</w:t>
            </w:r>
          </w:p>
        </w:tc>
        <w:tc>
          <w:tcPr>
            <w:tcW w:w="1684" w:type="dxa"/>
          </w:tcPr>
          <w:p>
            <w:pPr>
              <w:pStyle w:val="TableParagraph"/>
              <w:spacing w:line="233" w:lineRule="exact"/>
              <w:ind w:left="790"/>
              <w:rPr>
                <w:sz w:val="22"/>
              </w:rPr>
            </w:pPr>
            <w:r>
              <w:rPr>
                <w:sz w:val="22"/>
              </w:rPr>
              <w:t>189.70</w:t>
            </w:r>
          </w:p>
        </w:tc>
        <w:tc>
          <w:tcPr>
            <w:tcW w:w="3707" w:type="dxa"/>
          </w:tcPr>
          <w:p>
            <w:pPr>
              <w:pStyle w:val="TableParagraph"/>
              <w:spacing w:line="233" w:lineRule="exact"/>
              <w:ind w:left="175"/>
              <w:rPr>
                <w:b/>
                <w:sz w:val="22"/>
              </w:rPr>
            </w:pPr>
            <w:r>
              <w:rPr>
                <w:b/>
                <w:sz w:val="22"/>
              </w:rPr>
              <w:t>Practically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Non-Corrosive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(PNC)</w:t>
            </w:r>
          </w:p>
        </w:tc>
        <w:tc>
          <w:tcPr>
            <w:tcW w:w="1079" w:type="dxa"/>
          </w:tcPr>
          <w:p>
            <w:pPr>
              <w:pStyle w:val="TableParagraph"/>
              <w:spacing w:line="233" w:lineRule="exact"/>
              <w:ind w:right="240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0.333</w:t>
            </w:r>
          </w:p>
        </w:tc>
        <w:tc>
          <w:tcPr>
            <w:tcW w:w="86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82" w:type="dxa"/>
          </w:tcPr>
          <w:p>
            <w:pPr>
              <w:pStyle w:val="TableParagraph"/>
              <w:spacing w:line="233" w:lineRule="exact"/>
              <w:ind w:left="285"/>
              <w:rPr>
                <w:b/>
                <w:sz w:val="22"/>
              </w:rPr>
            </w:pPr>
            <w:r>
              <w:rPr>
                <w:b/>
                <w:sz w:val="22"/>
              </w:rPr>
              <w:t>Moderate</w:t>
            </w:r>
          </w:p>
        </w:tc>
      </w:tr>
      <w:tr>
        <w:trPr>
          <w:trHeight w:val="253" w:hRule="atLeast"/>
        </w:trPr>
        <w:tc>
          <w:tcPr>
            <w:tcW w:w="433" w:type="dxa"/>
          </w:tcPr>
          <w:p>
            <w:pPr>
              <w:pStyle w:val="TableParagraph"/>
              <w:spacing w:line="233" w:lineRule="exact"/>
              <w:ind w:left="115"/>
              <w:rPr>
                <w:b/>
                <w:sz w:val="22"/>
              </w:rPr>
            </w:pPr>
            <w:r>
              <w:rPr>
                <w:b/>
                <w:sz w:val="22"/>
              </w:rPr>
              <w:t>28.</w:t>
            </w:r>
          </w:p>
        </w:tc>
        <w:tc>
          <w:tcPr>
            <w:tcW w:w="1684" w:type="dxa"/>
          </w:tcPr>
          <w:p>
            <w:pPr>
              <w:pStyle w:val="TableParagraph"/>
              <w:spacing w:line="233" w:lineRule="exact"/>
              <w:ind w:left="790"/>
              <w:rPr>
                <w:sz w:val="22"/>
              </w:rPr>
            </w:pPr>
            <w:r>
              <w:rPr>
                <w:sz w:val="22"/>
              </w:rPr>
              <w:t>224.50</w:t>
            </w:r>
          </w:p>
        </w:tc>
        <w:tc>
          <w:tcPr>
            <w:tcW w:w="3707" w:type="dxa"/>
          </w:tcPr>
          <w:p>
            <w:pPr>
              <w:pStyle w:val="TableParagraph"/>
              <w:spacing w:line="233" w:lineRule="exact"/>
              <w:ind w:left="175"/>
              <w:rPr>
                <w:b/>
                <w:sz w:val="22"/>
              </w:rPr>
            </w:pPr>
            <w:r>
              <w:rPr>
                <w:b/>
                <w:sz w:val="22"/>
              </w:rPr>
              <w:t>Slightly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Corrosive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(SC)</w:t>
            </w:r>
          </w:p>
        </w:tc>
        <w:tc>
          <w:tcPr>
            <w:tcW w:w="1079" w:type="dxa"/>
          </w:tcPr>
          <w:p>
            <w:pPr>
              <w:pStyle w:val="TableParagraph"/>
              <w:spacing w:line="233" w:lineRule="exact"/>
              <w:ind w:right="240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0.168</w:t>
            </w:r>
          </w:p>
        </w:tc>
        <w:tc>
          <w:tcPr>
            <w:tcW w:w="86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82" w:type="dxa"/>
          </w:tcPr>
          <w:p>
            <w:pPr>
              <w:pStyle w:val="TableParagraph"/>
              <w:spacing w:line="233" w:lineRule="exact"/>
              <w:ind w:left="285"/>
              <w:rPr>
                <w:b/>
                <w:sz w:val="22"/>
              </w:rPr>
            </w:pPr>
            <w:r>
              <w:rPr>
                <w:b/>
                <w:sz w:val="22"/>
              </w:rPr>
              <w:t>Weak</w:t>
            </w:r>
          </w:p>
        </w:tc>
      </w:tr>
      <w:tr>
        <w:trPr>
          <w:trHeight w:val="253" w:hRule="atLeast"/>
        </w:trPr>
        <w:tc>
          <w:tcPr>
            <w:tcW w:w="433" w:type="dxa"/>
          </w:tcPr>
          <w:p>
            <w:pPr>
              <w:pStyle w:val="TableParagraph"/>
              <w:spacing w:line="233" w:lineRule="exact"/>
              <w:ind w:left="115"/>
              <w:rPr>
                <w:b/>
                <w:sz w:val="22"/>
              </w:rPr>
            </w:pPr>
            <w:r>
              <w:rPr>
                <w:b/>
                <w:sz w:val="22"/>
              </w:rPr>
              <w:t>29.</w:t>
            </w:r>
          </w:p>
        </w:tc>
        <w:tc>
          <w:tcPr>
            <w:tcW w:w="1684" w:type="dxa"/>
          </w:tcPr>
          <w:p>
            <w:pPr>
              <w:pStyle w:val="TableParagraph"/>
              <w:spacing w:line="233" w:lineRule="exact"/>
              <w:ind w:left="790"/>
              <w:rPr>
                <w:sz w:val="22"/>
              </w:rPr>
            </w:pPr>
            <w:r>
              <w:rPr>
                <w:sz w:val="22"/>
              </w:rPr>
              <w:t>242.34</w:t>
            </w:r>
          </w:p>
        </w:tc>
        <w:tc>
          <w:tcPr>
            <w:tcW w:w="3707" w:type="dxa"/>
          </w:tcPr>
          <w:p>
            <w:pPr>
              <w:pStyle w:val="TableParagraph"/>
              <w:spacing w:line="233" w:lineRule="exact"/>
              <w:ind w:left="175"/>
              <w:rPr>
                <w:b/>
                <w:sz w:val="22"/>
              </w:rPr>
            </w:pPr>
            <w:r>
              <w:rPr>
                <w:b/>
                <w:sz w:val="22"/>
              </w:rPr>
              <w:t>Practically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Non-Corrosive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(PNC)</w:t>
            </w:r>
          </w:p>
        </w:tc>
        <w:tc>
          <w:tcPr>
            <w:tcW w:w="1079" w:type="dxa"/>
          </w:tcPr>
          <w:p>
            <w:pPr>
              <w:pStyle w:val="TableParagraph"/>
              <w:spacing w:line="233" w:lineRule="exact"/>
              <w:ind w:right="240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0.248</w:t>
            </w:r>
          </w:p>
        </w:tc>
        <w:tc>
          <w:tcPr>
            <w:tcW w:w="86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82" w:type="dxa"/>
          </w:tcPr>
          <w:p>
            <w:pPr>
              <w:pStyle w:val="TableParagraph"/>
              <w:spacing w:line="233" w:lineRule="exact"/>
              <w:ind w:left="285"/>
              <w:rPr>
                <w:b/>
                <w:sz w:val="22"/>
              </w:rPr>
            </w:pPr>
            <w:r>
              <w:rPr>
                <w:b/>
                <w:sz w:val="22"/>
              </w:rPr>
              <w:t>Moderate</w:t>
            </w:r>
          </w:p>
        </w:tc>
      </w:tr>
      <w:tr>
        <w:trPr>
          <w:trHeight w:val="253" w:hRule="atLeast"/>
        </w:trPr>
        <w:tc>
          <w:tcPr>
            <w:tcW w:w="433" w:type="dxa"/>
          </w:tcPr>
          <w:p>
            <w:pPr>
              <w:pStyle w:val="TableParagraph"/>
              <w:spacing w:line="233" w:lineRule="exact"/>
              <w:ind w:left="115"/>
              <w:rPr>
                <w:b/>
                <w:sz w:val="22"/>
              </w:rPr>
            </w:pPr>
            <w:r>
              <w:rPr>
                <w:b/>
                <w:sz w:val="22"/>
              </w:rPr>
              <w:t>30.</w:t>
            </w:r>
          </w:p>
        </w:tc>
        <w:tc>
          <w:tcPr>
            <w:tcW w:w="1684" w:type="dxa"/>
          </w:tcPr>
          <w:p>
            <w:pPr>
              <w:pStyle w:val="TableParagraph"/>
              <w:spacing w:line="233" w:lineRule="exact"/>
              <w:ind w:left="790"/>
              <w:rPr>
                <w:sz w:val="22"/>
              </w:rPr>
            </w:pPr>
            <w:r>
              <w:rPr>
                <w:sz w:val="22"/>
              </w:rPr>
              <w:t>173.32</w:t>
            </w:r>
          </w:p>
        </w:tc>
        <w:tc>
          <w:tcPr>
            <w:tcW w:w="3707" w:type="dxa"/>
          </w:tcPr>
          <w:p>
            <w:pPr>
              <w:pStyle w:val="TableParagraph"/>
              <w:spacing w:line="233" w:lineRule="exact"/>
              <w:ind w:left="175"/>
              <w:rPr>
                <w:b/>
                <w:sz w:val="22"/>
              </w:rPr>
            </w:pPr>
            <w:r>
              <w:rPr>
                <w:b/>
                <w:sz w:val="22"/>
              </w:rPr>
              <w:t>Slightly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Corrosive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(SC)</w:t>
            </w:r>
          </w:p>
        </w:tc>
        <w:tc>
          <w:tcPr>
            <w:tcW w:w="1079" w:type="dxa"/>
          </w:tcPr>
          <w:p>
            <w:pPr>
              <w:pStyle w:val="TableParagraph"/>
              <w:spacing w:line="233" w:lineRule="exact"/>
              <w:ind w:right="240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0.244</w:t>
            </w:r>
          </w:p>
        </w:tc>
        <w:tc>
          <w:tcPr>
            <w:tcW w:w="86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82" w:type="dxa"/>
          </w:tcPr>
          <w:p>
            <w:pPr>
              <w:pStyle w:val="TableParagraph"/>
              <w:spacing w:line="233" w:lineRule="exact"/>
              <w:ind w:left="285"/>
              <w:rPr>
                <w:b/>
                <w:sz w:val="22"/>
              </w:rPr>
            </w:pPr>
            <w:r>
              <w:rPr>
                <w:b/>
                <w:sz w:val="22"/>
              </w:rPr>
              <w:t>Moderate</w:t>
            </w:r>
          </w:p>
        </w:tc>
      </w:tr>
      <w:tr>
        <w:trPr>
          <w:trHeight w:val="253" w:hRule="atLeast"/>
        </w:trPr>
        <w:tc>
          <w:tcPr>
            <w:tcW w:w="433" w:type="dxa"/>
          </w:tcPr>
          <w:p>
            <w:pPr>
              <w:pStyle w:val="TableParagraph"/>
              <w:spacing w:line="233" w:lineRule="exact"/>
              <w:ind w:left="115"/>
              <w:rPr>
                <w:b/>
                <w:sz w:val="22"/>
              </w:rPr>
            </w:pPr>
            <w:r>
              <w:rPr>
                <w:b/>
                <w:sz w:val="22"/>
              </w:rPr>
              <w:t>31.</w:t>
            </w:r>
          </w:p>
        </w:tc>
        <w:tc>
          <w:tcPr>
            <w:tcW w:w="1684" w:type="dxa"/>
          </w:tcPr>
          <w:p>
            <w:pPr>
              <w:pStyle w:val="TableParagraph"/>
              <w:spacing w:line="233" w:lineRule="exact"/>
              <w:ind w:left="790"/>
              <w:rPr>
                <w:sz w:val="22"/>
              </w:rPr>
            </w:pPr>
            <w:r>
              <w:rPr>
                <w:sz w:val="22"/>
              </w:rPr>
              <w:t>209.12</w:t>
            </w:r>
          </w:p>
        </w:tc>
        <w:tc>
          <w:tcPr>
            <w:tcW w:w="3707" w:type="dxa"/>
          </w:tcPr>
          <w:p>
            <w:pPr>
              <w:pStyle w:val="TableParagraph"/>
              <w:spacing w:line="233" w:lineRule="exact"/>
              <w:ind w:left="175"/>
              <w:rPr>
                <w:b/>
                <w:sz w:val="22"/>
              </w:rPr>
            </w:pPr>
            <w:r>
              <w:rPr>
                <w:b/>
                <w:sz w:val="22"/>
              </w:rPr>
              <w:t>Practically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Non-Corrosive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(PNC)</w:t>
            </w:r>
          </w:p>
        </w:tc>
        <w:tc>
          <w:tcPr>
            <w:tcW w:w="1079" w:type="dxa"/>
          </w:tcPr>
          <w:p>
            <w:pPr>
              <w:pStyle w:val="TableParagraph"/>
              <w:spacing w:line="233" w:lineRule="exact"/>
              <w:ind w:right="240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0.483</w:t>
            </w:r>
          </w:p>
        </w:tc>
        <w:tc>
          <w:tcPr>
            <w:tcW w:w="86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82" w:type="dxa"/>
          </w:tcPr>
          <w:p>
            <w:pPr>
              <w:pStyle w:val="TableParagraph"/>
              <w:spacing w:line="233" w:lineRule="exact"/>
              <w:ind w:left="285"/>
              <w:rPr>
                <w:b/>
                <w:sz w:val="22"/>
              </w:rPr>
            </w:pPr>
            <w:r>
              <w:rPr>
                <w:b/>
                <w:sz w:val="22"/>
              </w:rPr>
              <w:t>Moderate</w:t>
            </w:r>
          </w:p>
        </w:tc>
      </w:tr>
      <w:tr>
        <w:trPr>
          <w:trHeight w:val="252" w:hRule="atLeast"/>
        </w:trPr>
        <w:tc>
          <w:tcPr>
            <w:tcW w:w="433" w:type="dxa"/>
          </w:tcPr>
          <w:p>
            <w:pPr>
              <w:pStyle w:val="TableParagraph"/>
              <w:spacing w:line="232" w:lineRule="exact"/>
              <w:ind w:left="115"/>
              <w:rPr>
                <w:b/>
                <w:sz w:val="22"/>
              </w:rPr>
            </w:pPr>
            <w:r>
              <w:rPr>
                <w:b/>
                <w:sz w:val="22"/>
              </w:rPr>
              <w:t>32.</w:t>
            </w:r>
          </w:p>
        </w:tc>
        <w:tc>
          <w:tcPr>
            <w:tcW w:w="1684" w:type="dxa"/>
          </w:tcPr>
          <w:p>
            <w:pPr>
              <w:pStyle w:val="TableParagraph"/>
              <w:spacing w:line="232" w:lineRule="exact"/>
              <w:ind w:left="790"/>
              <w:rPr>
                <w:sz w:val="22"/>
              </w:rPr>
            </w:pPr>
            <w:r>
              <w:rPr>
                <w:sz w:val="22"/>
              </w:rPr>
              <w:t>239.98</w:t>
            </w:r>
          </w:p>
        </w:tc>
        <w:tc>
          <w:tcPr>
            <w:tcW w:w="3707" w:type="dxa"/>
          </w:tcPr>
          <w:p>
            <w:pPr>
              <w:pStyle w:val="TableParagraph"/>
              <w:spacing w:line="232" w:lineRule="exact"/>
              <w:ind w:left="175"/>
              <w:rPr>
                <w:b/>
                <w:sz w:val="22"/>
              </w:rPr>
            </w:pPr>
            <w:r>
              <w:rPr>
                <w:b/>
                <w:sz w:val="22"/>
              </w:rPr>
              <w:t>Practically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Non-Corrosive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(PNC)</w:t>
            </w:r>
          </w:p>
        </w:tc>
        <w:tc>
          <w:tcPr>
            <w:tcW w:w="1079" w:type="dxa"/>
          </w:tcPr>
          <w:p>
            <w:pPr>
              <w:pStyle w:val="TableParagraph"/>
              <w:spacing w:line="232" w:lineRule="exact"/>
              <w:ind w:right="240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0.233</w:t>
            </w:r>
          </w:p>
        </w:tc>
        <w:tc>
          <w:tcPr>
            <w:tcW w:w="86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82" w:type="dxa"/>
          </w:tcPr>
          <w:p>
            <w:pPr>
              <w:pStyle w:val="TableParagraph"/>
              <w:spacing w:line="232" w:lineRule="exact"/>
              <w:ind w:left="285"/>
              <w:rPr>
                <w:b/>
                <w:sz w:val="22"/>
              </w:rPr>
            </w:pPr>
            <w:r>
              <w:rPr>
                <w:b/>
                <w:sz w:val="22"/>
              </w:rPr>
              <w:t>Moderate</w:t>
            </w:r>
          </w:p>
        </w:tc>
      </w:tr>
      <w:tr>
        <w:trPr>
          <w:trHeight w:val="253" w:hRule="atLeast"/>
        </w:trPr>
        <w:tc>
          <w:tcPr>
            <w:tcW w:w="433" w:type="dxa"/>
          </w:tcPr>
          <w:p>
            <w:pPr>
              <w:pStyle w:val="TableParagraph"/>
              <w:spacing w:line="233" w:lineRule="exact"/>
              <w:ind w:left="115"/>
              <w:rPr>
                <w:b/>
                <w:sz w:val="22"/>
              </w:rPr>
            </w:pPr>
            <w:r>
              <w:rPr>
                <w:b/>
                <w:sz w:val="22"/>
              </w:rPr>
              <w:t>33.</w:t>
            </w:r>
          </w:p>
        </w:tc>
        <w:tc>
          <w:tcPr>
            <w:tcW w:w="1684" w:type="dxa"/>
          </w:tcPr>
          <w:p>
            <w:pPr>
              <w:pStyle w:val="TableParagraph"/>
              <w:spacing w:line="233" w:lineRule="exact"/>
              <w:ind w:left="790"/>
              <w:rPr>
                <w:sz w:val="22"/>
              </w:rPr>
            </w:pPr>
            <w:r>
              <w:rPr>
                <w:sz w:val="22"/>
              </w:rPr>
              <w:t>336.20</w:t>
            </w:r>
          </w:p>
        </w:tc>
        <w:tc>
          <w:tcPr>
            <w:tcW w:w="3707" w:type="dxa"/>
          </w:tcPr>
          <w:p>
            <w:pPr>
              <w:pStyle w:val="TableParagraph"/>
              <w:spacing w:line="233" w:lineRule="exact"/>
              <w:ind w:left="175"/>
              <w:rPr>
                <w:b/>
                <w:sz w:val="22"/>
              </w:rPr>
            </w:pPr>
            <w:r>
              <w:rPr>
                <w:b/>
                <w:sz w:val="22"/>
              </w:rPr>
              <w:t>Practically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Non-Corrosive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(PNC)</w:t>
            </w:r>
          </w:p>
        </w:tc>
        <w:tc>
          <w:tcPr>
            <w:tcW w:w="1079" w:type="dxa"/>
          </w:tcPr>
          <w:p>
            <w:pPr>
              <w:pStyle w:val="TableParagraph"/>
              <w:spacing w:line="233" w:lineRule="exact"/>
              <w:ind w:right="240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0.323</w:t>
            </w:r>
          </w:p>
        </w:tc>
        <w:tc>
          <w:tcPr>
            <w:tcW w:w="86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82" w:type="dxa"/>
          </w:tcPr>
          <w:p>
            <w:pPr>
              <w:pStyle w:val="TableParagraph"/>
              <w:spacing w:line="233" w:lineRule="exact"/>
              <w:ind w:left="285"/>
              <w:rPr>
                <w:b/>
                <w:sz w:val="22"/>
              </w:rPr>
            </w:pPr>
            <w:r>
              <w:rPr>
                <w:b/>
                <w:sz w:val="22"/>
              </w:rPr>
              <w:t>Moderate</w:t>
            </w:r>
          </w:p>
        </w:tc>
      </w:tr>
      <w:tr>
        <w:trPr>
          <w:trHeight w:val="253" w:hRule="atLeast"/>
        </w:trPr>
        <w:tc>
          <w:tcPr>
            <w:tcW w:w="433" w:type="dxa"/>
          </w:tcPr>
          <w:p>
            <w:pPr>
              <w:pStyle w:val="TableParagraph"/>
              <w:spacing w:line="233" w:lineRule="exact"/>
              <w:ind w:left="115"/>
              <w:rPr>
                <w:b/>
                <w:sz w:val="22"/>
              </w:rPr>
            </w:pPr>
            <w:r>
              <w:rPr>
                <w:b/>
                <w:sz w:val="22"/>
              </w:rPr>
              <w:t>34.</w:t>
            </w:r>
          </w:p>
        </w:tc>
        <w:tc>
          <w:tcPr>
            <w:tcW w:w="1684" w:type="dxa"/>
          </w:tcPr>
          <w:p>
            <w:pPr>
              <w:pStyle w:val="TableParagraph"/>
              <w:spacing w:line="233" w:lineRule="exact"/>
              <w:ind w:left="790"/>
              <w:rPr>
                <w:sz w:val="22"/>
              </w:rPr>
            </w:pPr>
            <w:r>
              <w:rPr>
                <w:sz w:val="22"/>
              </w:rPr>
              <w:t>326.70</w:t>
            </w:r>
          </w:p>
        </w:tc>
        <w:tc>
          <w:tcPr>
            <w:tcW w:w="3707" w:type="dxa"/>
          </w:tcPr>
          <w:p>
            <w:pPr>
              <w:pStyle w:val="TableParagraph"/>
              <w:spacing w:line="233" w:lineRule="exact"/>
              <w:ind w:left="175"/>
              <w:rPr>
                <w:b/>
                <w:sz w:val="22"/>
              </w:rPr>
            </w:pPr>
            <w:r>
              <w:rPr>
                <w:b/>
                <w:sz w:val="22"/>
              </w:rPr>
              <w:t>Practically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Non-Corrosive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(PNC)</w:t>
            </w:r>
          </w:p>
        </w:tc>
        <w:tc>
          <w:tcPr>
            <w:tcW w:w="1079" w:type="dxa"/>
          </w:tcPr>
          <w:p>
            <w:pPr>
              <w:pStyle w:val="TableParagraph"/>
              <w:spacing w:line="233" w:lineRule="exact"/>
              <w:ind w:right="240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0.209</w:t>
            </w:r>
          </w:p>
        </w:tc>
        <w:tc>
          <w:tcPr>
            <w:tcW w:w="86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82" w:type="dxa"/>
          </w:tcPr>
          <w:p>
            <w:pPr>
              <w:pStyle w:val="TableParagraph"/>
              <w:spacing w:line="233" w:lineRule="exact"/>
              <w:ind w:left="285"/>
              <w:rPr>
                <w:b/>
                <w:sz w:val="22"/>
              </w:rPr>
            </w:pPr>
            <w:r>
              <w:rPr>
                <w:b/>
                <w:sz w:val="22"/>
              </w:rPr>
              <w:t>Moderate</w:t>
            </w:r>
          </w:p>
        </w:tc>
      </w:tr>
      <w:tr>
        <w:trPr>
          <w:trHeight w:val="253" w:hRule="atLeast"/>
        </w:trPr>
        <w:tc>
          <w:tcPr>
            <w:tcW w:w="433" w:type="dxa"/>
          </w:tcPr>
          <w:p>
            <w:pPr>
              <w:pStyle w:val="TableParagraph"/>
              <w:spacing w:line="234" w:lineRule="exact"/>
              <w:ind w:left="115"/>
              <w:rPr>
                <w:b/>
                <w:sz w:val="22"/>
              </w:rPr>
            </w:pPr>
            <w:r>
              <w:rPr>
                <w:b/>
                <w:sz w:val="22"/>
              </w:rPr>
              <w:t>35.</w:t>
            </w:r>
          </w:p>
        </w:tc>
        <w:tc>
          <w:tcPr>
            <w:tcW w:w="1684" w:type="dxa"/>
          </w:tcPr>
          <w:p>
            <w:pPr>
              <w:pStyle w:val="TableParagraph"/>
              <w:spacing w:line="234" w:lineRule="exact"/>
              <w:ind w:left="790"/>
              <w:rPr>
                <w:sz w:val="22"/>
              </w:rPr>
            </w:pPr>
            <w:r>
              <w:rPr>
                <w:sz w:val="22"/>
              </w:rPr>
              <w:t>284.08</w:t>
            </w:r>
          </w:p>
        </w:tc>
        <w:tc>
          <w:tcPr>
            <w:tcW w:w="3707" w:type="dxa"/>
          </w:tcPr>
          <w:p>
            <w:pPr>
              <w:pStyle w:val="TableParagraph"/>
              <w:spacing w:line="234" w:lineRule="exact"/>
              <w:ind w:left="175"/>
              <w:rPr>
                <w:b/>
                <w:sz w:val="22"/>
              </w:rPr>
            </w:pPr>
            <w:r>
              <w:rPr>
                <w:b/>
                <w:sz w:val="22"/>
              </w:rPr>
              <w:t>Practically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Non-Corrosive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(PNC)</w:t>
            </w:r>
          </w:p>
        </w:tc>
        <w:tc>
          <w:tcPr>
            <w:tcW w:w="1079" w:type="dxa"/>
          </w:tcPr>
          <w:p>
            <w:pPr>
              <w:pStyle w:val="TableParagraph"/>
              <w:spacing w:line="234" w:lineRule="exact"/>
              <w:ind w:right="240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0.243</w:t>
            </w:r>
          </w:p>
        </w:tc>
        <w:tc>
          <w:tcPr>
            <w:tcW w:w="86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82" w:type="dxa"/>
          </w:tcPr>
          <w:p>
            <w:pPr>
              <w:pStyle w:val="TableParagraph"/>
              <w:spacing w:line="234" w:lineRule="exact"/>
              <w:ind w:left="285"/>
              <w:rPr>
                <w:b/>
                <w:sz w:val="22"/>
              </w:rPr>
            </w:pPr>
            <w:r>
              <w:rPr>
                <w:b/>
                <w:sz w:val="22"/>
              </w:rPr>
              <w:t>Moderate</w:t>
            </w:r>
          </w:p>
        </w:tc>
      </w:tr>
      <w:tr>
        <w:trPr>
          <w:trHeight w:val="253" w:hRule="atLeast"/>
        </w:trPr>
        <w:tc>
          <w:tcPr>
            <w:tcW w:w="433" w:type="dxa"/>
          </w:tcPr>
          <w:p>
            <w:pPr>
              <w:pStyle w:val="TableParagraph"/>
              <w:spacing w:line="233" w:lineRule="exact"/>
              <w:ind w:left="115"/>
              <w:rPr>
                <w:b/>
                <w:sz w:val="22"/>
              </w:rPr>
            </w:pPr>
            <w:r>
              <w:rPr>
                <w:b/>
                <w:sz w:val="22"/>
              </w:rPr>
              <w:t>36.</w:t>
            </w:r>
          </w:p>
        </w:tc>
        <w:tc>
          <w:tcPr>
            <w:tcW w:w="1684" w:type="dxa"/>
          </w:tcPr>
          <w:p>
            <w:pPr>
              <w:pStyle w:val="TableParagraph"/>
              <w:spacing w:line="233" w:lineRule="exact"/>
              <w:ind w:left="790"/>
              <w:rPr>
                <w:sz w:val="22"/>
              </w:rPr>
            </w:pPr>
            <w:r>
              <w:rPr>
                <w:sz w:val="22"/>
              </w:rPr>
              <w:t>415.38</w:t>
            </w:r>
          </w:p>
        </w:tc>
        <w:tc>
          <w:tcPr>
            <w:tcW w:w="3707" w:type="dxa"/>
          </w:tcPr>
          <w:p>
            <w:pPr>
              <w:pStyle w:val="TableParagraph"/>
              <w:spacing w:line="233" w:lineRule="exact"/>
              <w:ind w:left="175"/>
              <w:rPr>
                <w:b/>
                <w:sz w:val="22"/>
              </w:rPr>
            </w:pPr>
            <w:r>
              <w:rPr>
                <w:b/>
                <w:sz w:val="22"/>
              </w:rPr>
              <w:t>Practically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Non-Corrosive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(PNC)</w:t>
            </w:r>
          </w:p>
        </w:tc>
        <w:tc>
          <w:tcPr>
            <w:tcW w:w="1079" w:type="dxa"/>
          </w:tcPr>
          <w:p>
            <w:pPr>
              <w:pStyle w:val="TableParagraph"/>
              <w:spacing w:line="233" w:lineRule="exact"/>
              <w:ind w:right="240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0.236</w:t>
            </w:r>
          </w:p>
        </w:tc>
        <w:tc>
          <w:tcPr>
            <w:tcW w:w="86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82" w:type="dxa"/>
          </w:tcPr>
          <w:p>
            <w:pPr>
              <w:pStyle w:val="TableParagraph"/>
              <w:spacing w:line="233" w:lineRule="exact"/>
              <w:ind w:left="285"/>
              <w:rPr>
                <w:b/>
                <w:sz w:val="22"/>
              </w:rPr>
            </w:pPr>
            <w:r>
              <w:rPr>
                <w:b/>
                <w:sz w:val="22"/>
              </w:rPr>
              <w:t>Moderate</w:t>
            </w:r>
          </w:p>
        </w:tc>
      </w:tr>
      <w:tr>
        <w:trPr>
          <w:trHeight w:val="251" w:hRule="atLeast"/>
        </w:trPr>
        <w:tc>
          <w:tcPr>
            <w:tcW w:w="433" w:type="dxa"/>
          </w:tcPr>
          <w:p>
            <w:pPr>
              <w:pStyle w:val="TableParagraph"/>
              <w:spacing w:line="232" w:lineRule="exact"/>
              <w:ind w:left="115"/>
              <w:rPr>
                <w:b/>
                <w:sz w:val="22"/>
              </w:rPr>
            </w:pPr>
            <w:r>
              <w:rPr>
                <w:b/>
                <w:sz w:val="22"/>
              </w:rPr>
              <w:t>37.</w:t>
            </w:r>
          </w:p>
        </w:tc>
        <w:tc>
          <w:tcPr>
            <w:tcW w:w="1684" w:type="dxa"/>
          </w:tcPr>
          <w:p>
            <w:pPr>
              <w:pStyle w:val="TableParagraph"/>
              <w:spacing w:line="232" w:lineRule="exact"/>
              <w:ind w:left="790"/>
              <w:rPr>
                <w:sz w:val="22"/>
              </w:rPr>
            </w:pPr>
            <w:r>
              <w:rPr>
                <w:sz w:val="22"/>
              </w:rPr>
              <w:t>170.24</w:t>
            </w:r>
          </w:p>
        </w:tc>
        <w:tc>
          <w:tcPr>
            <w:tcW w:w="3707" w:type="dxa"/>
          </w:tcPr>
          <w:p>
            <w:pPr>
              <w:pStyle w:val="TableParagraph"/>
              <w:spacing w:line="232" w:lineRule="exact"/>
              <w:ind w:left="175"/>
              <w:rPr>
                <w:b/>
                <w:sz w:val="22"/>
              </w:rPr>
            </w:pPr>
            <w:r>
              <w:rPr>
                <w:b/>
                <w:sz w:val="22"/>
              </w:rPr>
              <w:t>Slightly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Corrosive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(SC)</w:t>
            </w:r>
          </w:p>
        </w:tc>
        <w:tc>
          <w:tcPr>
            <w:tcW w:w="1079" w:type="dxa"/>
          </w:tcPr>
          <w:p>
            <w:pPr>
              <w:pStyle w:val="TableParagraph"/>
              <w:spacing w:line="232" w:lineRule="exact"/>
              <w:ind w:right="240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0.374</w:t>
            </w:r>
          </w:p>
        </w:tc>
        <w:tc>
          <w:tcPr>
            <w:tcW w:w="86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82" w:type="dxa"/>
          </w:tcPr>
          <w:p>
            <w:pPr>
              <w:pStyle w:val="TableParagraph"/>
              <w:spacing w:line="232" w:lineRule="exact"/>
              <w:ind w:left="285"/>
              <w:rPr>
                <w:b/>
                <w:sz w:val="22"/>
              </w:rPr>
            </w:pPr>
            <w:r>
              <w:rPr>
                <w:b/>
                <w:sz w:val="22"/>
              </w:rPr>
              <w:t>Moderate</w:t>
            </w:r>
          </w:p>
        </w:tc>
      </w:tr>
      <w:tr>
        <w:trPr>
          <w:trHeight w:val="253" w:hRule="atLeast"/>
        </w:trPr>
        <w:tc>
          <w:tcPr>
            <w:tcW w:w="433" w:type="dxa"/>
          </w:tcPr>
          <w:p>
            <w:pPr>
              <w:pStyle w:val="TableParagraph"/>
              <w:spacing w:line="233" w:lineRule="exact"/>
              <w:ind w:left="115"/>
              <w:rPr>
                <w:b/>
                <w:sz w:val="22"/>
              </w:rPr>
            </w:pPr>
            <w:r>
              <w:rPr>
                <w:b/>
                <w:sz w:val="22"/>
              </w:rPr>
              <w:t>38.</w:t>
            </w:r>
          </w:p>
        </w:tc>
        <w:tc>
          <w:tcPr>
            <w:tcW w:w="1684" w:type="dxa"/>
          </w:tcPr>
          <w:p>
            <w:pPr>
              <w:pStyle w:val="TableParagraph"/>
              <w:spacing w:line="233" w:lineRule="exact"/>
              <w:ind w:left="790"/>
              <w:rPr>
                <w:sz w:val="22"/>
              </w:rPr>
            </w:pPr>
            <w:r>
              <w:rPr>
                <w:sz w:val="22"/>
              </w:rPr>
              <w:t>253.18</w:t>
            </w:r>
          </w:p>
        </w:tc>
        <w:tc>
          <w:tcPr>
            <w:tcW w:w="3707" w:type="dxa"/>
          </w:tcPr>
          <w:p>
            <w:pPr>
              <w:pStyle w:val="TableParagraph"/>
              <w:spacing w:line="233" w:lineRule="exact"/>
              <w:ind w:left="175"/>
              <w:rPr>
                <w:b/>
                <w:sz w:val="22"/>
              </w:rPr>
            </w:pPr>
            <w:r>
              <w:rPr>
                <w:b/>
                <w:sz w:val="22"/>
              </w:rPr>
              <w:t>Practically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Non-Corrosive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(PNC)</w:t>
            </w:r>
          </w:p>
        </w:tc>
        <w:tc>
          <w:tcPr>
            <w:tcW w:w="1079" w:type="dxa"/>
          </w:tcPr>
          <w:p>
            <w:pPr>
              <w:pStyle w:val="TableParagraph"/>
              <w:spacing w:line="233" w:lineRule="exact"/>
              <w:ind w:right="240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0.332</w:t>
            </w:r>
          </w:p>
        </w:tc>
        <w:tc>
          <w:tcPr>
            <w:tcW w:w="86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82" w:type="dxa"/>
          </w:tcPr>
          <w:p>
            <w:pPr>
              <w:pStyle w:val="TableParagraph"/>
              <w:spacing w:line="233" w:lineRule="exact"/>
              <w:ind w:left="285"/>
              <w:rPr>
                <w:b/>
                <w:sz w:val="22"/>
              </w:rPr>
            </w:pPr>
            <w:r>
              <w:rPr>
                <w:b/>
                <w:sz w:val="22"/>
              </w:rPr>
              <w:t>Moderate</w:t>
            </w:r>
          </w:p>
        </w:tc>
      </w:tr>
      <w:tr>
        <w:trPr>
          <w:trHeight w:val="253" w:hRule="atLeast"/>
        </w:trPr>
        <w:tc>
          <w:tcPr>
            <w:tcW w:w="433" w:type="dxa"/>
          </w:tcPr>
          <w:p>
            <w:pPr>
              <w:pStyle w:val="TableParagraph"/>
              <w:spacing w:line="233" w:lineRule="exact"/>
              <w:ind w:left="115"/>
              <w:rPr>
                <w:b/>
                <w:sz w:val="22"/>
              </w:rPr>
            </w:pPr>
            <w:r>
              <w:rPr>
                <w:b/>
                <w:sz w:val="22"/>
              </w:rPr>
              <w:t>39.</w:t>
            </w:r>
          </w:p>
        </w:tc>
        <w:tc>
          <w:tcPr>
            <w:tcW w:w="1684" w:type="dxa"/>
          </w:tcPr>
          <w:p>
            <w:pPr>
              <w:pStyle w:val="TableParagraph"/>
              <w:spacing w:line="233" w:lineRule="exact"/>
              <w:ind w:left="790"/>
              <w:rPr>
                <w:sz w:val="22"/>
              </w:rPr>
            </w:pPr>
            <w:r>
              <w:rPr>
                <w:sz w:val="22"/>
              </w:rPr>
              <w:t>123.76</w:t>
            </w:r>
          </w:p>
        </w:tc>
        <w:tc>
          <w:tcPr>
            <w:tcW w:w="3707" w:type="dxa"/>
          </w:tcPr>
          <w:p>
            <w:pPr>
              <w:pStyle w:val="TableParagraph"/>
              <w:spacing w:line="233" w:lineRule="exact"/>
              <w:ind w:left="175"/>
              <w:rPr>
                <w:b/>
                <w:sz w:val="22"/>
              </w:rPr>
            </w:pPr>
            <w:r>
              <w:rPr>
                <w:b/>
                <w:sz w:val="22"/>
              </w:rPr>
              <w:t>Slightly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Corrosive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(SC)</w:t>
            </w:r>
          </w:p>
        </w:tc>
        <w:tc>
          <w:tcPr>
            <w:tcW w:w="1079" w:type="dxa"/>
          </w:tcPr>
          <w:p>
            <w:pPr>
              <w:pStyle w:val="TableParagraph"/>
              <w:spacing w:line="233" w:lineRule="exact"/>
              <w:ind w:right="240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0.443</w:t>
            </w:r>
          </w:p>
        </w:tc>
        <w:tc>
          <w:tcPr>
            <w:tcW w:w="86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82" w:type="dxa"/>
          </w:tcPr>
          <w:p>
            <w:pPr>
              <w:pStyle w:val="TableParagraph"/>
              <w:spacing w:line="233" w:lineRule="exact"/>
              <w:ind w:left="285"/>
              <w:rPr>
                <w:b/>
                <w:sz w:val="22"/>
              </w:rPr>
            </w:pPr>
            <w:r>
              <w:rPr>
                <w:b/>
                <w:sz w:val="22"/>
              </w:rPr>
              <w:t>Moderate</w:t>
            </w:r>
          </w:p>
        </w:tc>
      </w:tr>
      <w:tr>
        <w:trPr>
          <w:trHeight w:val="253" w:hRule="atLeast"/>
        </w:trPr>
        <w:tc>
          <w:tcPr>
            <w:tcW w:w="433" w:type="dxa"/>
            <w:tcBorders>
              <w:bottom w:val="single" w:sz="4" w:space="0" w:color="7E7E7E"/>
            </w:tcBorders>
          </w:tcPr>
          <w:p>
            <w:pPr>
              <w:pStyle w:val="TableParagraph"/>
              <w:spacing w:line="233" w:lineRule="exact"/>
              <w:ind w:left="115"/>
              <w:rPr>
                <w:b/>
                <w:sz w:val="22"/>
              </w:rPr>
            </w:pPr>
            <w:r>
              <w:rPr>
                <w:b/>
                <w:sz w:val="22"/>
              </w:rPr>
              <w:t>40.</w:t>
            </w:r>
          </w:p>
        </w:tc>
        <w:tc>
          <w:tcPr>
            <w:tcW w:w="1684" w:type="dxa"/>
            <w:tcBorders>
              <w:bottom w:val="single" w:sz="4" w:space="0" w:color="7E7E7E"/>
            </w:tcBorders>
          </w:tcPr>
          <w:p>
            <w:pPr>
              <w:pStyle w:val="TableParagraph"/>
              <w:spacing w:line="233" w:lineRule="exact"/>
              <w:ind w:left="790"/>
              <w:rPr>
                <w:sz w:val="22"/>
              </w:rPr>
            </w:pPr>
            <w:r>
              <w:rPr>
                <w:sz w:val="22"/>
              </w:rPr>
              <w:t>268.38</w:t>
            </w:r>
          </w:p>
        </w:tc>
        <w:tc>
          <w:tcPr>
            <w:tcW w:w="3707" w:type="dxa"/>
            <w:tcBorders>
              <w:bottom w:val="single" w:sz="4" w:space="0" w:color="7E7E7E"/>
            </w:tcBorders>
          </w:tcPr>
          <w:p>
            <w:pPr>
              <w:pStyle w:val="TableParagraph"/>
              <w:spacing w:line="233" w:lineRule="exact"/>
              <w:ind w:left="175"/>
              <w:rPr>
                <w:b/>
                <w:sz w:val="22"/>
              </w:rPr>
            </w:pPr>
            <w:r>
              <w:rPr>
                <w:b/>
                <w:sz w:val="22"/>
              </w:rPr>
              <w:t>Practically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Non-Corrosive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(PNC)</w:t>
            </w:r>
          </w:p>
        </w:tc>
        <w:tc>
          <w:tcPr>
            <w:tcW w:w="1079" w:type="dxa"/>
            <w:tcBorders>
              <w:bottom w:val="single" w:sz="4" w:space="0" w:color="7E7E7E"/>
            </w:tcBorders>
          </w:tcPr>
          <w:p>
            <w:pPr>
              <w:pStyle w:val="TableParagraph"/>
              <w:spacing w:line="233" w:lineRule="exact"/>
              <w:ind w:right="240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0.603</w:t>
            </w:r>
          </w:p>
        </w:tc>
        <w:tc>
          <w:tcPr>
            <w:tcW w:w="865" w:type="dxa"/>
            <w:tcBorders>
              <w:bottom w:val="single" w:sz="4" w:space="0" w:color="7E7E7E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82" w:type="dxa"/>
            <w:tcBorders>
              <w:bottom w:val="single" w:sz="4" w:space="0" w:color="7E7E7E"/>
            </w:tcBorders>
          </w:tcPr>
          <w:p>
            <w:pPr>
              <w:pStyle w:val="TableParagraph"/>
              <w:spacing w:line="233" w:lineRule="exact"/>
              <w:ind w:left="285"/>
              <w:rPr>
                <w:b/>
                <w:sz w:val="22"/>
              </w:rPr>
            </w:pPr>
            <w:r>
              <w:rPr>
                <w:b/>
                <w:sz w:val="22"/>
              </w:rPr>
              <w:t>Moderate</w:t>
            </w:r>
          </w:p>
        </w:tc>
      </w:tr>
    </w:tbl>
    <w:p>
      <w:pPr>
        <w:spacing w:after="0" w:line="233" w:lineRule="exact"/>
        <w:rPr>
          <w:sz w:val="22"/>
        </w:rPr>
        <w:sectPr>
          <w:type w:val="continuous"/>
          <w:pgSz w:w="11910" w:h="16840"/>
          <w:pgMar w:top="1320" w:bottom="280" w:left="700" w:right="0"/>
        </w:sectPr>
      </w:pPr>
    </w:p>
    <w:p>
      <w:pPr>
        <w:pStyle w:val="BodyText"/>
        <w:spacing w:line="480" w:lineRule="auto" w:before="64"/>
        <w:ind w:left="1287" w:right="1408"/>
        <w:jc w:val="both"/>
      </w:pPr>
      <w:r>
        <w:rPr/>
        <w:t>The curve type derived from the VES plots in the order of their percentages includes the</w:t>
      </w:r>
      <w:r>
        <w:rPr>
          <w:spacing w:val="-57"/>
        </w:rPr>
        <w:t> </w:t>
      </w:r>
      <w:r>
        <w:rPr/>
        <w:t>QH curve type with 40%, the Q curve type with 35%, QHK with 17.5% and the QKH</w:t>
      </w:r>
      <w:r>
        <w:rPr>
          <w:spacing w:val="1"/>
        </w:rPr>
        <w:t> </w:t>
      </w:r>
      <w:r>
        <w:rPr/>
        <w:t>which represent 7.5% and shows in (Figure 4.4). The shape or geometry of the curve</w:t>
      </w:r>
      <w:r>
        <w:rPr>
          <w:spacing w:val="1"/>
        </w:rPr>
        <w:t> </w:t>
      </w:r>
      <w:r>
        <w:rPr/>
        <w:t>types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function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undulating,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decrease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resistivity of the subsurface lithologic layers. Considering the morphology of the VES</w:t>
      </w:r>
      <w:r>
        <w:rPr>
          <w:spacing w:val="1"/>
        </w:rPr>
        <w:t> </w:t>
      </w:r>
      <w:r>
        <w:rPr/>
        <w:t>field curves and the variation in the resistivity values, the following curve types are</w:t>
      </w:r>
      <w:r>
        <w:rPr>
          <w:spacing w:val="1"/>
        </w:rPr>
        <w:t> </w:t>
      </w:r>
      <w:r>
        <w:rPr/>
        <w:t>evident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area</w:t>
      </w:r>
      <w:r>
        <w:rPr>
          <w:spacing w:val="1"/>
        </w:rPr>
        <w:t> </w:t>
      </w:r>
      <w:r>
        <w:rPr/>
        <w:t>(Table</w:t>
      </w:r>
      <w:r>
        <w:rPr>
          <w:spacing w:val="1"/>
        </w:rPr>
        <w:t> </w:t>
      </w:r>
      <w:r>
        <w:rPr/>
        <w:t>4.3).The</w:t>
      </w:r>
      <w:r>
        <w:rPr>
          <w:spacing w:val="1"/>
        </w:rPr>
        <w:t> </w:t>
      </w:r>
      <w:r>
        <w:rPr/>
        <w:t>earth’s</w:t>
      </w:r>
      <w:r>
        <w:rPr>
          <w:spacing w:val="1"/>
        </w:rPr>
        <w:t> </w:t>
      </w:r>
      <w:r>
        <w:rPr/>
        <w:t>medium</w:t>
      </w:r>
      <w:r>
        <w:rPr>
          <w:spacing w:val="1"/>
        </w:rPr>
        <w:t> </w:t>
      </w:r>
      <w:r>
        <w:rPr/>
        <w:t>acts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natural</w:t>
      </w:r>
      <w:r>
        <w:rPr>
          <w:spacing w:val="1"/>
        </w:rPr>
        <w:t> </w:t>
      </w:r>
      <w:r>
        <w:rPr/>
        <w:t>ﬁlter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percolating ﬂuid. The ability of the earth to retard or accelerate and ﬁlter percolating</w:t>
      </w:r>
      <w:r>
        <w:rPr>
          <w:spacing w:val="1"/>
        </w:rPr>
        <w:t> </w:t>
      </w:r>
      <w:r>
        <w:rPr/>
        <w:t>ﬂuid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measure</w:t>
      </w:r>
      <w:r>
        <w:rPr>
          <w:spacing w:val="-1"/>
        </w:rPr>
        <w:t> </w:t>
      </w:r>
      <w:r>
        <w:rPr/>
        <w:t>of its protective</w:t>
      </w:r>
      <w:r>
        <w:rPr>
          <w:spacing w:val="-1"/>
        </w:rPr>
        <w:t> </w:t>
      </w:r>
      <w:r>
        <w:rPr/>
        <w:t>capacity</w:t>
      </w:r>
      <w:r>
        <w:rPr>
          <w:spacing w:val="-5"/>
        </w:rPr>
        <w:t> </w:t>
      </w:r>
      <w:r>
        <w:rPr/>
        <w:t>(Barker</w:t>
      </w:r>
      <w:r>
        <w:rPr>
          <w:spacing w:val="1"/>
        </w:rPr>
        <w:t> </w:t>
      </w:r>
      <w:r>
        <w:rPr>
          <w:i/>
        </w:rPr>
        <w:t>et al.,</w:t>
      </w:r>
      <w:r>
        <w:rPr/>
        <w:t>2001).</w:t>
      </w:r>
    </w:p>
    <w:p>
      <w:pPr>
        <w:pStyle w:val="Heading2"/>
        <w:numPr>
          <w:ilvl w:val="1"/>
          <w:numId w:val="11"/>
        </w:numPr>
        <w:tabs>
          <w:tab w:pos="2008" w:val="left" w:leader="none"/>
        </w:tabs>
        <w:spacing w:line="240" w:lineRule="auto" w:before="165" w:after="0"/>
        <w:ind w:left="2007" w:right="0" w:hanging="721"/>
        <w:jc w:val="both"/>
      </w:pPr>
      <w:r>
        <w:rPr/>
        <w:t>Summary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Geoelectric</w:t>
      </w:r>
      <w:r>
        <w:rPr>
          <w:spacing w:val="-2"/>
        </w:rPr>
        <w:t> </w:t>
      </w:r>
      <w:r>
        <w:rPr/>
        <w:t>Parameters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287" w:right="1412"/>
        <w:jc w:val="both"/>
      </w:pPr>
      <w:r>
        <w:rPr/>
        <w:t>The geoelectric sections show that the depth to the different lithologies varies across the</w:t>
      </w:r>
      <w:r>
        <w:rPr>
          <w:spacing w:val="-57"/>
        </w:rPr>
        <w:t> </w:t>
      </w:r>
      <w:r>
        <w:rPr/>
        <w:t>sounding stations. The fourth and fifth layers are proposed to represents an important</w:t>
      </w:r>
      <w:r>
        <w:rPr>
          <w:spacing w:val="1"/>
        </w:rPr>
        <w:t> </w:t>
      </w:r>
      <w:r>
        <w:rPr/>
        <w:t>aquifer</w:t>
      </w:r>
      <w:r>
        <w:rPr>
          <w:spacing w:val="12"/>
        </w:rPr>
        <w:t> </w:t>
      </w:r>
      <w:r>
        <w:rPr/>
        <w:t>in</w:t>
      </w:r>
      <w:r>
        <w:rPr>
          <w:spacing w:val="14"/>
        </w:rPr>
        <w:t> </w:t>
      </w:r>
      <w:r>
        <w:rPr/>
        <w:t>the</w:t>
      </w:r>
      <w:r>
        <w:rPr>
          <w:spacing w:val="13"/>
        </w:rPr>
        <w:t> </w:t>
      </w:r>
      <w:r>
        <w:rPr/>
        <w:t>study</w:t>
      </w:r>
      <w:r>
        <w:rPr>
          <w:spacing w:val="9"/>
        </w:rPr>
        <w:t> </w:t>
      </w:r>
      <w:r>
        <w:rPr/>
        <w:t>area.</w:t>
      </w:r>
      <w:r>
        <w:rPr>
          <w:spacing w:val="15"/>
        </w:rPr>
        <w:t> </w:t>
      </w:r>
      <w:r>
        <w:rPr/>
        <w:t>The</w:t>
      </w:r>
      <w:r>
        <w:rPr>
          <w:spacing w:val="12"/>
        </w:rPr>
        <w:t> </w:t>
      </w:r>
      <w:r>
        <w:rPr/>
        <w:t>sandstone</w:t>
      </w:r>
      <w:r>
        <w:rPr>
          <w:spacing w:val="13"/>
        </w:rPr>
        <w:t> </w:t>
      </w:r>
      <w:r>
        <w:rPr/>
        <w:t>which</w:t>
      </w:r>
      <w:r>
        <w:rPr>
          <w:spacing w:val="16"/>
        </w:rPr>
        <w:t> </w:t>
      </w:r>
      <w:r>
        <w:rPr/>
        <w:t>occurs</w:t>
      </w:r>
      <w:r>
        <w:rPr>
          <w:spacing w:val="13"/>
        </w:rPr>
        <w:t> </w:t>
      </w:r>
      <w:r>
        <w:rPr/>
        <w:t>as</w:t>
      </w:r>
      <w:r>
        <w:rPr>
          <w:spacing w:val="13"/>
        </w:rPr>
        <w:t> </w:t>
      </w:r>
      <w:r>
        <w:rPr/>
        <w:t>either</w:t>
      </w:r>
      <w:r>
        <w:rPr>
          <w:spacing w:val="13"/>
        </w:rPr>
        <w:t> </w:t>
      </w:r>
      <w:r>
        <w:rPr/>
        <w:t>the</w:t>
      </w:r>
      <w:r>
        <w:rPr>
          <w:spacing w:val="13"/>
        </w:rPr>
        <w:t> </w:t>
      </w:r>
      <w:r>
        <w:rPr/>
        <w:t>fourth</w:t>
      </w:r>
      <w:r>
        <w:rPr>
          <w:spacing w:val="13"/>
        </w:rPr>
        <w:t> </w:t>
      </w:r>
      <w:r>
        <w:rPr/>
        <w:t>or</w:t>
      </w:r>
      <w:r>
        <w:rPr>
          <w:spacing w:val="13"/>
        </w:rPr>
        <w:t> </w:t>
      </w:r>
      <w:r>
        <w:rPr/>
        <w:t>fifth</w:t>
      </w:r>
      <w:r>
        <w:rPr>
          <w:spacing w:val="13"/>
        </w:rPr>
        <w:t> </w:t>
      </w:r>
      <w:r>
        <w:rPr/>
        <w:t>layer</w:t>
      </w:r>
      <w:r>
        <w:rPr>
          <w:spacing w:val="-57"/>
        </w:rPr>
        <w:t> </w:t>
      </w:r>
      <w:r>
        <w:rPr/>
        <w:t>in different parts of the study area has relatively low to moderate resistivity values</w:t>
      </w:r>
      <w:r>
        <w:rPr>
          <w:spacing w:val="1"/>
        </w:rPr>
        <w:t> </w:t>
      </w:r>
      <w:r>
        <w:rPr/>
        <w:t>ranging</w:t>
      </w:r>
      <w:r>
        <w:rPr>
          <w:spacing w:val="-1"/>
        </w:rPr>
        <w:t> </w:t>
      </w:r>
      <w:r>
        <w:rPr/>
        <w:t>from 5.6 Ωm to 150 Ωm.</w:t>
      </w:r>
    </w:p>
    <w:p>
      <w:pPr>
        <w:spacing w:after="0" w:line="480" w:lineRule="auto"/>
        <w:jc w:val="both"/>
        <w:sectPr>
          <w:pgSz w:w="11910" w:h="16840"/>
          <w:pgMar w:header="0" w:footer="987" w:top="1320" w:bottom="1260" w:left="700" w:right="0"/>
        </w:sectPr>
      </w:pPr>
    </w:p>
    <w:p>
      <w:pPr>
        <w:pStyle w:val="BodyText"/>
        <w:ind w:left="1334"/>
        <w:rPr>
          <w:sz w:val="20"/>
        </w:rPr>
      </w:pPr>
      <w:r>
        <w:rPr>
          <w:sz w:val="20"/>
        </w:rPr>
        <w:drawing>
          <wp:inline distT="0" distB="0" distL="0" distR="0">
            <wp:extent cx="5574454" cy="2888932"/>
            <wp:effectExtent l="0" t="0" r="0" b="0"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4454" cy="2888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ind w:left="1277" w:right="1400"/>
        <w:jc w:val="center"/>
      </w:pPr>
      <w:r>
        <w:rPr/>
        <w:t>Figure</w:t>
      </w:r>
      <w:r>
        <w:rPr>
          <w:spacing w:val="-3"/>
        </w:rPr>
        <w:t> </w:t>
      </w:r>
      <w:r>
        <w:rPr/>
        <w:t>4.4</w:t>
      </w:r>
      <w:r>
        <w:rPr>
          <w:spacing w:val="1"/>
        </w:rPr>
        <w:t> </w:t>
      </w:r>
      <w:r>
        <w:rPr/>
        <w:t>Frequency</w:t>
      </w:r>
      <w:r>
        <w:rPr>
          <w:spacing w:val="-3"/>
        </w:rPr>
        <w:t> </w:t>
      </w:r>
      <w:r>
        <w:rPr/>
        <w:t>curve</w:t>
      </w:r>
      <w:r>
        <w:rPr>
          <w:spacing w:val="-2"/>
        </w:rPr>
        <w:t> </w:t>
      </w:r>
      <w:r>
        <w:rPr/>
        <w:t>type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32"/>
        </w:rPr>
      </w:pPr>
    </w:p>
    <w:p>
      <w:pPr>
        <w:pStyle w:val="Heading2"/>
        <w:spacing w:before="1" w:after="8"/>
        <w:ind w:left="1287" w:firstLine="0"/>
        <w:jc w:val="left"/>
      </w:pPr>
      <w:r>
        <w:rPr/>
        <w:t>Table</w:t>
      </w:r>
      <w:r>
        <w:rPr>
          <w:spacing w:val="-2"/>
        </w:rPr>
        <w:t> </w:t>
      </w:r>
      <w:r>
        <w:rPr/>
        <w:t>4.3</w:t>
      </w:r>
      <w:r>
        <w:rPr>
          <w:spacing w:val="-1"/>
        </w:rPr>
        <w:t> </w:t>
      </w:r>
      <w:r>
        <w:rPr/>
        <w:t>Geometry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percentage</w:t>
      </w:r>
      <w:r>
        <w:rPr>
          <w:spacing w:val="-4"/>
        </w:rPr>
        <w:t> </w:t>
      </w:r>
      <w:r>
        <w:rPr/>
        <w:t>of resistivity</w:t>
      </w:r>
      <w:r>
        <w:rPr>
          <w:spacing w:val="-1"/>
        </w:rPr>
        <w:t> </w:t>
      </w:r>
      <w:r>
        <w:rPr/>
        <w:t>curve</w:t>
      </w:r>
      <w:r>
        <w:rPr>
          <w:spacing w:val="-2"/>
        </w:rPr>
        <w:t> </w:t>
      </w:r>
      <w:r>
        <w:rPr/>
        <w:t>types</w:t>
      </w:r>
    </w:p>
    <w:tbl>
      <w:tblPr>
        <w:tblW w:w="0" w:type="auto"/>
        <w:jc w:val="left"/>
        <w:tblInd w:w="11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0"/>
        <w:gridCol w:w="1447"/>
        <w:gridCol w:w="3003"/>
        <w:gridCol w:w="2306"/>
      </w:tblGrid>
      <w:tr>
        <w:trPr>
          <w:trHeight w:val="457" w:hRule="atLeast"/>
        </w:trPr>
        <w:tc>
          <w:tcPr>
            <w:tcW w:w="53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SN</w:t>
            </w:r>
          </w:p>
        </w:tc>
        <w:tc>
          <w:tcPr>
            <w:tcW w:w="144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Curve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Type</w:t>
            </w:r>
          </w:p>
        </w:tc>
        <w:tc>
          <w:tcPr>
            <w:tcW w:w="300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95"/>
              <w:rPr>
                <w:sz w:val="24"/>
              </w:rPr>
            </w:pPr>
            <w:r>
              <w:rPr>
                <w:sz w:val="24"/>
              </w:rPr>
              <w:t>Resistivity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alteration</w:t>
            </w:r>
          </w:p>
        </w:tc>
        <w:tc>
          <w:tcPr>
            <w:tcW w:w="230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612"/>
              <w:rPr>
                <w:sz w:val="24"/>
              </w:rPr>
            </w:pPr>
            <w:r>
              <w:rPr>
                <w:sz w:val="24"/>
              </w:rPr>
              <w:t>Percentage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(%)</w:t>
            </w:r>
          </w:p>
        </w:tc>
      </w:tr>
      <w:tr>
        <w:trPr>
          <w:trHeight w:val="491" w:hRule="atLeast"/>
        </w:trPr>
        <w:tc>
          <w:tcPr>
            <w:tcW w:w="53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4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QH</w:t>
            </w:r>
          </w:p>
        </w:tc>
        <w:tc>
          <w:tcPr>
            <w:tcW w:w="300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95"/>
              <w:rPr>
                <w:sz w:val="24"/>
              </w:rPr>
            </w:pPr>
            <w:r>
              <w:rPr>
                <w:sz w:val="24"/>
              </w:rPr>
              <w:t>ℓ1 &gt;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ℓ2 &gt;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ℓ3 ≥ ℓ4 &lt;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ℓ5</w:t>
            </w:r>
          </w:p>
        </w:tc>
        <w:tc>
          <w:tcPr>
            <w:tcW w:w="230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612"/>
              <w:rPr>
                <w:sz w:val="24"/>
              </w:rPr>
            </w:pPr>
            <w:r>
              <w:rPr>
                <w:sz w:val="24"/>
              </w:rPr>
              <w:t>40%</w:t>
            </w:r>
          </w:p>
        </w:tc>
      </w:tr>
      <w:tr>
        <w:trPr>
          <w:trHeight w:val="711" w:hRule="atLeast"/>
        </w:trPr>
        <w:tc>
          <w:tcPr>
            <w:tcW w:w="530" w:type="dxa"/>
          </w:tcPr>
          <w:p>
            <w:pPr>
              <w:pStyle w:val="TableParagraph"/>
              <w:spacing w:before="213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47" w:type="dxa"/>
          </w:tcPr>
          <w:p>
            <w:pPr>
              <w:pStyle w:val="TableParagraph"/>
              <w:spacing w:before="213"/>
              <w:ind w:left="113"/>
              <w:rPr>
                <w:sz w:val="24"/>
              </w:rPr>
            </w:pPr>
            <w:r>
              <w:rPr>
                <w:w w:val="99"/>
                <w:sz w:val="24"/>
              </w:rPr>
              <w:t>Q</w:t>
            </w:r>
          </w:p>
        </w:tc>
        <w:tc>
          <w:tcPr>
            <w:tcW w:w="3003" w:type="dxa"/>
          </w:tcPr>
          <w:p>
            <w:pPr>
              <w:pStyle w:val="TableParagraph"/>
              <w:spacing w:before="213"/>
              <w:ind w:left="195"/>
              <w:rPr>
                <w:sz w:val="24"/>
              </w:rPr>
            </w:pPr>
            <w:r>
              <w:rPr>
                <w:sz w:val="24"/>
              </w:rPr>
              <w:t>ℓ1 &gt;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ℓ2 &gt;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ℓ3 &gt;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ℓ4 &gt;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ℓ5</w:t>
            </w:r>
          </w:p>
        </w:tc>
        <w:tc>
          <w:tcPr>
            <w:tcW w:w="2306" w:type="dxa"/>
          </w:tcPr>
          <w:p>
            <w:pPr>
              <w:pStyle w:val="TableParagraph"/>
              <w:spacing w:before="213"/>
              <w:ind w:left="612"/>
              <w:rPr>
                <w:sz w:val="24"/>
              </w:rPr>
            </w:pPr>
            <w:r>
              <w:rPr>
                <w:sz w:val="24"/>
              </w:rPr>
              <w:t>35%</w:t>
            </w:r>
          </w:p>
        </w:tc>
      </w:tr>
      <w:tr>
        <w:trPr>
          <w:trHeight w:val="711" w:hRule="atLeast"/>
        </w:trPr>
        <w:tc>
          <w:tcPr>
            <w:tcW w:w="530" w:type="dxa"/>
          </w:tcPr>
          <w:p>
            <w:pPr>
              <w:pStyle w:val="TableParagraph"/>
              <w:spacing w:before="212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47" w:type="dxa"/>
          </w:tcPr>
          <w:p>
            <w:pPr>
              <w:pStyle w:val="TableParagraph"/>
              <w:spacing w:before="212"/>
              <w:ind w:left="113"/>
              <w:rPr>
                <w:sz w:val="24"/>
              </w:rPr>
            </w:pPr>
            <w:r>
              <w:rPr>
                <w:sz w:val="24"/>
              </w:rPr>
              <w:t>QHK</w:t>
            </w:r>
          </w:p>
        </w:tc>
        <w:tc>
          <w:tcPr>
            <w:tcW w:w="3003" w:type="dxa"/>
          </w:tcPr>
          <w:p>
            <w:pPr>
              <w:pStyle w:val="TableParagraph"/>
              <w:spacing w:before="212"/>
              <w:ind w:left="195"/>
              <w:rPr>
                <w:sz w:val="24"/>
              </w:rPr>
            </w:pPr>
            <w:r>
              <w:rPr>
                <w:sz w:val="24"/>
              </w:rPr>
              <w:t>ℓ1 &gt;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ℓ2 &lt;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ℓ3 &gt;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ℓ4 &gt;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ℓ5</w:t>
            </w:r>
          </w:p>
        </w:tc>
        <w:tc>
          <w:tcPr>
            <w:tcW w:w="2306" w:type="dxa"/>
          </w:tcPr>
          <w:p>
            <w:pPr>
              <w:pStyle w:val="TableParagraph"/>
              <w:spacing w:before="212"/>
              <w:ind w:left="612"/>
              <w:rPr>
                <w:sz w:val="24"/>
              </w:rPr>
            </w:pPr>
            <w:r>
              <w:rPr>
                <w:sz w:val="24"/>
              </w:rPr>
              <w:t>17.5%</w:t>
            </w:r>
          </w:p>
        </w:tc>
      </w:tr>
      <w:tr>
        <w:trPr>
          <w:trHeight w:val="489" w:hRule="atLeast"/>
        </w:trPr>
        <w:tc>
          <w:tcPr>
            <w:tcW w:w="530" w:type="dxa"/>
          </w:tcPr>
          <w:p>
            <w:pPr>
              <w:pStyle w:val="TableParagraph"/>
              <w:spacing w:line="256" w:lineRule="exact" w:before="213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47" w:type="dxa"/>
          </w:tcPr>
          <w:p>
            <w:pPr>
              <w:pStyle w:val="TableParagraph"/>
              <w:spacing w:line="256" w:lineRule="exact" w:before="213"/>
              <w:ind w:left="113"/>
              <w:rPr>
                <w:sz w:val="24"/>
              </w:rPr>
            </w:pPr>
            <w:r>
              <w:rPr>
                <w:sz w:val="24"/>
              </w:rPr>
              <w:t>QKH</w:t>
            </w:r>
          </w:p>
        </w:tc>
        <w:tc>
          <w:tcPr>
            <w:tcW w:w="3003" w:type="dxa"/>
          </w:tcPr>
          <w:p>
            <w:pPr>
              <w:pStyle w:val="TableParagraph"/>
              <w:spacing w:line="256" w:lineRule="exact" w:before="213"/>
              <w:ind w:left="195"/>
              <w:rPr>
                <w:sz w:val="24"/>
              </w:rPr>
            </w:pPr>
            <w:r>
              <w:rPr>
                <w:sz w:val="24"/>
              </w:rPr>
              <w:t>ℓ1 &gt;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ℓ2 &lt;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ℓ3 ≥ ℓ4 &lt;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ℓ5</w:t>
            </w:r>
          </w:p>
        </w:tc>
        <w:tc>
          <w:tcPr>
            <w:tcW w:w="2306" w:type="dxa"/>
          </w:tcPr>
          <w:p>
            <w:pPr>
              <w:pStyle w:val="TableParagraph"/>
              <w:spacing w:line="256" w:lineRule="exact" w:before="213"/>
              <w:ind w:left="612"/>
              <w:rPr>
                <w:sz w:val="24"/>
              </w:rPr>
            </w:pPr>
            <w:r>
              <w:rPr>
                <w:sz w:val="24"/>
              </w:rPr>
              <w:t>7.5%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5"/>
        </w:rPr>
      </w:pPr>
      <w:r>
        <w:rPr/>
        <w:pict>
          <v:rect style="position:absolute;margin-left:93.264008pt;margin-top:10.775263pt;width:364.990017pt;height:.48pt;mso-position-horizontal-relative:page;mso-position-vertical-relative:paragraph;z-index:-1568614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after="0"/>
        <w:rPr>
          <w:sz w:val="15"/>
        </w:rPr>
        <w:sectPr>
          <w:pgSz w:w="11910" w:h="16840"/>
          <w:pgMar w:header="0" w:footer="987" w:top="1480" w:bottom="1260" w:left="700" w:right="0"/>
        </w:sectPr>
      </w:pPr>
    </w:p>
    <w:p>
      <w:pPr>
        <w:pStyle w:val="ListParagraph"/>
        <w:numPr>
          <w:ilvl w:val="1"/>
          <w:numId w:val="11"/>
        </w:numPr>
        <w:tabs>
          <w:tab w:pos="2008" w:val="left" w:leader="none"/>
        </w:tabs>
        <w:spacing w:line="240" w:lineRule="auto" w:before="69" w:after="0"/>
        <w:ind w:left="2007" w:right="0" w:hanging="721"/>
        <w:jc w:val="both"/>
        <w:rPr>
          <w:b/>
          <w:sz w:val="24"/>
        </w:rPr>
      </w:pPr>
      <w:r>
        <w:rPr>
          <w:b/>
          <w:sz w:val="24"/>
        </w:rPr>
        <w:t>Isoresistivity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Interpretations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287" w:right="1414"/>
        <w:jc w:val="both"/>
      </w:pPr>
      <w:r>
        <w:rPr/>
        <w:t>Iso-resistivity map of each of the geoelectric layers as derived from the geoelectrical</w:t>
      </w:r>
      <w:r>
        <w:rPr>
          <w:spacing w:val="1"/>
        </w:rPr>
        <w:t> </w:t>
      </w:r>
      <w:r>
        <w:rPr/>
        <w:t>parameters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presented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interpreted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show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trend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resistivity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geoelectric</w:t>
      </w:r>
      <w:r>
        <w:rPr>
          <w:spacing w:val="-2"/>
        </w:rPr>
        <w:t> </w:t>
      </w:r>
      <w:r>
        <w:rPr/>
        <w:t>layer.</w:t>
      </w:r>
    </w:p>
    <w:p>
      <w:pPr>
        <w:pStyle w:val="Heading2"/>
        <w:numPr>
          <w:ilvl w:val="2"/>
          <w:numId w:val="11"/>
        </w:numPr>
        <w:tabs>
          <w:tab w:pos="2008" w:val="left" w:leader="none"/>
        </w:tabs>
        <w:spacing w:line="240" w:lineRule="auto" w:before="166" w:after="0"/>
        <w:ind w:left="2007" w:right="0" w:hanging="721"/>
        <w:jc w:val="both"/>
      </w:pPr>
      <w:r>
        <w:rPr/>
        <w:t>Isoresistivity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first</w:t>
      </w:r>
      <w:r>
        <w:rPr>
          <w:spacing w:val="-2"/>
        </w:rPr>
        <w:t> </w:t>
      </w:r>
      <w:r>
        <w:rPr/>
        <w:t>geoelectric</w:t>
      </w:r>
      <w:r>
        <w:rPr>
          <w:spacing w:val="-1"/>
        </w:rPr>
        <w:t> </w:t>
      </w:r>
      <w:r>
        <w:rPr/>
        <w:t>layer</w:t>
      </w:r>
    </w:p>
    <w:p>
      <w:pPr>
        <w:pStyle w:val="BodyText"/>
        <w:spacing w:before="4"/>
        <w:rPr>
          <w:b/>
          <w:sz w:val="23"/>
        </w:rPr>
      </w:pPr>
    </w:p>
    <w:p>
      <w:pPr>
        <w:pStyle w:val="BodyText"/>
        <w:spacing w:line="480" w:lineRule="auto"/>
        <w:ind w:left="1287" w:right="1406"/>
        <w:jc w:val="both"/>
      </w:pPr>
      <w:r>
        <w:rPr/>
        <w:t>The apparent resistivity distribution of the first geoelectric layer subsurface lithology</w:t>
      </w:r>
      <w:r>
        <w:rPr>
          <w:spacing w:val="1"/>
        </w:rPr>
        <w:t> </w:t>
      </w:r>
      <w:r>
        <w:rPr/>
        <w:t>shows a relatively high resistivity at the northern, the north-western and the eastern</w:t>
      </w:r>
      <w:r>
        <w:rPr>
          <w:spacing w:val="1"/>
        </w:rPr>
        <w:t> </w:t>
      </w:r>
      <w:r>
        <w:rPr/>
        <w:t>segments of the mapped area.</w:t>
      </w:r>
      <w:r>
        <w:rPr>
          <w:spacing w:val="1"/>
        </w:rPr>
        <w:t> </w:t>
      </w:r>
      <w:r>
        <w:rPr/>
        <w:t>The lowest resistivity zone of the first layer is situated at</w:t>
      </w:r>
      <w:r>
        <w:rPr>
          <w:spacing w:val="1"/>
        </w:rPr>
        <w:t> </w:t>
      </w:r>
      <w:r>
        <w:rPr/>
        <w:t>the eastern segment of the area of study. Areas with lesser resistivity which are also</w:t>
      </w:r>
      <w:r>
        <w:rPr>
          <w:spacing w:val="1"/>
        </w:rPr>
        <w:t> </w:t>
      </w:r>
      <w:r>
        <w:rPr/>
        <w:t>highly conductive zones are decent signal of porous lithological unit. The resistivity at</w:t>
      </w:r>
      <w:r>
        <w:rPr>
          <w:spacing w:val="1"/>
        </w:rPr>
        <w:t> </w:t>
      </w:r>
      <w:r>
        <w:rPr/>
        <w:t>the eastern section might be attributed to the effect of unsaturated loess soil or pure clay</w:t>
      </w:r>
      <w:r>
        <w:rPr>
          <w:spacing w:val="1"/>
        </w:rPr>
        <w:t> </w:t>
      </w:r>
      <w:r>
        <w:rPr/>
        <w:t>lithology. The resistivity shows an elevated increase range of 250 Ωm to 1650 Ωm</w:t>
      </w:r>
      <w:r>
        <w:rPr>
          <w:spacing w:val="1"/>
        </w:rPr>
        <w:t> </w:t>
      </w:r>
      <w:r>
        <w:rPr/>
        <w:t>(Figure</w:t>
      </w:r>
      <w:r>
        <w:rPr>
          <w:spacing w:val="-3"/>
        </w:rPr>
        <w:t> </w:t>
      </w:r>
      <w:r>
        <w:rPr/>
        <w:t>4.5).</w:t>
      </w:r>
    </w:p>
    <w:p>
      <w:pPr>
        <w:pStyle w:val="BodyText"/>
        <w:spacing w:before="7"/>
        <w:rPr>
          <w:sz w:val="21"/>
        </w:rPr>
      </w:pPr>
    </w:p>
    <w:p>
      <w:pPr>
        <w:pStyle w:val="Heading2"/>
        <w:numPr>
          <w:ilvl w:val="2"/>
          <w:numId w:val="11"/>
        </w:numPr>
        <w:tabs>
          <w:tab w:pos="2008" w:val="left" w:leader="none"/>
        </w:tabs>
        <w:spacing w:line="240" w:lineRule="auto" w:before="1" w:after="0"/>
        <w:ind w:left="2007" w:right="0" w:hanging="721"/>
        <w:jc w:val="both"/>
      </w:pPr>
      <w:r>
        <w:rPr/>
        <w:t>Isoresistivity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second</w:t>
      </w:r>
      <w:r>
        <w:rPr>
          <w:spacing w:val="-2"/>
        </w:rPr>
        <w:t> </w:t>
      </w:r>
      <w:r>
        <w:rPr/>
        <w:t>geoelectric</w:t>
      </w:r>
      <w:r>
        <w:rPr>
          <w:spacing w:val="-1"/>
        </w:rPr>
        <w:t> </w:t>
      </w:r>
      <w:r>
        <w:rPr/>
        <w:t>layer</w:t>
      </w:r>
    </w:p>
    <w:p>
      <w:pPr>
        <w:pStyle w:val="BodyText"/>
        <w:spacing w:before="4"/>
        <w:rPr>
          <w:b/>
          <w:sz w:val="23"/>
        </w:rPr>
      </w:pPr>
    </w:p>
    <w:p>
      <w:pPr>
        <w:pStyle w:val="BodyText"/>
        <w:spacing w:line="480" w:lineRule="auto"/>
        <w:ind w:left="1287" w:right="1410"/>
        <w:jc w:val="both"/>
      </w:pPr>
      <w:r>
        <w:rPr/>
        <w:t>At the second geoelectric layer, bulk of the map area display low to moderate resistivity</w:t>
      </w:r>
      <w:r>
        <w:rPr>
          <w:spacing w:val="1"/>
        </w:rPr>
        <w:t> </w:t>
      </w:r>
      <w:r>
        <w:rPr/>
        <w:t>values. With the low apparent resistivity as seen in the central and southern portion of</w:t>
      </w:r>
      <w:r>
        <w:rPr>
          <w:spacing w:val="1"/>
        </w:rPr>
        <w:t> </w:t>
      </w:r>
      <w:r>
        <w:rPr/>
        <w:t>the mapped area, this may suggest that the depth at the second geoelectric layer is</w:t>
      </w:r>
      <w:r>
        <w:rPr>
          <w:spacing w:val="1"/>
        </w:rPr>
        <w:t> </w:t>
      </w:r>
      <w:r>
        <w:rPr/>
        <w:t>composed of clay lithology. The variation in</w:t>
      </w:r>
      <w:r>
        <w:rPr>
          <w:spacing w:val="1"/>
        </w:rPr>
        <w:t> </w:t>
      </w:r>
      <w:r>
        <w:rPr/>
        <w:t>the resistivity may be</w:t>
      </w:r>
      <w:r>
        <w:rPr>
          <w:spacing w:val="1"/>
        </w:rPr>
        <w:t> </w:t>
      </w:r>
      <w:r>
        <w:rPr/>
        <w:t>attributed to</w:t>
      </w:r>
      <w:r>
        <w:rPr>
          <w:spacing w:val="60"/>
        </w:rPr>
        <w:t> </w:t>
      </w:r>
      <w:r>
        <w:rPr/>
        <w:t>pure</w:t>
      </w:r>
      <w:r>
        <w:rPr>
          <w:spacing w:val="1"/>
        </w:rPr>
        <w:t> </w:t>
      </w:r>
      <w:r>
        <w:rPr/>
        <w:t>clay with silt matrix.</w:t>
      </w:r>
      <w:r>
        <w:rPr>
          <w:spacing w:val="1"/>
        </w:rPr>
        <w:t> </w:t>
      </w:r>
      <w:r>
        <w:rPr/>
        <w:t>The lowest apparent resistivity (about 20 Ωm) in the area is</w:t>
      </w:r>
      <w:r>
        <w:rPr>
          <w:spacing w:val="1"/>
        </w:rPr>
        <w:t> </w:t>
      </w:r>
      <w:r>
        <w:rPr/>
        <w:t>indicated around the central section, suggesting that pure clay is underlying the area at</w:t>
      </w:r>
      <w:r>
        <w:rPr>
          <w:spacing w:val="1"/>
        </w:rPr>
        <w:t> </w:t>
      </w:r>
      <w:r>
        <w:rPr/>
        <w:t>that portion (Figure 4.6). The elevated resistivity as indicated in the eastern portion of</w:t>
      </w:r>
      <w:r>
        <w:rPr>
          <w:spacing w:val="1"/>
        </w:rPr>
        <w:t> </w:t>
      </w:r>
      <w:r>
        <w:rPr/>
        <w:t>map suggest that the area in underlain by non-conductive earth materials which may be</w:t>
      </w:r>
      <w:r>
        <w:rPr>
          <w:spacing w:val="1"/>
        </w:rPr>
        <w:t> </w:t>
      </w:r>
      <w:r>
        <w:rPr/>
        <w:t>laterite.</w:t>
      </w:r>
    </w:p>
    <w:p>
      <w:pPr>
        <w:spacing w:after="0" w:line="480" w:lineRule="auto"/>
        <w:jc w:val="both"/>
        <w:sectPr>
          <w:pgSz w:w="11910" w:h="16840"/>
          <w:pgMar w:header="0" w:footer="987" w:top="1320" w:bottom="1260" w:left="70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9"/>
        </w:rPr>
      </w:pPr>
    </w:p>
    <w:p>
      <w:pPr>
        <w:pStyle w:val="BodyText"/>
        <w:ind w:left="1287"/>
        <w:rPr>
          <w:sz w:val="20"/>
        </w:rPr>
      </w:pPr>
      <w:r>
        <w:rPr>
          <w:sz w:val="20"/>
        </w:rPr>
        <w:drawing>
          <wp:inline distT="0" distB="0" distL="0" distR="0">
            <wp:extent cx="5770831" cy="3718560"/>
            <wp:effectExtent l="0" t="0" r="0" b="0"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0831" cy="371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7"/>
        <w:ind w:left="1277" w:right="1403"/>
        <w:jc w:val="center"/>
      </w:pPr>
      <w:r>
        <w:rPr/>
        <w:t>Figure</w:t>
      </w:r>
      <w:r>
        <w:rPr>
          <w:spacing w:val="-3"/>
        </w:rPr>
        <w:t> </w:t>
      </w:r>
      <w:r>
        <w:rPr/>
        <w:t>4.5</w:t>
      </w:r>
      <w:r>
        <w:rPr>
          <w:spacing w:val="1"/>
        </w:rPr>
        <w:t> </w:t>
      </w:r>
      <w:r>
        <w:rPr/>
        <w:t>Iso-resistivity</w:t>
      </w:r>
      <w:r>
        <w:rPr>
          <w:spacing w:val="-4"/>
        </w:rPr>
        <w:t> </w:t>
      </w:r>
      <w:r>
        <w:rPr/>
        <w:t>contour</w:t>
      </w:r>
      <w:r>
        <w:rPr>
          <w:spacing w:val="-1"/>
        </w:rPr>
        <w:t> </w:t>
      </w:r>
      <w:r>
        <w:rPr/>
        <w:t>map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first</w:t>
      </w:r>
      <w:r>
        <w:rPr>
          <w:spacing w:val="-1"/>
        </w:rPr>
        <w:t> </w:t>
      </w:r>
      <w:r>
        <w:rPr/>
        <w:t>layer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84">
            <wp:simplePos x="0" y="0"/>
            <wp:positionH relativeFrom="page">
              <wp:posOffset>1280794</wp:posOffset>
            </wp:positionH>
            <wp:positionV relativeFrom="paragraph">
              <wp:posOffset>208942</wp:posOffset>
            </wp:positionV>
            <wp:extent cx="5606942" cy="2924175"/>
            <wp:effectExtent l="0" t="0" r="0" b="0"/>
            <wp:wrapTopAndBottom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6942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1277" w:right="1401"/>
        <w:jc w:val="center"/>
      </w:pPr>
      <w:r>
        <w:rPr/>
        <w:t>Figure</w:t>
      </w:r>
      <w:r>
        <w:rPr>
          <w:spacing w:val="-3"/>
        </w:rPr>
        <w:t> </w:t>
      </w:r>
      <w:r>
        <w:rPr/>
        <w:t>4.6</w:t>
      </w:r>
      <w:r>
        <w:rPr>
          <w:spacing w:val="2"/>
        </w:rPr>
        <w:t> </w:t>
      </w:r>
      <w:r>
        <w:rPr/>
        <w:t>Iso-resistivity</w:t>
      </w:r>
      <w:r>
        <w:rPr>
          <w:spacing w:val="-4"/>
        </w:rPr>
        <w:t> </w:t>
      </w:r>
      <w:r>
        <w:rPr/>
        <w:t>contour</w:t>
      </w:r>
      <w:r>
        <w:rPr>
          <w:spacing w:val="-1"/>
        </w:rPr>
        <w:t> </w:t>
      </w:r>
      <w:r>
        <w:rPr/>
        <w:t>map of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second</w:t>
      </w:r>
      <w:r>
        <w:rPr>
          <w:spacing w:val="-1"/>
        </w:rPr>
        <w:t> </w:t>
      </w:r>
      <w:r>
        <w:rPr/>
        <w:t>layer</w:t>
      </w:r>
    </w:p>
    <w:p>
      <w:pPr>
        <w:spacing w:after="0"/>
        <w:jc w:val="center"/>
        <w:sectPr>
          <w:pgSz w:w="11910" w:h="16840"/>
          <w:pgMar w:header="0" w:footer="987" w:top="1580" w:bottom="1260" w:left="700" w:right="0"/>
        </w:sectPr>
      </w:pPr>
    </w:p>
    <w:p>
      <w:pPr>
        <w:pStyle w:val="Heading2"/>
        <w:numPr>
          <w:ilvl w:val="2"/>
          <w:numId w:val="11"/>
        </w:numPr>
        <w:tabs>
          <w:tab w:pos="2008" w:val="left" w:leader="none"/>
        </w:tabs>
        <w:spacing w:line="240" w:lineRule="auto" w:before="69" w:after="0"/>
        <w:ind w:left="2007" w:right="0" w:hanging="721"/>
        <w:jc w:val="both"/>
      </w:pPr>
      <w:r>
        <w:rPr/>
        <w:t>Isoresistivity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third</w:t>
      </w:r>
      <w:r>
        <w:rPr>
          <w:spacing w:val="-1"/>
        </w:rPr>
        <w:t> </w:t>
      </w:r>
      <w:r>
        <w:rPr/>
        <w:t>geoelectric</w:t>
      </w:r>
      <w:r>
        <w:rPr>
          <w:spacing w:val="-2"/>
        </w:rPr>
        <w:t> </w:t>
      </w:r>
      <w:r>
        <w:rPr/>
        <w:t>layer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287" w:right="1407"/>
        <w:jc w:val="both"/>
      </w:pPr>
      <w:r>
        <w:rPr/>
        <w:t>The lowest resistive zone is situated at the southern to south-western section and part of</w:t>
      </w:r>
      <w:r>
        <w:rPr>
          <w:spacing w:val="1"/>
        </w:rPr>
        <w:t> </w:t>
      </w:r>
      <w:r>
        <w:rPr/>
        <w:t>the northern section of the map. Areas with lesser resistivity which are also highly</w:t>
      </w:r>
      <w:r>
        <w:rPr>
          <w:spacing w:val="1"/>
        </w:rPr>
        <w:t> </w:t>
      </w:r>
      <w:r>
        <w:rPr/>
        <w:t>conductive</w:t>
      </w:r>
      <w:r>
        <w:rPr>
          <w:spacing w:val="12"/>
        </w:rPr>
        <w:t> </w:t>
      </w:r>
      <w:r>
        <w:rPr/>
        <w:t>zones</w:t>
      </w:r>
      <w:r>
        <w:rPr>
          <w:spacing w:val="14"/>
        </w:rPr>
        <w:t> </w:t>
      </w:r>
      <w:r>
        <w:rPr/>
        <w:t>are</w:t>
      </w:r>
      <w:r>
        <w:rPr>
          <w:spacing w:val="14"/>
        </w:rPr>
        <w:t> </w:t>
      </w:r>
      <w:r>
        <w:rPr/>
        <w:t>decent</w:t>
      </w:r>
      <w:r>
        <w:rPr>
          <w:spacing w:val="13"/>
        </w:rPr>
        <w:t> </w:t>
      </w:r>
      <w:r>
        <w:rPr/>
        <w:t>signal</w:t>
      </w:r>
      <w:r>
        <w:rPr>
          <w:spacing w:val="14"/>
        </w:rPr>
        <w:t> </w:t>
      </w:r>
      <w:r>
        <w:rPr/>
        <w:t>of</w:t>
      </w:r>
      <w:r>
        <w:rPr>
          <w:spacing w:val="13"/>
        </w:rPr>
        <w:t> </w:t>
      </w:r>
      <w:r>
        <w:rPr/>
        <w:t>porous</w:t>
      </w:r>
      <w:r>
        <w:rPr>
          <w:spacing w:val="12"/>
        </w:rPr>
        <w:t> </w:t>
      </w:r>
      <w:r>
        <w:rPr/>
        <w:t>lithological</w:t>
      </w:r>
      <w:r>
        <w:rPr>
          <w:spacing w:val="14"/>
        </w:rPr>
        <w:t> </w:t>
      </w:r>
      <w:r>
        <w:rPr/>
        <w:t>unit</w:t>
      </w:r>
      <w:r>
        <w:rPr>
          <w:spacing w:val="17"/>
        </w:rPr>
        <w:t> </w:t>
      </w:r>
      <w:r>
        <w:rPr/>
        <w:t>which</w:t>
      </w:r>
      <w:r>
        <w:rPr>
          <w:spacing w:val="13"/>
        </w:rPr>
        <w:t> </w:t>
      </w:r>
      <w:r>
        <w:rPr/>
        <w:t>might</w:t>
      </w:r>
      <w:r>
        <w:rPr>
          <w:spacing w:val="14"/>
        </w:rPr>
        <w:t> </w:t>
      </w:r>
      <w:r>
        <w:rPr/>
        <w:t>be</w:t>
      </w:r>
      <w:r>
        <w:rPr>
          <w:spacing w:val="13"/>
        </w:rPr>
        <w:t> </w:t>
      </w:r>
      <w:r>
        <w:rPr/>
        <w:t>wet</w:t>
      </w:r>
      <w:r>
        <w:rPr>
          <w:spacing w:val="16"/>
        </w:rPr>
        <w:t> </w:t>
      </w:r>
      <w:r>
        <w:rPr/>
        <w:t>clay</w:t>
      </w:r>
      <w:r>
        <w:rPr>
          <w:spacing w:val="-58"/>
        </w:rPr>
        <w:t> </w:t>
      </w:r>
      <w:r>
        <w:rPr/>
        <w:t>or</w:t>
      </w:r>
      <w:r>
        <w:rPr>
          <w:spacing w:val="1"/>
        </w:rPr>
        <w:t> </w:t>
      </w:r>
      <w:r>
        <w:rPr/>
        <w:t>saturated</w:t>
      </w:r>
      <w:r>
        <w:rPr>
          <w:spacing w:val="1"/>
        </w:rPr>
        <w:t> </w:t>
      </w:r>
      <w:r>
        <w:rPr/>
        <w:t>sandstone.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resistivity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southern,</w:t>
      </w:r>
      <w:r>
        <w:rPr>
          <w:spacing w:val="1"/>
        </w:rPr>
        <w:t> </w:t>
      </w:r>
      <w:r>
        <w:rPr/>
        <w:t>south-western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northern</w:t>
      </w:r>
      <w:r>
        <w:rPr>
          <w:spacing w:val="1"/>
        </w:rPr>
        <w:t> </w:t>
      </w:r>
      <w:r>
        <w:rPr/>
        <w:t>section might be attributed to the effect of pure clay at shallow depths and silty-sand or</w:t>
      </w:r>
      <w:r>
        <w:rPr>
          <w:spacing w:val="1"/>
        </w:rPr>
        <w:t> </w:t>
      </w:r>
      <w:r>
        <w:rPr/>
        <w:t>sandstone at greater depths. The resistivity this layer shows an elevated increase in the</w:t>
      </w:r>
      <w:r>
        <w:rPr>
          <w:spacing w:val="1"/>
        </w:rPr>
        <w:t> </w:t>
      </w:r>
      <w:r>
        <w:rPr/>
        <w:t>range</w:t>
      </w:r>
      <w:r>
        <w:rPr>
          <w:spacing w:val="-2"/>
        </w:rPr>
        <w:t> </w:t>
      </w:r>
      <w:r>
        <w:rPr/>
        <w:t>of 10</w:t>
      </w:r>
      <w:r>
        <w:rPr>
          <w:spacing w:val="-1"/>
        </w:rPr>
        <w:t> </w:t>
      </w:r>
      <w:r>
        <w:rPr/>
        <w:t>Ωm to 170 Ωm (Figure</w:t>
      </w:r>
      <w:r>
        <w:rPr>
          <w:spacing w:val="-2"/>
        </w:rPr>
        <w:t> </w:t>
      </w:r>
      <w:r>
        <w:rPr/>
        <w:t>4.7).</w:t>
      </w:r>
    </w:p>
    <w:p>
      <w:pPr>
        <w:pStyle w:val="BodyText"/>
        <w:spacing w:before="4"/>
        <w:rPr>
          <w:sz w:val="21"/>
        </w:rPr>
      </w:pPr>
    </w:p>
    <w:p>
      <w:pPr>
        <w:pStyle w:val="Heading2"/>
        <w:numPr>
          <w:ilvl w:val="2"/>
          <w:numId w:val="11"/>
        </w:numPr>
        <w:tabs>
          <w:tab w:pos="2008" w:val="left" w:leader="none"/>
        </w:tabs>
        <w:spacing w:line="240" w:lineRule="auto" w:before="1" w:after="0"/>
        <w:ind w:left="2007" w:right="0" w:hanging="721"/>
        <w:jc w:val="both"/>
      </w:pPr>
      <w:r>
        <w:rPr/>
        <w:t>Isoresistivity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fourth</w:t>
      </w:r>
      <w:r>
        <w:rPr>
          <w:spacing w:val="-4"/>
        </w:rPr>
        <w:t> </w:t>
      </w:r>
      <w:r>
        <w:rPr/>
        <w:t>geoelectric</w:t>
      </w:r>
      <w:r>
        <w:rPr>
          <w:spacing w:val="-1"/>
        </w:rPr>
        <w:t> </w:t>
      </w:r>
      <w:r>
        <w:rPr/>
        <w:t>layer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1287" w:right="1409"/>
        <w:jc w:val="both"/>
      </w:pPr>
      <w:r>
        <w:rPr/>
        <w:t>The Isoresistivity map of the fourth geoelectric layer is indicative of the presence of</w:t>
      </w:r>
      <w:r>
        <w:rPr>
          <w:spacing w:val="1"/>
        </w:rPr>
        <w:t> </w:t>
      </w:r>
      <w:r>
        <w:rPr/>
        <w:t>saturated geomaterials. Saturated sandstone with matrix of silt might be the dominant</w:t>
      </w:r>
      <w:r>
        <w:rPr>
          <w:spacing w:val="1"/>
        </w:rPr>
        <w:t> </w:t>
      </w:r>
      <w:r>
        <w:rPr/>
        <w:t>lithology across the eastern to western portion of the map. The southern portion of the</w:t>
      </w:r>
      <w:r>
        <w:rPr>
          <w:spacing w:val="1"/>
        </w:rPr>
        <w:t> </w:t>
      </w:r>
      <w:r>
        <w:rPr/>
        <w:t>layer is indicative of sandstone/gravel intercalation with resistivity values range of 100</w:t>
      </w:r>
      <w:r>
        <w:rPr>
          <w:spacing w:val="1"/>
        </w:rPr>
        <w:t> </w:t>
      </w:r>
      <w:r>
        <w:rPr/>
        <w:t>Ωm to 240 Ωm. The potential for groundwater might be visible at this</w:t>
      </w:r>
      <w:r>
        <w:rPr>
          <w:spacing w:val="60"/>
        </w:rPr>
        <w:t> </w:t>
      </w:r>
      <w:r>
        <w:rPr/>
        <w:t>layer (Figure</w:t>
      </w:r>
      <w:r>
        <w:rPr>
          <w:spacing w:val="1"/>
        </w:rPr>
        <w:t> </w:t>
      </w:r>
      <w:r>
        <w:rPr/>
        <w:t>4.8).</w:t>
      </w:r>
    </w:p>
    <w:p>
      <w:pPr>
        <w:pStyle w:val="BodyText"/>
        <w:spacing w:before="4"/>
        <w:rPr>
          <w:sz w:val="21"/>
        </w:rPr>
      </w:pPr>
    </w:p>
    <w:p>
      <w:pPr>
        <w:pStyle w:val="Heading2"/>
        <w:numPr>
          <w:ilvl w:val="2"/>
          <w:numId w:val="11"/>
        </w:numPr>
        <w:tabs>
          <w:tab w:pos="2008" w:val="left" w:leader="none"/>
        </w:tabs>
        <w:spacing w:line="240" w:lineRule="auto" w:before="0" w:after="0"/>
        <w:ind w:left="2007" w:right="0" w:hanging="721"/>
        <w:jc w:val="both"/>
      </w:pPr>
      <w:r>
        <w:rPr/>
        <w:t>Isoresistivity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fifth</w:t>
      </w:r>
      <w:r>
        <w:rPr>
          <w:spacing w:val="-1"/>
        </w:rPr>
        <w:t> </w:t>
      </w:r>
      <w:r>
        <w:rPr/>
        <w:t>geoelectric</w:t>
      </w:r>
      <w:r>
        <w:rPr>
          <w:spacing w:val="-2"/>
        </w:rPr>
        <w:t> </w:t>
      </w:r>
      <w:r>
        <w:rPr/>
        <w:t>layer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287" w:right="1408"/>
        <w:jc w:val="both"/>
      </w:pPr>
      <w:r>
        <w:rPr/>
        <w:t>The non-uniqueness of the apparent resistivity at the fifth layer of the mapped area</w:t>
      </w:r>
      <w:r>
        <w:rPr>
          <w:spacing w:val="1"/>
        </w:rPr>
        <w:t> </w:t>
      </w:r>
      <w:r>
        <w:rPr/>
        <w:t>suggest a slight variation in the lithological properties underlying the subsurface at this</w:t>
      </w:r>
      <w:r>
        <w:rPr>
          <w:spacing w:val="1"/>
        </w:rPr>
        <w:t> </w:t>
      </w:r>
      <w:r>
        <w:rPr/>
        <w:t>layer (Figure 4.9). The areas with low resistivity range of 5 Ωm to 55 Ωm could be</w:t>
      </w:r>
      <w:r>
        <w:rPr>
          <w:spacing w:val="1"/>
        </w:rPr>
        <w:t> </w:t>
      </w:r>
      <w:r>
        <w:rPr/>
        <w:t>indicative of saturated sandstone while the western quota of the area with variable</w:t>
      </w:r>
      <w:r>
        <w:rPr>
          <w:spacing w:val="1"/>
        </w:rPr>
        <w:t> </w:t>
      </w:r>
      <w:r>
        <w:rPr/>
        <w:t>apparent</w:t>
      </w:r>
      <w:r>
        <w:rPr>
          <w:spacing w:val="21"/>
        </w:rPr>
        <w:t> </w:t>
      </w:r>
      <w:r>
        <w:rPr/>
        <w:t>resistivity</w:t>
      </w:r>
      <w:r>
        <w:rPr>
          <w:spacing w:val="14"/>
        </w:rPr>
        <w:t> </w:t>
      </w:r>
      <w:r>
        <w:rPr/>
        <w:t>may</w:t>
      </w:r>
      <w:r>
        <w:rPr>
          <w:spacing w:val="16"/>
        </w:rPr>
        <w:t> </w:t>
      </w:r>
      <w:r>
        <w:rPr/>
        <w:t>be</w:t>
      </w:r>
      <w:r>
        <w:rPr>
          <w:spacing w:val="18"/>
        </w:rPr>
        <w:t> </w:t>
      </w:r>
      <w:r>
        <w:rPr/>
        <w:t>attributed</w:t>
      </w:r>
      <w:r>
        <w:rPr>
          <w:spacing w:val="22"/>
        </w:rPr>
        <w:t> </w:t>
      </w:r>
      <w:r>
        <w:rPr/>
        <w:t>to</w:t>
      </w:r>
      <w:r>
        <w:rPr>
          <w:spacing w:val="19"/>
        </w:rPr>
        <w:t> </w:t>
      </w:r>
      <w:r>
        <w:rPr/>
        <w:t>the</w:t>
      </w:r>
      <w:r>
        <w:rPr>
          <w:spacing w:val="20"/>
        </w:rPr>
        <w:t> </w:t>
      </w:r>
      <w:r>
        <w:rPr/>
        <w:t>possible</w:t>
      </w:r>
      <w:r>
        <w:rPr>
          <w:spacing w:val="19"/>
        </w:rPr>
        <w:t> </w:t>
      </w:r>
      <w:r>
        <w:rPr/>
        <w:t>occurrence</w:t>
      </w:r>
      <w:r>
        <w:rPr>
          <w:spacing w:val="20"/>
        </w:rPr>
        <w:t> </w:t>
      </w:r>
      <w:r>
        <w:rPr/>
        <w:t>of</w:t>
      </w:r>
      <w:r>
        <w:rPr>
          <w:spacing w:val="20"/>
        </w:rPr>
        <w:t> </w:t>
      </w:r>
      <w:r>
        <w:rPr/>
        <w:t>relatively</w:t>
      </w:r>
      <w:r>
        <w:rPr>
          <w:spacing w:val="14"/>
        </w:rPr>
        <w:t> </w:t>
      </w:r>
      <w:r>
        <w:rPr/>
        <w:t>lithology</w:t>
      </w:r>
      <w:r>
        <w:rPr>
          <w:spacing w:val="-57"/>
        </w:rPr>
        <w:t> </w:t>
      </w:r>
      <w:r>
        <w:rPr/>
        <w:t>of sandstone intercalated with gravel. The degree of groundwater saturation combined</w:t>
      </w:r>
      <w:r>
        <w:rPr>
          <w:spacing w:val="1"/>
        </w:rPr>
        <w:t> </w:t>
      </w:r>
      <w:r>
        <w:rPr/>
        <w:t>with the lithological variation and chemical composition of the subsurface material</w:t>
      </w:r>
      <w:r>
        <w:rPr>
          <w:spacing w:val="1"/>
        </w:rPr>
        <w:t> </w:t>
      </w:r>
      <w:r>
        <w:rPr/>
        <w:t>might</w:t>
      </w:r>
      <w:r>
        <w:rPr>
          <w:spacing w:val="-1"/>
        </w:rPr>
        <w:t> </w:t>
      </w:r>
      <w:r>
        <w:rPr/>
        <w:t>be responsible</w:t>
      </w:r>
      <w:r>
        <w:rPr>
          <w:spacing w:val="1"/>
        </w:rPr>
        <w:t> </w:t>
      </w:r>
      <w:r>
        <w:rPr/>
        <w:t>for</w:t>
      </w:r>
      <w:r>
        <w:rPr>
          <w:spacing w:val="-1"/>
        </w:rPr>
        <w:t> </w:t>
      </w:r>
      <w:r>
        <w:rPr/>
        <w:t>the variation in the</w:t>
      </w:r>
      <w:r>
        <w:rPr>
          <w:spacing w:val="-2"/>
        </w:rPr>
        <w:t> </w:t>
      </w:r>
      <w:r>
        <w:rPr/>
        <w:t>resistivity</w:t>
      </w:r>
      <w:r>
        <w:rPr>
          <w:spacing w:val="-5"/>
        </w:rPr>
        <w:t> </w:t>
      </w:r>
      <w:r>
        <w:rPr/>
        <w:t>of this layer.</w:t>
      </w:r>
    </w:p>
    <w:p>
      <w:pPr>
        <w:spacing w:after="0" w:line="480" w:lineRule="auto"/>
        <w:jc w:val="both"/>
        <w:sectPr>
          <w:pgSz w:w="11910" w:h="16840"/>
          <w:pgMar w:header="0" w:footer="987" w:top="1320" w:bottom="1260" w:left="700" w:right="0"/>
        </w:sectPr>
      </w:pPr>
    </w:p>
    <w:p>
      <w:pPr>
        <w:pStyle w:val="BodyText"/>
        <w:ind w:left="1287"/>
        <w:rPr>
          <w:sz w:val="20"/>
        </w:rPr>
      </w:pPr>
      <w:r>
        <w:rPr>
          <w:sz w:val="20"/>
        </w:rPr>
        <w:drawing>
          <wp:inline distT="0" distB="0" distL="0" distR="0">
            <wp:extent cx="5921891" cy="3496055"/>
            <wp:effectExtent l="0" t="0" r="0" b="0"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1891" cy="349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4"/>
        <w:ind w:left="1277" w:right="1403"/>
        <w:jc w:val="center"/>
      </w:pPr>
      <w:r>
        <w:rPr/>
        <w:t>Figure</w:t>
      </w:r>
      <w:r>
        <w:rPr>
          <w:spacing w:val="-3"/>
        </w:rPr>
        <w:t> </w:t>
      </w:r>
      <w:r>
        <w:rPr/>
        <w:t>4.7</w:t>
      </w:r>
      <w:r>
        <w:rPr>
          <w:spacing w:val="2"/>
        </w:rPr>
        <w:t> </w:t>
      </w:r>
      <w:r>
        <w:rPr/>
        <w:t>Iso-resistivity</w:t>
      </w:r>
      <w:r>
        <w:rPr>
          <w:spacing w:val="-4"/>
        </w:rPr>
        <w:t> </w:t>
      </w:r>
      <w:r>
        <w:rPr/>
        <w:t>contour</w:t>
      </w:r>
      <w:r>
        <w:rPr>
          <w:spacing w:val="-1"/>
        </w:rPr>
        <w:t> </w:t>
      </w:r>
      <w:r>
        <w:rPr/>
        <w:t>map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third layer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85">
            <wp:simplePos x="0" y="0"/>
            <wp:positionH relativeFrom="page">
              <wp:posOffset>1280794</wp:posOffset>
            </wp:positionH>
            <wp:positionV relativeFrom="paragraph">
              <wp:posOffset>209069</wp:posOffset>
            </wp:positionV>
            <wp:extent cx="5620129" cy="3147822"/>
            <wp:effectExtent l="0" t="0" r="0" b="0"/>
            <wp:wrapTopAndBottom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0129" cy="31478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96"/>
        <w:ind w:left="1277" w:right="1404"/>
        <w:jc w:val="center"/>
      </w:pPr>
      <w:r>
        <w:rPr/>
        <w:t>Figure</w:t>
      </w:r>
      <w:r>
        <w:rPr>
          <w:spacing w:val="-2"/>
        </w:rPr>
        <w:t> </w:t>
      </w:r>
      <w:r>
        <w:rPr/>
        <w:t>4.8</w:t>
      </w:r>
      <w:r>
        <w:rPr>
          <w:spacing w:val="1"/>
        </w:rPr>
        <w:t> </w:t>
      </w:r>
      <w:r>
        <w:rPr/>
        <w:t>Iso-resistivity</w:t>
      </w:r>
      <w:r>
        <w:rPr>
          <w:spacing w:val="-4"/>
        </w:rPr>
        <w:t> </w:t>
      </w:r>
      <w:r>
        <w:rPr/>
        <w:t>contour</w:t>
      </w:r>
      <w:r>
        <w:rPr>
          <w:spacing w:val="-1"/>
        </w:rPr>
        <w:t> </w:t>
      </w:r>
      <w:r>
        <w:rPr/>
        <w:t>map of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fourth</w:t>
      </w:r>
      <w:r>
        <w:rPr>
          <w:spacing w:val="-1"/>
        </w:rPr>
        <w:t> </w:t>
      </w:r>
      <w:r>
        <w:rPr/>
        <w:t>layer</w:t>
      </w:r>
    </w:p>
    <w:p>
      <w:pPr>
        <w:spacing w:after="0"/>
        <w:jc w:val="center"/>
        <w:sectPr>
          <w:pgSz w:w="11910" w:h="16840"/>
          <w:pgMar w:header="0" w:footer="987" w:top="1400" w:bottom="1260" w:left="70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1"/>
        </w:rPr>
      </w:pPr>
    </w:p>
    <w:p>
      <w:pPr>
        <w:pStyle w:val="BodyText"/>
        <w:ind w:left="1317"/>
        <w:rPr>
          <w:sz w:val="20"/>
        </w:rPr>
      </w:pPr>
      <w:r>
        <w:rPr>
          <w:sz w:val="20"/>
        </w:rPr>
        <w:drawing>
          <wp:inline distT="0" distB="0" distL="0" distR="0">
            <wp:extent cx="5593110" cy="3393186"/>
            <wp:effectExtent l="0" t="0" r="0" b="0"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3110" cy="3393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"/>
        <w:rPr>
          <w:sz w:val="19"/>
        </w:rPr>
      </w:pPr>
    </w:p>
    <w:p>
      <w:pPr>
        <w:pStyle w:val="BodyText"/>
        <w:spacing w:before="90"/>
        <w:ind w:left="1277" w:right="1404"/>
        <w:jc w:val="center"/>
      </w:pPr>
      <w:r>
        <w:rPr/>
        <w:t>Figure</w:t>
      </w:r>
      <w:r>
        <w:rPr>
          <w:spacing w:val="-3"/>
        </w:rPr>
        <w:t> </w:t>
      </w:r>
      <w:r>
        <w:rPr/>
        <w:t>4.9</w:t>
      </w:r>
      <w:r>
        <w:rPr>
          <w:spacing w:val="2"/>
        </w:rPr>
        <w:t> </w:t>
      </w:r>
      <w:r>
        <w:rPr/>
        <w:t>Iso-resistivity</w:t>
      </w:r>
      <w:r>
        <w:rPr>
          <w:spacing w:val="-4"/>
        </w:rPr>
        <w:t> </w:t>
      </w:r>
      <w:r>
        <w:rPr/>
        <w:t>contour</w:t>
      </w:r>
      <w:r>
        <w:rPr>
          <w:spacing w:val="-1"/>
        </w:rPr>
        <w:t> </w:t>
      </w:r>
      <w:r>
        <w:rPr/>
        <w:t>map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fifth</w:t>
      </w:r>
      <w:r>
        <w:rPr>
          <w:spacing w:val="-1"/>
        </w:rPr>
        <w:t> </w:t>
      </w:r>
      <w:r>
        <w:rPr/>
        <w:t>geoelectric</w:t>
      </w:r>
      <w:r>
        <w:rPr>
          <w:spacing w:val="-2"/>
        </w:rPr>
        <w:t> </w:t>
      </w:r>
      <w:r>
        <w:rPr/>
        <w:t>layer</w:t>
      </w:r>
    </w:p>
    <w:p>
      <w:pPr>
        <w:spacing w:after="0"/>
        <w:jc w:val="center"/>
        <w:sectPr>
          <w:pgSz w:w="11910" w:h="16840"/>
          <w:pgMar w:header="0" w:footer="987" w:top="1580" w:bottom="1260" w:left="700" w:right="0"/>
        </w:sectPr>
      </w:pPr>
    </w:p>
    <w:p>
      <w:pPr>
        <w:pStyle w:val="Heading2"/>
        <w:numPr>
          <w:ilvl w:val="1"/>
          <w:numId w:val="11"/>
        </w:numPr>
        <w:tabs>
          <w:tab w:pos="2008" w:val="left" w:leader="none"/>
        </w:tabs>
        <w:spacing w:line="240" w:lineRule="auto" w:before="69" w:after="0"/>
        <w:ind w:left="2007" w:right="0" w:hanging="721"/>
        <w:jc w:val="both"/>
      </w:pPr>
      <w:r>
        <w:rPr/>
        <w:t>Depth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Geoelectric</w:t>
      </w:r>
      <w:r>
        <w:rPr>
          <w:spacing w:val="-2"/>
        </w:rPr>
        <w:t> </w:t>
      </w:r>
      <w:r>
        <w:rPr/>
        <w:t>Layers</w:t>
      </w:r>
      <w:r>
        <w:rPr>
          <w:spacing w:val="-2"/>
        </w:rPr>
        <w:t> </w:t>
      </w:r>
      <w:r>
        <w:rPr/>
        <w:t>Interpretations</w:t>
      </w:r>
    </w:p>
    <w:p>
      <w:pPr>
        <w:pStyle w:val="BodyText"/>
        <w:rPr>
          <w:b/>
          <w:sz w:val="38"/>
        </w:rPr>
      </w:pPr>
    </w:p>
    <w:p>
      <w:pPr>
        <w:pStyle w:val="ListParagraph"/>
        <w:numPr>
          <w:ilvl w:val="2"/>
          <w:numId w:val="11"/>
        </w:numPr>
        <w:tabs>
          <w:tab w:pos="2008" w:val="left" w:leader="none"/>
        </w:tabs>
        <w:spacing w:line="240" w:lineRule="auto" w:before="0" w:after="0"/>
        <w:ind w:left="2007" w:right="0" w:hanging="721"/>
        <w:jc w:val="both"/>
        <w:rPr>
          <w:b/>
          <w:sz w:val="24"/>
        </w:rPr>
      </w:pPr>
      <w:r>
        <w:rPr>
          <w:b/>
          <w:sz w:val="24"/>
        </w:rPr>
        <w:t>Depth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the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first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eoelectric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layer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287" w:right="1410"/>
        <w:jc w:val="both"/>
      </w:pPr>
      <w:r>
        <w:rPr/>
        <w:t>The depth map of the first geoelectric layer was constructed with the contour interval of</w:t>
      </w:r>
      <w:r>
        <w:rPr>
          <w:spacing w:val="1"/>
        </w:rPr>
        <w:t> </w:t>
      </w:r>
      <w:r>
        <w:rPr/>
        <w:t>0.2m. The depth range of the first layer is between 0.3 m and 2.3 m. The northern,</w:t>
      </w:r>
      <w:r>
        <w:rPr>
          <w:spacing w:val="1"/>
        </w:rPr>
        <w:t> </w:t>
      </w:r>
      <w:r>
        <w:rPr/>
        <w:t>north-eastern and</w:t>
      </w:r>
      <w:r>
        <w:rPr>
          <w:spacing w:val="1"/>
        </w:rPr>
        <w:t> </w:t>
      </w:r>
      <w:r>
        <w:rPr/>
        <w:t>part of the north</w:t>
      </w:r>
      <w:r>
        <w:rPr>
          <w:spacing w:val="1"/>
        </w:rPr>
        <w:t> </w:t>
      </w:r>
      <w:r>
        <w:rPr/>
        <w:t>western</w:t>
      </w:r>
      <w:r>
        <w:rPr>
          <w:spacing w:val="1"/>
        </w:rPr>
        <w:t> </w:t>
      </w:r>
      <w:r>
        <w:rPr/>
        <w:t>portion of the map</w:t>
      </w:r>
      <w:r>
        <w:rPr>
          <w:spacing w:val="60"/>
        </w:rPr>
        <w:t> </w:t>
      </w:r>
      <w:r>
        <w:rPr/>
        <w:t>shows the minimum</w:t>
      </w:r>
      <w:r>
        <w:rPr>
          <w:spacing w:val="1"/>
        </w:rPr>
        <w:t> </w:t>
      </w:r>
      <w:r>
        <w:rPr/>
        <w:t>depth value of the range of 0.3 m to 1.1 m. The central and southwestern part of the first</w:t>
      </w:r>
      <w:r>
        <w:rPr>
          <w:spacing w:val="-57"/>
        </w:rPr>
        <w:t> </w:t>
      </w:r>
      <w:r>
        <w:rPr/>
        <w:t>layer is</w:t>
      </w:r>
      <w:r>
        <w:rPr>
          <w:spacing w:val="1"/>
        </w:rPr>
        <w:t> </w:t>
      </w:r>
      <w:r>
        <w:rPr/>
        <w:t>characterized by approximately higher depth</w:t>
      </w:r>
      <w:r>
        <w:rPr>
          <w:spacing w:val="1"/>
        </w:rPr>
        <w:t> </w:t>
      </w:r>
      <w:r>
        <w:rPr/>
        <w:t>value of the range</w:t>
      </w:r>
      <w:r>
        <w:rPr>
          <w:spacing w:val="1"/>
        </w:rPr>
        <w:t> </w:t>
      </w:r>
      <w:r>
        <w:rPr/>
        <w:t>of 1.3 to</w:t>
      </w:r>
      <w:r>
        <w:rPr>
          <w:spacing w:val="60"/>
        </w:rPr>
        <w:t> </w:t>
      </w:r>
      <w:r>
        <w:rPr/>
        <w:t>2.3</w:t>
      </w:r>
      <w:r>
        <w:rPr>
          <w:spacing w:val="1"/>
        </w:rPr>
        <w:t> </w:t>
      </w:r>
      <w:r>
        <w:rPr/>
        <w:t>with respect to the northern, north-eastern and the north western portion of the shallow</w:t>
      </w:r>
      <w:r>
        <w:rPr>
          <w:spacing w:val="1"/>
        </w:rPr>
        <w:t> </w:t>
      </w:r>
      <w:r>
        <w:rPr/>
        <w:t>first</w:t>
      </w:r>
      <w:r>
        <w:rPr>
          <w:spacing w:val="-1"/>
        </w:rPr>
        <w:t> </w:t>
      </w:r>
      <w:r>
        <w:rPr/>
        <w:t>geoelectric</w:t>
      </w:r>
      <w:r>
        <w:rPr>
          <w:spacing w:val="-2"/>
        </w:rPr>
        <w:t> </w:t>
      </w:r>
      <w:r>
        <w:rPr/>
        <w:t>layer map (Figure</w:t>
      </w:r>
      <w:r>
        <w:rPr>
          <w:spacing w:val="-2"/>
        </w:rPr>
        <w:t> </w:t>
      </w:r>
      <w:r>
        <w:rPr/>
        <w:t>4.10).</w:t>
      </w:r>
    </w:p>
    <w:p>
      <w:pPr>
        <w:pStyle w:val="Heading2"/>
        <w:numPr>
          <w:ilvl w:val="2"/>
          <w:numId w:val="11"/>
        </w:numPr>
        <w:tabs>
          <w:tab w:pos="2008" w:val="left" w:leader="none"/>
        </w:tabs>
        <w:spacing w:line="240" w:lineRule="auto" w:before="164" w:after="0"/>
        <w:ind w:left="2007" w:right="0" w:hanging="721"/>
        <w:jc w:val="both"/>
      </w:pPr>
      <w:r>
        <w:rPr/>
        <w:t>Depth</w:t>
      </w:r>
      <w:r>
        <w:rPr>
          <w:spacing w:val="-2"/>
        </w:rPr>
        <w:t> </w:t>
      </w:r>
      <w:r>
        <w:rPr/>
        <w:t>of the</w:t>
      </w:r>
      <w:r>
        <w:rPr>
          <w:spacing w:val="-1"/>
        </w:rPr>
        <w:t> </w:t>
      </w:r>
      <w:r>
        <w:rPr/>
        <w:t>second</w:t>
      </w:r>
      <w:r>
        <w:rPr>
          <w:spacing w:val="-2"/>
        </w:rPr>
        <w:t> </w:t>
      </w:r>
      <w:r>
        <w:rPr/>
        <w:t>geoelectric</w:t>
      </w:r>
      <w:r>
        <w:rPr>
          <w:spacing w:val="-1"/>
        </w:rPr>
        <w:t> </w:t>
      </w:r>
      <w:r>
        <w:rPr/>
        <w:t>layer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287" w:right="1406"/>
        <w:jc w:val="both"/>
      </w:pPr>
      <w:r>
        <w:rPr/>
        <w:t>The depth to the second geoelectric layer ranges between 2 m to &gt; 58 m below ground</w:t>
      </w:r>
      <w:r>
        <w:rPr>
          <w:spacing w:val="1"/>
        </w:rPr>
        <w:t> </w:t>
      </w:r>
      <w:r>
        <w:rPr/>
        <w:t>level.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second</w:t>
      </w:r>
      <w:r>
        <w:rPr>
          <w:spacing w:val="1"/>
        </w:rPr>
        <w:t> </w:t>
      </w:r>
      <w:r>
        <w:rPr/>
        <w:t>layer</w:t>
      </w:r>
      <w:r>
        <w:rPr>
          <w:spacing w:val="1"/>
        </w:rPr>
        <w:t> </w:t>
      </w:r>
      <w:r>
        <w:rPr/>
        <w:t>almost</w:t>
      </w:r>
      <w:r>
        <w:rPr>
          <w:spacing w:val="1"/>
        </w:rPr>
        <w:t> </w:t>
      </w:r>
      <w:r>
        <w:rPr/>
        <w:t>expresses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approximately</w:t>
      </w:r>
      <w:r>
        <w:rPr>
          <w:spacing w:val="1"/>
        </w:rPr>
        <w:t> </w:t>
      </w:r>
      <w:r>
        <w:rPr/>
        <w:t>uniform</w:t>
      </w:r>
      <w:r>
        <w:rPr>
          <w:spacing w:val="1"/>
        </w:rPr>
        <w:t> </w:t>
      </w:r>
      <w:r>
        <w:rPr/>
        <w:t>depth</w:t>
      </w:r>
      <w:r>
        <w:rPr>
          <w:spacing w:val="1"/>
        </w:rPr>
        <w:t> </w:t>
      </w:r>
      <w:r>
        <w:rPr/>
        <w:t>range</w:t>
      </w:r>
      <w:r>
        <w:rPr>
          <w:spacing w:val="1"/>
        </w:rPr>
        <w:t> </w:t>
      </w:r>
      <w:r>
        <w:rPr/>
        <w:t>throughout the layer except for the south-eastern portion of the area. It is suggested that</w:t>
      </w:r>
      <w:r>
        <w:rPr>
          <w:spacing w:val="1"/>
        </w:rPr>
        <w:t> </w:t>
      </w:r>
      <w:r>
        <w:rPr/>
        <w:t>the part of the map with depth range of 30 m to 58 m might possess groundwater to a</w:t>
      </w:r>
      <w:r>
        <w:rPr>
          <w:spacing w:val="1"/>
        </w:rPr>
        <w:t> </w:t>
      </w:r>
      <w:r>
        <w:rPr/>
        <w:t>certain</w:t>
      </w:r>
      <w:r>
        <w:rPr>
          <w:spacing w:val="28"/>
        </w:rPr>
        <w:t> </w:t>
      </w:r>
      <w:r>
        <w:rPr/>
        <w:t>degree.</w:t>
      </w:r>
      <w:r>
        <w:rPr>
          <w:spacing w:val="28"/>
        </w:rPr>
        <w:t> </w:t>
      </w:r>
      <w:r>
        <w:rPr/>
        <w:t>Shallow</w:t>
      </w:r>
      <w:r>
        <w:rPr>
          <w:spacing w:val="30"/>
        </w:rPr>
        <w:t> </w:t>
      </w:r>
      <w:r>
        <w:rPr/>
        <w:t>wells</w:t>
      </w:r>
      <w:r>
        <w:rPr>
          <w:spacing w:val="27"/>
        </w:rPr>
        <w:t> </w:t>
      </w:r>
      <w:r>
        <w:rPr/>
        <w:t>might</w:t>
      </w:r>
      <w:r>
        <w:rPr>
          <w:spacing w:val="29"/>
        </w:rPr>
        <w:t> </w:t>
      </w:r>
      <w:r>
        <w:rPr/>
        <w:t>produce</w:t>
      </w:r>
      <w:r>
        <w:rPr>
          <w:spacing w:val="30"/>
        </w:rPr>
        <w:t> </w:t>
      </w:r>
      <w:r>
        <w:rPr/>
        <w:t>groundwater</w:t>
      </w:r>
      <w:r>
        <w:rPr>
          <w:spacing w:val="27"/>
        </w:rPr>
        <w:t> </w:t>
      </w:r>
      <w:r>
        <w:rPr/>
        <w:t>in</w:t>
      </w:r>
      <w:r>
        <w:rPr>
          <w:spacing w:val="28"/>
        </w:rPr>
        <w:t> </w:t>
      </w:r>
      <w:r>
        <w:rPr/>
        <w:t>the</w:t>
      </w:r>
      <w:r>
        <w:rPr>
          <w:spacing w:val="27"/>
        </w:rPr>
        <w:t> </w:t>
      </w:r>
      <w:r>
        <w:rPr/>
        <w:t>south-eastern</w:t>
      </w:r>
      <w:r>
        <w:rPr>
          <w:spacing w:val="28"/>
        </w:rPr>
        <w:t> </w:t>
      </w:r>
      <w:r>
        <w:rPr/>
        <w:t>part</w:t>
      </w:r>
      <w:r>
        <w:rPr>
          <w:spacing w:val="28"/>
        </w:rPr>
        <w:t> </w:t>
      </w:r>
      <w:r>
        <w:rPr/>
        <w:t>of</w:t>
      </w:r>
      <w:r>
        <w:rPr>
          <w:spacing w:val="-57"/>
        </w:rPr>
        <w:t> </w:t>
      </w:r>
      <w:r>
        <w:rPr/>
        <w:t>the study</w:t>
      </w:r>
      <w:r>
        <w:rPr>
          <w:spacing w:val="-5"/>
        </w:rPr>
        <w:t> </w:t>
      </w:r>
      <w:r>
        <w:rPr/>
        <w:t>area</w:t>
      </w:r>
      <w:r>
        <w:rPr>
          <w:spacing w:val="1"/>
        </w:rPr>
        <w:t> </w:t>
      </w:r>
      <w:r>
        <w:rPr/>
        <w:t>(Figure</w:t>
      </w:r>
      <w:r>
        <w:rPr>
          <w:spacing w:val="-1"/>
        </w:rPr>
        <w:t> </w:t>
      </w:r>
      <w:r>
        <w:rPr/>
        <w:t>4.11).</w:t>
      </w:r>
    </w:p>
    <w:p>
      <w:pPr>
        <w:pStyle w:val="Heading2"/>
        <w:numPr>
          <w:ilvl w:val="2"/>
          <w:numId w:val="11"/>
        </w:numPr>
        <w:tabs>
          <w:tab w:pos="2008" w:val="left" w:leader="none"/>
        </w:tabs>
        <w:spacing w:line="240" w:lineRule="auto" w:before="166" w:after="0"/>
        <w:ind w:left="2007" w:right="0" w:hanging="721"/>
        <w:jc w:val="both"/>
      </w:pPr>
      <w:r>
        <w:rPr/>
        <w:t>Depth</w:t>
      </w:r>
      <w:r>
        <w:rPr>
          <w:spacing w:val="-2"/>
        </w:rPr>
        <w:t> </w:t>
      </w:r>
      <w:r>
        <w:rPr/>
        <w:t>of the</w:t>
      </w:r>
      <w:r>
        <w:rPr>
          <w:spacing w:val="-1"/>
        </w:rPr>
        <w:t> </w:t>
      </w:r>
      <w:r>
        <w:rPr/>
        <w:t>third</w:t>
      </w:r>
      <w:r>
        <w:rPr>
          <w:spacing w:val="-1"/>
        </w:rPr>
        <w:t> </w:t>
      </w:r>
      <w:r>
        <w:rPr/>
        <w:t>geoelectric</w:t>
      </w:r>
      <w:r>
        <w:rPr>
          <w:spacing w:val="-2"/>
        </w:rPr>
        <w:t> </w:t>
      </w:r>
      <w:r>
        <w:rPr/>
        <w:t>layer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287" w:right="1406"/>
        <w:jc w:val="both"/>
      </w:pPr>
      <w:r>
        <w:rPr/>
        <w:t>Groundwater can be exploited from the eastern, north-western and part of the south-</w:t>
      </w:r>
      <w:r>
        <w:rPr>
          <w:spacing w:val="1"/>
        </w:rPr>
        <w:t> </w:t>
      </w:r>
      <w:r>
        <w:rPr/>
        <w:t>western</w:t>
      </w:r>
      <w:r>
        <w:rPr>
          <w:spacing w:val="1"/>
        </w:rPr>
        <w:t> </w:t>
      </w:r>
      <w:r>
        <w:rPr/>
        <w:t>portion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mapped</w:t>
      </w:r>
      <w:r>
        <w:rPr>
          <w:spacing w:val="1"/>
        </w:rPr>
        <w:t> </w:t>
      </w:r>
      <w:r>
        <w:rPr/>
        <w:t>area</w:t>
      </w:r>
      <w:r>
        <w:rPr>
          <w:spacing w:val="1"/>
        </w:rPr>
        <w:t> </w:t>
      </w:r>
      <w:r>
        <w:rPr/>
        <w:t>owing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expression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elevated</w:t>
      </w:r>
      <w:r>
        <w:rPr>
          <w:spacing w:val="1"/>
        </w:rPr>
        <w:t> </w:t>
      </w:r>
      <w:r>
        <w:rPr/>
        <w:t>depths</w:t>
      </w:r>
      <w:r>
        <w:rPr>
          <w:spacing w:val="1"/>
        </w:rPr>
        <w:t> </w:t>
      </w:r>
      <w:r>
        <w:rPr/>
        <w:t>encountered in these areas. The depth of this layer ranges from 6 m to 66 m below</w:t>
      </w:r>
      <w:r>
        <w:rPr>
          <w:spacing w:val="1"/>
        </w:rPr>
        <w:t> </w:t>
      </w:r>
      <w:r>
        <w:rPr/>
        <w:t>ground level (Figure 4.12). This layer is inferred to produce groundwater in sufficient</w:t>
      </w:r>
      <w:r>
        <w:rPr>
          <w:spacing w:val="1"/>
        </w:rPr>
        <w:t> </w:t>
      </w:r>
      <w:r>
        <w:rPr/>
        <w:t>quantity</w:t>
      </w:r>
      <w:r>
        <w:rPr>
          <w:spacing w:val="-6"/>
        </w:rPr>
        <w:t> </w:t>
      </w:r>
      <w:r>
        <w:rPr/>
        <w:t>when</w:t>
      </w:r>
      <w:r>
        <w:rPr>
          <w:spacing w:val="2"/>
        </w:rPr>
        <w:t> </w:t>
      </w:r>
      <w:r>
        <w:rPr/>
        <w:t>exploited for domestic or</w:t>
      </w:r>
      <w:r>
        <w:rPr>
          <w:spacing w:val="-1"/>
        </w:rPr>
        <w:t> </w:t>
      </w:r>
      <w:r>
        <w:rPr/>
        <w:t>agricultural purpose.</w:t>
      </w:r>
    </w:p>
    <w:p>
      <w:pPr>
        <w:spacing w:after="0" w:line="480" w:lineRule="auto"/>
        <w:jc w:val="both"/>
        <w:sectPr>
          <w:pgSz w:w="11910" w:h="16840"/>
          <w:pgMar w:header="0" w:footer="987" w:top="1320" w:bottom="1260" w:left="700" w:right="0"/>
        </w:sectPr>
      </w:pPr>
    </w:p>
    <w:p>
      <w:pPr>
        <w:pStyle w:val="BodyText"/>
        <w:ind w:left="1317"/>
        <w:rPr>
          <w:sz w:val="20"/>
        </w:rPr>
      </w:pPr>
      <w:r>
        <w:rPr>
          <w:sz w:val="20"/>
        </w:rPr>
        <w:drawing>
          <wp:inline distT="0" distB="0" distL="0" distR="0">
            <wp:extent cx="5614266" cy="3531298"/>
            <wp:effectExtent l="0" t="0" r="0" b="0"/>
            <wp:docPr id="2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4266" cy="3531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9"/>
        </w:rPr>
      </w:pPr>
    </w:p>
    <w:p>
      <w:pPr>
        <w:pStyle w:val="BodyText"/>
        <w:spacing w:before="90"/>
        <w:ind w:left="1277" w:right="1397"/>
        <w:jc w:val="center"/>
      </w:pPr>
      <w:r>
        <w:rPr/>
        <w:t>Figure</w:t>
      </w:r>
      <w:r>
        <w:rPr>
          <w:spacing w:val="-3"/>
        </w:rPr>
        <w:t> </w:t>
      </w:r>
      <w:r>
        <w:rPr/>
        <w:t>4.10 Depth map</w:t>
      </w:r>
      <w:r>
        <w:rPr>
          <w:spacing w:val="-1"/>
        </w:rPr>
        <w:t> </w:t>
      </w:r>
      <w:r>
        <w:rPr/>
        <w:t>of the</w:t>
      </w:r>
      <w:r>
        <w:rPr>
          <w:spacing w:val="-2"/>
        </w:rPr>
        <w:t> </w:t>
      </w:r>
      <w:r>
        <w:rPr/>
        <w:t>first</w:t>
      </w:r>
      <w:r>
        <w:rPr>
          <w:spacing w:val="1"/>
        </w:rPr>
        <w:t> </w:t>
      </w:r>
      <w:r>
        <w:rPr/>
        <w:t>geoelectric</w:t>
      </w:r>
      <w:r>
        <w:rPr>
          <w:spacing w:val="-1"/>
        </w:rPr>
        <w:t> </w:t>
      </w:r>
      <w:r>
        <w:rPr/>
        <w:t>layer</w:t>
      </w:r>
    </w:p>
    <w:p>
      <w:pPr>
        <w:pStyle w:val="BodyText"/>
        <w:spacing w:before="3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86">
            <wp:simplePos x="0" y="0"/>
            <wp:positionH relativeFrom="page">
              <wp:posOffset>1280794</wp:posOffset>
            </wp:positionH>
            <wp:positionV relativeFrom="paragraph">
              <wp:posOffset>180436</wp:posOffset>
            </wp:positionV>
            <wp:extent cx="5584257" cy="3253739"/>
            <wp:effectExtent l="0" t="0" r="0" b="0"/>
            <wp:wrapTopAndBottom/>
            <wp:docPr id="2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4257" cy="3253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sz w:val="38"/>
        </w:rPr>
      </w:pPr>
    </w:p>
    <w:p>
      <w:pPr>
        <w:pStyle w:val="BodyText"/>
        <w:ind w:left="1277" w:right="1398"/>
        <w:jc w:val="center"/>
      </w:pPr>
      <w:r>
        <w:rPr/>
        <w:t>Figure</w:t>
      </w:r>
      <w:r>
        <w:rPr>
          <w:spacing w:val="-3"/>
        </w:rPr>
        <w:t> </w:t>
      </w:r>
      <w:r>
        <w:rPr/>
        <w:t>4.11 Depth</w:t>
      </w:r>
      <w:r>
        <w:rPr>
          <w:spacing w:val="-1"/>
        </w:rPr>
        <w:t> </w:t>
      </w:r>
      <w:r>
        <w:rPr/>
        <w:t>map 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second</w:t>
      </w:r>
      <w:r>
        <w:rPr>
          <w:spacing w:val="1"/>
        </w:rPr>
        <w:t> </w:t>
      </w:r>
      <w:r>
        <w:rPr/>
        <w:t>geoelectric</w:t>
      </w:r>
      <w:r>
        <w:rPr>
          <w:spacing w:val="-1"/>
        </w:rPr>
        <w:t> </w:t>
      </w:r>
      <w:r>
        <w:rPr/>
        <w:t>layer</w:t>
      </w:r>
    </w:p>
    <w:p>
      <w:pPr>
        <w:spacing w:after="0"/>
        <w:jc w:val="center"/>
        <w:sectPr>
          <w:pgSz w:w="11910" w:h="16840"/>
          <w:pgMar w:header="0" w:footer="987" w:top="1400" w:bottom="1260" w:left="70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5"/>
        </w:rPr>
      </w:pPr>
    </w:p>
    <w:p>
      <w:pPr>
        <w:pStyle w:val="BodyText"/>
        <w:ind w:left="1287"/>
        <w:rPr>
          <w:sz w:val="20"/>
        </w:rPr>
      </w:pPr>
      <w:r>
        <w:rPr>
          <w:sz w:val="20"/>
        </w:rPr>
        <w:drawing>
          <wp:inline distT="0" distB="0" distL="0" distR="0">
            <wp:extent cx="5638536" cy="3259836"/>
            <wp:effectExtent l="0" t="0" r="0" b="0"/>
            <wp:docPr id="2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8536" cy="3259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"/>
        <w:rPr>
          <w:sz w:val="29"/>
        </w:rPr>
      </w:pPr>
    </w:p>
    <w:p>
      <w:pPr>
        <w:pStyle w:val="BodyText"/>
        <w:spacing w:before="90"/>
        <w:ind w:left="1277" w:right="1400"/>
        <w:jc w:val="center"/>
      </w:pPr>
      <w:r>
        <w:rPr/>
        <w:t>Figure</w:t>
      </w:r>
      <w:r>
        <w:rPr>
          <w:spacing w:val="-3"/>
        </w:rPr>
        <w:t> </w:t>
      </w:r>
      <w:r>
        <w:rPr/>
        <w:t>4.12 Depth map</w:t>
      </w:r>
      <w:r>
        <w:rPr>
          <w:spacing w:val="-1"/>
        </w:rPr>
        <w:t> </w:t>
      </w:r>
      <w:r>
        <w:rPr/>
        <w:t>of the</w:t>
      </w:r>
      <w:r>
        <w:rPr>
          <w:spacing w:val="-2"/>
        </w:rPr>
        <w:t> </w:t>
      </w:r>
      <w:r>
        <w:rPr/>
        <w:t>third</w:t>
      </w:r>
      <w:r>
        <w:rPr>
          <w:spacing w:val="-1"/>
        </w:rPr>
        <w:t> </w:t>
      </w:r>
      <w:r>
        <w:rPr/>
        <w:t>geoelectric</w:t>
      </w:r>
      <w:r>
        <w:rPr>
          <w:spacing w:val="-1"/>
        </w:rPr>
        <w:t> </w:t>
      </w:r>
      <w:r>
        <w:rPr/>
        <w:t>layer</w:t>
      </w:r>
    </w:p>
    <w:p>
      <w:pPr>
        <w:spacing w:after="0"/>
        <w:jc w:val="center"/>
        <w:sectPr>
          <w:pgSz w:w="11910" w:h="16840"/>
          <w:pgMar w:header="0" w:footer="987" w:top="1580" w:bottom="1260" w:left="700" w:right="0"/>
        </w:sectPr>
      </w:pPr>
    </w:p>
    <w:p>
      <w:pPr>
        <w:pStyle w:val="Heading2"/>
        <w:numPr>
          <w:ilvl w:val="2"/>
          <w:numId w:val="11"/>
        </w:numPr>
        <w:tabs>
          <w:tab w:pos="2008" w:val="left" w:leader="none"/>
        </w:tabs>
        <w:spacing w:line="240" w:lineRule="auto" w:before="69" w:after="0"/>
        <w:ind w:left="2007" w:right="0" w:hanging="721"/>
        <w:jc w:val="both"/>
      </w:pPr>
      <w:r>
        <w:rPr/>
        <w:t>Depth</w:t>
      </w:r>
      <w:r>
        <w:rPr>
          <w:spacing w:val="-2"/>
        </w:rPr>
        <w:t> </w:t>
      </w:r>
      <w:r>
        <w:rPr/>
        <w:t>of the</w:t>
      </w:r>
      <w:r>
        <w:rPr>
          <w:spacing w:val="-2"/>
        </w:rPr>
        <w:t> </w:t>
      </w:r>
      <w:r>
        <w:rPr/>
        <w:t>fourth</w:t>
      </w:r>
      <w:r>
        <w:rPr>
          <w:spacing w:val="-1"/>
        </w:rPr>
        <w:t> </w:t>
      </w:r>
      <w:r>
        <w:rPr/>
        <w:t>geoelectric</w:t>
      </w:r>
      <w:r>
        <w:rPr>
          <w:spacing w:val="-2"/>
        </w:rPr>
        <w:t> </w:t>
      </w:r>
      <w:r>
        <w:rPr/>
        <w:t>layer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287" w:right="1406"/>
        <w:jc w:val="both"/>
      </w:pPr>
      <w:r>
        <w:rPr/>
        <w:t>The forth geoelectric layer is encountered with the depth range of 25 m to 90 m below</w:t>
      </w:r>
      <w:r>
        <w:rPr>
          <w:spacing w:val="1"/>
        </w:rPr>
        <w:t> </w:t>
      </w:r>
      <w:r>
        <w:rPr/>
        <w:t>ground level. This layer</w:t>
      </w:r>
      <w:r>
        <w:rPr>
          <w:spacing w:val="60"/>
        </w:rPr>
        <w:t> </w:t>
      </w:r>
      <w:r>
        <w:rPr/>
        <w:t>is considered a saturated</w:t>
      </w:r>
      <w:r>
        <w:rPr>
          <w:spacing w:val="60"/>
        </w:rPr>
        <w:t> </w:t>
      </w:r>
      <w:r>
        <w:rPr/>
        <w:t>layer due to the correspondent depth</w:t>
      </w:r>
      <w:r>
        <w:rPr>
          <w:spacing w:val="1"/>
        </w:rPr>
        <w:t> </w:t>
      </w:r>
      <w:r>
        <w:rPr/>
        <w:t>in relation to the apparent resistivity readings obtained from the layer (Figure 4.13).</w:t>
      </w:r>
      <w:r>
        <w:rPr>
          <w:spacing w:val="1"/>
        </w:rPr>
        <w:t> </w:t>
      </w:r>
      <w:r>
        <w:rPr/>
        <w:t>Greater depth of about 90 m of this layer are located within the north-western portion of</w:t>
      </w:r>
      <w:r>
        <w:rPr>
          <w:spacing w:val="-57"/>
        </w:rPr>
        <w:t> </w:t>
      </w:r>
      <w:r>
        <w:rPr/>
        <w:t>the area, while moderate depth ranges of 50 m to 75 m are located within the northern,</w:t>
      </w:r>
      <w:r>
        <w:rPr>
          <w:spacing w:val="1"/>
        </w:rPr>
        <w:t> </w:t>
      </w:r>
      <w:r>
        <w:rPr/>
        <w:t>eastern and south-western portion of the area. The shallow depth in relation to this layer</w:t>
      </w:r>
      <w:r>
        <w:rPr>
          <w:spacing w:val="1"/>
        </w:rPr>
        <w:t> </w:t>
      </w:r>
      <w:r>
        <w:rPr/>
        <w:t>are located within the far south-eastern, south-western and part of the north-eastern</w:t>
      </w:r>
      <w:r>
        <w:rPr>
          <w:spacing w:val="1"/>
        </w:rPr>
        <w:t> </w:t>
      </w:r>
      <w:r>
        <w:rPr/>
        <w:t>portion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mapped</w:t>
      </w:r>
      <w:r>
        <w:rPr>
          <w:spacing w:val="1"/>
        </w:rPr>
        <w:t> </w:t>
      </w:r>
      <w:r>
        <w:rPr/>
        <w:t>area.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layer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considered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fully</w:t>
      </w:r>
      <w:r>
        <w:rPr>
          <w:spacing w:val="1"/>
        </w:rPr>
        <w:t> </w:t>
      </w:r>
      <w:r>
        <w:rPr/>
        <w:t>saturated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groundwater.</w:t>
      </w:r>
    </w:p>
    <w:p>
      <w:pPr>
        <w:pStyle w:val="BodyText"/>
        <w:spacing w:before="5"/>
        <w:rPr>
          <w:sz w:val="21"/>
        </w:rPr>
      </w:pPr>
    </w:p>
    <w:p>
      <w:pPr>
        <w:pStyle w:val="Heading2"/>
        <w:numPr>
          <w:ilvl w:val="2"/>
          <w:numId w:val="11"/>
        </w:numPr>
        <w:tabs>
          <w:tab w:pos="2008" w:val="left" w:leader="none"/>
        </w:tabs>
        <w:spacing w:line="240" w:lineRule="auto" w:before="0" w:after="0"/>
        <w:ind w:left="2007" w:right="0" w:hanging="721"/>
        <w:jc w:val="both"/>
      </w:pPr>
      <w:r>
        <w:rPr/>
        <w:t>Depth</w:t>
      </w:r>
      <w:r>
        <w:rPr>
          <w:spacing w:val="-2"/>
        </w:rPr>
        <w:t> </w:t>
      </w:r>
      <w:r>
        <w:rPr/>
        <w:t>of the</w:t>
      </w:r>
      <w:r>
        <w:rPr>
          <w:spacing w:val="-1"/>
        </w:rPr>
        <w:t> </w:t>
      </w:r>
      <w:r>
        <w:rPr/>
        <w:t>fifth</w:t>
      </w:r>
      <w:r>
        <w:rPr>
          <w:spacing w:val="-1"/>
        </w:rPr>
        <w:t> </w:t>
      </w:r>
      <w:r>
        <w:rPr/>
        <w:t>geoelectric</w:t>
      </w:r>
      <w:r>
        <w:rPr>
          <w:spacing w:val="-1"/>
        </w:rPr>
        <w:t> </w:t>
      </w:r>
      <w:r>
        <w:rPr/>
        <w:t>layer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1287" w:right="1414"/>
        <w:jc w:val="both"/>
      </w:pPr>
      <w:r>
        <w:rPr/>
        <w:t>The</w:t>
      </w:r>
      <w:r>
        <w:rPr>
          <w:spacing w:val="1"/>
        </w:rPr>
        <w:t> </w:t>
      </w:r>
      <w:r>
        <w:rPr/>
        <w:t>depth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fifth</w:t>
      </w:r>
      <w:r>
        <w:rPr>
          <w:spacing w:val="1"/>
        </w:rPr>
        <w:t> </w:t>
      </w:r>
      <w:r>
        <w:rPr/>
        <w:t>geoelectric</w:t>
      </w:r>
      <w:r>
        <w:rPr>
          <w:spacing w:val="1"/>
        </w:rPr>
        <w:t> </w:t>
      </w:r>
      <w:r>
        <w:rPr/>
        <w:t>layer</w:t>
      </w:r>
      <w:r>
        <w:rPr>
          <w:spacing w:val="1"/>
        </w:rPr>
        <w:t> </w:t>
      </w:r>
      <w:r>
        <w:rPr/>
        <w:t>extends</w:t>
      </w:r>
      <w:r>
        <w:rPr>
          <w:spacing w:val="1"/>
        </w:rPr>
        <w:t> </w:t>
      </w:r>
      <w:r>
        <w:rPr/>
        <w:t>beyond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probe</w:t>
      </w:r>
      <w:r>
        <w:rPr>
          <w:spacing w:val="1"/>
        </w:rPr>
        <w:t> </w:t>
      </w:r>
      <w:r>
        <w:rPr/>
        <w:t>depth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investigation.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depth of the</w:t>
      </w:r>
      <w:r>
        <w:rPr>
          <w:spacing w:val="-1"/>
        </w:rPr>
        <w:t> </w:t>
      </w:r>
      <w:r>
        <w:rPr/>
        <w:t>fifth layer in</w:t>
      </w:r>
      <w:r>
        <w:rPr>
          <w:spacing w:val="-1"/>
        </w:rPr>
        <w:t> </w:t>
      </w:r>
      <w:r>
        <w:rPr/>
        <w:t>proposed to be infinite in extent.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pStyle w:val="Heading2"/>
        <w:numPr>
          <w:ilvl w:val="1"/>
          <w:numId w:val="11"/>
        </w:numPr>
        <w:tabs>
          <w:tab w:pos="2008" w:val="left" w:leader="none"/>
        </w:tabs>
        <w:spacing w:line="240" w:lineRule="auto" w:before="0" w:after="0"/>
        <w:ind w:left="2007" w:right="0" w:hanging="721"/>
        <w:jc w:val="both"/>
      </w:pPr>
      <w:r>
        <w:rPr/>
        <w:t>Thickness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Geoelectric</w:t>
      </w:r>
      <w:r>
        <w:rPr>
          <w:spacing w:val="-3"/>
        </w:rPr>
        <w:t> </w:t>
      </w:r>
      <w:r>
        <w:rPr/>
        <w:t>Layers</w:t>
      </w:r>
      <w:r>
        <w:rPr>
          <w:spacing w:val="-2"/>
        </w:rPr>
        <w:t> </w:t>
      </w:r>
      <w:r>
        <w:rPr/>
        <w:t>Interpretations</w:t>
      </w:r>
    </w:p>
    <w:p>
      <w:pPr>
        <w:pStyle w:val="BodyText"/>
        <w:spacing w:before="9"/>
        <w:rPr>
          <w:b/>
          <w:sz w:val="37"/>
        </w:rPr>
      </w:pPr>
    </w:p>
    <w:p>
      <w:pPr>
        <w:pStyle w:val="ListParagraph"/>
        <w:numPr>
          <w:ilvl w:val="2"/>
          <w:numId w:val="11"/>
        </w:numPr>
        <w:tabs>
          <w:tab w:pos="2008" w:val="left" w:leader="none"/>
        </w:tabs>
        <w:spacing w:line="240" w:lineRule="auto" w:before="0" w:after="0"/>
        <w:ind w:left="2007" w:right="0" w:hanging="721"/>
        <w:jc w:val="both"/>
        <w:rPr>
          <w:b/>
          <w:sz w:val="24"/>
        </w:rPr>
      </w:pPr>
      <w:r>
        <w:rPr>
          <w:b/>
          <w:sz w:val="24"/>
        </w:rPr>
        <w:t>Thickness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 the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first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geoelectric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layer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1287" w:right="1411"/>
        <w:jc w:val="both"/>
      </w:pPr>
      <w:r>
        <w:rPr/>
        <w:t>The thickness of the first geoelectric layer might be considered negligible in relation to</w:t>
      </w:r>
      <w:r>
        <w:rPr>
          <w:spacing w:val="1"/>
        </w:rPr>
        <w:t> </w:t>
      </w:r>
      <w:r>
        <w:rPr/>
        <w:t>groundwater abstraction. The thickness of this layer ranges from an almost near surface</w:t>
      </w:r>
      <w:r>
        <w:rPr>
          <w:spacing w:val="1"/>
        </w:rPr>
        <w:t> </w:t>
      </w:r>
      <w:r>
        <w:rPr/>
        <w:t>depth of 0.3 m to 2.3 m (Figure 4.14). The thickness of this layer suggest it might be</w:t>
      </w:r>
      <w:r>
        <w:rPr>
          <w:spacing w:val="1"/>
        </w:rPr>
        <w:t> </w:t>
      </w:r>
      <w:r>
        <w:rPr/>
        <w:t>good</w:t>
      </w:r>
      <w:r>
        <w:rPr>
          <w:spacing w:val="-1"/>
        </w:rPr>
        <w:t> </w:t>
      </w:r>
      <w:r>
        <w:rPr/>
        <w:t>enough</w:t>
      </w:r>
      <w:r>
        <w:rPr>
          <w:spacing w:val="2"/>
        </w:rPr>
        <w:t> </w:t>
      </w:r>
      <w:r>
        <w:rPr/>
        <w:t>for</w:t>
      </w:r>
      <w:r>
        <w:rPr>
          <w:spacing w:val="-2"/>
        </w:rPr>
        <w:t> </w:t>
      </w:r>
      <w:r>
        <w:rPr/>
        <w:t>agricultural activities.</w:t>
      </w:r>
    </w:p>
    <w:p>
      <w:pPr>
        <w:spacing w:after="0" w:line="480" w:lineRule="auto"/>
        <w:jc w:val="both"/>
        <w:sectPr>
          <w:pgSz w:w="11910" w:h="16840"/>
          <w:pgMar w:header="0" w:footer="987" w:top="1320" w:bottom="1260" w:left="700" w:right="0"/>
        </w:sectPr>
      </w:pPr>
    </w:p>
    <w:p>
      <w:pPr>
        <w:pStyle w:val="BodyText"/>
        <w:ind w:left="1317"/>
        <w:rPr>
          <w:sz w:val="20"/>
        </w:rPr>
      </w:pPr>
      <w:r>
        <w:rPr>
          <w:sz w:val="20"/>
        </w:rPr>
        <w:drawing>
          <wp:inline distT="0" distB="0" distL="0" distR="0">
            <wp:extent cx="5604915" cy="3685032"/>
            <wp:effectExtent l="0" t="0" r="0" b="0"/>
            <wp:docPr id="31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4915" cy="3685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"/>
        <w:rPr>
          <w:sz w:val="14"/>
        </w:rPr>
      </w:pPr>
    </w:p>
    <w:p>
      <w:pPr>
        <w:pStyle w:val="BodyText"/>
        <w:spacing w:before="90"/>
        <w:ind w:left="1277" w:right="1402"/>
        <w:jc w:val="center"/>
      </w:pPr>
      <w:r>
        <w:rPr/>
        <w:t>Figure</w:t>
      </w:r>
      <w:r>
        <w:rPr>
          <w:spacing w:val="-3"/>
        </w:rPr>
        <w:t> </w:t>
      </w:r>
      <w:r>
        <w:rPr/>
        <w:t>4.13</w:t>
      </w:r>
      <w:r>
        <w:rPr>
          <w:spacing w:val="-1"/>
        </w:rPr>
        <w:t> </w:t>
      </w:r>
      <w:r>
        <w:rPr/>
        <w:t>Depth map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forth</w:t>
      </w:r>
      <w:r>
        <w:rPr>
          <w:spacing w:val="1"/>
        </w:rPr>
        <w:t> </w:t>
      </w:r>
      <w:r>
        <w:rPr/>
        <w:t>geoelectric</w:t>
      </w:r>
      <w:r>
        <w:rPr>
          <w:spacing w:val="-2"/>
        </w:rPr>
        <w:t> </w:t>
      </w:r>
      <w:r>
        <w:rPr/>
        <w:t>layer</w:t>
      </w:r>
    </w:p>
    <w:p>
      <w:pPr>
        <w:pStyle w:val="BodyText"/>
        <w:spacing w:before="4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87">
            <wp:simplePos x="0" y="0"/>
            <wp:positionH relativeFrom="page">
              <wp:posOffset>1280794</wp:posOffset>
            </wp:positionH>
            <wp:positionV relativeFrom="paragraph">
              <wp:posOffset>180744</wp:posOffset>
            </wp:positionV>
            <wp:extent cx="5589472" cy="3394900"/>
            <wp:effectExtent l="0" t="0" r="0" b="0"/>
            <wp:wrapTopAndBottom/>
            <wp:docPr id="33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9472" cy="339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sz w:val="22"/>
        </w:rPr>
      </w:pPr>
    </w:p>
    <w:p>
      <w:pPr>
        <w:pStyle w:val="BodyText"/>
        <w:ind w:left="1277" w:right="1403"/>
        <w:jc w:val="center"/>
      </w:pPr>
      <w:r>
        <w:rPr/>
        <w:t>Figure</w:t>
      </w:r>
      <w:r>
        <w:rPr>
          <w:spacing w:val="-4"/>
        </w:rPr>
        <w:t> </w:t>
      </w:r>
      <w:r>
        <w:rPr/>
        <w:t>4.14Thickness</w:t>
      </w:r>
      <w:r>
        <w:rPr>
          <w:spacing w:val="-1"/>
        </w:rPr>
        <w:t> </w:t>
      </w:r>
      <w:r>
        <w:rPr/>
        <w:t>map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first</w:t>
      </w:r>
      <w:r>
        <w:rPr>
          <w:spacing w:val="1"/>
        </w:rPr>
        <w:t> </w:t>
      </w:r>
      <w:r>
        <w:rPr/>
        <w:t>geoelectric</w:t>
      </w:r>
      <w:r>
        <w:rPr>
          <w:spacing w:val="-2"/>
        </w:rPr>
        <w:t> </w:t>
      </w:r>
      <w:r>
        <w:rPr/>
        <w:t>laye</w:t>
      </w:r>
    </w:p>
    <w:p>
      <w:pPr>
        <w:spacing w:after="0"/>
        <w:jc w:val="center"/>
        <w:sectPr>
          <w:pgSz w:w="11910" w:h="16840"/>
          <w:pgMar w:header="0" w:footer="987" w:top="1400" w:bottom="1260" w:left="700" w:right="0"/>
        </w:sectPr>
      </w:pPr>
    </w:p>
    <w:p>
      <w:pPr>
        <w:pStyle w:val="Heading2"/>
        <w:numPr>
          <w:ilvl w:val="2"/>
          <w:numId w:val="11"/>
        </w:numPr>
        <w:tabs>
          <w:tab w:pos="2008" w:val="left" w:leader="none"/>
        </w:tabs>
        <w:spacing w:line="240" w:lineRule="auto" w:before="69" w:after="0"/>
        <w:ind w:left="2007" w:right="0" w:hanging="721"/>
        <w:jc w:val="both"/>
      </w:pPr>
      <w:r>
        <w:rPr/>
        <w:t>Thickness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 second</w:t>
      </w:r>
      <w:r>
        <w:rPr>
          <w:spacing w:val="-1"/>
        </w:rPr>
        <w:t> </w:t>
      </w:r>
      <w:r>
        <w:rPr/>
        <w:t>geoelectric</w:t>
      </w:r>
      <w:r>
        <w:rPr>
          <w:spacing w:val="-1"/>
        </w:rPr>
        <w:t> </w:t>
      </w:r>
      <w:r>
        <w:rPr/>
        <w:t>layer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287" w:right="1411"/>
        <w:jc w:val="both"/>
      </w:pPr>
      <w:r>
        <w:rPr/>
        <w:t>The thickness of the second geoelectric layer ranges from 2 m to 32 m. Depth to the</w:t>
      </w:r>
      <w:r>
        <w:rPr>
          <w:spacing w:val="1"/>
        </w:rPr>
        <w:t> </w:t>
      </w:r>
      <w:r>
        <w:rPr/>
        <w:t>second layer is more extensive at the north-south end of the map. The thickness of the</w:t>
      </w:r>
      <w:r>
        <w:rPr>
          <w:spacing w:val="1"/>
        </w:rPr>
        <w:t> </w:t>
      </w:r>
      <w:r>
        <w:rPr/>
        <w:t>second layer is more pronounced at the south-western and north-eastern portion of the</w:t>
      </w:r>
      <w:r>
        <w:rPr>
          <w:spacing w:val="1"/>
        </w:rPr>
        <w:t> </w:t>
      </w:r>
      <w:r>
        <w:rPr/>
        <w:t>map</w:t>
      </w:r>
      <w:r>
        <w:rPr>
          <w:spacing w:val="-1"/>
        </w:rPr>
        <w:t> </w:t>
      </w:r>
      <w:r>
        <w:rPr/>
        <w:t>ranging</w:t>
      </w:r>
      <w:r>
        <w:rPr>
          <w:spacing w:val="-3"/>
        </w:rPr>
        <w:t> </w:t>
      </w:r>
      <w:r>
        <w:rPr/>
        <w:t>from 18 m to 32 m (Figure</w:t>
      </w:r>
      <w:r>
        <w:rPr>
          <w:spacing w:val="-2"/>
        </w:rPr>
        <w:t> </w:t>
      </w:r>
      <w:r>
        <w:rPr/>
        <w:t>4.15).</w:t>
      </w:r>
    </w:p>
    <w:p>
      <w:pPr>
        <w:pStyle w:val="Heading2"/>
        <w:numPr>
          <w:ilvl w:val="2"/>
          <w:numId w:val="11"/>
        </w:numPr>
        <w:tabs>
          <w:tab w:pos="2008" w:val="left" w:leader="none"/>
        </w:tabs>
        <w:spacing w:line="240" w:lineRule="auto" w:before="164" w:after="0"/>
        <w:ind w:left="2007" w:right="0" w:hanging="721"/>
        <w:jc w:val="both"/>
      </w:pPr>
      <w:r>
        <w:rPr/>
        <w:t>Thickness</w:t>
      </w:r>
      <w:r>
        <w:rPr>
          <w:spacing w:val="-2"/>
        </w:rPr>
        <w:t> </w:t>
      </w:r>
      <w:r>
        <w:rPr/>
        <w:t>of the</w:t>
      </w:r>
      <w:r>
        <w:rPr>
          <w:spacing w:val="-1"/>
        </w:rPr>
        <w:t> </w:t>
      </w:r>
      <w:r>
        <w:rPr/>
        <w:t>third</w:t>
      </w:r>
      <w:r>
        <w:rPr>
          <w:spacing w:val="-1"/>
        </w:rPr>
        <w:t> </w:t>
      </w:r>
      <w:r>
        <w:rPr/>
        <w:t>geoelectric</w:t>
      </w:r>
      <w:r>
        <w:rPr>
          <w:spacing w:val="-1"/>
        </w:rPr>
        <w:t> </w:t>
      </w:r>
      <w:r>
        <w:rPr/>
        <w:t>layer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1287" w:right="1408"/>
        <w:jc w:val="both"/>
      </w:pPr>
      <w:r>
        <w:rPr/>
        <w:t>The thickness range of 26 m to 62 m is expressed on the south-western and eastern part</w:t>
      </w:r>
      <w:r>
        <w:rPr>
          <w:spacing w:val="1"/>
        </w:rPr>
        <w:t> </w:t>
      </w:r>
      <w:r>
        <w:rPr/>
        <w:t>of the mapped area while the shallow depth of 2 m to 22 m is shown on the southern,</w:t>
      </w:r>
      <w:r>
        <w:rPr>
          <w:spacing w:val="1"/>
        </w:rPr>
        <w:t> </w:t>
      </w:r>
      <w:r>
        <w:rPr/>
        <w:t>central, western and northern portions of the mapped area (Figure 4.16). The third layer</w:t>
      </w:r>
      <w:r>
        <w:rPr>
          <w:spacing w:val="1"/>
        </w:rPr>
        <w:t> </w:t>
      </w:r>
      <w:r>
        <w:rPr/>
        <w:t>thickness might be good enough for groundwater accumulation in some section of the</w:t>
      </w:r>
      <w:r>
        <w:rPr>
          <w:spacing w:val="1"/>
        </w:rPr>
        <w:t> </w:t>
      </w:r>
      <w:r>
        <w:rPr/>
        <w:t>mapped</w:t>
      </w:r>
      <w:r>
        <w:rPr>
          <w:spacing w:val="-1"/>
        </w:rPr>
        <w:t> </w:t>
      </w:r>
      <w:r>
        <w:rPr/>
        <w:t>area.</w:t>
      </w:r>
    </w:p>
    <w:p>
      <w:pPr>
        <w:pStyle w:val="Heading2"/>
        <w:numPr>
          <w:ilvl w:val="2"/>
          <w:numId w:val="11"/>
        </w:numPr>
        <w:tabs>
          <w:tab w:pos="2008" w:val="left" w:leader="none"/>
        </w:tabs>
        <w:spacing w:line="240" w:lineRule="auto" w:before="166" w:after="0"/>
        <w:ind w:left="2007" w:right="0" w:hanging="721"/>
        <w:jc w:val="both"/>
      </w:pPr>
      <w:r>
        <w:rPr/>
        <w:t>Thickness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</w:t>
      </w:r>
      <w:r>
        <w:rPr/>
        <w:t>fourth</w:t>
      </w:r>
      <w:r>
        <w:rPr>
          <w:spacing w:val="-3"/>
        </w:rPr>
        <w:t> </w:t>
      </w:r>
      <w:r>
        <w:rPr/>
        <w:t>geoelectric</w:t>
      </w:r>
      <w:r>
        <w:rPr>
          <w:spacing w:val="-1"/>
        </w:rPr>
        <w:t> </w:t>
      </w:r>
      <w:r>
        <w:rPr/>
        <w:t>layer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287" w:right="1410"/>
        <w:jc w:val="both"/>
      </w:pPr>
      <w:r>
        <w:rPr/>
        <w:t>The fourth layer thickness ranges from 12 m to 52 m. The layer is thicker toward the</w:t>
      </w:r>
      <w:r>
        <w:rPr>
          <w:spacing w:val="1"/>
        </w:rPr>
        <w:t> </w:t>
      </w:r>
      <w:r>
        <w:rPr/>
        <w:t>northern and eastern axis of the mapped area (Figure 4.17). The thickness of this layer is</w:t>
      </w:r>
      <w:r>
        <w:rPr>
          <w:spacing w:val="-57"/>
        </w:rPr>
        <w:t> </w:t>
      </w:r>
      <w:r>
        <w:rPr/>
        <w:t>expected</w:t>
      </w:r>
      <w:r>
        <w:rPr>
          <w:spacing w:val="-1"/>
        </w:rPr>
        <w:t> </w:t>
      </w:r>
      <w:r>
        <w:rPr/>
        <w:t>to support the</w:t>
      </w:r>
      <w:r>
        <w:rPr>
          <w:spacing w:val="-1"/>
        </w:rPr>
        <w:t> </w:t>
      </w:r>
      <w:r>
        <w:rPr/>
        <w:t>accumulation of</w:t>
      </w:r>
      <w:r>
        <w:rPr>
          <w:spacing w:val="1"/>
        </w:rPr>
        <w:t> </w:t>
      </w:r>
      <w:r>
        <w:rPr/>
        <w:t>groundwater</w:t>
      </w:r>
      <w:r>
        <w:rPr>
          <w:spacing w:val="-3"/>
        </w:rPr>
        <w:t> </w:t>
      </w:r>
      <w:r>
        <w:rPr/>
        <w:t>in sufficient quantity.</w:t>
      </w:r>
    </w:p>
    <w:p>
      <w:pPr>
        <w:pStyle w:val="Heading2"/>
        <w:numPr>
          <w:ilvl w:val="1"/>
          <w:numId w:val="11"/>
        </w:numPr>
        <w:tabs>
          <w:tab w:pos="2008" w:val="left" w:leader="none"/>
        </w:tabs>
        <w:spacing w:line="240" w:lineRule="auto" w:before="166" w:after="0"/>
        <w:ind w:left="2007" w:right="0" w:hanging="721"/>
        <w:jc w:val="both"/>
      </w:pPr>
      <w:r>
        <w:rPr/>
        <w:t>Groundwater</w:t>
      </w:r>
      <w:r>
        <w:rPr>
          <w:spacing w:val="-5"/>
        </w:rPr>
        <w:t> </w:t>
      </w:r>
      <w:r>
        <w:rPr/>
        <w:t>Potential</w:t>
      </w:r>
    </w:p>
    <w:p>
      <w:pPr>
        <w:pStyle w:val="BodyText"/>
        <w:spacing w:before="4"/>
        <w:rPr>
          <w:b/>
          <w:sz w:val="37"/>
        </w:rPr>
      </w:pPr>
    </w:p>
    <w:p>
      <w:pPr>
        <w:pStyle w:val="BodyText"/>
        <w:spacing w:line="480" w:lineRule="auto"/>
        <w:ind w:left="1287" w:right="1406"/>
        <w:jc w:val="both"/>
      </w:pPr>
      <w:r>
        <w:rPr/>
        <w:t>Generally, the petrophysical properties of the subsurface lithology of study area has a</w:t>
      </w:r>
      <w:r>
        <w:rPr>
          <w:spacing w:val="1"/>
        </w:rPr>
        <w:t> </w:t>
      </w:r>
      <w:r>
        <w:rPr/>
        <w:t>good groundwater potential as revealed by the geoelectric parameters (Table 4.4). The</w:t>
      </w:r>
      <w:r>
        <w:rPr>
          <w:spacing w:val="1"/>
        </w:rPr>
        <w:t> </w:t>
      </w:r>
      <w:r>
        <w:rPr/>
        <w:t>geoelectrical properties of the subsurface lithologies was used to classify the area into</w:t>
      </w:r>
      <w:r>
        <w:rPr>
          <w:spacing w:val="1"/>
        </w:rPr>
        <w:t> </w:t>
      </w:r>
      <w:r>
        <w:rPr/>
        <w:t>low,</w:t>
      </w:r>
      <w:r>
        <w:rPr>
          <w:spacing w:val="1"/>
        </w:rPr>
        <w:t> </w:t>
      </w:r>
      <w:r>
        <w:rPr/>
        <w:t>medium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groundwater</w:t>
      </w:r>
      <w:r>
        <w:rPr>
          <w:spacing w:val="1"/>
        </w:rPr>
        <w:t> </w:t>
      </w:r>
      <w:r>
        <w:rPr/>
        <w:t>potential</w:t>
      </w:r>
      <w:r>
        <w:rPr>
          <w:spacing w:val="1"/>
        </w:rPr>
        <w:t> </w:t>
      </w:r>
      <w:r>
        <w:rPr/>
        <w:t>zones.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north-eastern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south-</w:t>
      </w:r>
      <w:r>
        <w:rPr>
          <w:spacing w:val="1"/>
        </w:rPr>
        <w:t> </w:t>
      </w:r>
      <w:r>
        <w:rPr/>
        <w:t>western</w:t>
      </w:r>
      <w:r>
        <w:rPr>
          <w:spacing w:val="1"/>
        </w:rPr>
        <w:t> </w:t>
      </w:r>
      <w:r>
        <w:rPr/>
        <w:t>zones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area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indicative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groundwater</w:t>
      </w:r>
      <w:r>
        <w:rPr>
          <w:spacing w:val="1"/>
        </w:rPr>
        <w:t> </w:t>
      </w:r>
      <w:r>
        <w:rPr/>
        <w:t>potential,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remaining portion of the mapped area are characterized by low to medium groundwater</w:t>
      </w:r>
      <w:r>
        <w:rPr>
          <w:spacing w:val="1"/>
        </w:rPr>
        <w:t> </w:t>
      </w:r>
      <w:r>
        <w:rPr/>
        <w:t>potential zones (Figure</w:t>
      </w:r>
      <w:r>
        <w:rPr>
          <w:spacing w:val="-2"/>
        </w:rPr>
        <w:t> </w:t>
      </w:r>
      <w:r>
        <w:rPr/>
        <w:t>4.18)</w:t>
      </w:r>
    </w:p>
    <w:p>
      <w:pPr>
        <w:spacing w:after="0" w:line="480" w:lineRule="auto"/>
        <w:jc w:val="both"/>
        <w:sectPr>
          <w:pgSz w:w="11910" w:h="16840"/>
          <w:pgMar w:header="0" w:footer="987" w:top="1320" w:bottom="1260" w:left="700" w:right="0"/>
        </w:sectPr>
      </w:pPr>
    </w:p>
    <w:p>
      <w:pPr>
        <w:pStyle w:val="BodyText"/>
        <w:ind w:left="1287"/>
        <w:rPr>
          <w:sz w:val="20"/>
        </w:rPr>
      </w:pPr>
      <w:r>
        <w:rPr>
          <w:sz w:val="20"/>
        </w:rPr>
        <w:drawing>
          <wp:inline distT="0" distB="0" distL="0" distR="0">
            <wp:extent cx="6230974" cy="3374136"/>
            <wp:effectExtent l="0" t="0" r="0" b="0"/>
            <wp:docPr id="35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0974" cy="3374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40"/>
        <w:ind w:left="1277" w:right="1398"/>
        <w:jc w:val="center"/>
      </w:pPr>
      <w:r>
        <w:rPr/>
        <w:drawing>
          <wp:anchor distT="0" distB="0" distL="0" distR="0" allowOverlap="1" layoutInCell="1" locked="0" behindDoc="0" simplePos="0" relativeHeight="15773696">
            <wp:simplePos x="0" y="0"/>
            <wp:positionH relativeFrom="page">
              <wp:posOffset>1261744</wp:posOffset>
            </wp:positionH>
            <wp:positionV relativeFrom="paragraph">
              <wp:posOffset>759880</wp:posOffset>
            </wp:positionV>
            <wp:extent cx="6298818" cy="3516778"/>
            <wp:effectExtent l="0" t="0" r="0" b="0"/>
            <wp:wrapNone/>
            <wp:docPr id="37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8818" cy="35167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Figure</w:t>
      </w:r>
      <w:r>
        <w:rPr>
          <w:spacing w:val="-2"/>
        </w:rPr>
        <w:t> </w:t>
      </w:r>
      <w:r>
        <w:rPr/>
        <w:t>4.15Thickness</w:t>
      </w:r>
      <w:r>
        <w:rPr>
          <w:spacing w:val="-1"/>
        </w:rPr>
        <w:t> </w:t>
      </w:r>
      <w:r>
        <w:rPr/>
        <w:t>map 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second</w:t>
      </w:r>
      <w:r>
        <w:rPr>
          <w:spacing w:val="2"/>
        </w:rPr>
        <w:t> </w:t>
      </w:r>
      <w:r>
        <w:rPr/>
        <w:t>geoelectric</w:t>
      </w:r>
      <w:r>
        <w:rPr>
          <w:spacing w:val="-1"/>
        </w:rPr>
        <w:t> </w:t>
      </w:r>
      <w:r>
        <w:rPr/>
        <w:t>layer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6"/>
        </w:rPr>
      </w:pPr>
    </w:p>
    <w:p>
      <w:pPr>
        <w:pStyle w:val="BodyText"/>
        <w:ind w:left="1277" w:right="1401"/>
        <w:jc w:val="center"/>
      </w:pPr>
      <w:r>
        <w:rPr/>
        <w:t>Figure</w:t>
      </w:r>
      <w:r>
        <w:rPr>
          <w:spacing w:val="-2"/>
        </w:rPr>
        <w:t> </w:t>
      </w:r>
      <w:r>
        <w:rPr/>
        <w:t>4.16Thickness map</w:t>
      </w:r>
      <w:r>
        <w:rPr>
          <w:spacing w:val="-1"/>
        </w:rPr>
        <w:t> </w:t>
      </w:r>
      <w:r>
        <w:rPr/>
        <w:t>of the</w:t>
      </w:r>
      <w:r>
        <w:rPr>
          <w:spacing w:val="-3"/>
        </w:rPr>
        <w:t> </w:t>
      </w:r>
      <w:r>
        <w:rPr/>
        <w:t>third geoelectric layer</w:t>
      </w:r>
    </w:p>
    <w:p>
      <w:pPr>
        <w:spacing w:after="0"/>
        <w:jc w:val="center"/>
        <w:sectPr>
          <w:pgSz w:w="11910" w:h="16840"/>
          <w:pgMar w:header="0" w:footer="987" w:top="1400" w:bottom="1260" w:left="700" w:right="0"/>
        </w:sectPr>
      </w:pPr>
    </w:p>
    <w:p>
      <w:pPr>
        <w:pStyle w:val="BodyText"/>
        <w:ind w:left="1317"/>
        <w:rPr>
          <w:sz w:val="20"/>
        </w:rPr>
      </w:pPr>
      <w:r>
        <w:rPr>
          <w:sz w:val="20"/>
        </w:rPr>
        <w:drawing>
          <wp:inline distT="0" distB="0" distL="0" distR="0">
            <wp:extent cx="5310090" cy="3732276"/>
            <wp:effectExtent l="0" t="0" r="0" b="0"/>
            <wp:docPr id="39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0090" cy="3732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58"/>
        <w:ind w:left="1277" w:right="1401"/>
        <w:jc w:val="center"/>
      </w:pPr>
      <w:r>
        <w:rPr/>
        <w:t>Figure</w:t>
      </w:r>
      <w:r>
        <w:rPr>
          <w:spacing w:val="-3"/>
        </w:rPr>
        <w:t> </w:t>
      </w:r>
      <w:r>
        <w:rPr/>
        <w:t>4.17</w:t>
      </w:r>
      <w:r>
        <w:rPr>
          <w:spacing w:val="-1"/>
        </w:rPr>
        <w:t> </w:t>
      </w:r>
      <w:r>
        <w:rPr/>
        <w:t>Thickness map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fourth</w:t>
      </w:r>
      <w:r>
        <w:rPr>
          <w:spacing w:val="1"/>
        </w:rPr>
        <w:t> </w:t>
      </w:r>
      <w:r>
        <w:rPr/>
        <w:t>geoelectric</w:t>
      </w:r>
      <w:r>
        <w:rPr>
          <w:spacing w:val="-1"/>
        </w:rPr>
        <w:t> </w:t>
      </w:r>
      <w:r>
        <w:rPr/>
        <w:t>layer</w:t>
      </w:r>
    </w:p>
    <w:p>
      <w:pPr>
        <w:spacing w:after="0"/>
        <w:jc w:val="center"/>
        <w:sectPr>
          <w:pgSz w:w="11910" w:h="16840"/>
          <w:pgMar w:header="0" w:footer="987" w:top="1400" w:bottom="1260" w:left="700" w:right="0"/>
        </w:sectPr>
      </w:pPr>
    </w:p>
    <w:p>
      <w:pPr>
        <w:pStyle w:val="BodyText"/>
        <w:spacing w:before="4"/>
        <w:rPr>
          <w:sz w:val="17"/>
        </w:rPr>
      </w:pPr>
    </w:p>
    <w:p>
      <w:pPr>
        <w:spacing w:after="0"/>
        <w:rPr>
          <w:sz w:val="17"/>
        </w:rPr>
        <w:sectPr>
          <w:pgSz w:w="11910" w:h="16840"/>
          <w:pgMar w:header="0" w:footer="987" w:top="1580" w:bottom="1180" w:left="700" w:right="0"/>
        </w:sectPr>
      </w:pPr>
    </w:p>
    <w:p>
      <w:pPr>
        <w:pStyle w:val="Heading2"/>
        <w:tabs>
          <w:tab w:pos="2729" w:val="left" w:leader="none"/>
        </w:tabs>
        <w:spacing w:before="72"/>
        <w:ind w:left="1287" w:firstLine="0"/>
        <w:jc w:val="left"/>
      </w:pPr>
      <w:r>
        <w:rPr/>
        <w:t>Table</w:t>
      </w:r>
      <w:r>
        <w:rPr>
          <w:spacing w:val="-1"/>
        </w:rPr>
        <w:t> </w:t>
      </w:r>
      <w:r>
        <w:rPr/>
        <w:t>4.4</w:t>
        <w:tab/>
        <w:t>Delineated</w:t>
      </w:r>
      <w:r>
        <w:rPr>
          <w:spacing w:val="-1"/>
        </w:rPr>
        <w:t> </w:t>
      </w:r>
      <w:r>
        <w:rPr/>
        <w:t>aquifer</w:t>
      </w:r>
      <w:r>
        <w:rPr>
          <w:spacing w:val="-3"/>
        </w:rPr>
        <w:t> </w:t>
      </w:r>
      <w:r>
        <w:rPr/>
        <w:t>potentials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study</w:t>
      </w:r>
      <w:r>
        <w:rPr>
          <w:spacing w:val="-2"/>
        </w:rPr>
        <w:t> </w:t>
      </w:r>
      <w:r>
        <w:rPr/>
        <w:t>area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after="0"/>
        <w:rPr>
          <w:sz w:val="20"/>
        </w:rPr>
        <w:sectPr>
          <w:footerReference w:type="default" r:id="rId32"/>
          <w:pgSz w:w="11910" w:h="16840"/>
          <w:pgMar w:footer="987" w:header="0" w:top="1320" w:bottom="1180" w:left="700" w:right="0"/>
          <w:pgNumType w:start="1"/>
        </w:sectPr>
      </w:pPr>
    </w:p>
    <w:p>
      <w:pPr>
        <w:spacing w:before="212"/>
        <w:ind w:left="204" w:right="0" w:firstLine="0"/>
        <w:jc w:val="left"/>
        <w:rPr>
          <w:b/>
          <w:sz w:val="24"/>
        </w:rPr>
      </w:pPr>
      <w:r>
        <w:rPr/>
        <w:pict>
          <v:shape style="position:absolute;margin-left:28.680002pt;margin-top:10.043119pt;width:566.65pt;height:.5pt;mso-position-horizontal-relative:page;mso-position-vertical-relative:paragraph;z-index:15774208" coordorigin="574,201" coordsize="11333,10" path="m11906,201l7391,201,7391,201,7381,201,574,201,574,210,11906,210,11906,201xe" filled="true" fillcolor="#000000" stroked="false">
            <v:path arrowok="t"/>
            <v:fill type="solid"/>
            <w10:wrap type="none"/>
          </v:shape>
        </w:pict>
      </w:r>
      <w:r>
        <w:rPr>
          <w:b/>
          <w:sz w:val="24"/>
        </w:rPr>
        <w:t>VES</w:t>
      </w:r>
    </w:p>
    <w:p>
      <w:pPr>
        <w:pStyle w:val="Heading2"/>
        <w:spacing w:before="215"/>
        <w:ind w:left="204" w:firstLine="0"/>
        <w:jc w:val="left"/>
      </w:pPr>
      <w:r>
        <w:rPr>
          <w:b w:val="0"/>
        </w:rPr>
        <w:br w:type="column"/>
      </w:r>
      <w:r>
        <w:rPr/>
        <w:t>No.</w:t>
      </w:r>
      <w:r>
        <w:rPr>
          <w:spacing w:val="-1"/>
        </w:rPr>
        <w:t> </w:t>
      </w:r>
      <w:r>
        <w:rPr/>
        <w:t>of</w:t>
      </w:r>
    </w:p>
    <w:p>
      <w:pPr>
        <w:tabs>
          <w:tab w:pos="4244" w:val="left" w:leader="none"/>
          <w:tab w:pos="6967" w:val="left" w:leader="none"/>
        </w:tabs>
        <w:spacing w:before="212"/>
        <w:ind w:left="204" w:right="-15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Layer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Resistivity</w:t>
      </w:r>
      <w:r>
        <w:rPr>
          <w:b/>
          <w:spacing w:val="-1"/>
          <w:sz w:val="24"/>
        </w:rPr>
        <w:t> </w:t>
      </w:r>
      <w:r>
        <w:rPr>
          <w:b/>
          <w:i/>
          <w:sz w:val="24"/>
        </w:rPr>
        <w:t>ρ</w:t>
      </w:r>
      <w:r>
        <w:rPr>
          <w:b/>
          <w:i/>
          <w:spacing w:val="1"/>
          <w:sz w:val="24"/>
        </w:rPr>
        <w:t> </w:t>
      </w:r>
      <w:r>
        <w:rPr>
          <w:b/>
          <w:sz w:val="24"/>
        </w:rPr>
        <w:t>(Ωm)</w:t>
        <w:tab/>
        <w:t>Layer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Depth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(m)</w:t>
        <w:tab/>
        <w:t>Layer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Thickness</w:t>
      </w:r>
    </w:p>
    <w:p>
      <w:pPr>
        <w:spacing w:after="0"/>
        <w:jc w:val="left"/>
        <w:rPr>
          <w:sz w:val="24"/>
        </w:rPr>
        <w:sectPr>
          <w:type w:val="continuous"/>
          <w:pgSz w:w="11910" w:h="16840"/>
          <w:pgMar w:top="1320" w:bottom="280" w:left="700" w:right="0"/>
          <w:cols w:num="3" w:equalWidth="0">
            <w:col w:w="712" w:space="342"/>
            <w:col w:w="859" w:space="632"/>
            <w:col w:w="8665"/>
          </w:cols>
        </w:sectPr>
      </w:pPr>
    </w:p>
    <w:p>
      <w:pPr>
        <w:pStyle w:val="Heading2"/>
        <w:spacing w:before="180"/>
        <w:ind w:left="106" w:firstLine="0"/>
        <w:jc w:val="left"/>
      </w:pPr>
      <w:r>
        <w:rPr/>
        <w:t>Stations</w:t>
      </w:r>
    </w:p>
    <w:p>
      <w:pPr>
        <w:spacing w:before="19"/>
        <w:ind w:left="106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Layers</w:t>
      </w:r>
    </w:p>
    <w:p>
      <w:pPr>
        <w:spacing w:after="0"/>
        <w:jc w:val="left"/>
        <w:rPr>
          <w:sz w:val="24"/>
        </w:rPr>
        <w:sectPr>
          <w:type w:val="continuous"/>
          <w:pgSz w:w="11910" w:h="16840"/>
          <w:pgMar w:top="1320" w:bottom="280" w:left="700" w:right="0"/>
          <w:cols w:num="2" w:equalWidth="0">
            <w:col w:w="974" w:space="133"/>
            <w:col w:w="10103"/>
          </w:cols>
        </w:sectPr>
      </w:pPr>
    </w:p>
    <w:p>
      <w:pPr>
        <w:pStyle w:val="BodyText"/>
        <w:spacing w:before="3"/>
        <w:rPr>
          <w:b/>
          <w:sz w:val="15"/>
        </w:rPr>
      </w:pPr>
    </w:p>
    <w:tbl>
      <w:tblPr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83"/>
        <w:gridCol w:w="880"/>
        <w:gridCol w:w="905"/>
        <w:gridCol w:w="892"/>
        <w:gridCol w:w="799"/>
        <w:gridCol w:w="740"/>
        <w:gridCol w:w="708"/>
        <w:gridCol w:w="612"/>
        <w:gridCol w:w="768"/>
        <w:gridCol w:w="700"/>
        <w:gridCol w:w="584"/>
        <w:gridCol w:w="372"/>
        <w:gridCol w:w="623"/>
        <w:gridCol w:w="686"/>
        <w:gridCol w:w="745"/>
      </w:tblGrid>
      <w:tr>
        <w:trPr>
          <w:trHeight w:val="750" w:hRule="atLeast"/>
        </w:trPr>
        <w:tc>
          <w:tcPr>
            <w:tcW w:w="1083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71" w:lineRule="exact" w:before="160"/>
              <w:ind w:left="174"/>
              <w:rPr>
                <w:sz w:val="16"/>
              </w:rPr>
            </w:pPr>
            <w:r>
              <w:rPr>
                <w:sz w:val="24"/>
              </w:rPr>
              <w:t>P</w:t>
            </w:r>
            <w:r>
              <w:rPr>
                <w:sz w:val="16"/>
              </w:rPr>
              <w:t>2</w:t>
            </w:r>
            <w:r>
              <w:rPr>
                <w:sz w:val="24"/>
              </w:rPr>
              <w:t>V</w:t>
            </w:r>
            <w:r>
              <w:rPr>
                <w:sz w:val="16"/>
              </w:rPr>
              <w:t>3</w:t>
            </w:r>
          </w:p>
        </w:tc>
        <w:tc>
          <w:tcPr>
            <w:tcW w:w="88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73" w:lineRule="exact" w:before="158"/>
              <w:ind w:left="3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0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left="159" w:right="165"/>
              <w:jc w:val="center"/>
              <w:rPr>
                <w:b/>
                <w:sz w:val="16"/>
              </w:rPr>
            </w:pPr>
            <w:r>
              <w:rPr>
                <w:b/>
                <w:i/>
                <w:sz w:val="24"/>
              </w:rPr>
              <w:t>ρ</w:t>
            </w:r>
            <w:r>
              <w:rPr>
                <w:b/>
                <w:sz w:val="16"/>
              </w:rPr>
              <w:t>1</w:t>
            </w:r>
          </w:p>
          <w:p>
            <w:pPr>
              <w:pStyle w:val="TableParagraph"/>
              <w:spacing w:line="273" w:lineRule="exact" w:before="180"/>
              <w:ind w:left="159" w:right="166"/>
              <w:jc w:val="center"/>
              <w:rPr>
                <w:sz w:val="24"/>
              </w:rPr>
            </w:pPr>
            <w:r>
              <w:rPr>
                <w:sz w:val="24"/>
              </w:rPr>
              <w:t>889.1</w:t>
            </w:r>
          </w:p>
        </w:tc>
        <w:tc>
          <w:tcPr>
            <w:tcW w:w="89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left="230" w:right="260"/>
              <w:jc w:val="center"/>
              <w:rPr>
                <w:b/>
                <w:sz w:val="16"/>
              </w:rPr>
            </w:pPr>
            <w:r>
              <w:rPr>
                <w:b/>
                <w:i/>
                <w:sz w:val="24"/>
              </w:rPr>
              <w:t>ρ</w:t>
            </w:r>
            <w:r>
              <w:rPr>
                <w:b/>
                <w:sz w:val="16"/>
              </w:rPr>
              <w:t>2</w:t>
            </w:r>
          </w:p>
          <w:p>
            <w:pPr>
              <w:pStyle w:val="TableParagraph"/>
              <w:spacing w:line="273" w:lineRule="exact" w:before="180"/>
              <w:ind w:left="231" w:right="260"/>
              <w:jc w:val="center"/>
              <w:rPr>
                <w:sz w:val="24"/>
              </w:rPr>
            </w:pPr>
            <w:r>
              <w:rPr>
                <w:sz w:val="24"/>
              </w:rPr>
              <w:t>156</w:t>
            </w:r>
          </w:p>
        </w:tc>
        <w:tc>
          <w:tcPr>
            <w:tcW w:w="79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left="210"/>
              <w:rPr>
                <w:b/>
                <w:sz w:val="16"/>
              </w:rPr>
            </w:pPr>
            <w:r>
              <w:rPr>
                <w:b/>
                <w:i/>
                <w:sz w:val="24"/>
              </w:rPr>
              <w:t>ρ</w:t>
            </w:r>
            <w:r>
              <w:rPr>
                <w:b/>
                <w:sz w:val="16"/>
              </w:rPr>
              <w:t>3</w:t>
            </w:r>
          </w:p>
          <w:p>
            <w:pPr>
              <w:pStyle w:val="TableParagraph"/>
              <w:spacing w:line="273" w:lineRule="exact" w:before="180"/>
              <w:ind w:left="193"/>
              <w:rPr>
                <w:sz w:val="24"/>
              </w:rPr>
            </w:pPr>
            <w:r>
              <w:rPr>
                <w:sz w:val="24"/>
              </w:rPr>
              <w:t>21.1</w:t>
            </w:r>
          </w:p>
        </w:tc>
        <w:tc>
          <w:tcPr>
            <w:tcW w:w="74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left="186"/>
              <w:rPr>
                <w:b/>
                <w:sz w:val="16"/>
              </w:rPr>
            </w:pPr>
            <w:r>
              <w:rPr>
                <w:b/>
                <w:i/>
                <w:sz w:val="24"/>
              </w:rPr>
              <w:t>ρ</w:t>
            </w:r>
            <w:r>
              <w:rPr>
                <w:b/>
                <w:sz w:val="16"/>
              </w:rPr>
              <w:t>4</w:t>
            </w:r>
          </w:p>
          <w:p>
            <w:pPr>
              <w:pStyle w:val="TableParagraph"/>
              <w:spacing w:line="273" w:lineRule="exact" w:before="180"/>
              <w:ind w:left="186"/>
              <w:rPr>
                <w:sz w:val="24"/>
              </w:rPr>
            </w:pPr>
            <w:r>
              <w:rPr>
                <w:sz w:val="24"/>
              </w:rPr>
              <w:t>90.7</w:t>
            </w:r>
          </w:p>
        </w:tc>
        <w:tc>
          <w:tcPr>
            <w:tcW w:w="70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left="152"/>
              <w:rPr>
                <w:b/>
                <w:sz w:val="16"/>
              </w:rPr>
            </w:pPr>
            <w:r>
              <w:rPr>
                <w:b/>
                <w:i/>
                <w:sz w:val="24"/>
              </w:rPr>
              <w:t>ρ</w:t>
            </w:r>
            <w:r>
              <w:rPr>
                <w:b/>
                <w:sz w:val="16"/>
              </w:rPr>
              <w:t>5</w:t>
            </w:r>
          </w:p>
          <w:p>
            <w:pPr>
              <w:pStyle w:val="TableParagraph"/>
              <w:spacing w:line="273" w:lineRule="exact" w:before="180"/>
              <w:ind w:left="135"/>
              <w:rPr>
                <w:sz w:val="24"/>
              </w:rPr>
            </w:pPr>
            <w:r>
              <w:rPr>
                <w:sz w:val="24"/>
              </w:rPr>
              <w:t>∞</w:t>
            </w:r>
          </w:p>
        </w:tc>
        <w:tc>
          <w:tcPr>
            <w:tcW w:w="61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left="135" w:right="136"/>
              <w:jc w:val="center"/>
              <w:rPr>
                <w:b/>
                <w:sz w:val="16"/>
              </w:rPr>
            </w:pPr>
            <w:r>
              <w:rPr>
                <w:b/>
                <w:i/>
                <w:sz w:val="24"/>
              </w:rPr>
              <w:t>d</w:t>
            </w:r>
            <w:r>
              <w:rPr>
                <w:b/>
                <w:sz w:val="16"/>
              </w:rPr>
              <w:t>1</w:t>
            </w:r>
          </w:p>
          <w:p>
            <w:pPr>
              <w:pStyle w:val="TableParagraph"/>
              <w:spacing w:line="273" w:lineRule="exact" w:before="180"/>
              <w:ind w:left="136" w:right="136"/>
              <w:jc w:val="center"/>
              <w:rPr>
                <w:sz w:val="24"/>
              </w:rPr>
            </w:pPr>
            <w:r>
              <w:rPr>
                <w:sz w:val="24"/>
              </w:rPr>
              <w:t>0.8</w:t>
            </w:r>
          </w:p>
        </w:tc>
        <w:tc>
          <w:tcPr>
            <w:tcW w:w="76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left="270"/>
              <w:rPr>
                <w:b/>
                <w:sz w:val="16"/>
              </w:rPr>
            </w:pPr>
            <w:r>
              <w:rPr>
                <w:b/>
                <w:i/>
                <w:sz w:val="24"/>
              </w:rPr>
              <w:t>d</w:t>
            </w:r>
            <w:r>
              <w:rPr>
                <w:b/>
                <w:sz w:val="16"/>
              </w:rPr>
              <w:t>2</w:t>
            </w:r>
          </w:p>
          <w:p>
            <w:pPr>
              <w:pStyle w:val="TableParagraph"/>
              <w:spacing w:line="273" w:lineRule="exact" w:before="180"/>
              <w:ind w:left="274"/>
              <w:rPr>
                <w:sz w:val="24"/>
              </w:rPr>
            </w:pPr>
            <w:r>
              <w:rPr>
                <w:sz w:val="24"/>
              </w:rPr>
              <w:t>4.6</w:t>
            </w:r>
          </w:p>
        </w:tc>
        <w:tc>
          <w:tcPr>
            <w:tcW w:w="70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left="195"/>
              <w:rPr>
                <w:b/>
                <w:sz w:val="16"/>
              </w:rPr>
            </w:pPr>
            <w:r>
              <w:rPr>
                <w:b/>
                <w:i/>
                <w:sz w:val="24"/>
              </w:rPr>
              <w:t>d</w:t>
            </w:r>
            <w:r>
              <w:rPr>
                <w:b/>
                <w:sz w:val="16"/>
              </w:rPr>
              <w:t>3</w:t>
            </w:r>
          </w:p>
          <w:p>
            <w:pPr>
              <w:pStyle w:val="TableParagraph"/>
              <w:spacing w:line="273" w:lineRule="exact" w:before="180"/>
              <w:ind w:left="190"/>
              <w:rPr>
                <w:sz w:val="24"/>
              </w:rPr>
            </w:pPr>
            <w:r>
              <w:rPr>
                <w:sz w:val="24"/>
              </w:rPr>
              <w:t>15.6</w:t>
            </w:r>
          </w:p>
        </w:tc>
        <w:tc>
          <w:tcPr>
            <w:tcW w:w="58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left="158"/>
              <w:rPr>
                <w:b/>
                <w:sz w:val="16"/>
              </w:rPr>
            </w:pPr>
            <w:r>
              <w:rPr>
                <w:b/>
                <w:i/>
                <w:sz w:val="24"/>
              </w:rPr>
              <w:t>d</w:t>
            </w:r>
            <w:r>
              <w:rPr>
                <w:b/>
                <w:sz w:val="16"/>
              </w:rPr>
              <w:t>4</w:t>
            </w:r>
          </w:p>
          <w:p>
            <w:pPr>
              <w:pStyle w:val="TableParagraph"/>
              <w:spacing w:line="273" w:lineRule="exact" w:before="180"/>
              <w:ind w:left="90"/>
              <w:rPr>
                <w:sz w:val="24"/>
              </w:rPr>
            </w:pPr>
            <w:r>
              <w:rPr>
                <w:sz w:val="24"/>
              </w:rPr>
              <w:t>43.7</w:t>
            </w:r>
          </w:p>
        </w:tc>
        <w:tc>
          <w:tcPr>
            <w:tcW w:w="37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left="13"/>
              <w:rPr>
                <w:b/>
                <w:sz w:val="16"/>
              </w:rPr>
            </w:pPr>
            <w:r>
              <w:rPr>
                <w:b/>
                <w:i/>
                <w:sz w:val="24"/>
              </w:rPr>
              <w:t>d</w:t>
            </w:r>
            <w:r>
              <w:rPr>
                <w:b/>
                <w:sz w:val="16"/>
              </w:rPr>
              <w:t>5</w:t>
            </w:r>
          </w:p>
          <w:p>
            <w:pPr>
              <w:pStyle w:val="TableParagraph"/>
              <w:spacing w:line="273" w:lineRule="exact" w:before="180"/>
              <w:ind w:left="46"/>
              <w:rPr>
                <w:sz w:val="24"/>
              </w:rPr>
            </w:pPr>
            <w:r>
              <w:rPr>
                <w:sz w:val="24"/>
              </w:rPr>
              <w:t>∞</w:t>
            </w:r>
          </w:p>
        </w:tc>
        <w:tc>
          <w:tcPr>
            <w:tcW w:w="62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left="196"/>
              <w:rPr>
                <w:b/>
                <w:sz w:val="16"/>
              </w:rPr>
            </w:pPr>
            <w:r>
              <w:rPr>
                <w:b/>
                <w:i/>
                <w:position w:val="1"/>
                <w:sz w:val="24"/>
              </w:rPr>
              <w:t>h</w:t>
            </w:r>
            <w:r>
              <w:rPr>
                <w:b/>
                <w:sz w:val="16"/>
              </w:rPr>
              <w:t>1</w:t>
            </w:r>
          </w:p>
          <w:p>
            <w:pPr>
              <w:pStyle w:val="TableParagraph"/>
              <w:spacing w:line="273" w:lineRule="exact" w:before="180"/>
              <w:ind w:left="153"/>
              <w:rPr>
                <w:sz w:val="24"/>
              </w:rPr>
            </w:pPr>
            <w:r>
              <w:rPr>
                <w:sz w:val="24"/>
              </w:rPr>
              <w:t>0.8</w:t>
            </w:r>
          </w:p>
        </w:tc>
        <w:tc>
          <w:tcPr>
            <w:tcW w:w="68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left="168"/>
              <w:rPr>
                <w:b/>
                <w:sz w:val="16"/>
              </w:rPr>
            </w:pPr>
            <w:r>
              <w:rPr>
                <w:b/>
                <w:i/>
                <w:sz w:val="24"/>
              </w:rPr>
              <w:t>h</w:t>
            </w:r>
            <w:r>
              <w:rPr>
                <w:b/>
                <w:sz w:val="16"/>
              </w:rPr>
              <w:t>2</w:t>
            </w:r>
          </w:p>
          <w:p>
            <w:pPr>
              <w:pStyle w:val="TableParagraph"/>
              <w:spacing w:line="273" w:lineRule="exact" w:before="180"/>
              <w:ind w:left="168"/>
              <w:rPr>
                <w:sz w:val="24"/>
              </w:rPr>
            </w:pPr>
            <w:r>
              <w:rPr>
                <w:sz w:val="24"/>
              </w:rPr>
              <w:t>3.8</w:t>
            </w:r>
          </w:p>
        </w:tc>
        <w:tc>
          <w:tcPr>
            <w:tcW w:w="74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left="94"/>
              <w:rPr>
                <w:b/>
                <w:sz w:val="16"/>
              </w:rPr>
            </w:pPr>
            <w:r>
              <w:rPr>
                <w:b/>
                <w:i/>
                <w:sz w:val="24"/>
              </w:rPr>
              <w:t>h</w:t>
            </w:r>
            <w:r>
              <w:rPr>
                <w:b/>
                <w:sz w:val="16"/>
              </w:rPr>
              <w:t>3</w:t>
            </w:r>
          </w:p>
          <w:p>
            <w:pPr>
              <w:pStyle w:val="TableParagraph"/>
              <w:spacing w:line="273" w:lineRule="exact" w:before="180"/>
              <w:ind w:left="118"/>
              <w:rPr>
                <w:sz w:val="24"/>
              </w:rPr>
            </w:pPr>
            <w:r>
              <w:rPr>
                <w:sz w:val="24"/>
              </w:rPr>
              <w:t>11.0</w:t>
            </w:r>
          </w:p>
        </w:tc>
      </w:tr>
      <w:tr>
        <w:trPr>
          <w:trHeight w:val="615" w:hRule="atLeast"/>
        </w:trPr>
        <w:tc>
          <w:tcPr>
            <w:tcW w:w="1083" w:type="dxa"/>
          </w:tcPr>
          <w:p>
            <w:pPr>
              <w:pStyle w:val="TableParagraph"/>
              <w:spacing w:before="4"/>
              <w:ind w:left="50"/>
              <w:rPr>
                <w:sz w:val="16"/>
              </w:rPr>
            </w:pPr>
            <w:r>
              <w:rPr>
                <w:sz w:val="24"/>
              </w:rPr>
              <w:t>P</w:t>
            </w:r>
            <w:r>
              <w:rPr>
                <w:sz w:val="16"/>
              </w:rPr>
              <w:t>4</w:t>
            </w:r>
            <w:r>
              <w:rPr>
                <w:sz w:val="24"/>
              </w:rPr>
              <w:t>V</w:t>
            </w:r>
            <w:r>
              <w:rPr>
                <w:sz w:val="16"/>
              </w:rPr>
              <w:t>1</w:t>
            </w:r>
            <w:r>
              <w:rPr>
                <w:sz w:val="24"/>
              </w:rPr>
              <w:t>V</w:t>
            </w:r>
            <w:r>
              <w:rPr>
                <w:sz w:val="16"/>
              </w:rPr>
              <w:t>2</w:t>
            </w:r>
          </w:p>
        </w:tc>
        <w:tc>
          <w:tcPr>
            <w:tcW w:w="880" w:type="dxa"/>
          </w:tcPr>
          <w:p>
            <w:pPr>
              <w:pStyle w:val="TableParagraph"/>
              <w:spacing w:before="165"/>
              <w:ind w:left="3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05" w:type="dxa"/>
          </w:tcPr>
          <w:p>
            <w:pPr>
              <w:pStyle w:val="TableParagraph"/>
              <w:spacing w:before="165"/>
              <w:ind w:left="177"/>
              <w:rPr>
                <w:sz w:val="24"/>
              </w:rPr>
            </w:pPr>
            <w:r>
              <w:rPr>
                <w:sz w:val="24"/>
              </w:rPr>
              <w:t>417.9</w:t>
            </w:r>
          </w:p>
        </w:tc>
        <w:tc>
          <w:tcPr>
            <w:tcW w:w="892" w:type="dxa"/>
          </w:tcPr>
          <w:p>
            <w:pPr>
              <w:pStyle w:val="TableParagraph"/>
              <w:spacing w:before="165"/>
              <w:ind w:left="219"/>
              <w:rPr>
                <w:sz w:val="24"/>
              </w:rPr>
            </w:pPr>
            <w:r>
              <w:rPr>
                <w:sz w:val="24"/>
              </w:rPr>
              <w:t>62.3</w:t>
            </w:r>
          </w:p>
        </w:tc>
        <w:tc>
          <w:tcPr>
            <w:tcW w:w="799" w:type="dxa"/>
          </w:tcPr>
          <w:p>
            <w:pPr>
              <w:pStyle w:val="TableParagraph"/>
              <w:spacing w:before="165"/>
              <w:ind w:right="183"/>
              <w:jc w:val="right"/>
              <w:rPr>
                <w:sz w:val="24"/>
              </w:rPr>
            </w:pPr>
            <w:r>
              <w:rPr>
                <w:sz w:val="24"/>
              </w:rPr>
              <w:t>18.0</w:t>
            </w:r>
          </w:p>
        </w:tc>
        <w:tc>
          <w:tcPr>
            <w:tcW w:w="740" w:type="dxa"/>
          </w:tcPr>
          <w:p>
            <w:pPr>
              <w:pStyle w:val="TableParagraph"/>
              <w:spacing w:before="165"/>
              <w:ind w:left="186"/>
              <w:rPr>
                <w:sz w:val="24"/>
              </w:rPr>
            </w:pPr>
            <w:r>
              <w:rPr>
                <w:sz w:val="24"/>
              </w:rPr>
              <w:t>27.9</w:t>
            </w:r>
          </w:p>
        </w:tc>
        <w:tc>
          <w:tcPr>
            <w:tcW w:w="708" w:type="dxa"/>
          </w:tcPr>
          <w:p>
            <w:pPr>
              <w:pStyle w:val="TableParagraph"/>
              <w:spacing w:before="16"/>
              <w:ind w:left="135"/>
              <w:rPr>
                <w:sz w:val="24"/>
              </w:rPr>
            </w:pPr>
            <w:r>
              <w:rPr>
                <w:sz w:val="24"/>
              </w:rPr>
              <w:t>∞</w:t>
            </w:r>
          </w:p>
          <w:p>
            <w:pPr>
              <w:pStyle w:val="TableParagraph"/>
              <w:spacing w:line="272" w:lineRule="exact" w:before="31"/>
              <w:ind w:left="135"/>
              <w:rPr>
                <w:sz w:val="24"/>
              </w:rPr>
            </w:pPr>
            <w:r>
              <w:rPr>
                <w:sz w:val="24"/>
              </w:rPr>
              <w:t>∞</w:t>
            </w:r>
          </w:p>
        </w:tc>
        <w:tc>
          <w:tcPr>
            <w:tcW w:w="612" w:type="dxa"/>
          </w:tcPr>
          <w:p>
            <w:pPr>
              <w:pStyle w:val="TableParagraph"/>
              <w:spacing w:before="165"/>
              <w:ind w:left="136" w:right="136"/>
              <w:jc w:val="center"/>
              <w:rPr>
                <w:sz w:val="24"/>
              </w:rPr>
            </w:pPr>
            <w:r>
              <w:rPr>
                <w:sz w:val="24"/>
              </w:rPr>
              <w:t>1.8</w:t>
            </w:r>
          </w:p>
        </w:tc>
        <w:tc>
          <w:tcPr>
            <w:tcW w:w="768" w:type="dxa"/>
          </w:tcPr>
          <w:p>
            <w:pPr>
              <w:pStyle w:val="TableParagraph"/>
              <w:spacing w:before="165"/>
              <w:ind w:left="141" w:right="167"/>
              <w:jc w:val="center"/>
              <w:rPr>
                <w:sz w:val="24"/>
              </w:rPr>
            </w:pPr>
            <w:r>
              <w:rPr>
                <w:sz w:val="24"/>
              </w:rPr>
              <w:t>9.7</w:t>
            </w:r>
          </w:p>
        </w:tc>
        <w:tc>
          <w:tcPr>
            <w:tcW w:w="700" w:type="dxa"/>
          </w:tcPr>
          <w:p>
            <w:pPr>
              <w:pStyle w:val="TableParagraph"/>
              <w:spacing w:before="165"/>
              <w:ind w:right="87"/>
              <w:jc w:val="right"/>
              <w:rPr>
                <w:sz w:val="24"/>
              </w:rPr>
            </w:pPr>
            <w:r>
              <w:rPr>
                <w:sz w:val="24"/>
              </w:rPr>
              <w:t>60.4</w:t>
            </w:r>
          </w:p>
        </w:tc>
        <w:tc>
          <w:tcPr>
            <w:tcW w:w="584" w:type="dxa"/>
          </w:tcPr>
          <w:p>
            <w:pPr>
              <w:pStyle w:val="TableParagraph"/>
              <w:spacing w:before="165"/>
              <w:ind w:left="150"/>
              <w:rPr>
                <w:sz w:val="24"/>
              </w:rPr>
            </w:pPr>
            <w:r>
              <w:rPr>
                <w:sz w:val="24"/>
              </w:rPr>
              <w:t>∞</w:t>
            </w:r>
          </w:p>
        </w:tc>
        <w:tc>
          <w:tcPr>
            <w:tcW w:w="372" w:type="dxa"/>
          </w:tcPr>
          <w:p>
            <w:pPr>
              <w:pStyle w:val="TableParagraph"/>
              <w:spacing w:before="165"/>
              <w:ind w:left="37"/>
              <w:rPr>
                <w:sz w:val="24"/>
              </w:rPr>
            </w:pPr>
            <w:r>
              <w:rPr>
                <w:sz w:val="24"/>
              </w:rPr>
              <w:t>∞</w:t>
            </w:r>
          </w:p>
        </w:tc>
        <w:tc>
          <w:tcPr>
            <w:tcW w:w="623" w:type="dxa"/>
          </w:tcPr>
          <w:p>
            <w:pPr>
              <w:pStyle w:val="TableParagraph"/>
              <w:spacing w:before="165"/>
              <w:ind w:left="133" w:right="149"/>
              <w:jc w:val="center"/>
              <w:rPr>
                <w:sz w:val="24"/>
              </w:rPr>
            </w:pPr>
            <w:r>
              <w:rPr>
                <w:sz w:val="24"/>
              </w:rPr>
              <w:t>1.8</w:t>
            </w:r>
          </w:p>
        </w:tc>
        <w:tc>
          <w:tcPr>
            <w:tcW w:w="686" w:type="dxa"/>
          </w:tcPr>
          <w:p>
            <w:pPr>
              <w:pStyle w:val="TableParagraph"/>
              <w:spacing w:before="165"/>
              <w:ind w:left="168"/>
              <w:rPr>
                <w:sz w:val="24"/>
              </w:rPr>
            </w:pPr>
            <w:r>
              <w:rPr>
                <w:sz w:val="24"/>
              </w:rPr>
              <w:t>7.9</w:t>
            </w:r>
          </w:p>
        </w:tc>
        <w:tc>
          <w:tcPr>
            <w:tcW w:w="745" w:type="dxa"/>
          </w:tcPr>
          <w:p>
            <w:pPr>
              <w:pStyle w:val="TableParagraph"/>
              <w:spacing w:before="165"/>
              <w:ind w:left="118"/>
              <w:rPr>
                <w:sz w:val="24"/>
              </w:rPr>
            </w:pPr>
            <w:r>
              <w:rPr>
                <w:sz w:val="24"/>
              </w:rPr>
              <w:t>50.7</w:t>
            </w:r>
          </w:p>
        </w:tc>
      </w:tr>
      <w:tr>
        <w:trPr>
          <w:trHeight w:val="379" w:hRule="atLeast"/>
        </w:trPr>
        <w:tc>
          <w:tcPr>
            <w:tcW w:w="108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80" w:type="dxa"/>
          </w:tcPr>
          <w:p>
            <w:pPr>
              <w:pStyle w:val="TableParagraph"/>
              <w:spacing w:before="5"/>
              <w:ind w:left="3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05" w:type="dxa"/>
          </w:tcPr>
          <w:p>
            <w:pPr>
              <w:pStyle w:val="TableParagraph"/>
              <w:spacing w:before="5"/>
              <w:ind w:left="177"/>
              <w:rPr>
                <w:sz w:val="24"/>
              </w:rPr>
            </w:pPr>
            <w:r>
              <w:rPr>
                <w:sz w:val="24"/>
              </w:rPr>
              <w:t>414.2</w:t>
            </w:r>
          </w:p>
        </w:tc>
        <w:tc>
          <w:tcPr>
            <w:tcW w:w="892" w:type="dxa"/>
          </w:tcPr>
          <w:p>
            <w:pPr>
              <w:pStyle w:val="TableParagraph"/>
              <w:spacing w:before="5"/>
              <w:ind w:left="159"/>
              <w:rPr>
                <w:sz w:val="24"/>
              </w:rPr>
            </w:pPr>
            <w:r>
              <w:rPr>
                <w:sz w:val="24"/>
              </w:rPr>
              <w:t>168.6</w:t>
            </w:r>
          </w:p>
        </w:tc>
        <w:tc>
          <w:tcPr>
            <w:tcW w:w="799" w:type="dxa"/>
          </w:tcPr>
          <w:p>
            <w:pPr>
              <w:pStyle w:val="TableParagraph"/>
              <w:spacing w:before="5"/>
              <w:ind w:right="183"/>
              <w:jc w:val="right"/>
              <w:rPr>
                <w:sz w:val="24"/>
              </w:rPr>
            </w:pPr>
            <w:r>
              <w:rPr>
                <w:sz w:val="24"/>
              </w:rPr>
              <w:t>20.2</w:t>
            </w:r>
          </w:p>
        </w:tc>
        <w:tc>
          <w:tcPr>
            <w:tcW w:w="740" w:type="dxa"/>
          </w:tcPr>
          <w:p>
            <w:pPr>
              <w:pStyle w:val="TableParagraph"/>
              <w:spacing w:before="5"/>
              <w:ind w:left="186"/>
              <w:rPr>
                <w:sz w:val="24"/>
              </w:rPr>
            </w:pPr>
            <w:r>
              <w:rPr>
                <w:sz w:val="24"/>
              </w:rPr>
              <w:t>41.8</w:t>
            </w:r>
          </w:p>
        </w:tc>
        <w:tc>
          <w:tcPr>
            <w:tcW w:w="70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12" w:type="dxa"/>
          </w:tcPr>
          <w:p>
            <w:pPr>
              <w:pStyle w:val="TableParagraph"/>
              <w:spacing w:before="5"/>
              <w:ind w:left="136" w:right="136"/>
              <w:jc w:val="center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768" w:type="dxa"/>
          </w:tcPr>
          <w:p>
            <w:pPr>
              <w:pStyle w:val="TableParagraph"/>
              <w:spacing w:before="5"/>
              <w:ind w:left="141" w:right="167"/>
              <w:jc w:val="center"/>
              <w:rPr>
                <w:sz w:val="24"/>
              </w:rPr>
            </w:pPr>
            <w:r>
              <w:rPr>
                <w:sz w:val="24"/>
              </w:rPr>
              <w:t>4.5</w:t>
            </w:r>
          </w:p>
        </w:tc>
        <w:tc>
          <w:tcPr>
            <w:tcW w:w="700" w:type="dxa"/>
          </w:tcPr>
          <w:p>
            <w:pPr>
              <w:pStyle w:val="TableParagraph"/>
              <w:spacing w:before="5"/>
              <w:ind w:right="87"/>
              <w:jc w:val="right"/>
              <w:rPr>
                <w:sz w:val="24"/>
              </w:rPr>
            </w:pPr>
            <w:r>
              <w:rPr>
                <w:sz w:val="24"/>
              </w:rPr>
              <w:t>32.2</w:t>
            </w:r>
          </w:p>
        </w:tc>
        <w:tc>
          <w:tcPr>
            <w:tcW w:w="584" w:type="dxa"/>
          </w:tcPr>
          <w:p>
            <w:pPr>
              <w:pStyle w:val="TableParagraph"/>
              <w:spacing w:before="5"/>
              <w:ind w:left="150"/>
              <w:rPr>
                <w:sz w:val="24"/>
              </w:rPr>
            </w:pPr>
            <w:r>
              <w:rPr>
                <w:sz w:val="24"/>
              </w:rPr>
              <w:t>∞</w:t>
            </w:r>
          </w:p>
        </w:tc>
        <w:tc>
          <w:tcPr>
            <w:tcW w:w="372" w:type="dxa"/>
          </w:tcPr>
          <w:p>
            <w:pPr>
              <w:pStyle w:val="TableParagraph"/>
              <w:spacing w:before="5"/>
              <w:ind w:left="37"/>
              <w:rPr>
                <w:sz w:val="24"/>
              </w:rPr>
            </w:pPr>
            <w:r>
              <w:rPr>
                <w:sz w:val="24"/>
              </w:rPr>
              <w:t>∞</w:t>
            </w:r>
          </w:p>
        </w:tc>
        <w:tc>
          <w:tcPr>
            <w:tcW w:w="623" w:type="dxa"/>
          </w:tcPr>
          <w:p>
            <w:pPr>
              <w:pStyle w:val="TableParagraph"/>
              <w:spacing w:before="5"/>
              <w:ind w:left="133" w:right="149"/>
              <w:jc w:val="center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686" w:type="dxa"/>
          </w:tcPr>
          <w:p>
            <w:pPr>
              <w:pStyle w:val="TableParagraph"/>
              <w:spacing w:before="5"/>
              <w:ind w:left="168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w="745" w:type="dxa"/>
          </w:tcPr>
          <w:p>
            <w:pPr>
              <w:pStyle w:val="TableParagraph"/>
              <w:spacing w:before="5"/>
              <w:ind w:left="118"/>
              <w:rPr>
                <w:sz w:val="24"/>
              </w:rPr>
            </w:pPr>
            <w:r>
              <w:rPr>
                <w:sz w:val="24"/>
              </w:rPr>
              <w:t>27.7</w:t>
            </w:r>
          </w:p>
        </w:tc>
      </w:tr>
      <w:tr>
        <w:trPr>
          <w:trHeight w:val="459" w:hRule="atLeast"/>
        </w:trPr>
        <w:tc>
          <w:tcPr>
            <w:tcW w:w="1083" w:type="dxa"/>
          </w:tcPr>
          <w:p>
            <w:pPr>
              <w:pStyle w:val="TableParagraph"/>
              <w:spacing w:before="87"/>
              <w:ind w:left="50"/>
              <w:rPr>
                <w:sz w:val="16"/>
              </w:rPr>
            </w:pPr>
            <w:r>
              <w:rPr>
                <w:sz w:val="24"/>
              </w:rPr>
              <w:t>P</w:t>
            </w:r>
            <w:r>
              <w:rPr>
                <w:sz w:val="16"/>
              </w:rPr>
              <w:t>5</w:t>
            </w:r>
            <w:r>
              <w:rPr>
                <w:sz w:val="24"/>
              </w:rPr>
              <w:t>V</w:t>
            </w:r>
            <w:r>
              <w:rPr>
                <w:sz w:val="16"/>
              </w:rPr>
              <w:t>1</w:t>
            </w:r>
            <w:r>
              <w:rPr>
                <w:sz w:val="24"/>
              </w:rPr>
              <w:t>V</w:t>
            </w:r>
            <w:r>
              <w:rPr>
                <w:sz w:val="16"/>
              </w:rPr>
              <w:t>2</w:t>
            </w:r>
          </w:p>
        </w:tc>
        <w:tc>
          <w:tcPr>
            <w:tcW w:w="880" w:type="dxa"/>
          </w:tcPr>
          <w:p>
            <w:pPr>
              <w:pStyle w:val="TableParagraph"/>
              <w:spacing w:before="87"/>
              <w:ind w:left="3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05" w:type="dxa"/>
          </w:tcPr>
          <w:p>
            <w:pPr>
              <w:pStyle w:val="TableParagraph"/>
              <w:spacing w:before="87"/>
              <w:ind w:left="108"/>
              <w:rPr>
                <w:sz w:val="24"/>
              </w:rPr>
            </w:pPr>
            <w:r>
              <w:rPr>
                <w:sz w:val="24"/>
              </w:rPr>
              <w:t>586.21</w:t>
            </w:r>
          </w:p>
        </w:tc>
        <w:tc>
          <w:tcPr>
            <w:tcW w:w="892" w:type="dxa"/>
          </w:tcPr>
          <w:p>
            <w:pPr>
              <w:pStyle w:val="TableParagraph"/>
              <w:spacing w:before="87"/>
              <w:ind w:left="159"/>
              <w:rPr>
                <w:sz w:val="24"/>
              </w:rPr>
            </w:pPr>
            <w:r>
              <w:rPr>
                <w:sz w:val="24"/>
              </w:rPr>
              <w:t>232.8</w:t>
            </w:r>
          </w:p>
        </w:tc>
        <w:tc>
          <w:tcPr>
            <w:tcW w:w="799" w:type="dxa"/>
          </w:tcPr>
          <w:p>
            <w:pPr>
              <w:pStyle w:val="TableParagraph"/>
              <w:spacing w:before="87"/>
              <w:ind w:right="183"/>
              <w:jc w:val="right"/>
              <w:rPr>
                <w:sz w:val="24"/>
              </w:rPr>
            </w:pPr>
            <w:r>
              <w:rPr>
                <w:sz w:val="24"/>
              </w:rPr>
              <w:t>39.7</w:t>
            </w:r>
          </w:p>
        </w:tc>
        <w:tc>
          <w:tcPr>
            <w:tcW w:w="740" w:type="dxa"/>
          </w:tcPr>
          <w:p>
            <w:pPr>
              <w:pStyle w:val="TableParagraph"/>
              <w:spacing w:before="87"/>
              <w:ind w:left="186"/>
              <w:rPr>
                <w:sz w:val="24"/>
              </w:rPr>
            </w:pPr>
            <w:r>
              <w:rPr>
                <w:sz w:val="24"/>
              </w:rPr>
              <w:t>12.0</w:t>
            </w:r>
          </w:p>
        </w:tc>
        <w:tc>
          <w:tcPr>
            <w:tcW w:w="708" w:type="dxa"/>
          </w:tcPr>
          <w:p>
            <w:pPr>
              <w:pStyle w:val="TableParagraph"/>
              <w:spacing w:before="87"/>
              <w:ind w:left="135"/>
              <w:rPr>
                <w:sz w:val="24"/>
              </w:rPr>
            </w:pPr>
            <w:r>
              <w:rPr>
                <w:sz w:val="24"/>
              </w:rPr>
              <w:t>∞</w:t>
            </w:r>
          </w:p>
        </w:tc>
        <w:tc>
          <w:tcPr>
            <w:tcW w:w="612" w:type="dxa"/>
          </w:tcPr>
          <w:p>
            <w:pPr>
              <w:pStyle w:val="TableParagraph"/>
              <w:spacing w:before="87"/>
              <w:ind w:left="136" w:right="136"/>
              <w:jc w:val="center"/>
              <w:rPr>
                <w:sz w:val="24"/>
              </w:rPr>
            </w:pPr>
            <w:r>
              <w:rPr>
                <w:sz w:val="24"/>
              </w:rPr>
              <w:t>1.7</w:t>
            </w:r>
          </w:p>
        </w:tc>
        <w:tc>
          <w:tcPr>
            <w:tcW w:w="768" w:type="dxa"/>
          </w:tcPr>
          <w:p>
            <w:pPr>
              <w:pStyle w:val="TableParagraph"/>
              <w:spacing w:before="87"/>
              <w:ind w:left="141" w:right="167"/>
              <w:jc w:val="center"/>
              <w:rPr>
                <w:sz w:val="24"/>
              </w:rPr>
            </w:pPr>
            <w:r>
              <w:rPr>
                <w:sz w:val="24"/>
              </w:rPr>
              <w:t>4.7</w:t>
            </w:r>
          </w:p>
        </w:tc>
        <w:tc>
          <w:tcPr>
            <w:tcW w:w="700" w:type="dxa"/>
          </w:tcPr>
          <w:p>
            <w:pPr>
              <w:pStyle w:val="TableParagraph"/>
              <w:spacing w:before="87"/>
              <w:ind w:right="87"/>
              <w:jc w:val="right"/>
              <w:rPr>
                <w:sz w:val="24"/>
              </w:rPr>
            </w:pPr>
            <w:r>
              <w:rPr>
                <w:sz w:val="24"/>
              </w:rPr>
              <w:t>38.8</w:t>
            </w:r>
          </w:p>
        </w:tc>
        <w:tc>
          <w:tcPr>
            <w:tcW w:w="584" w:type="dxa"/>
          </w:tcPr>
          <w:p>
            <w:pPr>
              <w:pStyle w:val="TableParagraph"/>
              <w:spacing w:before="87"/>
              <w:ind w:left="150"/>
              <w:rPr>
                <w:sz w:val="24"/>
              </w:rPr>
            </w:pPr>
            <w:r>
              <w:rPr>
                <w:sz w:val="24"/>
              </w:rPr>
              <w:t>∞</w:t>
            </w:r>
          </w:p>
        </w:tc>
        <w:tc>
          <w:tcPr>
            <w:tcW w:w="372" w:type="dxa"/>
          </w:tcPr>
          <w:p>
            <w:pPr>
              <w:pStyle w:val="TableParagraph"/>
              <w:spacing w:before="87"/>
              <w:ind w:left="37"/>
              <w:rPr>
                <w:sz w:val="24"/>
              </w:rPr>
            </w:pPr>
            <w:r>
              <w:rPr>
                <w:sz w:val="24"/>
              </w:rPr>
              <w:t>∞</w:t>
            </w:r>
          </w:p>
        </w:tc>
        <w:tc>
          <w:tcPr>
            <w:tcW w:w="623" w:type="dxa"/>
          </w:tcPr>
          <w:p>
            <w:pPr>
              <w:pStyle w:val="TableParagraph"/>
              <w:spacing w:before="87"/>
              <w:ind w:left="133" w:right="149"/>
              <w:jc w:val="center"/>
              <w:rPr>
                <w:sz w:val="24"/>
              </w:rPr>
            </w:pPr>
            <w:r>
              <w:rPr>
                <w:sz w:val="24"/>
              </w:rPr>
              <w:t>1.7</w:t>
            </w:r>
          </w:p>
        </w:tc>
        <w:tc>
          <w:tcPr>
            <w:tcW w:w="686" w:type="dxa"/>
          </w:tcPr>
          <w:p>
            <w:pPr>
              <w:pStyle w:val="TableParagraph"/>
              <w:spacing w:before="87"/>
              <w:ind w:left="168"/>
              <w:rPr>
                <w:sz w:val="24"/>
              </w:rPr>
            </w:pPr>
            <w:r>
              <w:rPr>
                <w:sz w:val="24"/>
              </w:rPr>
              <w:t>3.0</w:t>
            </w:r>
          </w:p>
        </w:tc>
        <w:tc>
          <w:tcPr>
            <w:tcW w:w="745" w:type="dxa"/>
          </w:tcPr>
          <w:p>
            <w:pPr>
              <w:pStyle w:val="TableParagraph"/>
              <w:spacing w:before="87"/>
              <w:ind w:left="118"/>
              <w:rPr>
                <w:sz w:val="24"/>
              </w:rPr>
            </w:pPr>
            <w:r>
              <w:rPr>
                <w:sz w:val="24"/>
              </w:rPr>
              <w:t>34.1</w:t>
            </w:r>
          </w:p>
        </w:tc>
      </w:tr>
      <w:tr>
        <w:trPr>
          <w:trHeight w:val="459" w:hRule="atLeast"/>
        </w:trPr>
        <w:tc>
          <w:tcPr>
            <w:tcW w:w="108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80" w:type="dxa"/>
          </w:tcPr>
          <w:p>
            <w:pPr>
              <w:pStyle w:val="TableParagraph"/>
              <w:spacing w:before="86"/>
              <w:ind w:left="3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05" w:type="dxa"/>
          </w:tcPr>
          <w:p>
            <w:pPr>
              <w:pStyle w:val="TableParagraph"/>
              <w:spacing w:before="86"/>
              <w:ind w:left="108"/>
              <w:rPr>
                <w:sz w:val="24"/>
              </w:rPr>
            </w:pPr>
            <w:r>
              <w:rPr>
                <w:sz w:val="24"/>
              </w:rPr>
              <w:t>1415.5</w:t>
            </w:r>
          </w:p>
        </w:tc>
        <w:tc>
          <w:tcPr>
            <w:tcW w:w="892" w:type="dxa"/>
          </w:tcPr>
          <w:p>
            <w:pPr>
              <w:pStyle w:val="TableParagraph"/>
              <w:spacing w:before="86"/>
              <w:ind w:left="219"/>
              <w:rPr>
                <w:sz w:val="24"/>
              </w:rPr>
            </w:pPr>
            <w:r>
              <w:rPr>
                <w:sz w:val="24"/>
              </w:rPr>
              <w:t>86.9</w:t>
            </w:r>
          </w:p>
        </w:tc>
        <w:tc>
          <w:tcPr>
            <w:tcW w:w="799" w:type="dxa"/>
          </w:tcPr>
          <w:p>
            <w:pPr>
              <w:pStyle w:val="TableParagraph"/>
              <w:spacing w:before="86"/>
              <w:ind w:right="183"/>
              <w:jc w:val="right"/>
              <w:rPr>
                <w:sz w:val="24"/>
              </w:rPr>
            </w:pPr>
            <w:r>
              <w:rPr>
                <w:sz w:val="24"/>
              </w:rPr>
              <w:t>19.4</w:t>
            </w:r>
          </w:p>
        </w:tc>
        <w:tc>
          <w:tcPr>
            <w:tcW w:w="740" w:type="dxa"/>
          </w:tcPr>
          <w:p>
            <w:pPr>
              <w:pStyle w:val="TableParagraph"/>
              <w:spacing w:before="86"/>
              <w:ind w:left="186"/>
              <w:rPr>
                <w:sz w:val="24"/>
              </w:rPr>
            </w:pPr>
            <w:r>
              <w:rPr>
                <w:sz w:val="24"/>
              </w:rPr>
              <w:t>57.1</w:t>
            </w:r>
          </w:p>
        </w:tc>
        <w:tc>
          <w:tcPr>
            <w:tcW w:w="708" w:type="dxa"/>
          </w:tcPr>
          <w:p>
            <w:pPr>
              <w:pStyle w:val="TableParagraph"/>
              <w:spacing w:before="86"/>
              <w:ind w:left="135"/>
              <w:rPr>
                <w:sz w:val="24"/>
              </w:rPr>
            </w:pPr>
            <w:r>
              <w:rPr>
                <w:sz w:val="24"/>
              </w:rPr>
              <w:t>7.4</w:t>
            </w:r>
          </w:p>
        </w:tc>
        <w:tc>
          <w:tcPr>
            <w:tcW w:w="612" w:type="dxa"/>
          </w:tcPr>
          <w:p>
            <w:pPr>
              <w:pStyle w:val="TableParagraph"/>
              <w:spacing w:before="86"/>
              <w:ind w:left="136" w:right="136"/>
              <w:jc w:val="center"/>
              <w:rPr>
                <w:sz w:val="24"/>
              </w:rPr>
            </w:pPr>
            <w:r>
              <w:rPr>
                <w:sz w:val="24"/>
              </w:rPr>
              <w:t>0.7</w:t>
            </w:r>
          </w:p>
        </w:tc>
        <w:tc>
          <w:tcPr>
            <w:tcW w:w="768" w:type="dxa"/>
          </w:tcPr>
          <w:p>
            <w:pPr>
              <w:pStyle w:val="TableParagraph"/>
              <w:spacing w:before="86"/>
              <w:ind w:left="141" w:right="167"/>
              <w:jc w:val="center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700" w:type="dxa"/>
          </w:tcPr>
          <w:p>
            <w:pPr>
              <w:pStyle w:val="TableParagraph"/>
              <w:spacing w:before="86"/>
              <w:ind w:right="87"/>
              <w:jc w:val="right"/>
              <w:rPr>
                <w:sz w:val="24"/>
              </w:rPr>
            </w:pPr>
            <w:r>
              <w:rPr>
                <w:sz w:val="24"/>
              </w:rPr>
              <w:t>11.2</w:t>
            </w:r>
          </w:p>
        </w:tc>
        <w:tc>
          <w:tcPr>
            <w:tcW w:w="584" w:type="dxa"/>
          </w:tcPr>
          <w:p>
            <w:pPr>
              <w:pStyle w:val="TableParagraph"/>
              <w:spacing w:before="86"/>
              <w:ind w:right="11"/>
              <w:jc w:val="right"/>
              <w:rPr>
                <w:sz w:val="24"/>
              </w:rPr>
            </w:pPr>
            <w:r>
              <w:rPr>
                <w:sz w:val="24"/>
              </w:rPr>
              <w:t>34.0</w:t>
            </w:r>
          </w:p>
        </w:tc>
        <w:tc>
          <w:tcPr>
            <w:tcW w:w="372" w:type="dxa"/>
          </w:tcPr>
          <w:p>
            <w:pPr>
              <w:pStyle w:val="TableParagraph"/>
              <w:spacing w:before="86"/>
              <w:ind w:left="46"/>
              <w:rPr>
                <w:sz w:val="24"/>
              </w:rPr>
            </w:pPr>
            <w:r>
              <w:rPr>
                <w:sz w:val="24"/>
              </w:rPr>
              <w:t>∞</w:t>
            </w:r>
          </w:p>
        </w:tc>
        <w:tc>
          <w:tcPr>
            <w:tcW w:w="623" w:type="dxa"/>
          </w:tcPr>
          <w:p>
            <w:pPr>
              <w:pStyle w:val="TableParagraph"/>
              <w:spacing w:before="86"/>
              <w:ind w:left="133" w:right="149"/>
              <w:jc w:val="center"/>
              <w:rPr>
                <w:sz w:val="24"/>
              </w:rPr>
            </w:pPr>
            <w:r>
              <w:rPr>
                <w:sz w:val="24"/>
              </w:rPr>
              <w:t>0.7</w:t>
            </w:r>
          </w:p>
        </w:tc>
        <w:tc>
          <w:tcPr>
            <w:tcW w:w="686" w:type="dxa"/>
          </w:tcPr>
          <w:p>
            <w:pPr>
              <w:pStyle w:val="TableParagraph"/>
              <w:spacing w:before="86"/>
              <w:ind w:left="168"/>
              <w:rPr>
                <w:sz w:val="24"/>
              </w:rPr>
            </w:pPr>
            <w:r>
              <w:rPr>
                <w:sz w:val="24"/>
              </w:rPr>
              <w:t>2.7</w:t>
            </w:r>
          </w:p>
        </w:tc>
        <w:tc>
          <w:tcPr>
            <w:tcW w:w="745" w:type="dxa"/>
          </w:tcPr>
          <w:p>
            <w:pPr>
              <w:pStyle w:val="TableParagraph"/>
              <w:spacing w:before="86"/>
              <w:ind w:left="118"/>
              <w:rPr>
                <w:sz w:val="24"/>
              </w:rPr>
            </w:pPr>
            <w:r>
              <w:rPr>
                <w:sz w:val="24"/>
              </w:rPr>
              <w:t>7.8</w:t>
            </w:r>
          </w:p>
        </w:tc>
      </w:tr>
      <w:tr>
        <w:trPr>
          <w:trHeight w:val="459" w:hRule="atLeast"/>
        </w:trPr>
        <w:tc>
          <w:tcPr>
            <w:tcW w:w="1083" w:type="dxa"/>
          </w:tcPr>
          <w:p>
            <w:pPr>
              <w:pStyle w:val="TableParagraph"/>
              <w:spacing w:before="87"/>
              <w:ind w:left="50"/>
              <w:rPr>
                <w:sz w:val="16"/>
              </w:rPr>
            </w:pPr>
            <w:r>
              <w:rPr>
                <w:sz w:val="24"/>
              </w:rPr>
              <w:t>P</w:t>
            </w:r>
            <w:r>
              <w:rPr>
                <w:sz w:val="16"/>
              </w:rPr>
              <w:t>7</w:t>
            </w:r>
            <w:r>
              <w:rPr>
                <w:sz w:val="24"/>
              </w:rPr>
              <w:t>V</w:t>
            </w:r>
            <w:r>
              <w:rPr>
                <w:sz w:val="16"/>
              </w:rPr>
              <w:t>3</w:t>
            </w:r>
            <w:r>
              <w:rPr>
                <w:sz w:val="24"/>
              </w:rPr>
              <w:t>V</w:t>
            </w:r>
            <w:r>
              <w:rPr>
                <w:sz w:val="16"/>
              </w:rPr>
              <w:t>4</w:t>
            </w:r>
          </w:p>
        </w:tc>
        <w:tc>
          <w:tcPr>
            <w:tcW w:w="880" w:type="dxa"/>
          </w:tcPr>
          <w:p>
            <w:pPr>
              <w:pStyle w:val="TableParagraph"/>
              <w:spacing w:before="87"/>
              <w:ind w:left="3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05" w:type="dxa"/>
          </w:tcPr>
          <w:p>
            <w:pPr>
              <w:pStyle w:val="TableParagraph"/>
              <w:spacing w:before="87"/>
              <w:ind w:left="108"/>
              <w:rPr>
                <w:sz w:val="24"/>
              </w:rPr>
            </w:pPr>
            <w:r>
              <w:rPr>
                <w:sz w:val="24"/>
              </w:rPr>
              <w:t>875.5</w:t>
            </w:r>
          </w:p>
        </w:tc>
        <w:tc>
          <w:tcPr>
            <w:tcW w:w="892" w:type="dxa"/>
          </w:tcPr>
          <w:p>
            <w:pPr>
              <w:pStyle w:val="TableParagraph"/>
              <w:spacing w:before="87"/>
              <w:ind w:left="197"/>
              <w:rPr>
                <w:sz w:val="24"/>
              </w:rPr>
            </w:pPr>
            <w:r>
              <w:rPr>
                <w:sz w:val="24"/>
              </w:rPr>
              <w:t>48.0</w:t>
            </w:r>
          </w:p>
        </w:tc>
        <w:tc>
          <w:tcPr>
            <w:tcW w:w="799" w:type="dxa"/>
          </w:tcPr>
          <w:p>
            <w:pPr>
              <w:pStyle w:val="TableParagraph"/>
              <w:spacing w:before="87"/>
              <w:ind w:right="183"/>
              <w:jc w:val="right"/>
              <w:rPr>
                <w:sz w:val="24"/>
              </w:rPr>
            </w:pPr>
            <w:r>
              <w:rPr>
                <w:sz w:val="24"/>
              </w:rPr>
              <w:t>16.0</w:t>
            </w:r>
          </w:p>
        </w:tc>
        <w:tc>
          <w:tcPr>
            <w:tcW w:w="740" w:type="dxa"/>
          </w:tcPr>
          <w:p>
            <w:pPr>
              <w:pStyle w:val="TableParagraph"/>
              <w:spacing w:before="87"/>
              <w:ind w:left="186"/>
              <w:rPr>
                <w:sz w:val="24"/>
              </w:rPr>
            </w:pPr>
            <w:r>
              <w:rPr>
                <w:sz w:val="24"/>
              </w:rPr>
              <w:t>8.8</w:t>
            </w:r>
          </w:p>
        </w:tc>
        <w:tc>
          <w:tcPr>
            <w:tcW w:w="708" w:type="dxa"/>
          </w:tcPr>
          <w:p>
            <w:pPr>
              <w:pStyle w:val="TableParagraph"/>
              <w:spacing w:before="87"/>
              <w:ind w:left="135"/>
              <w:rPr>
                <w:sz w:val="24"/>
              </w:rPr>
            </w:pPr>
            <w:r>
              <w:rPr>
                <w:sz w:val="24"/>
              </w:rPr>
              <w:t>∞</w:t>
            </w:r>
          </w:p>
        </w:tc>
        <w:tc>
          <w:tcPr>
            <w:tcW w:w="612" w:type="dxa"/>
          </w:tcPr>
          <w:p>
            <w:pPr>
              <w:pStyle w:val="TableParagraph"/>
              <w:spacing w:before="87"/>
              <w:ind w:left="136" w:right="136"/>
              <w:jc w:val="center"/>
              <w:rPr>
                <w:sz w:val="24"/>
              </w:rPr>
            </w:pPr>
            <w:r>
              <w:rPr>
                <w:sz w:val="24"/>
              </w:rPr>
              <w:t>1.0</w:t>
            </w:r>
          </w:p>
        </w:tc>
        <w:tc>
          <w:tcPr>
            <w:tcW w:w="768" w:type="dxa"/>
          </w:tcPr>
          <w:p>
            <w:pPr>
              <w:pStyle w:val="TableParagraph"/>
              <w:spacing w:before="87"/>
              <w:ind w:left="141" w:right="167"/>
              <w:jc w:val="center"/>
              <w:rPr>
                <w:sz w:val="24"/>
              </w:rPr>
            </w:pPr>
            <w:r>
              <w:rPr>
                <w:sz w:val="24"/>
              </w:rPr>
              <w:t>12.4</w:t>
            </w:r>
          </w:p>
        </w:tc>
        <w:tc>
          <w:tcPr>
            <w:tcW w:w="700" w:type="dxa"/>
          </w:tcPr>
          <w:p>
            <w:pPr>
              <w:pStyle w:val="TableParagraph"/>
              <w:spacing w:before="87"/>
              <w:ind w:right="87"/>
              <w:jc w:val="right"/>
              <w:rPr>
                <w:sz w:val="24"/>
              </w:rPr>
            </w:pPr>
            <w:r>
              <w:rPr>
                <w:sz w:val="24"/>
              </w:rPr>
              <w:t>35.2</w:t>
            </w:r>
          </w:p>
        </w:tc>
        <w:tc>
          <w:tcPr>
            <w:tcW w:w="584" w:type="dxa"/>
          </w:tcPr>
          <w:p>
            <w:pPr>
              <w:pStyle w:val="TableParagraph"/>
              <w:spacing w:before="87"/>
              <w:ind w:left="150"/>
              <w:rPr>
                <w:sz w:val="24"/>
              </w:rPr>
            </w:pPr>
            <w:r>
              <w:rPr>
                <w:sz w:val="24"/>
              </w:rPr>
              <w:t>∞</w:t>
            </w:r>
          </w:p>
        </w:tc>
        <w:tc>
          <w:tcPr>
            <w:tcW w:w="372" w:type="dxa"/>
          </w:tcPr>
          <w:p>
            <w:pPr>
              <w:pStyle w:val="TableParagraph"/>
              <w:spacing w:before="87"/>
              <w:ind w:left="37"/>
              <w:rPr>
                <w:sz w:val="24"/>
              </w:rPr>
            </w:pPr>
            <w:r>
              <w:rPr>
                <w:sz w:val="24"/>
              </w:rPr>
              <w:t>∞</w:t>
            </w:r>
          </w:p>
        </w:tc>
        <w:tc>
          <w:tcPr>
            <w:tcW w:w="623" w:type="dxa"/>
          </w:tcPr>
          <w:p>
            <w:pPr>
              <w:pStyle w:val="TableParagraph"/>
              <w:spacing w:before="87"/>
              <w:ind w:left="133" w:right="149"/>
              <w:jc w:val="center"/>
              <w:rPr>
                <w:sz w:val="24"/>
              </w:rPr>
            </w:pPr>
            <w:r>
              <w:rPr>
                <w:sz w:val="24"/>
              </w:rPr>
              <w:t>1.0</w:t>
            </w:r>
          </w:p>
        </w:tc>
        <w:tc>
          <w:tcPr>
            <w:tcW w:w="686" w:type="dxa"/>
          </w:tcPr>
          <w:p>
            <w:pPr>
              <w:pStyle w:val="TableParagraph"/>
              <w:spacing w:before="87"/>
              <w:ind w:left="168"/>
              <w:rPr>
                <w:sz w:val="24"/>
              </w:rPr>
            </w:pPr>
            <w:r>
              <w:rPr>
                <w:sz w:val="24"/>
              </w:rPr>
              <w:t>11.4</w:t>
            </w:r>
          </w:p>
        </w:tc>
        <w:tc>
          <w:tcPr>
            <w:tcW w:w="745" w:type="dxa"/>
          </w:tcPr>
          <w:p>
            <w:pPr>
              <w:pStyle w:val="TableParagraph"/>
              <w:spacing w:before="87"/>
              <w:ind w:left="118"/>
              <w:rPr>
                <w:sz w:val="24"/>
              </w:rPr>
            </w:pPr>
            <w:r>
              <w:rPr>
                <w:sz w:val="24"/>
              </w:rPr>
              <w:t>22.8</w:t>
            </w:r>
          </w:p>
        </w:tc>
      </w:tr>
      <w:tr>
        <w:trPr>
          <w:trHeight w:val="459" w:hRule="atLeast"/>
        </w:trPr>
        <w:tc>
          <w:tcPr>
            <w:tcW w:w="108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80" w:type="dxa"/>
          </w:tcPr>
          <w:p>
            <w:pPr>
              <w:pStyle w:val="TableParagraph"/>
              <w:spacing w:before="86"/>
              <w:ind w:left="3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05" w:type="dxa"/>
          </w:tcPr>
          <w:p>
            <w:pPr>
              <w:pStyle w:val="TableParagraph"/>
              <w:spacing w:before="86"/>
              <w:ind w:left="108"/>
              <w:rPr>
                <w:sz w:val="24"/>
              </w:rPr>
            </w:pPr>
            <w:r>
              <w:rPr>
                <w:sz w:val="24"/>
              </w:rPr>
              <w:t>554.8</w:t>
            </w:r>
          </w:p>
        </w:tc>
        <w:tc>
          <w:tcPr>
            <w:tcW w:w="892" w:type="dxa"/>
          </w:tcPr>
          <w:p>
            <w:pPr>
              <w:pStyle w:val="TableParagraph"/>
              <w:spacing w:before="86"/>
              <w:ind w:left="137"/>
              <w:rPr>
                <w:sz w:val="24"/>
              </w:rPr>
            </w:pPr>
            <w:r>
              <w:rPr>
                <w:sz w:val="24"/>
              </w:rPr>
              <w:t>521.1</w:t>
            </w:r>
          </w:p>
        </w:tc>
        <w:tc>
          <w:tcPr>
            <w:tcW w:w="799" w:type="dxa"/>
          </w:tcPr>
          <w:p>
            <w:pPr>
              <w:pStyle w:val="TableParagraph"/>
              <w:spacing w:before="86"/>
              <w:ind w:right="183"/>
              <w:jc w:val="right"/>
              <w:rPr>
                <w:sz w:val="24"/>
              </w:rPr>
            </w:pPr>
            <w:r>
              <w:rPr>
                <w:sz w:val="24"/>
              </w:rPr>
              <w:t>36.8</w:t>
            </w:r>
          </w:p>
        </w:tc>
        <w:tc>
          <w:tcPr>
            <w:tcW w:w="740" w:type="dxa"/>
          </w:tcPr>
          <w:p>
            <w:pPr>
              <w:pStyle w:val="TableParagraph"/>
              <w:spacing w:before="86"/>
              <w:ind w:left="186"/>
              <w:rPr>
                <w:sz w:val="24"/>
              </w:rPr>
            </w:pPr>
            <w:r>
              <w:rPr>
                <w:sz w:val="24"/>
              </w:rPr>
              <w:t>9.8</w:t>
            </w:r>
          </w:p>
        </w:tc>
        <w:tc>
          <w:tcPr>
            <w:tcW w:w="708" w:type="dxa"/>
          </w:tcPr>
          <w:p>
            <w:pPr>
              <w:pStyle w:val="TableParagraph"/>
              <w:spacing w:line="213" w:lineRule="exact"/>
              <w:ind w:left="135"/>
              <w:rPr>
                <w:sz w:val="24"/>
              </w:rPr>
            </w:pPr>
            <w:r>
              <w:rPr>
                <w:sz w:val="24"/>
              </w:rPr>
              <w:t>∞</w:t>
            </w:r>
          </w:p>
        </w:tc>
        <w:tc>
          <w:tcPr>
            <w:tcW w:w="612" w:type="dxa"/>
          </w:tcPr>
          <w:p>
            <w:pPr>
              <w:pStyle w:val="TableParagraph"/>
              <w:spacing w:before="86"/>
              <w:ind w:left="136" w:right="136"/>
              <w:jc w:val="center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768" w:type="dxa"/>
          </w:tcPr>
          <w:p>
            <w:pPr>
              <w:pStyle w:val="TableParagraph"/>
              <w:spacing w:before="86"/>
              <w:ind w:left="141" w:right="167"/>
              <w:jc w:val="center"/>
              <w:rPr>
                <w:sz w:val="24"/>
              </w:rPr>
            </w:pPr>
            <w:r>
              <w:rPr>
                <w:sz w:val="24"/>
              </w:rPr>
              <w:t>4.6</w:t>
            </w:r>
          </w:p>
        </w:tc>
        <w:tc>
          <w:tcPr>
            <w:tcW w:w="700" w:type="dxa"/>
          </w:tcPr>
          <w:p>
            <w:pPr>
              <w:pStyle w:val="TableParagraph"/>
              <w:spacing w:before="86"/>
              <w:ind w:right="87"/>
              <w:jc w:val="right"/>
              <w:rPr>
                <w:sz w:val="24"/>
              </w:rPr>
            </w:pPr>
            <w:r>
              <w:rPr>
                <w:sz w:val="24"/>
              </w:rPr>
              <w:t>35.2</w:t>
            </w:r>
          </w:p>
        </w:tc>
        <w:tc>
          <w:tcPr>
            <w:tcW w:w="584" w:type="dxa"/>
          </w:tcPr>
          <w:p>
            <w:pPr>
              <w:pStyle w:val="TableParagraph"/>
              <w:spacing w:before="86"/>
              <w:ind w:left="150"/>
              <w:rPr>
                <w:sz w:val="24"/>
              </w:rPr>
            </w:pPr>
            <w:r>
              <w:rPr>
                <w:sz w:val="24"/>
              </w:rPr>
              <w:t>∞</w:t>
            </w:r>
          </w:p>
        </w:tc>
        <w:tc>
          <w:tcPr>
            <w:tcW w:w="372" w:type="dxa"/>
          </w:tcPr>
          <w:p>
            <w:pPr>
              <w:pStyle w:val="TableParagraph"/>
              <w:spacing w:before="86"/>
              <w:ind w:left="37"/>
              <w:rPr>
                <w:sz w:val="24"/>
              </w:rPr>
            </w:pPr>
            <w:r>
              <w:rPr>
                <w:sz w:val="24"/>
              </w:rPr>
              <w:t>∞</w:t>
            </w:r>
          </w:p>
        </w:tc>
        <w:tc>
          <w:tcPr>
            <w:tcW w:w="623" w:type="dxa"/>
          </w:tcPr>
          <w:p>
            <w:pPr>
              <w:pStyle w:val="TableParagraph"/>
              <w:spacing w:before="86"/>
              <w:ind w:left="133" w:right="149"/>
              <w:jc w:val="center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686" w:type="dxa"/>
          </w:tcPr>
          <w:p>
            <w:pPr>
              <w:pStyle w:val="TableParagraph"/>
              <w:spacing w:before="86"/>
              <w:ind w:left="168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745" w:type="dxa"/>
          </w:tcPr>
          <w:p>
            <w:pPr>
              <w:pStyle w:val="TableParagraph"/>
              <w:spacing w:before="86"/>
              <w:ind w:left="118"/>
              <w:rPr>
                <w:sz w:val="24"/>
              </w:rPr>
            </w:pPr>
            <w:r>
              <w:rPr>
                <w:sz w:val="24"/>
              </w:rPr>
              <w:t>30.6</w:t>
            </w:r>
          </w:p>
        </w:tc>
      </w:tr>
      <w:tr>
        <w:trPr>
          <w:trHeight w:val="460" w:hRule="atLeast"/>
        </w:trPr>
        <w:tc>
          <w:tcPr>
            <w:tcW w:w="1083" w:type="dxa"/>
          </w:tcPr>
          <w:p>
            <w:pPr>
              <w:pStyle w:val="TableParagraph"/>
              <w:spacing w:before="89"/>
              <w:ind w:left="50"/>
              <w:rPr>
                <w:sz w:val="16"/>
              </w:rPr>
            </w:pPr>
            <w:r>
              <w:rPr>
                <w:sz w:val="24"/>
              </w:rPr>
              <w:t>P</w:t>
            </w:r>
            <w:r>
              <w:rPr>
                <w:sz w:val="16"/>
              </w:rPr>
              <w:t>8</w:t>
            </w:r>
            <w:r>
              <w:rPr>
                <w:sz w:val="24"/>
              </w:rPr>
              <w:t>V</w:t>
            </w:r>
            <w:r>
              <w:rPr>
                <w:sz w:val="16"/>
              </w:rPr>
              <w:t>3</w:t>
            </w:r>
            <w:r>
              <w:rPr>
                <w:sz w:val="24"/>
              </w:rPr>
              <w:t>V</w:t>
            </w:r>
            <w:r>
              <w:rPr>
                <w:sz w:val="16"/>
              </w:rPr>
              <w:t>4</w:t>
            </w:r>
          </w:p>
        </w:tc>
        <w:tc>
          <w:tcPr>
            <w:tcW w:w="880" w:type="dxa"/>
          </w:tcPr>
          <w:p>
            <w:pPr>
              <w:pStyle w:val="TableParagraph"/>
              <w:spacing w:before="87"/>
              <w:ind w:left="3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05" w:type="dxa"/>
          </w:tcPr>
          <w:p>
            <w:pPr>
              <w:pStyle w:val="TableParagraph"/>
              <w:spacing w:before="87"/>
              <w:ind w:left="108"/>
              <w:rPr>
                <w:sz w:val="24"/>
              </w:rPr>
            </w:pPr>
            <w:r>
              <w:rPr>
                <w:sz w:val="24"/>
              </w:rPr>
              <w:t>872.1</w:t>
            </w:r>
          </w:p>
        </w:tc>
        <w:tc>
          <w:tcPr>
            <w:tcW w:w="892" w:type="dxa"/>
          </w:tcPr>
          <w:p>
            <w:pPr>
              <w:pStyle w:val="TableParagraph"/>
              <w:spacing w:before="87"/>
              <w:ind w:left="219"/>
              <w:rPr>
                <w:sz w:val="24"/>
              </w:rPr>
            </w:pPr>
            <w:r>
              <w:rPr>
                <w:sz w:val="24"/>
              </w:rPr>
              <w:t>76.9</w:t>
            </w:r>
          </w:p>
        </w:tc>
        <w:tc>
          <w:tcPr>
            <w:tcW w:w="799" w:type="dxa"/>
          </w:tcPr>
          <w:p>
            <w:pPr>
              <w:pStyle w:val="TableParagraph"/>
              <w:spacing w:before="87"/>
              <w:ind w:right="183"/>
              <w:jc w:val="right"/>
              <w:rPr>
                <w:sz w:val="24"/>
              </w:rPr>
            </w:pPr>
            <w:r>
              <w:rPr>
                <w:sz w:val="24"/>
              </w:rPr>
              <w:t>73.2</w:t>
            </w:r>
          </w:p>
        </w:tc>
        <w:tc>
          <w:tcPr>
            <w:tcW w:w="740" w:type="dxa"/>
          </w:tcPr>
          <w:p>
            <w:pPr>
              <w:pStyle w:val="TableParagraph"/>
              <w:spacing w:before="87"/>
              <w:ind w:left="186"/>
              <w:rPr>
                <w:sz w:val="24"/>
              </w:rPr>
            </w:pPr>
            <w:r>
              <w:rPr>
                <w:sz w:val="24"/>
              </w:rPr>
              <w:t>17.8</w:t>
            </w:r>
          </w:p>
        </w:tc>
        <w:tc>
          <w:tcPr>
            <w:tcW w:w="708" w:type="dxa"/>
          </w:tcPr>
          <w:p>
            <w:pPr>
              <w:pStyle w:val="TableParagraph"/>
              <w:spacing w:before="87"/>
              <w:ind w:left="135"/>
              <w:rPr>
                <w:sz w:val="24"/>
              </w:rPr>
            </w:pPr>
            <w:r>
              <w:rPr>
                <w:sz w:val="24"/>
              </w:rPr>
              <w:t>5.6</w:t>
            </w:r>
          </w:p>
        </w:tc>
        <w:tc>
          <w:tcPr>
            <w:tcW w:w="612" w:type="dxa"/>
          </w:tcPr>
          <w:p>
            <w:pPr>
              <w:pStyle w:val="TableParagraph"/>
              <w:spacing w:before="87"/>
              <w:ind w:left="136" w:right="136"/>
              <w:jc w:val="center"/>
              <w:rPr>
                <w:sz w:val="24"/>
              </w:rPr>
            </w:pPr>
            <w:r>
              <w:rPr>
                <w:sz w:val="24"/>
              </w:rPr>
              <w:t>0.6</w:t>
            </w:r>
          </w:p>
        </w:tc>
        <w:tc>
          <w:tcPr>
            <w:tcW w:w="768" w:type="dxa"/>
          </w:tcPr>
          <w:p>
            <w:pPr>
              <w:pStyle w:val="TableParagraph"/>
              <w:spacing w:before="87"/>
              <w:ind w:left="141" w:right="167"/>
              <w:jc w:val="center"/>
              <w:rPr>
                <w:sz w:val="24"/>
              </w:rPr>
            </w:pPr>
            <w:r>
              <w:rPr>
                <w:sz w:val="24"/>
              </w:rPr>
              <w:t>5.9</w:t>
            </w:r>
          </w:p>
        </w:tc>
        <w:tc>
          <w:tcPr>
            <w:tcW w:w="700" w:type="dxa"/>
          </w:tcPr>
          <w:p>
            <w:pPr>
              <w:pStyle w:val="TableParagraph"/>
              <w:spacing w:before="87"/>
              <w:ind w:right="87"/>
              <w:jc w:val="right"/>
              <w:rPr>
                <w:sz w:val="24"/>
              </w:rPr>
            </w:pPr>
            <w:r>
              <w:rPr>
                <w:sz w:val="24"/>
              </w:rPr>
              <w:t>11.9</w:t>
            </w:r>
          </w:p>
        </w:tc>
        <w:tc>
          <w:tcPr>
            <w:tcW w:w="584" w:type="dxa"/>
          </w:tcPr>
          <w:p>
            <w:pPr>
              <w:pStyle w:val="TableParagraph"/>
              <w:spacing w:before="87"/>
              <w:ind w:right="71"/>
              <w:jc w:val="right"/>
              <w:rPr>
                <w:sz w:val="24"/>
              </w:rPr>
            </w:pPr>
            <w:r>
              <w:rPr>
                <w:sz w:val="24"/>
              </w:rPr>
              <w:t>52.1</w:t>
            </w:r>
          </w:p>
        </w:tc>
        <w:tc>
          <w:tcPr>
            <w:tcW w:w="372" w:type="dxa"/>
          </w:tcPr>
          <w:p>
            <w:pPr>
              <w:pStyle w:val="TableParagraph"/>
              <w:spacing w:before="87"/>
              <w:ind w:left="46"/>
              <w:rPr>
                <w:sz w:val="24"/>
              </w:rPr>
            </w:pPr>
            <w:r>
              <w:rPr>
                <w:sz w:val="24"/>
              </w:rPr>
              <w:t>∞</w:t>
            </w:r>
          </w:p>
        </w:tc>
        <w:tc>
          <w:tcPr>
            <w:tcW w:w="623" w:type="dxa"/>
          </w:tcPr>
          <w:p>
            <w:pPr>
              <w:pStyle w:val="TableParagraph"/>
              <w:spacing w:before="87"/>
              <w:ind w:left="133" w:right="149"/>
              <w:jc w:val="center"/>
              <w:rPr>
                <w:sz w:val="24"/>
              </w:rPr>
            </w:pPr>
            <w:r>
              <w:rPr>
                <w:sz w:val="24"/>
              </w:rPr>
              <w:t>0.6</w:t>
            </w:r>
          </w:p>
        </w:tc>
        <w:tc>
          <w:tcPr>
            <w:tcW w:w="686" w:type="dxa"/>
          </w:tcPr>
          <w:p>
            <w:pPr>
              <w:pStyle w:val="TableParagraph"/>
              <w:spacing w:before="87"/>
              <w:ind w:left="168"/>
              <w:rPr>
                <w:sz w:val="24"/>
              </w:rPr>
            </w:pPr>
            <w:r>
              <w:rPr>
                <w:sz w:val="24"/>
              </w:rPr>
              <w:t>5.3</w:t>
            </w:r>
          </w:p>
        </w:tc>
        <w:tc>
          <w:tcPr>
            <w:tcW w:w="745" w:type="dxa"/>
          </w:tcPr>
          <w:p>
            <w:pPr>
              <w:pStyle w:val="TableParagraph"/>
              <w:spacing w:before="87"/>
              <w:ind w:left="118"/>
              <w:rPr>
                <w:sz w:val="24"/>
              </w:rPr>
            </w:pPr>
            <w:r>
              <w:rPr>
                <w:sz w:val="24"/>
              </w:rPr>
              <w:t>6.0</w:t>
            </w:r>
          </w:p>
        </w:tc>
      </w:tr>
      <w:tr>
        <w:trPr>
          <w:trHeight w:val="360" w:hRule="atLeast"/>
        </w:trPr>
        <w:tc>
          <w:tcPr>
            <w:tcW w:w="108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80" w:type="dxa"/>
          </w:tcPr>
          <w:p>
            <w:pPr>
              <w:pStyle w:val="TableParagraph"/>
              <w:spacing w:line="256" w:lineRule="exact" w:before="85"/>
              <w:ind w:left="3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05" w:type="dxa"/>
          </w:tcPr>
          <w:p>
            <w:pPr>
              <w:pStyle w:val="TableParagraph"/>
              <w:spacing w:line="256" w:lineRule="exact" w:before="85"/>
              <w:ind w:left="108"/>
              <w:rPr>
                <w:sz w:val="24"/>
              </w:rPr>
            </w:pPr>
            <w:r>
              <w:rPr>
                <w:sz w:val="24"/>
              </w:rPr>
              <w:t>823.2</w:t>
            </w:r>
          </w:p>
        </w:tc>
        <w:tc>
          <w:tcPr>
            <w:tcW w:w="892" w:type="dxa"/>
          </w:tcPr>
          <w:p>
            <w:pPr>
              <w:pStyle w:val="TableParagraph"/>
              <w:spacing w:line="256" w:lineRule="exact" w:before="85"/>
              <w:ind w:left="159"/>
              <w:rPr>
                <w:sz w:val="24"/>
              </w:rPr>
            </w:pPr>
            <w:r>
              <w:rPr>
                <w:sz w:val="24"/>
              </w:rPr>
              <w:t>295.3</w:t>
            </w:r>
          </w:p>
        </w:tc>
        <w:tc>
          <w:tcPr>
            <w:tcW w:w="799" w:type="dxa"/>
          </w:tcPr>
          <w:p>
            <w:pPr>
              <w:pStyle w:val="TableParagraph"/>
              <w:spacing w:line="256" w:lineRule="exact" w:before="85"/>
              <w:ind w:right="183"/>
              <w:jc w:val="right"/>
              <w:rPr>
                <w:sz w:val="24"/>
              </w:rPr>
            </w:pPr>
            <w:r>
              <w:rPr>
                <w:sz w:val="24"/>
              </w:rPr>
              <w:t>29.8</w:t>
            </w:r>
          </w:p>
        </w:tc>
        <w:tc>
          <w:tcPr>
            <w:tcW w:w="740" w:type="dxa"/>
          </w:tcPr>
          <w:p>
            <w:pPr>
              <w:pStyle w:val="TableParagraph"/>
              <w:spacing w:line="256" w:lineRule="exact" w:before="85"/>
              <w:ind w:left="186"/>
              <w:rPr>
                <w:sz w:val="24"/>
              </w:rPr>
            </w:pPr>
            <w:r>
              <w:rPr>
                <w:sz w:val="24"/>
              </w:rPr>
              <w:t>39.7</w:t>
            </w:r>
          </w:p>
        </w:tc>
        <w:tc>
          <w:tcPr>
            <w:tcW w:w="708" w:type="dxa"/>
          </w:tcPr>
          <w:p>
            <w:pPr>
              <w:pStyle w:val="TableParagraph"/>
              <w:spacing w:line="256" w:lineRule="exact" w:before="85"/>
              <w:ind w:left="135"/>
              <w:rPr>
                <w:sz w:val="24"/>
              </w:rPr>
            </w:pPr>
            <w:r>
              <w:rPr>
                <w:sz w:val="24"/>
              </w:rPr>
              <w:t>11.9</w:t>
            </w:r>
          </w:p>
        </w:tc>
        <w:tc>
          <w:tcPr>
            <w:tcW w:w="612" w:type="dxa"/>
          </w:tcPr>
          <w:p>
            <w:pPr>
              <w:pStyle w:val="TableParagraph"/>
              <w:spacing w:line="256" w:lineRule="exact" w:before="85"/>
              <w:ind w:left="136" w:right="136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768" w:type="dxa"/>
          </w:tcPr>
          <w:p>
            <w:pPr>
              <w:pStyle w:val="TableParagraph"/>
              <w:spacing w:line="256" w:lineRule="exact" w:before="85"/>
              <w:ind w:left="141" w:right="167"/>
              <w:jc w:val="center"/>
              <w:rPr>
                <w:sz w:val="24"/>
              </w:rPr>
            </w:pPr>
            <w:r>
              <w:rPr>
                <w:sz w:val="24"/>
              </w:rPr>
              <w:t>3.8</w:t>
            </w:r>
          </w:p>
        </w:tc>
        <w:tc>
          <w:tcPr>
            <w:tcW w:w="700" w:type="dxa"/>
          </w:tcPr>
          <w:p>
            <w:pPr>
              <w:pStyle w:val="TableParagraph"/>
              <w:spacing w:line="256" w:lineRule="exact" w:before="85"/>
              <w:ind w:right="87"/>
              <w:jc w:val="right"/>
              <w:rPr>
                <w:sz w:val="24"/>
              </w:rPr>
            </w:pPr>
            <w:r>
              <w:rPr>
                <w:sz w:val="24"/>
              </w:rPr>
              <w:t>16.9</w:t>
            </w:r>
          </w:p>
        </w:tc>
        <w:tc>
          <w:tcPr>
            <w:tcW w:w="584" w:type="dxa"/>
          </w:tcPr>
          <w:p>
            <w:pPr>
              <w:pStyle w:val="TableParagraph"/>
              <w:spacing w:line="256" w:lineRule="exact" w:before="85"/>
              <w:ind w:right="70"/>
              <w:jc w:val="right"/>
              <w:rPr>
                <w:sz w:val="24"/>
              </w:rPr>
            </w:pPr>
            <w:r>
              <w:rPr>
                <w:sz w:val="24"/>
              </w:rPr>
              <w:t>23.3</w:t>
            </w:r>
          </w:p>
        </w:tc>
        <w:tc>
          <w:tcPr>
            <w:tcW w:w="372" w:type="dxa"/>
          </w:tcPr>
          <w:p>
            <w:pPr>
              <w:pStyle w:val="TableParagraph"/>
              <w:spacing w:line="256" w:lineRule="exact" w:before="85"/>
              <w:ind w:left="47"/>
              <w:rPr>
                <w:sz w:val="24"/>
              </w:rPr>
            </w:pPr>
            <w:r>
              <w:rPr>
                <w:sz w:val="24"/>
              </w:rPr>
              <w:t>∞</w:t>
            </w:r>
          </w:p>
        </w:tc>
        <w:tc>
          <w:tcPr>
            <w:tcW w:w="623" w:type="dxa"/>
          </w:tcPr>
          <w:p>
            <w:pPr>
              <w:pStyle w:val="TableParagraph"/>
              <w:spacing w:line="256" w:lineRule="exact" w:before="85"/>
              <w:ind w:left="133" w:right="149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686" w:type="dxa"/>
          </w:tcPr>
          <w:p>
            <w:pPr>
              <w:pStyle w:val="TableParagraph"/>
              <w:spacing w:line="256" w:lineRule="exact" w:before="85"/>
              <w:ind w:left="168"/>
              <w:rPr>
                <w:sz w:val="24"/>
              </w:rPr>
            </w:pPr>
            <w:r>
              <w:rPr>
                <w:sz w:val="24"/>
              </w:rPr>
              <w:t>4.3</w:t>
            </w:r>
          </w:p>
        </w:tc>
        <w:tc>
          <w:tcPr>
            <w:tcW w:w="745" w:type="dxa"/>
          </w:tcPr>
          <w:p>
            <w:pPr>
              <w:pStyle w:val="TableParagraph"/>
              <w:spacing w:line="256" w:lineRule="exact" w:before="85"/>
              <w:ind w:left="118"/>
              <w:rPr>
                <w:sz w:val="24"/>
              </w:rPr>
            </w:pPr>
            <w:r>
              <w:rPr>
                <w:sz w:val="24"/>
              </w:rPr>
              <w:t>21.2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8"/>
        </w:rPr>
      </w:pPr>
    </w:p>
    <w:p>
      <w:pPr>
        <w:pStyle w:val="BodyText"/>
        <w:spacing w:line="259" w:lineRule="auto" w:before="90"/>
        <w:ind w:left="1287" w:right="1492"/>
      </w:pPr>
      <w:r>
        <w:rPr/>
        <w:pict>
          <v:rect style="position:absolute;margin-left:27.960001pt;margin-top:4.303107pt;width:567.360027pt;height:.48pt;mso-position-horizontal-relative:page;mso-position-vertical-relative:paragraph;z-index:15774720" filled="true" fillcolor="#000000" stroked="false">
            <v:fill type="solid"/>
            <w10:wrap type="none"/>
          </v:rect>
        </w:pict>
      </w:r>
      <w:r>
        <w:rPr/>
        <w:t>Table 4.27 contains the VES points delineated as aquifer potential of the study area, the</w:t>
      </w:r>
      <w:r>
        <w:rPr>
          <w:spacing w:val="-58"/>
        </w:rPr>
        <w:t> </w:t>
      </w:r>
      <w:r>
        <w:rPr/>
        <w:t>range</w:t>
      </w:r>
      <w:r>
        <w:rPr>
          <w:spacing w:val="-2"/>
        </w:rPr>
        <w:t> </w:t>
      </w:r>
      <w:r>
        <w:rPr/>
        <w:t>of resistivity,</w:t>
      </w:r>
      <w:r>
        <w:rPr>
          <w:spacing w:val="-1"/>
        </w:rPr>
        <w:t> </w:t>
      </w:r>
      <w:r>
        <w:rPr/>
        <w:t>depth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thickness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these</w:t>
      </w:r>
      <w:r>
        <w:rPr>
          <w:spacing w:val="-1"/>
        </w:rPr>
        <w:t> </w:t>
      </w:r>
      <w:r>
        <w:rPr/>
        <w:t>aquifers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17.8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90.7</w:t>
      </w:r>
      <w:r>
        <w:rPr>
          <w:spacing w:val="1"/>
        </w:rPr>
        <w:t> </w:t>
      </w:r>
      <w:r>
        <w:rPr/>
        <w:t>Ωm,</w:t>
      </w:r>
      <w:r>
        <w:rPr>
          <w:spacing w:val="-2"/>
        </w:rPr>
        <w:t> </w:t>
      </w:r>
      <w:r>
        <w:rPr/>
        <w:t>11.9</w:t>
      </w:r>
      <w:r>
        <w:rPr>
          <w:spacing w:val="3"/>
        </w:rPr>
        <w:t> </w:t>
      </w:r>
      <w:r>
        <w:rPr/>
        <w:t>to</w:t>
      </w:r>
    </w:p>
    <w:p>
      <w:pPr>
        <w:pStyle w:val="BodyText"/>
        <w:spacing w:line="273" w:lineRule="exact"/>
        <w:ind w:left="1287"/>
      </w:pPr>
      <w:r>
        <w:rPr/>
        <w:t>60.4</w:t>
      </w:r>
      <w:r>
        <w:rPr>
          <w:spacing w:val="-1"/>
        </w:rPr>
        <w:t> </w:t>
      </w:r>
      <w:r>
        <w:rPr/>
        <w:t>m</w:t>
      </w:r>
      <w:r>
        <w:rPr>
          <w:spacing w:val="-1"/>
        </w:rPr>
        <w:t> </w:t>
      </w:r>
      <w:r>
        <w:rPr/>
        <w:t>and 6.0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50.7 m</w:t>
      </w:r>
      <w:r>
        <w:rPr>
          <w:spacing w:val="-1"/>
        </w:rPr>
        <w:t> </w:t>
      </w:r>
      <w:r>
        <w:rPr/>
        <w:t>respectively.</w:t>
      </w:r>
    </w:p>
    <w:p>
      <w:pPr>
        <w:spacing w:after="0" w:line="273" w:lineRule="exact"/>
        <w:sectPr>
          <w:type w:val="continuous"/>
          <w:pgSz w:w="11910" w:h="16840"/>
          <w:pgMar w:top="1320" w:bottom="280" w:left="70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3"/>
        </w:rPr>
      </w:pPr>
    </w:p>
    <w:p>
      <w:pPr>
        <w:pStyle w:val="BodyText"/>
        <w:ind w:left="1277" w:right="1403"/>
        <w:jc w:val="center"/>
      </w:pPr>
      <w:r>
        <w:rPr/>
        <w:drawing>
          <wp:anchor distT="0" distB="0" distL="0" distR="0" allowOverlap="1" layoutInCell="1" locked="0" behindDoc="0" simplePos="0" relativeHeight="15775232">
            <wp:simplePos x="0" y="0"/>
            <wp:positionH relativeFrom="page">
              <wp:posOffset>1261744</wp:posOffset>
            </wp:positionH>
            <wp:positionV relativeFrom="paragraph">
              <wp:posOffset>-6161116</wp:posOffset>
            </wp:positionV>
            <wp:extent cx="6298818" cy="6080451"/>
            <wp:effectExtent l="0" t="0" r="0" b="0"/>
            <wp:wrapNone/>
            <wp:docPr id="41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8818" cy="6080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Figure</w:t>
      </w:r>
      <w:r>
        <w:rPr>
          <w:spacing w:val="-3"/>
        </w:rPr>
        <w:t> </w:t>
      </w:r>
      <w:r>
        <w:rPr/>
        <w:t>4.18Groundwater potentialmap of</w:t>
      </w:r>
      <w:r>
        <w:rPr>
          <w:spacing w:val="-3"/>
        </w:rPr>
        <w:t> </w:t>
      </w:r>
      <w:r>
        <w:rPr/>
        <w:t>the study</w:t>
      </w:r>
      <w:r>
        <w:rPr>
          <w:spacing w:val="-4"/>
        </w:rPr>
        <w:t> </w:t>
      </w:r>
      <w:r>
        <w:rPr/>
        <w:t>area</w:t>
      </w:r>
    </w:p>
    <w:p>
      <w:pPr>
        <w:spacing w:after="0"/>
        <w:jc w:val="center"/>
        <w:sectPr>
          <w:pgSz w:w="11910" w:h="16840"/>
          <w:pgMar w:header="0" w:footer="987" w:top="1560" w:bottom="1260" w:left="700" w:right="0"/>
        </w:sectPr>
      </w:pPr>
    </w:p>
    <w:p>
      <w:pPr>
        <w:pStyle w:val="Heading2"/>
        <w:ind w:left="1277" w:right="1400" w:firstLine="0"/>
        <w:jc w:val="center"/>
      </w:pPr>
      <w:r>
        <w:rPr/>
        <w:t>CHAPTER</w:t>
      </w:r>
      <w:r>
        <w:rPr>
          <w:spacing w:val="-3"/>
        </w:rPr>
        <w:t> </w:t>
      </w:r>
      <w:r>
        <w:rPr/>
        <w:t>FIVE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"/>
        <w:rPr>
          <w:b/>
          <w:sz w:val="22"/>
        </w:rPr>
      </w:pPr>
    </w:p>
    <w:p>
      <w:pPr>
        <w:pStyle w:val="ListParagraph"/>
        <w:numPr>
          <w:ilvl w:val="1"/>
          <w:numId w:val="12"/>
        </w:numPr>
        <w:tabs>
          <w:tab w:pos="3208" w:val="left" w:leader="none"/>
          <w:tab w:pos="3209" w:val="left" w:leader="none"/>
        </w:tabs>
        <w:spacing w:line="240" w:lineRule="auto" w:before="0" w:after="0"/>
        <w:ind w:left="3208" w:right="0" w:hanging="1922"/>
        <w:jc w:val="left"/>
        <w:rPr>
          <w:b/>
          <w:sz w:val="24"/>
        </w:rPr>
      </w:pPr>
      <w:r>
        <w:rPr>
          <w:b/>
          <w:sz w:val="24"/>
        </w:rPr>
        <w:t>CONCLUSION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RECOMMENDATIONS</w:t>
      </w:r>
    </w:p>
    <w:p>
      <w:pPr>
        <w:pStyle w:val="BodyText"/>
        <w:rPr>
          <w:b/>
        </w:rPr>
      </w:pPr>
    </w:p>
    <w:p>
      <w:pPr>
        <w:pStyle w:val="Heading2"/>
        <w:numPr>
          <w:ilvl w:val="1"/>
          <w:numId w:val="12"/>
        </w:numPr>
        <w:tabs>
          <w:tab w:pos="2007" w:val="left" w:leader="none"/>
          <w:tab w:pos="2008" w:val="left" w:leader="none"/>
        </w:tabs>
        <w:spacing w:line="240" w:lineRule="auto" w:before="0" w:after="0"/>
        <w:ind w:left="2007" w:right="0" w:hanging="721"/>
        <w:jc w:val="left"/>
      </w:pPr>
      <w:r>
        <w:rPr/>
        <w:t>Conclusion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6"/>
        <w:rPr>
          <w:b/>
          <w:sz w:val="21"/>
        </w:rPr>
      </w:pPr>
    </w:p>
    <w:p>
      <w:pPr>
        <w:pStyle w:val="BodyText"/>
        <w:spacing w:line="480" w:lineRule="auto" w:before="1"/>
        <w:ind w:left="1287" w:right="1409"/>
        <w:jc w:val="both"/>
      </w:pPr>
      <w:r>
        <w:rPr/>
        <w:t>Water is key to daily human activities hence, without water, there cannot be human,</w:t>
      </w:r>
      <w:r>
        <w:rPr>
          <w:spacing w:val="1"/>
        </w:rPr>
        <w:t> </w:t>
      </w:r>
      <w:r>
        <w:rPr/>
        <w:t>animal</w:t>
      </w:r>
      <w:r>
        <w:rPr>
          <w:spacing w:val="1"/>
        </w:rPr>
        <w:t> </w:t>
      </w:r>
      <w:r>
        <w:rPr/>
        <w:t>or plant</w:t>
      </w:r>
      <w:r>
        <w:rPr>
          <w:spacing w:val="1"/>
        </w:rPr>
        <w:t> </w:t>
      </w:r>
      <w:r>
        <w:rPr/>
        <w:t>life.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view of this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 geoelectric investigation</w:t>
      </w:r>
      <w:r>
        <w:rPr>
          <w:spacing w:val="1"/>
        </w:rPr>
        <w:t> </w:t>
      </w:r>
      <w:r>
        <w:rPr/>
        <w:t>for the</w:t>
      </w:r>
      <w:r>
        <w:rPr>
          <w:spacing w:val="1"/>
        </w:rPr>
        <w:t> </w:t>
      </w:r>
      <w:r>
        <w:rPr/>
        <w:t>evaluation of the subsurface for optimal groundwater production was undertaken in the</w:t>
      </w:r>
      <w:r>
        <w:rPr>
          <w:spacing w:val="1"/>
        </w:rPr>
        <w:t> </w:t>
      </w:r>
      <w:r>
        <w:rPr/>
        <w:t>study</w:t>
      </w:r>
      <w:r>
        <w:rPr>
          <w:spacing w:val="-5"/>
        </w:rPr>
        <w:t> </w:t>
      </w:r>
      <w:r>
        <w:rPr/>
        <w:t>area.</w:t>
      </w:r>
    </w:p>
    <w:p>
      <w:pPr>
        <w:pStyle w:val="BodyText"/>
        <w:spacing w:line="480" w:lineRule="auto"/>
        <w:ind w:left="1287" w:right="1406"/>
        <w:jc w:val="both"/>
      </w:pPr>
      <w:r>
        <w:rPr/>
        <w:t>The electrical resistivity (Vertical Electrical Sounding) method is an efficient tool for</w:t>
      </w:r>
      <w:r>
        <w:rPr>
          <w:spacing w:val="1"/>
        </w:rPr>
        <w:t> </w:t>
      </w:r>
      <w:r>
        <w:rPr/>
        <w:t>most groundwater studies. It was used in this study to investigate the protective capacity</w:t>
      </w:r>
      <w:r>
        <w:rPr>
          <w:spacing w:val="-57"/>
        </w:rPr>
        <w:t> </w:t>
      </w:r>
      <w:r>
        <w:rPr/>
        <w:t>and corrosivity of overburden units in the study area. The curve types indicate regular</w:t>
      </w:r>
      <w:r>
        <w:rPr>
          <w:spacing w:val="1"/>
        </w:rPr>
        <w:t> </w:t>
      </w:r>
      <w:r>
        <w:rPr/>
        <w:t>presence of QH and Q curves. This indicates the translation of layers with limited</w:t>
      </w:r>
      <w:r>
        <w:rPr>
          <w:spacing w:val="1"/>
        </w:rPr>
        <w:t> </w:t>
      </w:r>
      <w:r>
        <w:rPr/>
        <w:t>hydrologic signiﬁcance into proliﬁc units in which the selection of the best near surface</w:t>
      </w:r>
      <w:r>
        <w:rPr>
          <w:spacing w:val="1"/>
        </w:rPr>
        <w:t> </w:t>
      </w:r>
      <w:r>
        <w:rPr/>
        <w:t>and economic groundwater aquifer repository is, based on thickness and its degree of</w:t>
      </w:r>
      <w:r>
        <w:rPr>
          <w:spacing w:val="1"/>
        </w:rPr>
        <w:t> </w:t>
      </w:r>
      <w:r>
        <w:rPr/>
        <w:t>exposure to surface contaminants. Areas of thick depth units and low resistivity values</w:t>
      </w:r>
      <w:r>
        <w:rPr>
          <w:spacing w:val="1"/>
        </w:rPr>
        <w:t> </w:t>
      </w:r>
      <w:r>
        <w:rPr/>
        <w:t>constitute</w:t>
      </w:r>
      <w:r>
        <w:rPr>
          <w:spacing w:val="1"/>
        </w:rPr>
        <w:t> </w:t>
      </w:r>
      <w:r>
        <w:rPr/>
        <w:t>zones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longitudinal</w:t>
      </w:r>
      <w:r>
        <w:rPr>
          <w:spacing w:val="1"/>
        </w:rPr>
        <w:t> </w:t>
      </w:r>
      <w:r>
        <w:rPr/>
        <w:t>conductance.</w:t>
      </w:r>
      <w:r>
        <w:rPr>
          <w:spacing w:val="1"/>
        </w:rPr>
        <w:t> </w:t>
      </w:r>
      <w:r>
        <w:rPr/>
        <w:t>Regions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poor</w:t>
      </w:r>
      <w:r>
        <w:rPr>
          <w:spacing w:val="60"/>
        </w:rPr>
        <w:t> </w:t>
      </w:r>
      <w:r>
        <w:rPr/>
        <w:t>protective</w:t>
      </w:r>
      <w:r>
        <w:rPr>
          <w:spacing w:val="1"/>
        </w:rPr>
        <w:t> </w:t>
      </w:r>
      <w:r>
        <w:rPr/>
        <w:t>capacity</w:t>
      </w:r>
      <w:r>
        <w:rPr>
          <w:spacing w:val="1"/>
        </w:rPr>
        <w:t> </w:t>
      </w:r>
      <w:r>
        <w:rPr/>
        <w:t>if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area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vulnerable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pollution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contamination</w:t>
      </w:r>
      <w:r>
        <w:rPr>
          <w:spacing w:val="1"/>
        </w:rPr>
        <w:t> </w:t>
      </w:r>
      <w:r>
        <w:rPr/>
        <w:t>if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oil</w:t>
      </w:r>
      <w:r>
        <w:rPr>
          <w:spacing w:val="1"/>
        </w:rPr>
        <w:t> </w:t>
      </w:r>
      <w:r>
        <w:rPr/>
        <w:t>spillage,</w:t>
      </w:r>
      <w:r>
        <w:rPr>
          <w:spacing w:val="1"/>
        </w:rPr>
        <w:t> </w:t>
      </w:r>
      <w:r>
        <w:rPr/>
        <w:t>leakage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buried</w:t>
      </w:r>
      <w:r>
        <w:rPr>
          <w:spacing w:val="1"/>
        </w:rPr>
        <w:t> </w:t>
      </w:r>
      <w:r>
        <w:rPr/>
        <w:t>storage</w:t>
      </w:r>
      <w:r>
        <w:rPr>
          <w:spacing w:val="1"/>
        </w:rPr>
        <w:t> </w:t>
      </w:r>
      <w:r>
        <w:rPr/>
        <w:t>tank,</w:t>
      </w:r>
      <w:r>
        <w:rPr>
          <w:spacing w:val="60"/>
        </w:rPr>
        <w:t> </w:t>
      </w:r>
      <w:r>
        <w:rPr/>
        <w:t>petroleum</w:t>
      </w:r>
      <w:r>
        <w:rPr>
          <w:spacing w:val="1"/>
        </w:rPr>
        <w:t> </w:t>
      </w:r>
      <w:r>
        <w:rPr/>
        <w:t>pipelines, and inﬁltration of leachate from decomposed dump or waste site. Regions of</w:t>
      </w:r>
      <w:r>
        <w:rPr>
          <w:spacing w:val="1"/>
        </w:rPr>
        <w:t> </w:t>
      </w:r>
      <w:r>
        <w:rPr/>
        <w:t>weak protective capacity (VES 6, 7, 9,12, 17, 18, 21 and 28) are less vulnerable to</w:t>
      </w:r>
      <w:r>
        <w:rPr>
          <w:spacing w:val="1"/>
        </w:rPr>
        <w:t> </w:t>
      </w:r>
      <w:r>
        <w:rPr/>
        <w:t>groundwater pollutant or contaminant but can be more vulnerable with time as pollutant</w:t>
      </w:r>
      <w:r>
        <w:rPr>
          <w:spacing w:val="1"/>
        </w:rPr>
        <w:t> </w:t>
      </w:r>
      <w:r>
        <w:rPr/>
        <w:t>persists.</w:t>
      </w:r>
      <w:r>
        <w:rPr>
          <w:spacing w:val="16"/>
        </w:rPr>
        <w:t> </w:t>
      </w:r>
      <w:r>
        <w:rPr/>
        <w:t>Moderate</w:t>
      </w:r>
      <w:r>
        <w:rPr>
          <w:spacing w:val="16"/>
        </w:rPr>
        <w:t> </w:t>
      </w:r>
      <w:r>
        <w:rPr/>
        <w:t>protective</w:t>
      </w:r>
      <w:r>
        <w:rPr>
          <w:spacing w:val="15"/>
        </w:rPr>
        <w:t> </w:t>
      </w:r>
      <w:r>
        <w:rPr/>
        <w:t>capacity</w:t>
      </w:r>
      <w:r>
        <w:rPr>
          <w:spacing w:val="11"/>
        </w:rPr>
        <w:t> </w:t>
      </w:r>
      <w:r>
        <w:rPr/>
        <w:t>regions</w:t>
      </w:r>
      <w:r>
        <w:rPr>
          <w:spacing w:val="17"/>
        </w:rPr>
        <w:t> </w:t>
      </w:r>
      <w:r>
        <w:rPr/>
        <w:t>(VES</w:t>
      </w:r>
      <w:r>
        <w:rPr>
          <w:spacing w:val="18"/>
        </w:rPr>
        <w:t> </w:t>
      </w:r>
      <w:r>
        <w:rPr/>
        <w:t>1,</w:t>
      </w:r>
      <w:r>
        <w:rPr>
          <w:spacing w:val="16"/>
        </w:rPr>
        <w:t> </w:t>
      </w:r>
      <w:r>
        <w:rPr/>
        <w:t>2,</w:t>
      </w:r>
      <w:r>
        <w:rPr>
          <w:spacing w:val="16"/>
        </w:rPr>
        <w:t> </w:t>
      </w:r>
      <w:r>
        <w:rPr/>
        <w:t>3,</w:t>
      </w:r>
      <w:r>
        <w:rPr>
          <w:spacing w:val="16"/>
        </w:rPr>
        <w:t> </w:t>
      </w:r>
      <w:r>
        <w:rPr/>
        <w:t>4,</w:t>
      </w:r>
      <w:r>
        <w:rPr>
          <w:spacing w:val="16"/>
        </w:rPr>
        <w:t> </w:t>
      </w:r>
      <w:r>
        <w:rPr/>
        <w:t>5,</w:t>
      </w:r>
      <w:r>
        <w:rPr>
          <w:spacing w:val="16"/>
        </w:rPr>
        <w:t> </w:t>
      </w:r>
      <w:r>
        <w:rPr/>
        <w:t>8,</w:t>
      </w:r>
      <w:r>
        <w:rPr>
          <w:spacing w:val="17"/>
        </w:rPr>
        <w:t> </w:t>
      </w:r>
      <w:r>
        <w:rPr/>
        <w:t>10,</w:t>
      </w:r>
      <w:r>
        <w:rPr>
          <w:spacing w:val="16"/>
        </w:rPr>
        <w:t> </w:t>
      </w:r>
      <w:r>
        <w:rPr/>
        <w:t>11,</w:t>
      </w:r>
      <w:r>
        <w:rPr>
          <w:spacing w:val="16"/>
        </w:rPr>
        <w:t> </w:t>
      </w:r>
      <w:r>
        <w:rPr/>
        <w:t>13,</w:t>
      </w:r>
      <w:r>
        <w:rPr>
          <w:spacing w:val="16"/>
        </w:rPr>
        <w:t> </w:t>
      </w:r>
      <w:r>
        <w:rPr/>
        <w:t>14,</w:t>
      </w:r>
      <w:r>
        <w:rPr>
          <w:spacing w:val="16"/>
        </w:rPr>
        <w:t> </w:t>
      </w:r>
      <w:r>
        <w:rPr/>
        <w:t>16,</w:t>
      </w:r>
    </w:p>
    <w:p>
      <w:pPr>
        <w:pStyle w:val="BodyText"/>
        <w:spacing w:line="275" w:lineRule="exact"/>
        <w:ind w:left="1287"/>
        <w:jc w:val="both"/>
      </w:pPr>
      <w:r>
        <w:rPr/>
        <w:t>19,</w:t>
      </w:r>
      <w:r>
        <w:rPr>
          <w:spacing w:val="4"/>
        </w:rPr>
        <w:t> </w:t>
      </w:r>
      <w:r>
        <w:rPr/>
        <w:t>24,</w:t>
      </w:r>
      <w:r>
        <w:rPr>
          <w:spacing w:val="4"/>
        </w:rPr>
        <w:t> </w:t>
      </w:r>
      <w:r>
        <w:rPr/>
        <w:t>25,</w:t>
      </w:r>
      <w:r>
        <w:rPr>
          <w:spacing w:val="4"/>
        </w:rPr>
        <w:t> </w:t>
      </w:r>
      <w:r>
        <w:rPr/>
        <w:t>26,</w:t>
      </w:r>
      <w:r>
        <w:rPr>
          <w:spacing w:val="6"/>
        </w:rPr>
        <w:t> </w:t>
      </w:r>
      <w:r>
        <w:rPr/>
        <w:t>27,</w:t>
      </w:r>
      <w:r>
        <w:rPr>
          <w:spacing w:val="5"/>
        </w:rPr>
        <w:t> </w:t>
      </w:r>
      <w:r>
        <w:rPr/>
        <w:t>29,</w:t>
      </w:r>
      <w:r>
        <w:rPr>
          <w:spacing w:val="6"/>
        </w:rPr>
        <w:t> </w:t>
      </w:r>
      <w:r>
        <w:rPr/>
        <w:t>30,</w:t>
      </w:r>
      <w:r>
        <w:rPr>
          <w:spacing w:val="4"/>
        </w:rPr>
        <w:t> </w:t>
      </w:r>
      <w:r>
        <w:rPr/>
        <w:t>31,</w:t>
      </w:r>
      <w:r>
        <w:rPr>
          <w:spacing w:val="4"/>
        </w:rPr>
        <w:t> </w:t>
      </w:r>
      <w:r>
        <w:rPr/>
        <w:t>32,</w:t>
      </w:r>
      <w:r>
        <w:rPr>
          <w:spacing w:val="4"/>
        </w:rPr>
        <w:t> </w:t>
      </w:r>
      <w:r>
        <w:rPr/>
        <w:t>33,</w:t>
      </w:r>
      <w:r>
        <w:rPr>
          <w:spacing w:val="7"/>
        </w:rPr>
        <w:t> </w:t>
      </w:r>
      <w:r>
        <w:rPr/>
        <w:t>34,</w:t>
      </w:r>
      <w:r>
        <w:rPr>
          <w:spacing w:val="4"/>
        </w:rPr>
        <w:t> </w:t>
      </w:r>
      <w:r>
        <w:rPr/>
        <w:t>35,</w:t>
      </w:r>
      <w:r>
        <w:rPr>
          <w:spacing w:val="6"/>
        </w:rPr>
        <w:t> </w:t>
      </w:r>
      <w:r>
        <w:rPr/>
        <w:t>36,</w:t>
      </w:r>
      <w:r>
        <w:rPr>
          <w:spacing w:val="4"/>
        </w:rPr>
        <w:t> </w:t>
      </w:r>
      <w:r>
        <w:rPr/>
        <w:t>37,</w:t>
      </w:r>
      <w:r>
        <w:rPr>
          <w:spacing w:val="4"/>
        </w:rPr>
        <w:t> </w:t>
      </w:r>
      <w:r>
        <w:rPr/>
        <w:t>38,</w:t>
      </w:r>
      <w:r>
        <w:rPr>
          <w:spacing w:val="4"/>
        </w:rPr>
        <w:t> </w:t>
      </w:r>
      <w:r>
        <w:rPr/>
        <w:t>39</w:t>
      </w:r>
      <w:r>
        <w:rPr>
          <w:spacing w:val="7"/>
        </w:rPr>
        <w:t> </w:t>
      </w:r>
      <w:r>
        <w:rPr/>
        <w:t>and</w:t>
      </w:r>
      <w:r>
        <w:rPr>
          <w:spacing w:val="4"/>
        </w:rPr>
        <w:t> </w:t>
      </w:r>
      <w:r>
        <w:rPr/>
        <w:t>40)</w:t>
      </w:r>
      <w:r>
        <w:rPr>
          <w:spacing w:val="6"/>
        </w:rPr>
        <w:t> </w:t>
      </w:r>
      <w:r>
        <w:rPr/>
        <w:t>and</w:t>
      </w:r>
      <w:r>
        <w:rPr>
          <w:spacing w:val="9"/>
        </w:rPr>
        <w:t> </w:t>
      </w:r>
      <w:r>
        <w:rPr/>
        <w:t>good</w:t>
      </w:r>
      <w:r>
        <w:rPr>
          <w:spacing w:val="5"/>
        </w:rPr>
        <w:t> </w:t>
      </w:r>
      <w:r>
        <w:rPr/>
        <w:t>protective</w:t>
      </w:r>
    </w:p>
    <w:p>
      <w:pPr>
        <w:pStyle w:val="BodyText"/>
      </w:pPr>
    </w:p>
    <w:p>
      <w:pPr>
        <w:pStyle w:val="BodyText"/>
        <w:spacing w:line="480" w:lineRule="auto"/>
        <w:ind w:left="1287" w:right="1413"/>
        <w:jc w:val="both"/>
      </w:pPr>
      <w:r>
        <w:rPr/>
        <w:t>capacity (VES 15, 20, 22 and 23) will forever serve as a sealing potential for the</w:t>
      </w:r>
      <w:r>
        <w:rPr>
          <w:spacing w:val="1"/>
        </w:rPr>
        <w:t> </w:t>
      </w:r>
      <w:r>
        <w:rPr/>
        <w:t>underlying</w:t>
      </w:r>
      <w:r>
        <w:rPr>
          <w:spacing w:val="12"/>
        </w:rPr>
        <w:t> </w:t>
      </w:r>
      <w:r>
        <w:rPr/>
        <w:t>hydrologeological</w:t>
      </w:r>
      <w:r>
        <w:rPr>
          <w:spacing w:val="16"/>
        </w:rPr>
        <w:t> </w:t>
      </w:r>
      <w:r>
        <w:rPr/>
        <w:t>system.</w:t>
      </w:r>
      <w:r>
        <w:rPr>
          <w:spacing w:val="14"/>
        </w:rPr>
        <w:t> </w:t>
      </w:r>
      <w:r>
        <w:rPr/>
        <w:t>This</w:t>
      </w:r>
      <w:r>
        <w:rPr>
          <w:spacing w:val="16"/>
        </w:rPr>
        <w:t> </w:t>
      </w:r>
      <w:r>
        <w:rPr/>
        <w:t>makes</w:t>
      </w:r>
      <w:r>
        <w:rPr>
          <w:spacing w:val="15"/>
        </w:rPr>
        <w:t> </w:t>
      </w:r>
      <w:r>
        <w:rPr/>
        <w:t>the</w:t>
      </w:r>
      <w:r>
        <w:rPr>
          <w:spacing w:val="14"/>
        </w:rPr>
        <w:t> </w:t>
      </w:r>
      <w:r>
        <w:rPr/>
        <w:t>contamination</w:t>
      </w:r>
      <w:r>
        <w:rPr>
          <w:spacing w:val="16"/>
        </w:rPr>
        <w:t> </w:t>
      </w:r>
      <w:r>
        <w:rPr/>
        <w:t>of</w:t>
      </w:r>
      <w:r>
        <w:rPr>
          <w:spacing w:val="14"/>
        </w:rPr>
        <w:t> </w:t>
      </w:r>
      <w:r>
        <w:rPr/>
        <w:t>groundwater</w:t>
      </w:r>
      <w:r>
        <w:rPr>
          <w:spacing w:val="13"/>
        </w:rPr>
        <w:t> </w:t>
      </w:r>
      <w:r>
        <w:rPr/>
        <w:t>in</w:t>
      </w:r>
    </w:p>
    <w:p>
      <w:pPr>
        <w:spacing w:after="0" w:line="480" w:lineRule="auto"/>
        <w:jc w:val="both"/>
        <w:sectPr>
          <w:pgSz w:w="11910" w:h="16840"/>
          <w:pgMar w:header="0" w:footer="987" w:top="1320" w:bottom="1260" w:left="700" w:right="0"/>
        </w:sectPr>
      </w:pPr>
    </w:p>
    <w:p>
      <w:pPr>
        <w:pStyle w:val="BodyText"/>
        <w:spacing w:before="64"/>
        <w:ind w:left="1287"/>
        <w:jc w:val="both"/>
      </w:pPr>
      <w:r>
        <w:rPr/>
        <w:t>such</w:t>
      </w:r>
      <w:r>
        <w:rPr>
          <w:spacing w:val="22"/>
        </w:rPr>
        <w:t> </w:t>
      </w:r>
      <w:r>
        <w:rPr/>
        <w:t>regions</w:t>
      </w:r>
      <w:r>
        <w:rPr>
          <w:spacing w:val="26"/>
        </w:rPr>
        <w:t> </w:t>
      </w:r>
      <w:r>
        <w:rPr/>
        <w:t>almost</w:t>
      </w:r>
      <w:r>
        <w:rPr>
          <w:spacing w:val="26"/>
        </w:rPr>
        <w:t> </w:t>
      </w:r>
      <w:r>
        <w:rPr/>
        <w:t>impossible.</w:t>
      </w:r>
      <w:r>
        <w:rPr>
          <w:spacing w:val="23"/>
        </w:rPr>
        <w:t> </w:t>
      </w:r>
      <w:r>
        <w:rPr/>
        <w:t>Areas</w:t>
      </w:r>
      <w:r>
        <w:rPr>
          <w:spacing w:val="23"/>
        </w:rPr>
        <w:t> </w:t>
      </w:r>
      <w:r>
        <w:rPr/>
        <w:t>that</w:t>
      </w:r>
      <w:r>
        <w:rPr>
          <w:spacing w:val="26"/>
        </w:rPr>
        <w:t> </w:t>
      </w:r>
      <w:r>
        <w:rPr/>
        <w:t>are</w:t>
      </w:r>
      <w:r>
        <w:rPr>
          <w:spacing w:val="24"/>
        </w:rPr>
        <w:t> </w:t>
      </w:r>
      <w:r>
        <w:rPr/>
        <w:t>slighgly</w:t>
      </w:r>
      <w:r>
        <w:rPr>
          <w:spacing w:val="18"/>
        </w:rPr>
        <w:t> </w:t>
      </w:r>
      <w:r>
        <w:rPr/>
        <w:t>corrosive</w:t>
      </w:r>
      <w:r>
        <w:rPr>
          <w:spacing w:val="24"/>
        </w:rPr>
        <w:t> </w:t>
      </w:r>
      <w:r>
        <w:rPr/>
        <w:t>(VES</w:t>
      </w:r>
      <w:r>
        <w:rPr>
          <w:spacing w:val="25"/>
        </w:rPr>
        <w:t> </w:t>
      </w:r>
      <w:r>
        <w:rPr/>
        <w:t>1,</w:t>
      </w:r>
      <w:r>
        <w:rPr>
          <w:spacing w:val="23"/>
        </w:rPr>
        <w:t> </w:t>
      </w:r>
      <w:r>
        <w:rPr/>
        <w:t>2,</w:t>
      </w:r>
      <w:r>
        <w:rPr>
          <w:spacing w:val="23"/>
        </w:rPr>
        <w:t> </w:t>
      </w:r>
      <w:r>
        <w:rPr/>
        <w:t>3,</w:t>
      </w:r>
      <w:r>
        <w:rPr>
          <w:spacing w:val="22"/>
        </w:rPr>
        <w:t> </w:t>
      </w:r>
      <w:r>
        <w:rPr/>
        <w:t>9,</w:t>
      </w:r>
      <w:r>
        <w:rPr>
          <w:spacing w:val="25"/>
        </w:rPr>
        <w:t> </w:t>
      </w:r>
      <w:r>
        <w:rPr/>
        <w:t>10,</w:t>
      </w:r>
    </w:p>
    <w:p>
      <w:pPr>
        <w:pStyle w:val="BodyText"/>
        <w:spacing w:before="1"/>
      </w:pPr>
    </w:p>
    <w:p>
      <w:pPr>
        <w:pStyle w:val="BodyText"/>
        <w:spacing w:line="480" w:lineRule="auto"/>
        <w:ind w:left="1287" w:right="1406"/>
        <w:jc w:val="both"/>
      </w:pPr>
      <w:r>
        <w:rPr/>
        <w:t>12,13, 14, 15, 17, 20, 23, 24, 26, 28, 30, 37 and 39) are characterized by low resistivity</w:t>
      </w:r>
      <w:r>
        <w:rPr>
          <w:spacing w:val="1"/>
        </w:rPr>
        <w:t> </w:t>
      </w:r>
      <w:r>
        <w:rPr/>
        <w:t>values and high moisture content of the soil. Underground iron storage tanks are not 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buried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areas.</w:t>
      </w:r>
      <w:r>
        <w:rPr>
          <w:spacing w:val="1"/>
        </w:rPr>
        <w:t> </w:t>
      </w:r>
      <w:r>
        <w:rPr/>
        <w:t>Reticulation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water,</w:t>
      </w:r>
      <w:r>
        <w:rPr>
          <w:spacing w:val="1"/>
        </w:rPr>
        <w:t> </w:t>
      </w:r>
      <w:r>
        <w:rPr/>
        <w:t>transmission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oil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gas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galvanized pipes could deteriorate, rupture or leak due to the reactions of corrosive</w:t>
      </w:r>
      <w:r>
        <w:rPr>
          <w:spacing w:val="1"/>
        </w:rPr>
        <w:t> </w:t>
      </w:r>
      <w:r>
        <w:rPr/>
        <w:t>materials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buried</w:t>
      </w:r>
      <w:r>
        <w:rPr>
          <w:spacing w:val="1"/>
        </w:rPr>
        <w:t> </w:t>
      </w:r>
      <w:r>
        <w:rPr/>
        <w:t>pipes,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cause</w:t>
      </w:r>
      <w:r>
        <w:rPr>
          <w:spacing w:val="1"/>
        </w:rPr>
        <w:t> </w:t>
      </w:r>
      <w:r>
        <w:rPr/>
        <w:t>serious</w:t>
      </w:r>
      <w:r>
        <w:rPr>
          <w:spacing w:val="1"/>
        </w:rPr>
        <w:t> </w:t>
      </w:r>
      <w:r>
        <w:rPr/>
        <w:t>hazards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mankind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environment.</w:t>
      </w:r>
      <w:r>
        <w:rPr>
          <w:spacing w:val="16"/>
        </w:rPr>
        <w:t> </w:t>
      </w:r>
      <w:r>
        <w:rPr/>
        <w:t>Practically</w:t>
      </w:r>
      <w:r>
        <w:rPr>
          <w:spacing w:val="13"/>
        </w:rPr>
        <w:t> </w:t>
      </w:r>
      <w:r>
        <w:rPr/>
        <w:t>non-corrosive</w:t>
      </w:r>
      <w:r>
        <w:rPr>
          <w:spacing w:val="17"/>
        </w:rPr>
        <w:t> </w:t>
      </w:r>
      <w:r>
        <w:rPr/>
        <w:t>areas</w:t>
      </w:r>
      <w:r>
        <w:rPr>
          <w:spacing w:val="16"/>
        </w:rPr>
        <w:t> </w:t>
      </w:r>
      <w:r>
        <w:rPr/>
        <w:t>(VES</w:t>
      </w:r>
      <w:r>
        <w:rPr>
          <w:spacing w:val="18"/>
        </w:rPr>
        <w:t> </w:t>
      </w:r>
      <w:r>
        <w:rPr/>
        <w:t>4,</w:t>
      </w:r>
      <w:r>
        <w:rPr>
          <w:spacing w:val="15"/>
        </w:rPr>
        <w:t> </w:t>
      </w:r>
      <w:r>
        <w:rPr/>
        <w:t>5,</w:t>
      </w:r>
      <w:r>
        <w:rPr>
          <w:spacing w:val="16"/>
        </w:rPr>
        <w:t> </w:t>
      </w:r>
      <w:r>
        <w:rPr/>
        <w:t>6,</w:t>
      </w:r>
      <w:r>
        <w:rPr>
          <w:spacing w:val="16"/>
        </w:rPr>
        <w:t> </w:t>
      </w:r>
      <w:r>
        <w:rPr/>
        <w:t>7,</w:t>
      </w:r>
      <w:r>
        <w:rPr>
          <w:spacing w:val="15"/>
        </w:rPr>
        <w:t> </w:t>
      </w:r>
      <w:r>
        <w:rPr/>
        <w:t>8,</w:t>
      </w:r>
      <w:r>
        <w:rPr>
          <w:spacing w:val="16"/>
        </w:rPr>
        <w:t> </w:t>
      </w:r>
      <w:r>
        <w:rPr/>
        <w:t>11,</w:t>
      </w:r>
      <w:r>
        <w:rPr>
          <w:spacing w:val="16"/>
        </w:rPr>
        <w:t> </w:t>
      </w:r>
      <w:r>
        <w:rPr/>
        <w:t>12,</w:t>
      </w:r>
      <w:r>
        <w:rPr>
          <w:spacing w:val="16"/>
        </w:rPr>
        <w:t> </w:t>
      </w:r>
      <w:r>
        <w:rPr/>
        <w:t>16,</w:t>
      </w:r>
      <w:r>
        <w:rPr>
          <w:spacing w:val="15"/>
        </w:rPr>
        <w:t> </w:t>
      </w:r>
      <w:r>
        <w:rPr/>
        <w:t>18,</w:t>
      </w:r>
      <w:r>
        <w:rPr>
          <w:spacing w:val="15"/>
        </w:rPr>
        <w:t> </w:t>
      </w:r>
      <w:r>
        <w:rPr/>
        <w:t>19,</w:t>
      </w:r>
      <w:r>
        <w:rPr>
          <w:spacing w:val="15"/>
        </w:rPr>
        <w:t> </w:t>
      </w:r>
      <w:r>
        <w:rPr/>
        <w:t>21,</w:t>
      </w:r>
    </w:p>
    <w:p>
      <w:pPr>
        <w:pStyle w:val="BodyText"/>
        <w:spacing w:line="480" w:lineRule="auto" w:before="1"/>
        <w:ind w:left="1287" w:right="1407"/>
        <w:jc w:val="both"/>
      </w:pPr>
      <w:r>
        <w:rPr/>
        <w:t>22, 25, 27, 29, 31, 32, 33, 34, 35, 36, 38 and 40) are absolutely good for burying of iron</w:t>
      </w:r>
      <w:r>
        <w:rPr>
          <w:spacing w:val="1"/>
        </w:rPr>
        <w:t> </w:t>
      </w:r>
      <w:r>
        <w:rPr/>
        <w:t>underground tanks without deterioration which has a good groundwater potential as</w:t>
      </w:r>
      <w:r>
        <w:rPr>
          <w:spacing w:val="1"/>
        </w:rPr>
        <w:t> </w:t>
      </w:r>
      <w:r>
        <w:rPr/>
        <w:t>revealed by the geoelectric parameters. The geoelectrical properties of the subsurface</w:t>
      </w:r>
      <w:r>
        <w:rPr>
          <w:spacing w:val="1"/>
        </w:rPr>
        <w:t> </w:t>
      </w:r>
      <w:r>
        <w:rPr/>
        <w:t>lithologies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classify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area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low,</w:t>
      </w:r>
      <w:r>
        <w:rPr>
          <w:spacing w:val="1"/>
        </w:rPr>
        <w:t> </w:t>
      </w:r>
      <w:r>
        <w:rPr/>
        <w:t>medium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groundwater</w:t>
      </w:r>
      <w:r>
        <w:rPr>
          <w:spacing w:val="1"/>
        </w:rPr>
        <w:t> </w:t>
      </w:r>
      <w:r>
        <w:rPr/>
        <w:t>potential zones and save for drinking without no effect to human and animals and also</w:t>
      </w:r>
      <w:r>
        <w:rPr>
          <w:spacing w:val="1"/>
        </w:rPr>
        <w:t> </w:t>
      </w:r>
      <w:r>
        <w:rPr/>
        <w:t>save</w:t>
      </w:r>
      <w:r>
        <w:rPr>
          <w:spacing w:val="-2"/>
        </w:rPr>
        <w:t> </w:t>
      </w:r>
      <w:r>
        <w:rPr/>
        <w:t>for any</w:t>
      </w:r>
      <w:r>
        <w:rPr>
          <w:spacing w:val="-5"/>
        </w:rPr>
        <w:t> </w:t>
      </w:r>
      <w:r>
        <w:rPr/>
        <w:t>form of</w:t>
      </w:r>
      <w:r>
        <w:rPr>
          <w:spacing w:val="1"/>
        </w:rPr>
        <w:t> </w:t>
      </w:r>
      <w:r>
        <w:rPr/>
        <w:t>agricultural activities within</w:t>
      </w:r>
      <w:r>
        <w:rPr>
          <w:spacing w:val="-1"/>
        </w:rPr>
        <w:t> </w:t>
      </w:r>
      <w:r>
        <w:rPr/>
        <w:t>the</w:t>
      </w:r>
      <w:r>
        <w:rPr>
          <w:spacing w:val="2"/>
        </w:rPr>
        <w:t> </w:t>
      </w:r>
      <w:r>
        <w:rPr/>
        <w:t>study</w:t>
      </w:r>
      <w:r>
        <w:rPr>
          <w:spacing w:val="-5"/>
        </w:rPr>
        <w:t> </w:t>
      </w:r>
      <w:r>
        <w:rPr/>
        <w:t>area.</w:t>
      </w:r>
    </w:p>
    <w:p>
      <w:pPr>
        <w:pStyle w:val="BodyText"/>
        <w:spacing w:line="480" w:lineRule="auto"/>
        <w:ind w:left="1287" w:right="1405"/>
        <w:jc w:val="both"/>
      </w:pPr>
      <w:r>
        <w:rPr/>
        <w:t>Five</w:t>
      </w:r>
      <w:r>
        <w:rPr>
          <w:spacing w:val="1"/>
        </w:rPr>
        <w:t> </w:t>
      </w:r>
      <w:r>
        <w:rPr/>
        <w:t>subsurface</w:t>
      </w:r>
      <w:r>
        <w:rPr>
          <w:spacing w:val="1"/>
        </w:rPr>
        <w:t> </w:t>
      </w:r>
      <w:r>
        <w:rPr/>
        <w:t>geoelectric</w:t>
      </w:r>
      <w:r>
        <w:rPr>
          <w:spacing w:val="1"/>
        </w:rPr>
        <w:t> </w:t>
      </w:r>
      <w:r>
        <w:rPr/>
        <w:t>units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delineated</w:t>
      </w:r>
      <w:r>
        <w:rPr>
          <w:spacing w:val="1"/>
        </w:rPr>
        <w:t> </w:t>
      </w:r>
      <w:r>
        <w:rPr/>
        <w:t>beneath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VES</w:t>
      </w:r>
      <w:r>
        <w:rPr>
          <w:spacing w:val="1"/>
        </w:rPr>
        <w:t> </w:t>
      </w:r>
      <w:r>
        <w:rPr/>
        <w:t>sections.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lithological variability of the subsurface lithology of the study area is sponsored by the</w:t>
      </w:r>
      <w:r>
        <w:rPr>
          <w:spacing w:val="1"/>
        </w:rPr>
        <w:t> </w:t>
      </w:r>
      <w:r>
        <w:rPr/>
        <w:t>variability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geoelectric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geomaterials.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minimum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maximum resistivities obtained in the study area ranges from 5.0 Ωm to 1640 Ωm,</w:t>
      </w:r>
      <w:r>
        <w:rPr>
          <w:spacing w:val="1"/>
        </w:rPr>
        <w:t> </w:t>
      </w:r>
      <w:r>
        <w:rPr/>
        <w:t>representing clayey soil, silty-sand, sandstone and sandstone intercalated with gravel.</w:t>
      </w:r>
      <w:r>
        <w:rPr>
          <w:spacing w:val="1"/>
        </w:rPr>
        <w:t> </w:t>
      </w:r>
      <w:r>
        <w:rPr/>
        <w:t>There exist a resistivity overlapping values between moderately resistive and highly</w:t>
      </w:r>
      <w:r>
        <w:rPr>
          <w:spacing w:val="1"/>
        </w:rPr>
        <w:t> </w:t>
      </w:r>
      <w:r>
        <w:rPr/>
        <w:t>conductive geomaterials. The apparent thickness and depths of the geoelectric layer</w:t>
      </w:r>
      <w:r>
        <w:rPr>
          <w:spacing w:val="1"/>
        </w:rPr>
        <w:t> </w:t>
      </w:r>
      <w:r>
        <w:rPr/>
        <w:t>where</w:t>
      </w:r>
      <w:r>
        <w:rPr>
          <w:spacing w:val="27"/>
        </w:rPr>
        <w:t> </w:t>
      </w:r>
      <w:r>
        <w:rPr/>
        <w:t>established</w:t>
      </w:r>
      <w:r>
        <w:rPr>
          <w:spacing w:val="29"/>
        </w:rPr>
        <w:t> </w:t>
      </w:r>
      <w:r>
        <w:rPr/>
        <w:t>with</w:t>
      </w:r>
      <w:r>
        <w:rPr>
          <w:spacing w:val="30"/>
        </w:rPr>
        <w:t> </w:t>
      </w:r>
      <w:r>
        <w:rPr/>
        <w:t>the</w:t>
      </w:r>
      <w:r>
        <w:rPr>
          <w:spacing w:val="29"/>
        </w:rPr>
        <w:t> </w:t>
      </w:r>
      <w:r>
        <w:rPr/>
        <w:t>depth</w:t>
      </w:r>
      <w:r>
        <w:rPr>
          <w:spacing w:val="30"/>
        </w:rPr>
        <w:t> </w:t>
      </w:r>
      <w:r>
        <w:rPr/>
        <w:t>of</w:t>
      </w:r>
      <w:r>
        <w:rPr>
          <w:spacing w:val="29"/>
        </w:rPr>
        <w:t> </w:t>
      </w:r>
      <w:r>
        <w:rPr/>
        <w:t>the</w:t>
      </w:r>
      <w:r>
        <w:rPr>
          <w:spacing w:val="28"/>
        </w:rPr>
        <w:t> </w:t>
      </w:r>
      <w:r>
        <w:rPr/>
        <w:t>first</w:t>
      </w:r>
      <w:r>
        <w:rPr>
          <w:spacing w:val="30"/>
        </w:rPr>
        <w:t> </w:t>
      </w:r>
      <w:r>
        <w:rPr/>
        <w:t>geoelectric</w:t>
      </w:r>
      <w:r>
        <w:rPr>
          <w:spacing w:val="29"/>
        </w:rPr>
        <w:t> </w:t>
      </w:r>
      <w:r>
        <w:rPr/>
        <w:t>layer</w:t>
      </w:r>
      <w:r>
        <w:rPr>
          <w:spacing w:val="29"/>
        </w:rPr>
        <w:t> </w:t>
      </w:r>
      <w:r>
        <w:rPr/>
        <w:t>ranging</w:t>
      </w:r>
      <w:r>
        <w:rPr>
          <w:spacing w:val="27"/>
        </w:rPr>
        <w:t> </w:t>
      </w:r>
      <w:r>
        <w:rPr/>
        <w:t>between</w:t>
      </w:r>
      <w:r>
        <w:rPr>
          <w:spacing w:val="29"/>
        </w:rPr>
        <w:t> </w:t>
      </w:r>
      <w:r>
        <w:rPr/>
        <w:t>0.3</w:t>
      </w:r>
      <w:r>
        <w:rPr>
          <w:spacing w:val="29"/>
        </w:rPr>
        <w:t> </w:t>
      </w:r>
      <w:r>
        <w:rPr/>
        <w:t>m</w:t>
      </w:r>
      <w:r>
        <w:rPr>
          <w:spacing w:val="-58"/>
        </w:rPr>
        <w:t> </w:t>
      </w:r>
      <w:r>
        <w:rPr/>
        <w:t>and 2.3 m, the second layer depth ranges from 2 m to 58 m, the third- and fourth-layer</w:t>
      </w:r>
      <w:r>
        <w:rPr>
          <w:spacing w:val="1"/>
        </w:rPr>
        <w:t> </w:t>
      </w:r>
      <w:r>
        <w:rPr/>
        <w:t>depths ranges from 6 m to 66m and 25 m to 90 m respectively. The thickness of the</w:t>
      </w:r>
      <w:r>
        <w:rPr>
          <w:spacing w:val="1"/>
        </w:rPr>
        <w:t> </w:t>
      </w:r>
      <w:r>
        <w:rPr/>
        <w:t>geoelectric</w:t>
      </w:r>
      <w:r>
        <w:rPr>
          <w:spacing w:val="4"/>
        </w:rPr>
        <w:t> </w:t>
      </w:r>
      <w:r>
        <w:rPr/>
        <w:t>layers</w:t>
      </w:r>
      <w:r>
        <w:rPr>
          <w:spacing w:val="4"/>
        </w:rPr>
        <w:t> </w:t>
      </w:r>
      <w:r>
        <w:rPr/>
        <w:t>also</w:t>
      </w:r>
      <w:r>
        <w:rPr>
          <w:spacing w:val="5"/>
        </w:rPr>
        <w:t> </w:t>
      </w:r>
      <w:r>
        <w:rPr/>
        <w:t>varies</w:t>
      </w:r>
      <w:r>
        <w:rPr>
          <w:spacing w:val="5"/>
        </w:rPr>
        <w:t> </w:t>
      </w:r>
      <w:r>
        <w:rPr/>
        <w:t>as</w:t>
      </w:r>
      <w:r>
        <w:rPr>
          <w:spacing w:val="5"/>
        </w:rPr>
        <w:t> </w:t>
      </w:r>
      <w:r>
        <w:rPr/>
        <w:t>the</w:t>
      </w:r>
      <w:r>
        <w:rPr>
          <w:spacing w:val="4"/>
        </w:rPr>
        <w:t> </w:t>
      </w:r>
      <w:r>
        <w:rPr/>
        <w:t>first</w:t>
      </w:r>
      <w:r>
        <w:rPr>
          <w:spacing w:val="5"/>
        </w:rPr>
        <w:t> </w:t>
      </w:r>
      <w:r>
        <w:rPr/>
        <w:t>geoelectric</w:t>
      </w:r>
      <w:r>
        <w:rPr>
          <w:spacing w:val="4"/>
        </w:rPr>
        <w:t> </w:t>
      </w:r>
      <w:r>
        <w:rPr/>
        <w:t>layer</w:t>
      </w:r>
      <w:r>
        <w:rPr>
          <w:spacing w:val="4"/>
        </w:rPr>
        <w:t> </w:t>
      </w:r>
      <w:r>
        <w:rPr/>
        <w:t>expresses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/>
        <w:t>thickness</w:t>
      </w:r>
      <w:r>
        <w:rPr>
          <w:spacing w:val="5"/>
        </w:rPr>
        <w:t> </w:t>
      </w:r>
      <w:r>
        <w:rPr/>
        <w:t>range</w:t>
      </w:r>
      <w:r>
        <w:rPr>
          <w:spacing w:val="4"/>
        </w:rPr>
        <w:t> </w:t>
      </w:r>
      <w:r>
        <w:rPr/>
        <w:t>of</w:t>
      </w:r>
    </w:p>
    <w:p>
      <w:pPr>
        <w:pStyle w:val="BodyText"/>
        <w:spacing w:line="275" w:lineRule="exact"/>
        <w:ind w:left="1287"/>
      </w:pPr>
      <w:r>
        <w:rPr/>
        <w:t>0.3</w:t>
      </w:r>
      <w:r>
        <w:rPr>
          <w:spacing w:val="30"/>
        </w:rPr>
        <w:t> </w:t>
      </w:r>
      <w:r>
        <w:rPr/>
        <w:t>m</w:t>
      </w:r>
      <w:r>
        <w:rPr>
          <w:spacing w:val="31"/>
        </w:rPr>
        <w:t> </w:t>
      </w:r>
      <w:r>
        <w:rPr/>
        <w:t>to</w:t>
      </w:r>
      <w:r>
        <w:rPr>
          <w:spacing w:val="31"/>
        </w:rPr>
        <w:t> </w:t>
      </w:r>
      <w:r>
        <w:rPr/>
        <w:t>2.3</w:t>
      </w:r>
      <w:r>
        <w:rPr>
          <w:spacing w:val="30"/>
        </w:rPr>
        <w:t> </w:t>
      </w:r>
      <w:r>
        <w:rPr/>
        <w:t>m,</w:t>
      </w:r>
      <w:r>
        <w:rPr>
          <w:spacing w:val="31"/>
        </w:rPr>
        <w:t> </w:t>
      </w:r>
      <w:r>
        <w:rPr/>
        <w:t>the</w:t>
      </w:r>
      <w:r>
        <w:rPr>
          <w:spacing w:val="32"/>
        </w:rPr>
        <w:t> </w:t>
      </w:r>
      <w:r>
        <w:rPr/>
        <w:t>second</w:t>
      </w:r>
      <w:r>
        <w:rPr>
          <w:spacing w:val="31"/>
        </w:rPr>
        <w:t> </w:t>
      </w:r>
      <w:r>
        <w:rPr/>
        <w:t>layer</w:t>
      </w:r>
      <w:r>
        <w:rPr>
          <w:spacing w:val="32"/>
        </w:rPr>
        <w:t> </w:t>
      </w:r>
      <w:r>
        <w:rPr/>
        <w:t>thickness</w:t>
      </w:r>
      <w:r>
        <w:rPr>
          <w:spacing w:val="31"/>
        </w:rPr>
        <w:t> </w:t>
      </w:r>
      <w:r>
        <w:rPr/>
        <w:t>ranges</w:t>
      </w:r>
      <w:r>
        <w:rPr>
          <w:spacing w:val="31"/>
        </w:rPr>
        <w:t> </w:t>
      </w:r>
      <w:r>
        <w:rPr/>
        <w:t>from</w:t>
      </w:r>
      <w:r>
        <w:rPr>
          <w:spacing w:val="31"/>
        </w:rPr>
        <w:t> </w:t>
      </w:r>
      <w:r>
        <w:rPr/>
        <w:t>2</w:t>
      </w:r>
      <w:r>
        <w:rPr>
          <w:spacing w:val="33"/>
        </w:rPr>
        <w:t> </w:t>
      </w:r>
      <w:r>
        <w:rPr/>
        <w:t>m</w:t>
      </w:r>
      <w:r>
        <w:rPr>
          <w:spacing w:val="32"/>
        </w:rPr>
        <w:t> </w:t>
      </w:r>
      <w:r>
        <w:rPr/>
        <w:t>to</w:t>
      </w:r>
      <w:r>
        <w:rPr>
          <w:spacing w:val="31"/>
        </w:rPr>
        <w:t> </w:t>
      </w:r>
      <w:r>
        <w:rPr/>
        <w:t>32</w:t>
      </w:r>
      <w:r>
        <w:rPr>
          <w:spacing w:val="30"/>
        </w:rPr>
        <w:t> </w:t>
      </w:r>
      <w:r>
        <w:rPr/>
        <w:t>m,</w:t>
      </w:r>
      <w:r>
        <w:rPr>
          <w:spacing w:val="33"/>
        </w:rPr>
        <w:t> </w:t>
      </w:r>
      <w:r>
        <w:rPr/>
        <w:t>the</w:t>
      </w:r>
      <w:r>
        <w:rPr>
          <w:spacing w:val="30"/>
        </w:rPr>
        <w:t> </w:t>
      </w:r>
      <w:r>
        <w:rPr/>
        <w:t>third</w:t>
      </w:r>
      <w:r>
        <w:rPr>
          <w:spacing w:val="30"/>
        </w:rPr>
        <w:t> </w:t>
      </w:r>
      <w:r>
        <w:rPr/>
        <w:t>layer</w:t>
      </w:r>
    </w:p>
    <w:p>
      <w:pPr>
        <w:spacing w:after="0" w:line="275" w:lineRule="exact"/>
        <w:sectPr>
          <w:pgSz w:w="11910" w:h="16840"/>
          <w:pgMar w:header="0" w:footer="987" w:top="1320" w:bottom="1260" w:left="700" w:right="0"/>
        </w:sectPr>
      </w:pPr>
    </w:p>
    <w:p>
      <w:pPr>
        <w:pStyle w:val="BodyText"/>
        <w:spacing w:line="480" w:lineRule="auto" w:before="64"/>
        <w:ind w:left="1287" w:right="1406"/>
        <w:jc w:val="both"/>
      </w:pPr>
      <w:r>
        <w:rPr/>
        <w:t>ranges from 2 m to 62 m while the thickness of the fourth layer ranges between 12 m to</w:t>
      </w:r>
      <w:r>
        <w:rPr>
          <w:spacing w:val="1"/>
        </w:rPr>
        <w:t> </w:t>
      </w:r>
      <w:r>
        <w:rPr/>
        <w:t>52 m. The depth and thickness of the fifth geoelectric layer extends beyond the probe</w:t>
      </w:r>
      <w:r>
        <w:rPr>
          <w:spacing w:val="1"/>
        </w:rPr>
        <w:t> </w:t>
      </w:r>
      <w:r>
        <w:rPr/>
        <w:t>depth of this investigation. The depth of the fifth layer in proposed to be infinite in</w:t>
      </w:r>
      <w:r>
        <w:rPr>
          <w:spacing w:val="1"/>
        </w:rPr>
        <w:t> </w:t>
      </w:r>
      <w:r>
        <w:rPr/>
        <w:t>extent.</w:t>
      </w:r>
    </w:p>
    <w:p>
      <w:pPr>
        <w:pStyle w:val="Heading2"/>
        <w:numPr>
          <w:ilvl w:val="1"/>
          <w:numId w:val="13"/>
        </w:numPr>
        <w:tabs>
          <w:tab w:pos="1648" w:val="left" w:leader="none"/>
        </w:tabs>
        <w:spacing w:line="240" w:lineRule="auto" w:before="167" w:after="0"/>
        <w:ind w:left="1647" w:right="0" w:hanging="361"/>
        <w:jc w:val="both"/>
      </w:pPr>
      <w:r>
        <w:rPr/>
        <w:t>Recommendations</w:t>
      </w:r>
    </w:p>
    <w:p>
      <w:pPr>
        <w:pStyle w:val="BodyText"/>
        <w:spacing w:before="4"/>
        <w:rPr>
          <w:b/>
          <w:sz w:val="23"/>
        </w:rPr>
      </w:pPr>
    </w:p>
    <w:p>
      <w:pPr>
        <w:pStyle w:val="ListParagraph"/>
        <w:numPr>
          <w:ilvl w:val="2"/>
          <w:numId w:val="13"/>
        </w:numPr>
        <w:tabs>
          <w:tab w:pos="2008" w:val="left" w:leader="none"/>
        </w:tabs>
        <w:spacing w:line="480" w:lineRule="auto" w:before="0" w:after="0"/>
        <w:ind w:left="2007" w:right="1409" w:hanging="360"/>
        <w:jc w:val="both"/>
        <w:rPr>
          <w:sz w:val="24"/>
        </w:rPr>
      </w:pPr>
      <w:r>
        <w:rPr>
          <w:sz w:val="24"/>
        </w:rPr>
        <w:t>Government, individuals or estate developers who wish to site borehole within</w:t>
      </w:r>
      <w:r>
        <w:rPr>
          <w:spacing w:val="1"/>
          <w:sz w:val="24"/>
        </w:rPr>
        <w:t> </w:t>
      </w:r>
      <w:r>
        <w:rPr>
          <w:sz w:val="24"/>
        </w:rPr>
        <w:t>the study area are strongly advisedto consider the VES points VES 3 on profile 2</w:t>
      </w:r>
      <w:r>
        <w:rPr>
          <w:spacing w:val="-57"/>
          <w:sz w:val="24"/>
        </w:rPr>
        <w:t> </w:t>
      </w:r>
      <w:r>
        <w:rPr>
          <w:sz w:val="24"/>
        </w:rPr>
        <w:t>VES 1 and VES 2 on profile 4 and profile 5, VES 4 on profile 7 VES 3 and VES</w:t>
      </w:r>
      <w:r>
        <w:rPr>
          <w:spacing w:val="-57"/>
          <w:sz w:val="24"/>
        </w:rPr>
        <w:t> </w:t>
      </w:r>
      <w:r>
        <w:rPr>
          <w:sz w:val="24"/>
        </w:rPr>
        <w:t>4 on</w:t>
      </w:r>
      <w:r>
        <w:rPr>
          <w:spacing w:val="-1"/>
          <w:sz w:val="24"/>
        </w:rPr>
        <w:t> </w:t>
      </w:r>
      <w:r>
        <w:rPr>
          <w:sz w:val="24"/>
        </w:rPr>
        <w:t>profile</w:t>
      </w:r>
      <w:r>
        <w:rPr>
          <w:spacing w:val="-1"/>
          <w:sz w:val="24"/>
        </w:rPr>
        <w:t> </w:t>
      </w:r>
      <w:r>
        <w:rPr>
          <w:sz w:val="24"/>
        </w:rPr>
        <w:t>8</w:t>
      </w:r>
    </w:p>
    <w:p>
      <w:pPr>
        <w:pStyle w:val="ListParagraph"/>
        <w:numPr>
          <w:ilvl w:val="2"/>
          <w:numId w:val="13"/>
        </w:numPr>
        <w:tabs>
          <w:tab w:pos="2008" w:val="left" w:leader="none"/>
        </w:tabs>
        <w:spacing w:line="480" w:lineRule="auto" w:before="1" w:after="0"/>
        <w:ind w:left="2007" w:right="1413" w:hanging="360"/>
        <w:jc w:val="both"/>
        <w:rPr>
          <w:sz w:val="24"/>
        </w:rPr>
      </w:pPr>
      <w:r>
        <w:rPr>
          <w:sz w:val="24"/>
        </w:rPr>
        <w:t>Laboratory checks can be conducted in order to access the protective capacity of</w:t>
      </w:r>
      <w:r>
        <w:rPr>
          <w:spacing w:val="1"/>
          <w:sz w:val="24"/>
        </w:rPr>
        <w:t> </w:t>
      </w:r>
      <w:r>
        <w:rPr>
          <w:sz w:val="24"/>
        </w:rPr>
        <w:t>aquifers within regions described as poor and weak before carry any form of</w:t>
      </w:r>
      <w:r>
        <w:rPr>
          <w:spacing w:val="1"/>
          <w:sz w:val="24"/>
        </w:rPr>
        <w:t> </w:t>
      </w:r>
      <w:r>
        <w:rPr>
          <w:sz w:val="24"/>
        </w:rPr>
        <w:t>activity</w:t>
      </w:r>
      <w:r>
        <w:rPr>
          <w:spacing w:val="-5"/>
          <w:sz w:val="24"/>
        </w:rPr>
        <w:t> </w:t>
      </w:r>
      <w:r>
        <w:rPr>
          <w:sz w:val="24"/>
        </w:rPr>
        <w:t>there.</w:t>
      </w:r>
    </w:p>
    <w:p>
      <w:pPr>
        <w:pStyle w:val="ListParagraph"/>
        <w:numPr>
          <w:ilvl w:val="2"/>
          <w:numId w:val="13"/>
        </w:numPr>
        <w:tabs>
          <w:tab w:pos="2008" w:val="left" w:leader="none"/>
        </w:tabs>
        <w:spacing w:line="480" w:lineRule="auto" w:before="0" w:after="0"/>
        <w:ind w:left="2007" w:right="1413" w:hanging="360"/>
        <w:jc w:val="both"/>
        <w:rPr>
          <w:sz w:val="24"/>
        </w:rPr>
      </w:pPr>
      <w:r>
        <w:rPr>
          <w:sz w:val="24"/>
        </w:rPr>
        <w:t>Areas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poor</w:t>
      </w:r>
      <w:r>
        <w:rPr>
          <w:spacing w:val="1"/>
          <w:sz w:val="24"/>
        </w:rPr>
        <w:t> </w:t>
      </w:r>
      <w:r>
        <w:rPr>
          <w:sz w:val="24"/>
        </w:rPr>
        <w:t>aquifer</w:t>
      </w:r>
      <w:r>
        <w:rPr>
          <w:spacing w:val="1"/>
          <w:sz w:val="24"/>
        </w:rPr>
        <w:t> </w:t>
      </w:r>
      <w:r>
        <w:rPr>
          <w:sz w:val="24"/>
        </w:rPr>
        <w:t>protective</w:t>
      </w:r>
      <w:r>
        <w:rPr>
          <w:spacing w:val="1"/>
          <w:sz w:val="24"/>
        </w:rPr>
        <w:t> </w:t>
      </w:r>
      <w:r>
        <w:rPr>
          <w:sz w:val="24"/>
        </w:rPr>
        <w:t>capacity</w:t>
      </w:r>
      <w:r>
        <w:rPr>
          <w:spacing w:val="1"/>
          <w:sz w:val="24"/>
        </w:rPr>
        <w:t> </w:t>
      </w:r>
      <w:r>
        <w:rPr>
          <w:sz w:val="24"/>
        </w:rPr>
        <w:t>should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avoided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sinking</w:t>
      </w:r>
      <w:r>
        <w:rPr>
          <w:spacing w:val="1"/>
          <w:sz w:val="24"/>
        </w:rPr>
        <w:t> </w:t>
      </w:r>
      <w:r>
        <w:rPr>
          <w:sz w:val="24"/>
        </w:rPr>
        <w:t>borehole</w:t>
      </w:r>
      <w:r>
        <w:rPr>
          <w:spacing w:val="-1"/>
          <w:sz w:val="24"/>
        </w:rPr>
        <w:t> </w:t>
      </w:r>
      <w:r>
        <w:rPr>
          <w:sz w:val="24"/>
        </w:rPr>
        <w:t>to reduce</w:t>
      </w:r>
      <w:r>
        <w:rPr>
          <w:spacing w:val="-1"/>
          <w:sz w:val="24"/>
        </w:rPr>
        <w:t> </w:t>
      </w:r>
      <w:r>
        <w:rPr>
          <w:sz w:val="24"/>
        </w:rPr>
        <w:t>leachates</w:t>
      </w:r>
      <w:r>
        <w:rPr>
          <w:spacing w:val="-1"/>
          <w:sz w:val="24"/>
        </w:rPr>
        <w:t> </w:t>
      </w:r>
      <w:r>
        <w:rPr>
          <w:sz w:val="24"/>
        </w:rPr>
        <w:t>infiltration to the</w:t>
      </w:r>
      <w:r>
        <w:rPr>
          <w:spacing w:val="-1"/>
          <w:sz w:val="24"/>
        </w:rPr>
        <w:t> </w:t>
      </w:r>
      <w:r>
        <w:rPr>
          <w:sz w:val="24"/>
        </w:rPr>
        <w:t>groundwater.</w:t>
      </w:r>
    </w:p>
    <w:p>
      <w:pPr>
        <w:pStyle w:val="ListParagraph"/>
        <w:numPr>
          <w:ilvl w:val="2"/>
          <w:numId w:val="13"/>
        </w:numPr>
        <w:tabs>
          <w:tab w:pos="2008" w:val="left" w:leader="none"/>
        </w:tabs>
        <w:spacing w:line="480" w:lineRule="auto" w:before="0" w:after="0"/>
        <w:ind w:left="2007" w:right="1412" w:hanging="360"/>
        <w:jc w:val="both"/>
        <w:rPr>
          <w:sz w:val="24"/>
        </w:rPr>
      </w:pPr>
      <w:r>
        <w:rPr>
          <w:sz w:val="24"/>
        </w:rPr>
        <w:t>Plastic pipes are more preferable in the areas of good and moderate aquifer</w:t>
      </w:r>
      <w:r>
        <w:rPr>
          <w:spacing w:val="1"/>
          <w:sz w:val="24"/>
        </w:rPr>
        <w:t> </w:t>
      </w:r>
      <w:r>
        <w:rPr>
          <w:sz w:val="24"/>
        </w:rPr>
        <w:t>protective</w:t>
      </w:r>
      <w:r>
        <w:rPr>
          <w:spacing w:val="-2"/>
          <w:sz w:val="24"/>
        </w:rPr>
        <w:t> </w:t>
      </w:r>
      <w:r>
        <w:rPr>
          <w:sz w:val="24"/>
        </w:rPr>
        <w:t>capacity.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987" w:top="1320" w:bottom="1260" w:left="700" w:right="0"/>
        </w:sectPr>
      </w:pPr>
    </w:p>
    <w:p>
      <w:pPr>
        <w:spacing w:before="70"/>
        <w:ind w:left="1277" w:right="1401" w:firstLine="0"/>
        <w:jc w:val="center"/>
        <w:rPr>
          <w:b/>
          <w:sz w:val="28"/>
        </w:rPr>
      </w:pPr>
      <w:r>
        <w:rPr>
          <w:b/>
          <w:sz w:val="28"/>
        </w:rPr>
        <w:t>REFERENCE</w:t>
      </w:r>
    </w:p>
    <w:p>
      <w:pPr>
        <w:pStyle w:val="BodyText"/>
        <w:spacing w:before="234"/>
        <w:ind w:left="2007" w:right="1406" w:hanging="720"/>
        <w:jc w:val="both"/>
      </w:pPr>
      <w:r>
        <w:rPr/>
        <w:t>Abdullahi A., Shehu, A.D., &amp; Muhammad A.U. (2017). Evaluation of soil corrosivity</w:t>
      </w:r>
      <w:r>
        <w:rPr>
          <w:spacing w:val="1"/>
        </w:rPr>
        <w:t> </w:t>
      </w:r>
      <w:r>
        <w:rPr/>
        <w:t>and aquifer protective capacity using secondary geoelectric parameters across</w:t>
      </w:r>
      <w:r>
        <w:rPr>
          <w:spacing w:val="1"/>
        </w:rPr>
        <w:t> </w:t>
      </w:r>
      <w:r>
        <w:rPr/>
        <w:t>Gombe</w:t>
      </w:r>
      <w:r>
        <w:rPr>
          <w:spacing w:val="1"/>
        </w:rPr>
        <w:t> </w:t>
      </w:r>
      <w:r>
        <w:rPr/>
        <w:t>metropolis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North-eastern</w:t>
      </w:r>
      <w:r>
        <w:rPr>
          <w:spacing w:val="1"/>
        </w:rPr>
        <w:t> </w:t>
      </w:r>
      <w:r>
        <w:rPr>
          <w:i/>
        </w:rPr>
        <w:t>Nigeria</w:t>
      </w:r>
      <w:r>
        <w:rPr>
          <w:i/>
          <w:spacing w:val="1"/>
        </w:rPr>
        <w:t> </w:t>
      </w:r>
      <w:r>
        <w:rPr>
          <w:i/>
        </w:rPr>
        <w:t>Agricultural</w:t>
      </w:r>
      <w:r>
        <w:rPr>
          <w:i/>
          <w:spacing w:val="1"/>
        </w:rPr>
        <w:t> </w:t>
      </w:r>
      <w:r>
        <w:rPr>
          <w:i/>
        </w:rPr>
        <w:t>Business</w:t>
      </w:r>
      <w:r>
        <w:rPr>
          <w:i/>
          <w:spacing w:val="1"/>
        </w:rPr>
        <w:t> </w:t>
      </w:r>
      <w:r>
        <w:rPr>
          <w:i/>
        </w:rPr>
        <w:t>and</w:t>
      </w:r>
      <w:r>
        <w:rPr>
          <w:i/>
          <w:spacing w:val="1"/>
        </w:rPr>
        <w:t> </w:t>
      </w:r>
      <w:r>
        <w:rPr>
          <w:i/>
        </w:rPr>
        <w:t>Technology</w:t>
      </w:r>
      <w:r>
        <w:rPr/>
        <w:t>.</w:t>
      </w:r>
      <w:r>
        <w:rPr>
          <w:spacing w:val="-1"/>
        </w:rPr>
        <w:t> </w:t>
      </w:r>
      <w:r>
        <w:rPr/>
        <w:t>Vol. 15, pp</w:t>
      </w:r>
      <w:r>
        <w:rPr>
          <w:spacing w:val="2"/>
        </w:rPr>
        <w:t> </w:t>
      </w:r>
      <w:r>
        <w:rPr/>
        <w:t>29-51 (2017)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ind w:left="2007" w:right="1408" w:hanging="720"/>
        <w:jc w:val="both"/>
      </w:pPr>
      <w:r>
        <w:rPr/>
        <w:t>Abiola,</w:t>
      </w:r>
      <w:r>
        <w:rPr>
          <w:spacing w:val="1"/>
        </w:rPr>
        <w:t> </w:t>
      </w:r>
      <w:r>
        <w:rPr/>
        <w:t>O.,</w:t>
      </w:r>
      <w:r>
        <w:rPr>
          <w:spacing w:val="1"/>
        </w:rPr>
        <w:t> </w:t>
      </w:r>
      <w:r>
        <w:rPr/>
        <w:t>Enikanselu,</w:t>
      </w:r>
      <w:r>
        <w:rPr>
          <w:spacing w:val="1"/>
        </w:rPr>
        <w:t> </w:t>
      </w:r>
      <w:r>
        <w:rPr/>
        <w:t>P.A.,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Oladapo,</w:t>
      </w:r>
      <w:r>
        <w:rPr>
          <w:spacing w:val="1"/>
        </w:rPr>
        <w:t> </w:t>
      </w:r>
      <w:r>
        <w:rPr/>
        <w:t>M.I.</w:t>
      </w:r>
      <w:r>
        <w:rPr>
          <w:spacing w:val="1"/>
        </w:rPr>
        <w:t> </w:t>
      </w:r>
      <w:r>
        <w:rPr/>
        <w:t>(2009).</w:t>
      </w:r>
      <w:r>
        <w:rPr>
          <w:spacing w:val="1"/>
        </w:rPr>
        <w:t> </w:t>
      </w:r>
      <w:r>
        <w:rPr/>
        <w:t>Groundwater</w:t>
      </w:r>
      <w:r>
        <w:rPr>
          <w:spacing w:val="1"/>
        </w:rPr>
        <w:t> </w:t>
      </w:r>
      <w:r>
        <w:rPr/>
        <w:t>potential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aquifer</w:t>
      </w:r>
      <w:r>
        <w:rPr>
          <w:spacing w:val="1"/>
        </w:rPr>
        <w:t> </w:t>
      </w:r>
      <w:r>
        <w:rPr/>
        <w:t>protective</w:t>
      </w:r>
      <w:r>
        <w:rPr>
          <w:spacing w:val="1"/>
        </w:rPr>
        <w:t> </w:t>
      </w:r>
      <w:r>
        <w:rPr/>
        <w:t>capacity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overburden</w:t>
      </w:r>
      <w:r>
        <w:rPr>
          <w:spacing w:val="1"/>
        </w:rPr>
        <w:t> </w:t>
      </w:r>
      <w:r>
        <w:rPr/>
        <w:t>units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Ado-Ekiti,</w:t>
      </w:r>
      <w:r>
        <w:rPr>
          <w:spacing w:val="1"/>
        </w:rPr>
        <w:t> </w:t>
      </w:r>
      <w:r>
        <w:rPr/>
        <w:t>southwestern</w:t>
      </w:r>
      <w:r>
        <w:rPr>
          <w:spacing w:val="1"/>
        </w:rPr>
        <w:t> </w:t>
      </w:r>
      <w:r>
        <w:rPr/>
        <w:t>Nigeria;</w:t>
      </w:r>
      <w:r>
        <w:rPr>
          <w:spacing w:val="-1"/>
        </w:rPr>
        <w:t> </w:t>
      </w:r>
      <w:r>
        <w:rPr>
          <w:i/>
        </w:rPr>
        <w:t>International Journal of</w:t>
      </w:r>
      <w:r>
        <w:rPr>
          <w:i/>
          <w:spacing w:val="-1"/>
        </w:rPr>
        <w:t> </w:t>
      </w:r>
      <w:r>
        <w:rPr>
          <w:i/>
        </w:rPr>
        <w:t>Physics Sciences.</w:t>
      </w:r>
      <w:r>
        <w:rPr>
          <w:i/>
          <w:spacing w:val="2"/>
        </w:rPr>
        <w:t> </w:t>
      </w:r>
      <w:r>
        <w:rPr/>
        <w:t>4(3)</w:t>
      </w:r>
      <w:r>
        <w:rPr>
          <w:spacing w:val="-2"/>
        </w:rPr>
        <w:t> </w:t>
      </w:r>
      <w:r>
        <w:rPr/>
        <w:t>120–132.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before="1"/>
        <w:ind w:left="2007" w:right="1407" w:hanging="720"/>
        <w:jc w:val="both"/>
      </w:pPr>
      <w:r>
        <w:rPr/>
        <w:t>Adeniji,</w:t>
      </w:r>
      <w:r>
        <w:rPr>
          <w:spacing w:val="27"/>
        </w:rPr>
        <w:t> </w:t>
      </w:r>
      <w:r>
        <w:rPr/>
        <w:t>A.E.,</w:t>
      </w:r>
      <w:r>
        <w:rPr>
          <w:spacing w:val="26"/>
        </w:rPr>
        <w:t> </w:t>
      </w:r>
      <w:r>
        <w:rPr/>
        <w:t>Omonona,</w:t>
      </w:r>
      <w:r>
        <w:rPr>
          <w:spacing w:val="27"/>
        </w:rPr>
        <w:t> </w:t>
      </w:r>
      <w:r>
        <w:rPr/>
        <w:t>O.V.,</w:t>
      </w:r>
      <w:r>
        <w:rPr>
          <w:spacing w:val="26"/>
        </w:rPr>
        <w:t> </w:t>
      </w:r>
      <w:r>
        <w:rPr/>
        <w:t>Obiora,</w:t>
      </w:r>
      <w:r>
        <w:rPr>
          <w:spacing w:val="27"/>
        </w:rPr>
        <w:t> </w:t>
      </w:r>
      <w:r>
        <w:rPr/>
        <w:t>D.N.,</w:t>
      </w:r>
      <w:r>
        <w:rPr>
          <w:spacing w:val="29"/>
        </w:rPr>
        <w:t> </w:t>
      </w:r>
      <w:r>
        <w:rPr/>
        <w:t>&amp;Chukudebelu,</w:t>
      </w:r>
      <w:r>
        <w:rPr>
          <w:spacing w:val="28"/>
        </w:rPr>
        <w:t> </w:t>
      </w:r>
      <w:r>
        <w:rPr/>
        <w:t>J.U.</w:t>
      </w:r>
      <w:r>
        <w:rPr>
          <w:spacing w:val="26"/>
        </w:rPr>
        <w:t> </w:t>
      </w:r>
      <w:r>
        <w:rPr/>
        <w:t>(2014).</w:t>
      </w:r>
      <w:r>
        <w:rPr>
          <w:spacing w:val="25"/>
        </w:rPr>
        <w:t> </w:t>
      </w:r>
      <w:r>
        <w:rPr/>
        <w:t>Evaluation</w:t>
      </w:r>
      <w:r>
        <w:rPr>
          <w:spacing w:val="-57"/>
        </w:rPr>
        <w:t> </w:t>
      </w:r>
      <w:r>
        <w:rPr/>
        <w:t>of</w:t>
      </w:r>
      <w:r>
        <w:rPr>
          <w:spacing w:val="1"/>
        </w:rPr>
        <w:t> </w:t>
      </w:r>
      <w:r>
        <w:rPr/>
        <w:t>soil</w:t>
      </w:r>
      <w:r>
        <w:rPr>
          <w:spacing w:val="1"/>
        </w:rPr>
        <w:t> </w:t>
      </w:r>
      <w:r>
        <w:rPr/>
        <w:t>corrosivity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aquifer</w:t>
      </w:r>
      <w:r>
        <w:rPr>
          <w:spacing w:val="1"/>
        </w:rPr>
        <w:t> </w:t>
      </w:r>
      <w:r>
        <w:rPr/>
        <w:t>protective</w:t>
      </w:r>
      <w:r>
        <w:rPr>
          <w:spacing w:val="1"/>
        </w:rPr>
        <w:t> </w:t>
      </w:r>
      <w:r>
        <w:rPr/>
        <w:t>capacity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geo-electrical</w:t>
      </w:r>
      <w:r>
        <w:rPr>
          <w:spacing w:val="1"/>
        </w:rPr>
        <w:t> </w:t>
      </w:r>
      <w:r>
        <w:rPr/>
        <w:t>investigation in Bwari basement area; Abuja. </w:t>
      </w:r>
      <w:r>
        <w:rPr>
          <w:i/>
        </w:rPr>
        <w:t>Journal of Earth System Sciences.</w:t>
      </w:r>
      <w:r>
        <w:rPr>
          <w:i/>
          <w:spacing w:val="1"/>
        </w:rPr>
        <w:t> </w:t>
      </w:r>
      <w:r>
        <w:rPr/>
        <w:t>123(3)</w:t>
      </w:r>
      <w:r>
        <w:rPr>
          <w:spacing w:val="-1"/>
        </w:rPr>
        <w:t> </w:t>
      </w:r>
      <w:r>
        <w:rPr/>
        <w:t>491–502.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237" w:lineRule="auto"/>
        <w:ind w:left="2007" w:right="1415" w:hanging="720"/>
        <w:jc w:val="both"/>
      </w:pPr>
      <w:r>
        <w:rPr/>
        <w:t>Agunloye,</w:t>
      </w:r>
      <w:r>
        <w:rPr>
          <w:spacing w:val="1"/>
        </w:rPr>
        <w:t> </w:t>
      </w:r>
      <w:r>
        <w:rPr/>
        <w:t>O.</w:t>
      </w:r>
      <w:r>
        <w:rPr>
          <w:spacing w:val="1"/>
        </w:rPr>
        <w:t> </w:t>
      </w:r>
      <w:r>
        <w:rPr/>
        <w:t>(1984).</w:t>
      </w:r>
      <w:r>
        <w:rPr>
          <w:spacing w:val="1"/>
        </w:rPr>
        <w:t> </w:t>
      </w:r>
      <w:r>
        <w:rPr/>
        <w:t>Soil</w:t>
      </w:r>
      <w:r>
        <w:rPr>
          <w:spacing w:val="1"/>
        </w:rPr>
        <w:t> </w:t>
      </w:r>
      <w:r>
        <w:rPr/>
        <w:t>aggressivity</w:t>
      </w:r>
      <w:r>
        <w:rPr>
          <w:spacing w:val="1"/>
        </w:rPr>
        <w:t> </w:t>
      </w:r>
      <w:r>
        <w:rPr/>
        <w:t>along</w:t>
      </w:r>
      <w:r>
        <w:rPr>
          <w:spacing w:val="1"/>
        </w:rPr>
        <w:t> </w:t>
      </w:r>
      <w:r>
        <w:rPr/>
        <w:t>steel</w:t>
      </w:r>
      <w:r>
        <w:rPr>
          <w:spacing w:val="1"/>
        </w:rPr>
        <w:t> </w:t>
      </w:r>
      <w:r>
        <w:rPr/>
        <w:t>pipeline</w:t>
      </w:r>
      <w:r>
        <w:rPr>
          <w:spacing w:val="1"/>
        </w:rPr>
        <w:t> </w:t>
      </w:r>
      <w:r>
        <w:rPr/>
        <w:t>route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Ajaokuta</w:t>
      </w:r>
      <w:r>
        <w:rPr>
          <w:spacing w:val="1"/>
        </w:rPr>
        <w:t> </w:t>
      </w:r>
      <w:r>
        <w:rPr/>
        <w:t>southwestern</w:t>
      </w:r>
      <w:r>
        <w:rPr>
          <w:spacing w:val="-1"/>
        </w:rPr>
        <w:t> </w:t>
      </w:r>
      <w:r>
        <w:rPr/>
        <w:t>Nigeria.</w:t>
      </w:r>
      <w:r>
        <w:rPr>
          <w:spacing w:val="1"/>
        </w:rPr>
        <w:t> </w:t>
      </w:r>
      <w:r>
        <w:rPr>
          <w:i/>
        </w:rPr>
        <w:t>Journal of Mining Geology,</w:t>
      </w:r>
      <w:r>
        <w:rPr>
          <w:i/>
          <w:spacing w:val="-1"/>
        </w:rPr>
        <w:t> </w:t>
      </w:r>
      <w:r>
        <w:rPr/>
        <w:t>21, 97-101.</w:t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ind w:left="2007" w:right="1409" w:hanging="720"/>
        <w:jc w:val="both"/>
      </w:pPr>
      <w:r>
        <w:rPr/>
        <w:t>Ahmad, D.S., Abdullahi, A., &amp; Victor E.G. (2016). Assessment of the extent of soil</w:t>
      </w:r>
      <w:r>
        <w:rPr>
          <w:spacing w:val="1"/>
        </w:rPr>
        <w:t> </w:t>
      </w:r>
      <w:r>
        <w:rPr/>
        <w:t>corrosivity using vertical electrical sounding: a case study of Mbat-Odukpani,</w:t>
      </w:r>
      <w:r>
        <w:rPr>
          <w:spacing w:val="1"/>
        </w:rPr>
        <w:t> </w:t>
      </w:r>
      <w:r>
        <w:rPr/>
        <w:t>Cross</w:t>
      </w:r>
      <w:r>
        <w:rPr>
          <w:spacing w:val="-1"/>
        </w:rPr>
        <w:t> </w:t>
      </w:r>
      <w:r>
        <w:rPr/>
        <w:t>River, Nigeria </w:t>
      </w:r>
      <w:r>
        <w:rPr>
          <w:i/>
        </w:rPr>
        <w:t>JOLORN </w:t>
      </w:r>
      <w:r>
        <w:rPr/>
        <w:t>VOL. 17 No. 1, 2016</w:t>
      </w:r>
    </w:p>
    <w:p>
      <w:pPr>
        <w:pStyle w:val="BodyText"/>
        <w:spacing w:before="10"/>
        <w:rPr>
          <w:sz w:val="20"/>
        </w:rPr>
      </w:pPr>
    </w:p>
    <w:p>
      <w:pPr>
        <w:spacing w:line="240" w:lineRule="auto" w:before="0"/>
        <w:ind w:left="2007" w:right="1412" w:hanging="720"/>
        <w:jc w:val="both"/>
        <w:rPr>
          <w:sz w:val="24"/>
        </w:rPr>
      </w:pPr>
      <w:r>
        <w:rPr>
          <w:sz w:val="24"/>
        </w:rPr>
        <w:t>Ajibade,</w:t>
      </w:r>
      <w:r>
        <w:rPr>
          <w:spacing w:val="1"/>
          <w:sz w:val="24"/>
        </w:rPr>
        <w:t> </w:t>
      </w:r>
      <w:r>
        <w:rPr>
          <w:sz w:val="24"/>
        </w:rPr>
        <w:t>O.M.,</w:t>
      </w:r>
      <w:r>
        <w:rPr>
          <w:spacing w:val="1"/>
          <w:sz w:val="24"/>
        </w:rPr>
        <w:t> </w:t>
      </w:r>
      <w:r>
        <w:rPr>
          <w:sz w:val="24"/>
        </w:rPr>
        <w:t>&amp;Ogungbesan,</w:t>
      </w:r>
      <w:r>
        <w:rPr>
          <w:spacing w:val="1"/>
          <w:sz w:val="24"/>
        </w:rPr>
        <w:t> </w:t>
      </w:r>
      <w:r>
        <w:rPr>
          <w:sz w:val="24"/>
        </w:rPr>
        <w:t>G.O.</w:t>
      </w:r>
      <w:r>
        <w:rPr>
          <w:spacing w:val="1"/>
          <w:sz w:val="24"/>
        </w:rPr>
        <w:t> </w:t>
      </w:r>
      <w:r>
        <w:rPr>
          <w:sz w:val="24"/>
        </w:rPr>
        <w:t>(2013).</w:t>
      </w:r>
      <w:r>
        <w:rPr>
          <w:spacing w:val="1"/>
          <w:sz w:val="24"/>
        </w:rPr>
        <w:t> </w:t>
      </w:r>
      <w:r>
        <w:rPr>
          <w:sz w:val="24"/>
        </w:rPr>
        <w:t>“Prospects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Quality</w:t>
      </w:r>
      <w:r>
        <w:rPr>
          <w:spacing w:val="1"/>
          <w:sz w:val="24"/>
        </w:rPr>
        <w:t> </w:t>
      </w:r>
      <w:r>
        <w:rPr>
          <w:sz w:val="24"/>
        </w:rPr>
        <w:t>Indices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Groundwater</w:t>
      </w:r>
      <w:r>
        <w:rPr>
          <w:spacing w:val="1"/>
          <w:sz w:val="24"/>
        </w:rPr>
        <w:t> </w:t>
      </w:r>
      <w:r>
        <w:rPr>
          <w:sz w:val="24"/>
        </w:rPr>
        <w:t>Development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Ibadan</w:t>
      </w:r>
      <w:r>
        <w:rPr>
          <w:spacing w:val="1"/>
          <w:sz w:val="24"/>
        </w:rPr>
        <w:t> </w:t>
      </w:r>
      <w:r>
        <w:rPr>
          <w:sz w:val="24"/>
        </w:rPr>
        <w:t>Metropolis,</w:t>
      </w:r>
      <w:r>
        <w:rPr>
          <w:spacing w:val="1"/>
          <w:sz w:val="24"/>
        </w:rPr>
        <w:t> </w:t>
      </w:r>
      <w:r>
        <w:rPr>
          <w:sz w:val="24"/>
        </w:rPr>
        <w:t>Southwestern,</w:t>
      </w:r>
      <w:r>
        <w:rPr>
          <w:spacing w:val="1"/>
          <w:sz w:val="24"/>
        </w:rPr>
        <w:t> </w:t>
      </w:r>
      <w:r>
        <w:rPr>
          <w:sz w:val="24"/>
        </w:rPr>
        <w:t>Nigeria,</w:t>
      </w:r>
      <w:r>
        <w:rPr>
          <w:spacing w:val="-57"/>
          <w:sz w:val="24"/>
        </w:rPr>
        <w:t> </w:t>
      </w:r>
      <w:r>
        <w:rPr>
          <w:i/>
          <w:sz w:val="24"/>
        </w:rPr>
        <w:t>InternationalJournalofDevelopmentandsustainability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2(1): 398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414.</w:t>
      </w:r>
    </w:p>
    <w:p>
      <w:pPr>
        <w:pStyle w:val="BodyText"/>
        <w:spacing w:before="10"/>
        <w:rPr>
          <w:sz w:val="20"/>
        </w:rPr>
      </w:pPr>
    </w:p>
    <w:p>
      <w:pPr>
        <w:spacing w:line="240" w:lineRule="auto" w:before="0"/>
        <w:ind w:left="2007" w:right="1406" w:hanging="720"/>
        <w:jc w:val="both"/>
        <w:rPr>
          <w:sz w:val="24"/>
        </w:rPr>
      </w:pPr>
      <w:r>
        <w:rPr>
          <w:sz w:val="24"/>
        </w:rPr>
        <w:t>Arabi, A., Nur, A., &amp;Dewu, B. (2009). Hydro geo-electrical investigation in Gombe</w:t>
      </w:r>
      <w:r>
        <w:rPr>
          <w:spacing w:val="1"/>
          <w:sz w:val="24"/>
        </w:rPr>
        <w:t> </w:t>
      </w:r>
      <w:r>
        <w:rPr>
          <w:sz w:val="24"/>
        </w:rPr>
        <w:t>town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environs,</w:t>
      </w:r>
      <w:r>
        <w:rPr>
          <w:spacing w:val="1"/>
          <w:sz w:val="24"/>
        </w:rPr>
        <w:t> </w:t>
      </w:r>
      <w:r>
        <w:rPr>
          <w:sz w:val="24"/>
        </w:rPr>
        <w:t>northeastern</w:t>
      </w:r>
      <w:r>
        <w:rPr>
          <w:spacing w:val="1"/>
          <w:sz w:val="24"/>
        </w:rPr>
        <w:t> </w:t>
      </w:r>
      <w:r>
        <w:rPr>
          <w:sz w:val="24"/>
        </w:rPr>
        <w:t>Nigeria.</w:t>
      </w:r>
      <w:r>
        <w:rPr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Applied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Sciences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Environmental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Management,</w:t>
      </w:r>
      <w:r>
        <w:rPr>
          <w:i/>
          <w:spacing w:val="1"/>
          <w:sz w:val="24"/>
        </w:rPr>
        <w:t> </w:t>
      </w:r>
      <w:r>
        <w:rPr>
          <w:sz w:val="24"/>
        </w:rPr>
        <w:t>vol. 13, No 3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before="1"/>
        <w:ind w:left="2007" w:right="1407" w:hanging="720"/>
        <w:jc w:val="both"/>
      </w:pPr>
      <w:r>
        <w:rPr/>
        <w:t>Ayolabi,</w:t>
      </w:r>
      <w:r>
        <w:rPr>
          <w:spacing w:val="1"/>
        </w:rPr>
        <w:t> </w:t>
      </w:r>
      <w:r>
        <w:rPr/>
        <w:t>E.A.,</w:t>
      </w:r>
      <w:r>
        <w:rPr>
          <w:spacing w:val="1"/>
        </w:rPr>
        <w:t> </w:t>
      </w:r>
      <w:r>
        <w:rPr/>
        <w:t>Adeoti,</w:t>
      </w:r>
      <w:r>
        <w:rPr>
          <w:spacing w:val="1"/>
        </w:rPr>
        <w:t> </w:t>
      </w:r>
      <w:r>
        <w:rPr/>
        <w:t>L.,</w:t>
      </w:r>
      <w:r>
        <w:rPr>
          <w:spacing w:val="1"/>
        </w:rPr>
        <w:t> </w:t>
      </w:r>
      <w:r>
        <w:rPr/>
        <w:t>Oshinlaja,</w:t>
      </w:r>
      <w:r>
        <w:rPr>
          <w:spacing w:val="1"/>
        </w:rPr>
        <w:t> </w:t>
      </w:r>
      <w:r>
        <w:rPr/>
        <w:t>N.A.,</w:t>
      </w:r>
      <w:r>
        <w:rPr>
          <w:spacing w:val="1"/>
        </w:rPr>
        <w:t> </w:t>
      </w:r>
      <w:r>
        <w:rPr/>
        <w:t>Adeosuni,</w:t>
      </w:r>
      <w:r>
        <w:rPr>
          <w:spacing w:val="1"/>
        </w:rPr>
        <w:t> </w:t>
      </w:r>
      <w:r>
        <w:rPr/>
        <w:t>I.O.,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Idowu,</w:t>
      </w:r>
      <w:r>
        <w:rPr>
          <w:spacing w:val="1"/>
        </w:rPr>
        <w:t> </w:t>
      </w:r>
      <w:r>
        <w:rPr/>
        <w:t>O.I.</w:t>
      </w:r>
      <w:r>
        <w:rPr>
          <w:spacing w:val="1"/>
        </w:rPr>
        <w:t> </w:t>
      </w:r>
      <w:r>
        <w:rPr/>
        <w:t>(2009).</w:t>
      </w:r>
      <w:r>
        <w:rPr>
          <w:spacing w:val="-57"/>
        </w:rPr>
        <w:t> </w:t>
      </w:r>
      <w:r>
        <w:rPr/>
        <w:t>Seismic</w:t>
      </w:r>
      <w:r>
        <w:rPr>
          <w:spacing w:val="1"/>
        </w:rPr>
        <w:t> </w:t>
      </w:r>
      <w:r>
        <w:rPr/>
        <w:t>Refraction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Resistivity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part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Igbogbo</w:t>
      </w:r>
      <w:r>
        <w:rPr>
          <w:spacing w:val="1"/>
        </w:rPr>
        <w:t> </w:t>
      </w:r>
      <w:r>
        <w:rPr/>
        <w:t>Township,</w:t>
      </w:r>
      <w:r>
        <w:rPr>
          <w:spacing w:val="1"/>
        </w:rPr>
        <w:t> </w:t>
      </w:r>
      <w:r>
        <w:rPr/>
        <w:t>Southwest</w:t>
      </w:r>
      <w:r>
        <w:rPr>
          <w:spacing w:val="-1"/>
        </w:rPr>
        <w:t> </w:t>
      </w:r>
      <w:r>
        <w:rPr/>
        <w:t>Nigeria:</w:t>
      </w:r>
      <w:r>
        <w:rPr>
          <w:spacing w:val="1"/>
        </w:rPr>
        <w:t> </w:t>
      </w:r>
      <w:r>
        <w:rPr>
          <w:i/>
        </w:rPr>
        <w:t>JournalofScienceResearchDevelopment</w:t>
      </w:r>
      <w:r>
        <w:rPr/>
        <w:t>,</w:t>
      </w:r>
      <w:r>
        <w:rPr>
          <w:spacing w:val="-1"/>
        </w:rPr>
        <w:t> </w:t>
      </w:r>
      <w:r>
        <w:rPr/>
        <w:t>v. 11,</w:t>
      </w:r>
      <w:r>
        <w:rPr>
          <w:spacing w:val="-1"/>
        </w:rPr>
        <w:t> </w:t>
      </w:r>
      <w:r>
        <w:rPr/>
        <w:t>p. 42–61.</w:t>
      </w:r>
    </w:p>
    <w:p>
      <w:pPr>
        <w:pStyle w:val="BodyText"/>
        <w:spacing w:before="7"/>
        <w:rPr>
          <w:sz w:val="20"/>
        </w:rPr>
      </w:pPr>
    </w:p>
    <w:p>
      <w:pPr>
        <w:spacing w:before="0"/>
        <w:ind w:left="2007" w:right="1410" w:hanging="720"/>
        <w:jc w:val="both"/>
        <w:rPr>
          <w:i/>
          <w:sz w:val="24"/>
        </w:rPr>
      </w:pPr>
      <w:r>
        <w:rPr>
          <w:sz w:val="24"/>
        </w:rPr>
        <w:t>Ayuk, M.A.,Adelusi, A.O.,&amp; Adiat, K.A.N. (2013).Evaluation of groundwater potential</w:t>
      </w:r>
      <w:r>
        <w:rPr>
          <w:spacing w:val="1"/>
          <w:sz w:val="24"/>
        </w:rPr>
        <w:t> </w:t>
      </w:r>
      <w:r>
        <w:rPr>
          <w:sz w:val="24"/>
        </w:rPr>
        <w:t>and aquifer protective capacity assessment at Tutugbua-Olugboyega area, off</w:t>
      </w:r>
      <w:r>
        <w:rPr>
          <w:spacing w:val="1"/>
          <w:sz w:val="24"/>
        </w:rPr>
        <w:t> </w:t>
      </w:r>
      <w:r>
        <w:rPr>
          <w:sz w:val="24"/>
        </w:rPr>
        <w:t>Ondo</w:t>
      </w:r>
      <w:r>
        <w:rPr>
          <w:spacing w:val="1"/>
          <w:sz w:val="24"/>
        </w:rPr>
        <w:t> </w:t>
      </w:r>
      <w:r>
        <w:rPr>
          <w:sz w:val="24"/>
        </w:rPr>
        <w:t>road,</w:t>
      </w:r>
      <w:r>
        <w:rPr>
          <w:spacing w:val="1"/>
          <w:sz w:val="24"/>
        </w:rPr>
        <w:t> </w:t>
      </w:r>
      <w:r>
        <w:rPr>
          <w:sz w:val="24"/>
        </w:rPr>
        <w:t>Akure</w:t>
      </w:r>
      <w:r>
        <w:rPr>
          <w:spacing w:val="1"/>
          <w:sz w:val="24"/>
        </w:rPr>
        <w:t> </w:t>
      </w:r>
      <w:r>
        <w:rPr>
          <w:sz w:val="24"/>
        </w:rPr>
        <w:t>Southwestern</w:t>
      </w:r>
      <w:r>
        <w:rPr>
          <w:spacing w:val="1"/>
          <w:sz w:val="24"/>
        </w:rPr>
        <w:t> </w:t>
      </w:r>
      <w:r>
        <w:rPr>
          <w:sz w:val="24"/>
        </w:rPr>
        <w:t>Nigeria.</w:t>
      </w:r>
      <w:r>
        <w:rPr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Physical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Sciences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Vol. 8(1), pp.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37-50, 9 January, 2013</w:t>
      </w:r>
    </w:p>
    <w:p>
      <w:pPr>
        <w:pStyle w:val="BodyText"/>
        <w:spacing w:before="11"/>
        <w:rPr>
          <w:i/>
          <w:sz w:val="20"/>
        </w:rPr>
      </w:pPr>
    </w:p>
    <w:p>
      <w:pPr>
        <w:pStyle w:val="BodyText"/>
        <w:ind w:left="2007" w:right="1410" w:hanging="720"/>
        <w:jc w:val="both"/>
      </w:pPr>
      <w:r>
        <w:rPr/>
        <w:t>Baeckmann, W., &amp; Schwenk, W. (1975). Handbook of Cathodic protection. The theory</w:t>
      </w:r>
      <w:r>
        <w:rPr>
          <w:spacing w:val="1"/>
        </w:rPr>
        <w:t> </w:t>
      </w:r>
      <w:r>
        <w:rPr/>
        <w:t>and practice of electrochemical corrosion protection techniques. Portcullis Press,</w:t>
      </w:r>
      <w:r>
        <w:rPr>
          <w:spacing w:val="-57"/>
        </w:rPr>
        <w:t> </w:t>
      </w:r>
      <w:r>
        <w:rPr/>
        <w:t>Ltd.</w:t>
      </w:r>
      <w:r>
        <w:rPr>
          <w:spacing w:val="-1"/>
        </w:rPr>
        <w:t> </w:t>
      </w:r>
      <w:r>
        <w:rPr/>
        <w:t>Surrey, England. 1975, 396 (Book).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2007" w:right="1571" w:hanging="720"/>
      </w:pPr>
      <w:r>
        <w:rPr/>
        <w:t>Baimba, A.A (1978) Resistivity and refraction methods for groundwater exploration at</w:t>
      </w:r>
      <w:r>
        <w:rPr>
          <w:spacing w:val="-57"/>
        </w:rPr>
        <w:t> </w:t>
      </w:r>
      <w:r>
        <w:rPr/>
        <w:t>Zango,</w:t>
      </w:r>
      <w:r>
        <w:rPr>
          <w:spacing w:val="1"/>
        </w:rPr>
        <w:t> </w:t>
      </w:r>
      <w:r>
        <w:rPr/>
        <w:t>Kaduna</w:t>
      </w:r>
      <w:r>
        <w:rPr>
          <w:spacing w:val="-1"/>
        </w:rPr>
        <w:t> </w:t>
      </w:r>
      <w:r>
        <w:rPr/>
        <w:t>state.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2007" w:right="573" w:hanging="720"/>
      </w:pPr>
      <w:r>
        <w:rPr>
          <w:color w:val="121212"/>
        </w:rPr>
        <w:t>Barker</w:t>
      </w:r>
      <w:r>
        <w:rPr>
          <w:color w:val="121212"/>
          <w:spacing w:val="25"/>
        </w:rPr>
        <w:t> </w:t>
      </w:r>
      <w:r>
        <w:rPr>
          <w:color w:val="121212"/>
        </w:rPr>
        <w:t>R,</w:t>
      </w:r>
      <w:r>
        <w:rPr>
          <w:color w:val="121212"/>
          <w:spacing w:val="27"/>
        </w:rPr>
        <w:t> </w:t>
      </w:r>
      <w:r>
        <w:rPr>
          <w:color w:val="121212"/>
        </w:rPr>
        <w:t>Rao</w:t>
      </w:r>
      <w:r>
        <w:rPr>
          <w:color w:val="121212"/>
          <w:spacing w:val="27"/>
        </w:rPr>
        <w:t> </w:t>
      </w:r>
      <w:r>
        <w:rPr>
          <w:color w:val="121212"/>
        </w:rPr>
        <w:t>T</w:t>
      </w:r>
      <w:r>
        <w:rPr>
          <w:color w:val="121212"/>
          <w:spacing w:val="27"/>
        </w:rPr>
        <w:t> </w:t>
      </w:r>
      <w:r>
        <w:rPr>
          <w:color w:val="121212"/>
        </w:rPr>
        <w:t>V</w:t>
      </w:r>
      <w:r>
        <w:rPr>
          <w:color w:val="121212"/>
          <w:spacing w:val="29"/>
        </w:rPr>
        <w:t> </w:t>
      </w:r>
      <w:r>
        <w:rPr>
          <w:color w:val="121212"/>
        </w:rPr>
        <w:t>&amp;</w:t>
      </w:r>
      <w:r>
        <w:rPr>
          <w:color w:val="121212"/>
          <w:spacing w:val="25"/>
        </w:rPr>
        <w:t> </w:t>
      </w:r>
      <w:r>
        <w:rPr>
          <w:color w:val="121212"/>
        </w:rPr>
        <w:t>Thangarajan</w:t>
      </w:r>
      <w:r>
        <w:rPr>
          <w:color w:val="121212"/>
          <w:spacing w:val="27"/>
        </w:rPr>
        <w:t> </w:t>
      </w:r>
      <w:r>
        <w:rPr>
          <w:color w:val="121212"/>
        </w:rPr>
        <w:t>M</w:t>
      </w:r>
      <w:r>
        <w:rPr>
          <w:color w:val="121212"/>
          <w:spacing w:val="26"/>
        </w:rPr>
        <w:t> </w:t>
      </w:r>
      <w:r>
        <w:rPr>
          <w:color w:val="121212"/>
        </w:rPr>
        <w:t>2001</w:t>
      </w:r>
      <w:r>
        <w:rPr>
          <w:color w:val="121212"/>
          <w:spacing w:val="27"/>
        </w:rPr>
        <w:t> </w:t>
      </w:r>
      <w:r>
        <w:rPr>
          <w:color w:val="121212"/>
        </w:rPr>
        <w:t>Delineation</w:t>
      </w:r>
      <w:r>
        <w:rPr>
          <w:color w:val="121212"/>
          <w:spacing w:val="27"/>
        </w:rPr>
        <w:t> </w:t>
      </w:r>
      <w:r>
        <w:rPr>
          <w:color w:val="121212"/>
        </w:rPr>
        <w:t>of</w:t>
      </w:r>
      <w:r>
        <w:rPr>
          <w:color w:val="121212"/>
          <w:spacing w:val="26"/>
        </w:rPr>
        <w:t> </w:t>
      </w:r>
      <w:r>
        <w:rPr>
          <w:color w:val="121212"/>
        </w:rPr>
        <w:t>contaminant</w:t>
      </w:r>
      <w:r>
        <w:rPr>
          <w:color w:val="121212"/>
          <w:spacing w:val="27"/>
        </w:rPr>
        <w:t> </w:t>
      </w:r>
      <w:r>
        <w:rPr>
          <w:color w:val="121212"/>
        </w:rPr>
        <w:t>zone</w:t>
      </w:r>
      <w:r>
        <w:rPr>
          <w:color w:val="121212"/>
          <w:spacing w:val="26"/>
        </w:rPr>
        <w:t> </w:t>
      </w:r>
      <w:r>
        <w:rPr>
          <w:color w:val="121212"/>
        </w:rPr>
        <w:t>through</w:t>
      </w:r>
      <w:r>
        <w:rPr>
          <w:color w:val="121212"/>
          <w:spacing w:val="-57"/>
        </w:rPr>
        <w:t> </w:t>
      </w:r>
      <w:r>
        <w:rPr>
          <w:color w:val="121212"/>
        </w:rPr>
        <w:t>electrical</w:t>
      </w:r>
      <w:r>
        <w:rPr>
          <w:color w:val="121212"/>
          <w:spacing w:val="-1"/>
        </w:rPr>
        <w:t> </w:t>
      </w:r>
      <w:r>
        <w:rPr>
          <w:color w:val="121212"/>
        </w:rPr>
        <w:t>imaging</w:t>
      </w:r>
      <w:r>
        <w:rPr>
          <w:color w:val="121212"/>
          <w:spacing w:val="-3"/>
        </w:rPr>
        <w:t> </w:t>
      </w:r>
      <w:r>
        <w:rPr>
          <w:color w:val="121212"/>
        </w:rPr>
        <w:t>technique;</w:t>
      </w:r>
      <w:r>
        <w:rPr>
          <w:color w:val="121212"/>
          <w:spacing w:val="2"/>
        </w:rPr>
        <w:t> </w:t>
      </w:r>
      <w:r>
        <w:rPr>
          <w:i/>
          <w:color w:val="121212"/>
        </w:rPr>
        <w:t>Current ofScienhces.</w:t>
      </w:r>
      <w:r>
        <w:rPr>
          <w:i/>
          <w:color w:val="121212"/>
          <w:spacing w:val="1"/>
        </w:rPr>
        <w:t> </w:t>
      </w:r>
      <w:r>
        <w:rPr>
          <w:color w:val="121212"/>
        </w:rPr>
        <w:t>81(3)</w:t>
      </w:r>
      <w:r>
        <w:rPr>
          <w:color w:val="121212"/>
          <w:spacing w:val="-2"/>
        </w:rPr>
        <w:t> </w:t>
      </w:r>
      <w:r>
        <w:rPr>
          <w:color w:val="121212"/>
        </w:rPr>
        <w:t>277–283.</w:t>
      </w:r>
    </w:p>
    <w:p>
      <w:pPr>
        <w:spacing w:after="0"/>
        <w:sectPr>
          <w:pgSz w:w="11910" w:h="16840"/>
          <w:pgMar w:header="0" w:footer="987" w:top="1320" w:bottom="1260" w:left="700" w:right="0"/>
        </w:sectPr>
      </w:pPr>
    </w:p>
    <w:p>
      <w:pPr>
        <w:pStyle w:val="BodyText"/>
        <w:spacing w:line="482" w:lineRule="auto" w:before="64"/>
        <w:ind w:left="2007" w:right="1409" w:hanging="720"/>
        <w:jc w:val="both"/>
      </w:pPr>
      <w:r>
        <w:rPr/>
        <w:t>Belmonte,</w:t>
      </w:r>
      <w:r>
        <w:rPr>
          <w:spacing w:val="1"/>
        </w:rPr>
        <w:t> </w:t>
      </w:r>
      <w:r>
        <w:rPr/>
        <w:t>S.J</w:t>
      </w:r>
      <w:r>
        <w:rPr>
          <w:spacing w:val="1"/>
        </w:rPr>
        <w:t> </w:t>
      </w:r>
      <w:r>
        <w:rPr/>
        <w:t>Enrigueze,</w:t>
      </w:r>
      <w:r>
        <w:rPr>
          <w:spacing w:val="1"/>
        </w:rPr>
        <w:t> </w:t>
      </w:r>
      <w:r>
        <w:rPr/>
        <w:t>J.O.,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Zamora,</w:t>
      </w:r>
      <w:r>
        <w:rPr>
          <w:spacing w:val="1"/>
        </w:rPr>
        <w:t> </w:t>
      </w:r>
      <w:r>
        <w:rPr/>
        <w:t>M.A.</w:t>
      </w:r>
      <w:r>
        <w:rPr>
          <w:spacing w:val="1"/>
        </w:rPr>
        <w:t> </w:t>
      </w:r>
      <w:r>
        <w:rPr/>
        <w:t>(2004).</w:t>
      </w:r>
      <w:r>
        <w:rPr>
          <w:color w:val="111111"/>
        </w:rPr>
        <w:t>Groundwater</w:t>
      </w:r>
      <w:r>
        <w:rPr>
          <w:color w:val="111111"/>
          <w:spacing w:val="1"/>
        </w:rPr>
        <w:t> </w:t>
      </w:r>
      <w:r>
        <w:rPr>
          <w:color w:val="111111"/>
        </w:rPr>
        <w:t>resource</w:t>
      </w:r>
      <w:r>
        <w:rPr>
          <w:color w:val="111111"/>
          <w:spacing w:val="-57"/>
        </w:rPr>
        <w:t> </w:t>
      </w:r>
      <w:r>
        <w:rPr>
          <w:color w:val="111111"/>
        </w:rPr>
        <w:t>evaluation in the western part of Kushtia district of Bangladesh using vertical</w:t>
      </w:r>
      <w:r>
        <w:rPr>
          <w:color w:val="111111"/>
          <w:spacing w:val="1"/>
        </w:rPr>
        <w:t> </w:t>
      </w:r>
      <w:r>
        <w:rPr>
          <w:color w:val="111111"/>
        </w:rPr>
        <w:t>electrical</w:t>
      </w:r>
      <w:r>
        <w:rPr>
          <w:color w:val="111111"/>
          <w:spacing w:val="-1"/>
        </w:rPr>
        <w:t> </w:t>
      </w:r>
      <w:r>
        <w:rPr>
          <w:color w:val="111111"/>
        </w:rPr>
        <w:t>sounding</w:t>
      </w:r>
      <w:r>
        <w:rPr>
          <w:color w:val="111111"/>
          <w:spacing w:val="-3"/>
        </w:rPr>
        <w:t> </w:t>
      </w:r>
      <w:r>
        <w:rPr>
          <w:color w:val="111111"/>
        </w:rPr>
        <w:t>technique</w:t>
      </w:r>
      <w:r>
        <w:rPr>
          <w:color w:val="111111"/>
          <w:spacing w:val="1"/>
        </w:rPr>
        <w:t> </w:t>
      </w:r>
      <w:hyperlink r:id="rId34">
        <w:r>
          <w:rPr/>
          <w:t>Journal</w:t>
        </w:r>
        <w:r>
          <w:rPr>
            <w:spacing w:val="-1"/>
          </w:rPr>
          <w:t> </w:t>
        </w:r>
        <w:r>
          <w:rPr/>
          <w:t>of </w:t>
        </w:r>
        <w:r>
          <w:rPr>
            <w:i/>
          </w:rPr>
          <w:t>Hydraulic</w:t>
        </w:r>
        <w:r>
          <w:rPr>
            <w:i/>
            <w:spacing w:val="-1"/>
          </w:rPr>
          <w:t> </w:t>
        </w:r>
        <w:r>
          <w:rPr>
            <w:i/>
          </w:rPr>
          <w:t>Engineering</w:t>
        </w:r>
        <w:r>
          <w:rPr>
            <w:i/>
            <w:spacing w:val="1"/>
          </w:rPr>
          <w:t> </w:t>
        </w:r>
      </w:hyperlink>
      <w:r>
        <w:rPr/>
        <w:t>21(1):97-110</w:t>
      </w:r>
    </w:p>
    <w:p>
      <w:pPr>
        <w:pStyle w:val="BodyText"/>
        <w:spacing w:before="10"/>
        <w:rPr>
          <w:sz w:val="31"/>
        </w:rPr>
      </w:pPr>
    </w:p>
    <w:p>
      <w:pPr>
        <w:pStyle w:val="BodyText"/>
        <w:spacing w:before="1"/>
        <w:ind w:left="2007" w:right="1409" w:hanging="720"/>
        <w:jc w:val="both"/>
      </w:pPr>
      <w:r>
        <w:rPr/>
        <w:t>Braga, A.</w:t>
      </w:r>
      <w:r>
        <w:rPr>
          <w:spacing w:val="61"/>
        </w:rPr>
        <w:t> </w:t>
      </w:r>
      <w:r>
        <w:rPr/>
        <w:t>C. O., Dourado, J. C., &amp;Malagutti Filho, W.   (2006). Resistivity (DC)</w:t>
      </w:r>
      <w:r>
        <w:rPr>
          <w:spacing w:val="1"/>
        </w:rPr>
        <w:t> </w:t>
      </w:r>
      <w:r>
        <w:rPr/>
        <w:t>method applied to aquiferprotection studies. </w:t>
      </w:r>
      <w:r>
        <w:rPr>
          <w:i/>
        </w:rPr>
        <w:t>Brazilian Journal of Geophysics,</w:t>
      </w:r>
      <w:r>
        <w:rPr>
          <w:i/>
          <w:spacing w:val="1"/>
        </w:rPr>
        <w:t> </w:t>
      </w:r>
      <w:r>
        <w:rPr/>
        <w:t>24(4), 573-581.</w:t>
      </w:r>
    </w:p>
    <w:p>
      <w:pPr>
        <w:pStyle w:val="BodyText"/>
        <w:rPr>
          <w:sz w:val="21"/>
        </w:rPr>
      </w:pPr>
    </w:p>
    <w:p>
      <w:pPr>
        <w:pStyle w:val="BodyText"/>
        <w:spacing w:before="1"/>
        <w:ind w:left="2007" w:right="1406" w:hanging="720"/>
        <w:jc w:val="both"/>
      </w:pPr>
      <w:r>
        <w:rPr/>
        <w:t>Braga,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C.</w:t>
      </w:r>
      <w:r>
        <w:rPr>
          <w:spacing w:val="1"/>
        </w:rPr>
        <w:t> </w:t>
      </w:r>
      <w:r>
        <w:rPr/>
        <w:t>O.</w:t>
      </w:r>
      <w:r>
        <w:rPr>
          <w:spacing w:val="1"/>
        </w:rPr>
        <w:t> </w:t>
      </w:r>
      <w:r>
        <w:rPr/>
        <w:t>(2008).</w:t>
      </w:r>
      <w:r>
        <w:rPr>
          <w:spacing w:val="1"/>
        </w:rPr>
        <w:t> </w:t>
      </w:r>
      <w:r>
        <w:rPr/>
        <w:t>Estimation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natural</w:t>
      </w:r>
      <w:r>
        <w:rPr>
          <w:spacing w:val="1"/>
        </w:rPr>
        <w:t> </w:t>
      </w:r>
      <w:r>
        <w:rPr/>
        <w:t>vulnerability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aquifers:</w:t>
      </w:r>
      <w:r>
        <w:rPr>
          <w:spacing w:val="60"/>
        </w:rPr>
        <w:t> </w:t>
      </w:r>
      <w:r>
        <w:rPr/>
        <w:t>a</w:t>
      </w:r>
      <w:r>
        <w:rPr>
          <w:spacing w:val="1"/>
        </w:rPr>
        <w:t> </w:t>
      </w:r>
      <w:r>
        <w:rPr/>
        <w:t>contribution from the resistivity andlongitudinal conductance. </w:t>
      </w:r>
      <w:r>
        <w:rPr>
          <w:i/>
        </w:rPr>
        <w:t>Brazilian 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-1"/>
        </w:rPr>
        <w:t> </w:t>
      </w:r>
      <w:r>
        <w:rPr>
          <w:i/>
        </w:rPr>
        <w:t>Geophysics, </w:t>
      </w:r>
      <w:r>
        <w:rPr/>
        <w:t>26(1), 61-68.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275" w:lineRule="exact"/>
        <w:ind w:left="1287"/>
        <w:jc w:val="both"/>
      </w:pPr>
      <w:r>
        <w:rPr/>
        <w:t>Bullard,</w:t>
      </w:r>
      <w:r>
        <w:rPr>
          <w:spacing w:val="4"/>
        </w:rPr>
        <w:t> </w:t>
      </w:r>
      <w:r>
        <w:rPr/>
        <w:t>S.J.,</w:t>
      </w:r>
      <w:r>
        <w:rPr>
          <w:spacing w:val="61"/>
        </w:rPr>
        <w:t> </w:t>
      </w:r>
      <w:r>
        <w:rPr/>
        <w:t>Covino,</w:t>
      </w:r>
      <w:r>
        <w:rPr>
          <w:spacing w:val="61"/>
        </w:rPr>
        <w:t> </w:t>
      </w:r>
      <w:r>
        <w:rPr/>
        <w:t>J.R.B.S.,</w:t>
      </w:r>
      <w:r>
        <w:rPr>
          <w:spacing w:val="63"/>
        </w:rPr>
        <w:t> </w:t>
      </w:r>
      <w:r>
        <w:rPr/>
        <w:t>Cramer,</w:t>
      </w:r>
      <w:r>
        <w:rPr>
          <w:spacing w:val="64"/>
        </w:rPr>
        <w:t> </w:t>
      </w:r>
      <w:r>
        <w:rPr/>
        <w:t>S.D.,</w:t>
      </w:r>
      <w:r>
        <w:rPr>
          <w:spacing w:val="63"/>
        </w:rPr>
        <w:t> </w:t>
      </w:r>
      <w:r>
        <w:rPr/>
        <w:t>Holcomb,</w:t>
      </w:r>
      <w:r>
        <w:rPr>
          <w:spacing w:val="64"/>
        </w:rPr>
        <w:t> </w:t>
      </w:r>
      <w:r>
        <w:rPr/>
        <w:t>G.R.,</w:t>
      </w:r>
      <w:r>
        <w:rPr>
          <w:spacing w:val="63"/>
        </w:rPr>
        <w:t> </w:t>
      </w:r>
      <w:r>
        <w:rPr/>
        <w:t>Ziomek-Moroz,</w:t>
      </w:r>
      <w:r>
        <w:rPr>
          <w:spacing w:val="63"/>
        </w:rPr>
        <w:t> </w:t>
      </w:r>
      <w:r>
        <w:rPr/>
        <w:t>M.,</w:t>
      </w:r>
    </w:p>
    <w:p>
      <w:pPr>
        <w:pStyle w:val="BodyText"/>
        <w:ind w:left="2007" w:right="1408"/>
        <w:jc w:val="both"/>
      </w:pPr>
      <w:r>
        <w:rPr/>
        <w:t>Locke, M.L., Warthen, M.N., Kane, R.D., Eden, D.A., &amp; Eden, D.C. (2004).</w:t>
      </w:r>
      <w:r>
        <w:rPr>
          <w:spacing w:val="1"/>
        </w:rPr>
        <w:t> </w:t>
      </w:r>
      <w:r>
        <w:rPr/>
        <w:t>Electrochemical</w:t>
      </w:r>
      <w:r>
        <w:rPr>
          <w:spacing w:val="1"/>
        </w:rPr>
        <w:t> </w:t>
      </w:r>
      <w:r>
        <w:rPr/>
        <w:t>noise</w:t>
      </w:r>
      <w:r>
        <w:rPr>
          <w:spacing w:val="1"/>
        </w:rPr>
        <w:t> </w:t>
      </w:r>
      <w:r>
        <w:rPr/>
        <w:t>monitoring of corrosion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soil</w:t>
      </w:r>
      <w:r>
        <w:rPr>
          <w:spacing w:val="1"/>
        </w:rPr>
        <w:t> </w:t>
      </w:r>
      <w:r>
        <w:rPr/>
        <w:t>near a pipeline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cathodic</w:t>
      </w:r>
      <w:r>
        <w:rPr>
          <w:spacing w:val="-2"/>
        </w:rPr>
        <w:t> </w:t>
      </w:r>
      <w:r>
        <w:rPr/>
        <w:t>protection. Albany</w:t>
      </w:r>
      <w:r>
        <w:rPr>
          <w:spacing w:val="-5"/>
        </w:rPr>
        <w:t> </w:t>
      </w:r>
      <w:r>
        <w:rPr/>
        <w:t>Research Center</w:t>
      </w:r>
      <w:r>
        <w:rPr>
          <w:spacing w:val="-2"/>
        </w:rPr>
        <w:t> </w:t>
      </w:r>
      <w:r>
        <w:rPr/>
        <w:t>(ARC),</w:t>
      </w:r>
      <w:r>
        <w:rPr>
          <w:spacing w:val="-1"/>
        </w:rPr>
        <w:t> </w:t>
      </w:r>
      <w:r>
        <w:rPr/>
        <w:t>Albany,</w:t>
      </w: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237" w:lineRule="auto"/>
        <w:ind w:left="2007" w:right="1408" w:hanging="720"/>
        <w:jc w:val="both"/>
      </w:pPr>
      <w:r>
        <w:rPr>
          <w:color w:val="121212"/>
        </w:rPr>
        <w:t>Chernico</w:t>
      </w:r>
      <w:r>
        <w:rPr>
          <w:rFonts w:ascii="Cambria Math" w:hAnsi="Cambria Math"/>
          <w:color w:val="121212"/>
        </w:rPr>
        <w:t>ﬀ </w:t>
      </w:r>
      <w:r>
        <w:rPr>
          <w:color w:val="121212"/>
        </w:rPr>
        <w:t>A.E &amp; Whitney I.K (2009).</w:t>
      </w:r>
      <w:r>
        <w:rPr>
          <w:color w:val="121212"/>
          <w:spacing w:val="1"/>
        </w:rPr>
        <w:t> </w:t>
      </w:r>
      <w:r>
        <w:rPr>
          <w:color w:val="121212"/>
        </w:rPr>
        <w:t>An introduction to physical planning; Houghton</w:t>
      </w:r>
      <w:r>
        <w:rPr>
          <w:color w:val="121212"/>
          <w:spacing w:val="-57"/>
        </w:rPr>
        <w:t> </w:t>
      </w:r>
      <w:r>
        <w:rPr>
          <w:color w:val="121212"/>
        </w:rPr>
        <w:t>Mi</w:t>
      </w:r>
      <w:r>
        <w:rPr>
          <w:rFonts w:ascii="Cambria Math" w:hAnsi="Cambria Math"/>
          <w:color w:val="121212"/>
        </w:rPr>
        <w:t>ﬄ</w:t>
      </w:r>
      <w:r>
        <w:rPr>
          <w:color w:val="121212"/>
        </w:rPr>
        <w:t>in Company, New York.Dahlin T 2001 The development of DC resistivity</w:t>
      </w:r>
      <w:r>
        <w:rPr>
          <w:color w:val="121212"/>
          <w:spacing w:val="1"/>
        </w:rPr>
        <w:t> </w:t>
      </w:r>
      <w:r>
        <w:rPr>
          <w:color w:val="121212"/>
        </w:rPr>
        <w:t>imaging</w:t>
      </w:r>
      <w:r>
        <w:rPr>
          <w:color w:val="121212"/>
          <w:spacing w:val="-4"/>
        </w:rPr>
        <w:t> </w:t>
      </w:r>
      <w:r>
        <w:rPr>
          <w:color w:val="121212"/>
        </w:rPr>
        <w:t>techniques</w:t>
      </w:r>
      <w:r>
        <w:rPr>
          <w:i/>
          <w:color w:val="121212"/>
        </w:rPr>
        <w:t>; Computer Geosciences.</w:t>
      </w:r>
      <w:r>
        <w:rPr>
          <w:i/>
          <w:color w:val="121212"/>
          <w:spacing w:val="1"/>
        </w:rPr>
        <w:t> </w:t>
      </w:r>
      <w:r>
        <w:rPr>
          <w:color w:val="121212"/>
        </w:rPr>
        <w:t>27(9)</w:t>
      </w:r>
      <w:r>
        <w:rPr>
          <w:color w:val="121212"/>
          <w:spacing w:val="-1"/>
        </w:rPr>
        <w:t> </w:t>
      </w:r>
      <w:r>
        <w:rPr>
          <w:color w:val="121212"/>
        </w:rPr>
        <w:t>1019–1029.</w:t>
      </w:r>
    </w:p>
    <w:p>
      <w:pPr>
        <w:pStyle w:val="BodyText"/>
        <w:rPr>
          <w:sz w:val="21"/>
        </w:rPr>
      </w:pPr>
    </w:p>
    <w:p>
      <w:pPr>
        <w:spacing w:before="1"/>
        <w:ind w:left="2007" w:right="1408" w:hanging="720"/>
        <w:jc w:val="both"/>
        <w:rPr>
          <w:sz w:val="24"/>
        </w:rPr>
      </w:pPr>
      <w:r>
        <w:rPr>
          <w:sz w:val="24"/>
        </w:rPr>
        <w:t>Dan-Hassan, M.A. (2001). Determination of geo-electric sequences and aquifer units in</w:t>
      </w:r>
      <w:r>
        <w:rPr>
          <w:spacing w:val="1"/>
          <w:sz w:val="24"/>
        </w:rPr>
        <w:t> </w:t>
      </w:r>
      <w:r>
        <w:rPr>
          <w:sz w:val="24"/>
        </w:rPr>
        <w:t>part of the basement complex of north–central Nigeria; Water Resource</w:t>
      </w:r>
      <w:r>
        <w:rPr>
          <w:i/>
          <w:sz w:val="24"/>
        </w:rPr>
        <w:t>. Journal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NigeriaAssociation of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Hydrogeology.</w:t>
      </w:r>
      <w:r>
        <w:rPr>
          <w:i/>
          <w:spacing w:val="1"/>
          <w:sz w:val="24"/>
        </w:rPr>
        <w:t> </w:t>
      </w:r>
      <w:r>
        <w:rPr>
          <w:sz w:val="24"/>
        </w:rPr>
        <w:t>12 45–49.</w:t>
      </w:r>
    </w:p>
    <w:p>
      <w:pPr>
        <w:pStyle w:val="BodyText"/>
        <w:spacing w:before="1"/>
        <w:rPr>
          <w:sz w:val="21"/>
        </w:rPr>
      </w:pPr>
    </w:p>
    <w:p>
      <w:pPr>
        <w:spacing w:line="240" w:lineRule="auto" w:before="0"/>
        <w:ind w:left="2007" w:right="1406" w:hanging="720"/>
        <w:jc w:val="both"/>
        <w:rPr>
          <w:i/>
          <w:sz w:val="24"/>
        </w:rPr>
      </w:pPr>
      <w:r>
        <w:rPr>
          <w:sz w:val="24"/>
        </w:rPr>
        <w:t>Durowaye, S.I., Alabi, A.G.F., Sekunowo, O.I., Bolasodun, B., &amp; Rufai, I.O. (2014).</w:t>
      </w:r>
      <w:r>
        <w:rPr>
          <w:spacing w:val="1"/>
          <w:sz w:val="24"/>
        </w:rPr>
        <w:t> </w:t>
      </w:r>
      <w:r>
        <w:rPr>
          <w:sz w:val="24"/>
        </w:rPr>
        <w:t>Effects</w:t>
      </w:r>
      <w:r>
        <w:rPr>
          <w:spacing w:val="32"/>
          <w:sz w:val="24"/>
        </w:rPr>
        <w:t> </w:t>
      </w:r>
      <w:r>
        <w:rPr>
          <w:sz w:val="24"/>
        </w:rPr>
        <w:t>of</w:t>
      </w:r>
      <w:r>
        <w:rPr>
          <w:spacing w:val="31"/>
          <w:sz w:val="24"/>
        </w:rPr>
        <w:t> </w:t>
      </w:r>
      <w:r>
        <w:rPr>
          <w:sz w:val="24"/>
        </w:rPr>
        <w:t>pH</w:t>
      </w:r>
      <w:r>
        <w:rPr>
          <w:spacing w:val="30"/>
          <w:sz w:val="24"/>
        </w:rPr>
        <w:t> </w:t>
      </w:r>
      <w:r>
        <w:rPr>
          <w:sz w:val="24"/>
        </w:rPr>
        <w:t>Variation</w:t>
      </w:r>
      <w:r>
        <w:rPr>
          <w:spacing w:val="34"/>
          <w:sz w:val="24"/>
        </w:rPr>
        <w:t> </w:t>
      </w:r>
      <w:r>
        <w:rPr>
          <w:sz w:val="24"/>
        </w:rPr>
        <w:t>on</w:t>
      </w:r>
      <w:r>
        <w:rPr>
          <w:spacing w:val="31"/>
          <w:sz w:val="24"/>
        </w:rPr>
        <w:t> </w:t>
      </w:r>
      <w:r>
        <w:rPr>
          <w:sz w:val="24"/>
        </w:rPr>
        <w:t>Corrosion</w:t>
      </w:r>
      <w:r>
        <w:rPr>
          <w:spacing w:val="32"/>
          <w:sz w:val="24"/>
        </w:rPr>
        <w:t> </w:t>
      </w:r>
      <w:r>
        <w:rPr>
          <w:sz w:val="24"/>
        </w:rPr>
        <w:t>of</w:t>
      </w:r>
      <w:r>
        <w:rPr>
          <w:spacing w:val="30"/>
          <w:sz w:val="24"/>
        </w:rPr>
        <w:t> </w:t>
      </w:r>
      <w:r>
        <w:rPr>
          <w:sz w:val="24"/>
        </w:rPr>
        <w:t>Mild</w:t>
      </w:r>
      <w:r>
        <w:rPr>
          <w:spacing w:val="32"/>
          <w:sz w:val="24"/>
        </w:rPr>
        <w:t> </w:t>
      </w:r>
      <w:r>
        <w:rPr>
          <w:sz w:val="24"/>
        </w:rPr>
        <w:t>Steel</w:t>
      </w:r>
      <w:r>
        <w:rPr>
          <w:spacing w:val="31"/>
          <w:sz w:val="24"/>
        </w:rPr>
        <w:t> </w:t>
      </w:r>
      <w:r>
        <w:rPr>
          <w:sz w:val="24"/>
        </w:rPr>
        <w:t>in</w:t>
      </w:r>
      <w:r>
        <w:rPr>
          <w:spacing w:val="32"/>
          <w:sz w:val="24"/>
        </w:rPr>
        <w:t> </w:t>
      </w:r>
      <w:r>
        <w:rPr>
          <w:sz w:val="24"/>
        </w:rPr>
        <w:t>Bore-hole</w:t>
      </w:r>
      <w:r>
        <w:rPr>
          <w:spacing w:val="30"/>
          <w:sz w:val="24"/>
        </w:rPr>
        <w:t> </w:t>
      </w:r>
      <w:r>
        <w:rPr>
          <w:sz w:val="24"/>
        </w:rPr>
        <w:t>Water</w:t>
      </w:r>
      <w:r>
        <w:rPr>
          <w:spacing w:val="33"/>
          <w:sz w:val="24"/>
        </w:rPr>
        <w:t> </w:t>
      </w:r>
      <w:r>
        <w:rPr>
          <w:sz w:val="24"/>
        </w:rPr>
        <w:t>using</w:t>
      </w:r>
      <w:r>
        <w:rPr>
          <w:spacing w:val="-58"/>
          <w:sz w:val="24"/>
        </w:rPr>
        <w:t> </w:t>
      </w:r>
      <w:r>
        <w:rPr>
          <w:sz w:val="24"/>
        </w:rPr>
        <w:t>1M</w:t>
      </w:r>
      <w:r>
        <w:rPr>
          <w:spacing w:val="1"/>
          <w:sz w:val="24"/>
        </w:rPr>
        <w:t> </w:t>
      </w:r>
      <w:r>
        <w:rPr>
          <w:sz w:val="24"/>
        </w:rPr>
        <w:t>Sodium</w:t>
      </w:r>
      <w:r>
        <w:rPr>
          <w:spacing w:val="1"/>
          <w:sz w:val="24"/>
        </w:rPr>
        <w:t> </w:t>
      </w:r>
      <w:r>
        <w:rPr>
          <w:sz w:val="24"/>
        </w:rPr>
        <w:t>Hydroxide</w:t>
      </w:r>
      <w:r>
        <w:rPr>
          <w:spacing w:val="1"/>
          <w:sz w:val="24"/>
        </w:rPr>
        <w:t> </w:t>
      </w:r>
      <w:r>
        <w:rPr>
          <w:sz w:val="24"/>
        </w:rPr>
        <w:t>Solution,</w:t>
      </w:r>
      <w:r>
        <w:rPr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Engineering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Technology Volume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4 No. 3.</w:t>
      </w:r>
    </w:p>
    <w:p>
      <w:pPr>
        <w:pStyle w:val="BodyText"/>
        <w:spacing w:before="10"/>
        <w:rPr>
          <w:i/>
          <w:sz w:val="20"/>
        </w:rPr>
      </w:pPr>
    </w:p>
    <w:p>
      <w:pPr>
        <w:pStyle w:val="BodyText"/>
        <w:ind w:left="2007" w:right="1409" w:hanging="720"/>
        <w:jc w:val="both"/>
      </w:pPr>
      <w:r>
        <w:rPr/>
        <w:t>Edet, A., &amp; Worden, R.H. (2009). Monitoring of the physical parameters and evaluation</w:t>
      </w:r>
      <w:r>
        <w:rPr>
          <w:spacing w:val="-57"/>
        </w:rPr>
        <w:t> </w:t>
      </w:r>
      <w:r>
        <w:rPr/>
        <w:t>of the chemical composition of river and groundwater in Calabar (southeastern</w:t>
      </w:r>
      <w:r>
        <w:rPr>
          <w:spacing w:val="1"/>
        </w:rPr>
        <w:t> </w:t>
      </w:r>
      <w:r>
        <w:rPr/>
        <w:t>Nigeria);</w:t>
      </w:r>
      <w:r>
        <w:rPr>
          <w:spacing w:val="-1"/>
        </w:rPr>
        <w:t> </w:t>
      </w:r>
      <w:r>
        <w:rPr>
          <w:i/>
        </w:rPr>
        <w:t>Environmental Monitoring</w:t>
      </w:r>
      <w:r>
        <w:rPr>
          <w:i/>
          <w:spacing w:val="-1"/>
        </w:rPr>
        <w:t> </w:t>
      </w:r>
      <w:r>
        <w:rPr>
          <w:i/>
        </w:rPr>
        <w:t>Assessment</w:t>
      </w:r>
      <w:r>
        <w:rPr>
          <w:i/>
          <w:spacing w:val="2"/>
        </w:rPr>
        <w:t> </w:t>
      </w:r>
      <w:r>
        <w:rPr/>
        <w:t>213(1–3) 243–258.</w:t>
      </w:r>
    </w:p>
    <w:p>
      <w:pPr>
        <w:pStyle w:val="BodyText"/>
        <w:spacing w:before="10"/>
        <w:rPr>
          <w:sz w:val="20"/>
        </w:rPr>
      </w:pPr>
    </w:p>
    <w:p>
      <w:pPr>
        <w:spacing w:line="240" w:lineRule="auto" w:before="0"/>
        <w:ind w:left="2007" w:right="1408" w:hanging="720"/>
        <w:jc w:val="both"/>
        <w:rPr>
          <w:i/>
          <w:sz w:val="24"/>
        </w:rPr>
      </w:pPr>
      <w:r>
        <w:rPr>
          <w:sz w:val="24"/>
        </w:rPr>
        <w:t>Ehirim,</w:t>
      </w:r>
      <w:r>
        <w:rPr>
          <w:spacing w:val="1"/>
          <w:sz w:val="24"/>
        </w:rPr>
        <w:t> </w:t>
      </w:r>
      <w:r>
        <w:rPr>
          <w:sz w:val="24"/>
        </w:rPr>
        <w:t>C.N.,</w:t>
      </w:r>
      <w:r>
        <w:rPr>
          <w:spacing w:val="1"/>
          <w:sz w:val="24"/>
        </w:rPr>
        <w:t> </w:t>
      </w:r>
      <w:r>
        <w:rPr>
          <w:sz w:val="24"/>
        </w:rPr>
        <w:t>Ebeniro,</w:t>
      </w:r>
      <w:r>
        <w:rPr>
          <w:spacing w:val="1"/>
          <w:sz w:val="24"/>
        </w:rPr>
        <w:t> </w:t>
      </w:r>
      <w:r>
        <w:rPr>
          <w:sz w:val="24"/>
        </w:rPr>
        <w:t>J.O.,</w:t>
      </w:r>
      <w:r>
        <w:rPr>
          <w:spacing w:val="1"/>
          <w:sz w:val="24"/>
        </w:rPr>
        <w:t> </w:t>
      </w:r>
      <w:r>
        <w:rPr>
          <w:sz w:val="24"/>
        </w:rPr>
        <w:t>&amp;Ogwu,</w:t>
      </w:r>
      <w:r>
        <w:rPr>
          <w:spacing w:val="1"/>
          <w:sz w:val="24"/>
        </w:rPr>
        <w:t> </w:t>
      </w:r>
      <w:r>
        <w:rPr>
          <w:sz w:val="24"/>
        </w:rPr>
        <w:t>D.A.</w:t>
      </w:r>
      <w:r>
        <w:rPr>
          <w:spacing w:val="1"/>
          <w:sz w:val="24"/>
        </w:rPr>
        <w:t> </w:t>
      </w:r>
      <w:r>
        <w:rPr>
          <w:sz w:val="24"/>
        </w:rPr>
        <w:t>(2009).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geophysical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hydro-</w:t>
      </w:r>
      <w:r>
        <w:rPr>
          <w:spacing w:val="1"/>
          <w:sz w:val="24"/>
        </w:rPr>
        <w:t> </w:t>
      </w:r>
      <w:r>
        <w:rPr>
          <w:sz w:val="24"/>
        </w:rPr>
        <w:t>physiochemical study of the contaminant impact of a solid waste landfill (SWL)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Port</w:t>
      </w:r>
      <w:r>
        <w:rPr>
          <w:spacing w:val="1"/>
          <w:sz w:val="24"/>
        </w:rPr>
        <w:t> </w:t>
      </w:r>
      <w:r>
        <w:rPr>
          <w:sz w:val="24"/>
        </w:rPr>
        <w:t>Harcourt</w:t>
      </w:r>
      <w:r>
        <w:rPr>
          <w:spacing w:val="1"/>
          <w:sz w:val="24"/>
        </w:rPr>
        <w:t> </w:t>
      </w:r>
      <w:r>
        <w:rPr>
          <w:sz w:val="24"/>
        </w:rPr>
        <w:t>Municipality,</w:t>
      </w:r>
      <w:r>
        <w:rPr>
          <w:spacing w:val="1"/>
          <w:sz w:val="24"/>
        </w:rPr>
        <w:t> </w:t>
      </w:r>
      <w:r>
        <w:rPr>
          <w:sz w:val="24"/>
        </w:rPr>
        <w:t>Nigeria.</w:t>
      </w:r>
      <w:r>
        <w:rPr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Pacific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Science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Technology.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Volume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10.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Number 2.</w:t>
      </w:r>
    </w:p>
    <w:p>
      <w:pPr>
        <w:pStyle w:val="BodyText"/>
        <w:spacing w:before="11"/>
        <w:rPr>
          <w:i/>
          <w:sz w:val="20"/>
        </w:rPr>
      </w:pPr>
    </w:p>
    <w:p>
      <w:pPr>
        <w:pStyle w:val="BodyText"/>
        <w:ind w:left="2007" w:right="1409" w:hanging="720"/>
        <w:jc w:val="both"/>
      </w:pPr>
      <w:r>
        <w:rPr/>
        <w:t>Ehirim, C.N., Ebeniro, J.O., &amp;Ogwu, D.A. (2010). Evaluation of aquifer characteristics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groundwater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geoelectric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Choba,</w:t>
      </w:r>
      <w:r>
        <w:rPr>
          <w:spacing w:val="1"/>
        </w:rPr>
        <w:t> </w:t>
      </w:r>
      <w:r>
        <w:rPr/>
        <w:t>Port</w:t>
      </w:r>
      <w:r>
        <w:rPr>
          <w:spacing w:val="1"/>
        </w:rPr>
        <w:t> </w:t>
      </w:r>
      <w:r>
        <w:rPr/>
        <w:t>Harcourt</w:t>
      </w:r>
      <w:r>
        <w:rPr>
          <w:spacing w:val="1"/>
        </w:rPr>
        <w:t> </w:t>
      </w:r>
      <w:r>
        <w:rPr>
          <w:i/>
        </w:rPr>
        <w:t>Archives</w:t>
      </w:r>
      <w:r>
        <w:rPr>
          <w:i/>
          <w:spacing w:val="-1"/>
        </w:rPr>
        <w:t> </w:t>
      </w:r>
      <w:r>
        <w:rPr>
          <w:i/>
        </w:rPr>
        <w:t>of Applied Science</w:t>
      </w:r>
      <w:r>
        <w:rPr>
          <w:i/>
          <w:spacing w:val="-1"/>
        </w:rPr>
        <w:t> </w:t>
      </w:r>
      <w:r>
        <w:rPr>
          <w:i/>
        </w:rPr>
        <w:t>Research,</w:t>
      </w:r>
      <w:r>
        <w:rPr>
          <w:i/>
          <w:spacing w:val="2"/>
        </w:rPr>
        <w:t> </w:t>
      </w:r>
      <w:r>
        <w:rPr/>
        <w:t>2 (2):396-403</w:t>
      </w:r>
    </w:p>
    <w:p>
      <w:pPr>
        <w:pStyle w:val="BodyText"/>
        <w:spacing w:before="10"/>
        <w:rPr>
          <w:sz w:val="20"/>
        </w:rPr>
      </w:pPr>
    </w:p>
    <w:p>
      <w:pPr>
        <w:spacing w:line="240" w:lineRule="auto" w:before="0"/>
        <w:ind w:left="2007" w:right="1411" w:hanging="720"/>
        <w:jc w:val="both"/>
        <w:rPr>
          <w:sz w:val="24"/>
        </w:rPr>
      </w:pPr>
      <w:r>
        <w:rPr>
          <w:sz w:val="24"/>
        </w:rPr>
        <w:t>Ekpo,</w:t>
      </w:r>
      <w:r>
        <w:rPr>
          <w:spacing w:val="1"/>
          <w:sz w:val="24"/>
        </w:rPr>
        <w:t> </w:t>
      </w:r>
      <w:r>
        <w:rPr>
          <w:sz w:val="24"/>
        </w:rPr>
        <w:t>A.,</w:t>
      </w:r>
      <w:r>
        <w:rPr>
          <w:spacing w:val="1"/>
          <w:sz w:val="24"/>
        </w:rPr>
        <w:t> </w:t>
      </w:r>
      <w:r>
        <w:rPr>
          <w:sz w:val="24"/>
        </w:rPr>
        <w:t>Orakwe,</w:t>
      </w:r>
      <w:r>
        <w:rPr>
          <w:spacing w:val="1"/>
          <w:sz w:val="24"/>
        </w:rPr>
        <w:t> </w:t>
      </w:r>
      <w:r>
        <w:rPr>
          <w:sz w:val="24"/>
        </w:rPr>
        <w:t>L.,</w:t>
      </w:r>
      <w:r>
        <w:rPr>
          <w:spacing w:val="1"/>
          <w:sz w:val="24"/>
        </w:rPr>
        <w:t> </w:t>
      </w:r>
      <w:r>
        <w:rPr>
          <w:sz w:val="24"/>
        </w:rPr>
        <w:t>Ekpo,</w:t>
      </w:r>
      <w:r>
        <w:rPr>
          <w:spacing w:val="1"/>
          <w:sz w:val="24"/>
        </w:rPr>
        <w:t> </w:t>
      </w:r>
      <w:r>
        <w:rPr>
          <w:sz w:val="24"/>
        </w:rPr>
        <w:t>F.,</w:t>
      </w:r>
      <w:r>
        <w:rPr>
          <w:spacing w:val="1"/>
          <w:sz w:val="24"/>
        </w:rPr>
        <w:t> </w:t>
      </w:r>
      <w:r>
        <w:rPr>
          <w:sz w:val="24"/>
        </w:rPr>
        <w:t>&amp;Eyeneka,</w:t>
      </w:r>
      <w:r>
        <w:rPr>
          <w:spacing w:val="1"/>
          <w:sz w:val="24"/>
        </w:rPr>
        <w:t> </w:t>
      </w:r>
      <w:r>
        <w:rPr>
          <w:sz w:val="24"/>
        </w:rPr>
        <w:t>F.</w:t>
      </w:r>
      <w:r>
        <w:rPr>
          <w:spacing w:val="1"/>
          <w:sz w:val="24"/>
        </w:rPr>
        <w:t> </w:t>
      </w:r>
      <w:r>
        <w:rPr>
          <w:sz w:val="24"/>
        </w:rPr>
        <w:t>(2016).</w:t>
      </w:r>
      <w:r>
        <w:rPr>
          <w:spacing w:val="1"/>
          <w:sz w:val="24"/>
        </w:rPr>
        <w:t> </w:t>
      </w:r>
      <w:r>
        <w:rPr>
          <w:sz w:val="24"/>
        </w:rPr>
        <w:t>Evaluating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Protective</w:t>
      </w:r>
      <w:r>
        <w:rPr>
          <w:spacing w:val="1"/>
          <w:sz w:val="24"/>
        </w:rPr>
        <w:t> </w:t>
      </w:r>
      <w:r>
        <w:rPr>
          <w:sz w:val="24"/>
        </w:rPr>
        <w:t>Capacity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Aquifers</w:t>
      </w:r>
      <w:r>
        <w:rPr>
          <w:spacing w:val="1"/>
          <w:sz w:val="24"/>
        </w:rPr>
        <w:t> </w:t>
      </w:r>
      <w:r>
        <w:rPr>
          <w:sz w:val="24"/>
        </w:rPr>
        <w:t>Uyo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akwaIbom</w:t>
      </w:r>
      <w:r>
        <w:rPr>
          <w:spacing w:val="1"/>
          <w:sz w:val="24"/>
        </w:rPr>
        <w:t> </w:t>
      </w:r>
      <w:r>
        <w:rPr>
          <w:sz w:val="24"/>
        </w:rPr>
        <w:t>State,</w:t>
      </w:r>
      <w:r>
        <w:rPr>
          <w:spacing w:val="1"/>
          <w:sz w:val="24"/>
        </w:rPr>
        <w:t> </w:t>
      </w:r>
      <w:r>
        <w:rPr>
          <w:sz w:val="24"/>
        </w:rPr>
        <w:t>Southern</w:t>
      </w:r>
      <w:r>
        <w:rPr>
          <w:spacing w:val="1"/>
          <w:sz w:val="24"/>
        </w:rPr>
        <w:t> </w:t>
      </w:r>
      <w:r>
        <w:rPr>
          <w:sz w:val="24"/>
        </w:rPr>
        <w:t>Nigeria,</w:t>
      </w:r>
      <w:r>
        <w:rPr>
          <w:spacing w:val="1"/>
          <w:sz w:val="24"/>
        </w:rPr>
        <w:t> </w:t>
      </w:r>
      <w:r>
        <w:rPr>
          <w:sz w:val="24"/>
        </w:rPr>
        <w:t>using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Vertical</w:t>
      </w:r>
      <w:r>
        <w:rPr>
          <w:spacing w:val="1"/>
          <w:sz w:val="24"/>
        </w:rPr>
        <w:t> </w:t>
      </w:r>
      <w:r>
        <w:rPr>
          <w:sz w:val="24"/>
        </w:rPr>
        <w:t>Electrical</w:t>
      </w:r>
      <w:r>
        <w:rPr>
          <w:spacing w:val="1"/>
          <w:sz w:val="24"/>
        </w:rPr>
        <w:t> </w:t>
      </w:r>
      <w:r>
        <w:rPr>
          <w:sz w:val="24"/>
        </w:rPr>
        <w:t>Sounding</w:t>
      </w:r>
      <w:r>
        <w:rPr>
          <w:spacing w:val="1"/>
          <w:sz w:val="24"/>
        </w:rPr>
        <w:t> </w:t>
      </w:r>
      <w:r>
        <w:rPr>
          <w:sz w:val="24"/>
        </w:rPr>
        <w:t>(VES)</w:t>
      </w:r>
      <w:r>
        <w:rPr>
          <w:spacing w:val="1"/>
          <w:sz w:val="24"/>
        </w:rPr>
        <w:t> </w:t>
      </w:r>
      <w:r>
        <w:rPr>
          <w:sz w:val="24"/>
        </w:rPr>
        <w:t>Technique</w:t>
      </w:r>
      <w:r>
        <w:rPr>
          <w:i/>
          <w:sz w:val="24"/>
        </w:rPr>
        <w:t>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Advanced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ResearchJournal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 Science, Engineering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Technology</w:t>
      </w:r>
      <w:r>
        <w:rPr>
          <w:i/>
          <w:spacing w:val="2"/>
          <w:sz w:val="24"/>
        </w:rPr>
        <w:t> </w:t>
      </w:r>
      <w:r>
        <w:rPr>
          <w:sz w:val="24"/>
        </w:rPr>
        <w:t>Vol.</w:t>
      </w:r>
      <w:r>
        <w:rPr>
          <w:spacing w:val="-1"/>
          <w:sz w:val="24"/>
        </w:rPr>
        <w:t> </w:t>
      </w:r>
      <w:r>
        <w:rPr>
          <w:sz w:val="24"/>
        </w:rPr>
        <w:t>3, pp 4-8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0" w:footer="987" w:top="1320" w:bottom="1260" w:left="700" w:right="0"/>
        </w:sectPr>
      </w:pPr>
    </w:p>
    <w:p>
      <w:pPr>
        <w:pStyle w:val="BodyText"/>
        <w:spacing w:before="67"/>
        <w:ind w:left="2007" w:right="1405" w:hanging="720"/>
        <w:jc w:val="both"/>
      </w:pPr>
      <w:r>
        <w:rPr/>
        <w:t>Emmanuel, O., Joshua, Olayinka O., Odeyemi, &amp;Oladotun, O.F. (2011). Geoelectric</w:t>
      </w:r>
      <w:r>
        <w:rPr>
          <w:spacing w:val="1"/>
        </w:rPr>
        <w:t> </w:t>
      </w:r>
      <w:r>
        <w:rPr/>
        <w:t>investigation of the groundwater potential of Moniya Area, Ibadan. </w:t>
      </w:r>
      <w:r>
        <w:rPr>
          <w:i/>
        </w:rPr>
        <w:t>Journal of</w:t>
      </w:r>
      <w:r>
        <w:rPr>
          <w:i/>
          <w:spacing w:val="1"/>
        </w:rPr>
        <w:t> </w:t>
      </w:r>
      <w:r>
        <w:rPr>
          <w:i/>
        </w:rPr>
        <w:t>Geology</w:t>
      </w:r>
      <w:r>
        <w:rPr>
          <w:i/>
          <w:spacing w:val="-1"/>
        </w:rPr>
        <w:t> </w:t>
      </w:r>
      <w:r>
        <w:rPr>
          <w:i/>
        </w:rPr>
        <w:t>and Mining Research</w:t>
      </w:r>
      <w:r>
        <w:rPr>
          <w:i/>
          <w:spacing w:val="1"/>
        </w:rPr>
        <w:t> </w:t>
      </w:r>
      <w:r>
        <w:rPr/>
        <w:t>Vol. 3(3), pp. 5462,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2007" w:right="1406" w:hanging="720"/>
        <w:jc w:val="both"/>
      </w:pPr>
      <w:r>
        <w:rPr/>
        <w:t>Fadele,</w:t>
      </w:r>
      <w:r>
        <w:rPr>
          <w:spacing w:val="1"/>
        </w:rPr>
        <w:t> </w:t>
      </w:r>
      <w:r>
        <w:rPr/>
        <w:t>S.I.,</w:t>
      </w:r>
      <w:r>
        <w:rPr>
          <w:spacing w:val="1"/>
        </w:rPr>
        <w:t> </w:t>
      </w:r>
      <w:r>
        <w:rPr/>
        <w:t>Sule,</w:t>
      </w:r>
      <w:r>
        <w:rPr>
          <w:spacing w:val="1"/>
        </w:rPr>
        <w:t> </w:t>
      </w:r>
      <w:r>
        <w:rPr/>
        <w:t>P.O.,</w:t>
      </w:r>
      <w:r>
        <w:rPr>
          <w:spacing w:val="1"/>
        </w:rPr>
        <w:t> </w:t>
      </w:r>
      <w:r>
        <w:rPr/>
        <w:t>&amp;Dewu,</w:t>
      </w:r>
      <w:r>
        <w:rPr>
          <w:spacing w:val="1"/>
        </w:rPr>
        <w:t> </w:t>
      </w:r>
      <w:r>
        <w:rPr/>
        <w:t>B.B.M.</w:t>
      </w:r>
      <w:r>
        <w:rPr>
          <w:spacing w:val="1"/>
        </w:rPr>
        <w:t> </w:t>
      </w:r>
      <w:r>
        <w:rPr/>
        <w:t>(2013).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Vertical</w:t>
      </w:r>
      <w:r>
        <w:rPr>
          <w:spacing w:val="1"/>
        </w:rPr>
        <w:t> </w:t>
      </w:r>
      <w:r>
        <w:rPr/>
        <w:t>Electrical</w:t>
      </w:r>
      <w:r>
        <w:rPr>
          <w:spacing w:val="-57"/>
        </w:rPr>
        <w:t> </w:t>
      </w:r>
      <w:r>
        <w:rPr/>
        <w:t>Sounding</w:t>
      </w:r>
      <w:r>
        <w:rPr>
          <w:spacing w:val="1"/>
        </w:rPr>
        <w:t> </w:t>
      </w:r>
      <w:r>
        <w:rPr/>
        <w:t>(VES)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Groundwater</w:t>
      </w:r>
      <w:r>
        <w:rPr>
          <w:spacing w:val="1"/>
        </w:rPr>
        <w:t> </w:t>
      </w:r>
      <w:r>
        <w:rPr/>
        <w:t>Exploration</w:t>
      </w:r>
      <w:r>
        <w:rPr>
          <w:spacing w:val="1"/>
        </w:rPr>
        <w:t> </w:t>
      </w:r>
      <w:r>
        <w:rPr/>
        <w:t>around</w:t>
      </w:r>
      <w:r>
        <w:rPr>
          <w:spacing w:val="1"/>
        </w:rPr>
        <w:t> </w:t>
      </w:r>
      <w:r>
        <w:rPr/>
        <w:t>Nigerian</w:t>
      </w:r>
      <w:r>
        <w:rPr>
          <w:spacing w:val="1"/>
        </w:rPr>
        <w:t> </w:t>
      </w:r>
      <w:r>
        <w:rPr/>
        <w:t>College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Aviation Technology (NCAT), Zaria, Kaduna State, Nigeria</w:t>
      </w:r>
      <w:r>
        <w:rPr>
          <w:i/>
        </w:rPr>
        <w:t>. Pacific Journal of</w:t>
      </w:r>
      <w:r>
        <w:rPr>
          <w:i/>
          <w:spacing w:val="1"/>
        </w:rPr>
        <w:t> </w:t>
      </w:r>
      <w:r>
        <w:rPr>
          <w:i/>
        </w:rPr>
        <w:t>Science</w:t>
      </w:r>
      <w:r>
        <w:rPr>
          <w:i/>
          <w:spacing w:val="-2"/>
        </w:rPr>
        <w:t> </w:t>
      </w:r>
      <w:r>
        <w:rPr>
          <w:i/>
        </w:rPr>
        <w:t>and Technology</w:t>
      </w:r>
      <w:r>
        <w:rPr>
          <w:i/>
          <w:spacing w:val="3"/>
        </w:rPr>
        <w:t> </w:t>
      </w:r>
      <w:r>
        <w:rPr/>
        <w:t>14: 549-555.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ind w:left="2007" w:right="1407" w:hanging="720"/>
        <w:jc w:val="both"/>
        <w:rPr>
          <w:i/>
        </w:rPr>
      </w:pPr>
      <w:r>
        <w:rPr/>
        <w:t>George,</w:t>
      </w:r>
      <w:r>
        <w:rPr>
          <w:spacing w:val="1"/>
        </w:rPr>
        <w:t> </w:t>
      </w:r>
      <w:r>
        <w:rPr/>
        <w:t>N.J.,</w:t>
      </w:r>
      <w:r>
        <w:rPr>
          <w:spacing w:val="1"/>
        </w:rPr>
        <w:t> </w:t>
      </w:r>
      <w:r>
        <w:rPr/>
        <w:t>Nathaniel,</w:t>
      </w:r>
      <w:r>
        <w:rPr>
          <w:spacing w:val="1"/>
        </w:rPr>
        <w:t> </w:t>
      </w:r>
      <w:r>
        <w:rPr/>
        <w:t>E.U.,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Etuk,</w:t>
      </w:r>
      <w:r>
        <w:rPr>
          <w:spacing w:val="1"/>
        </w:rPr>
        <w:t> </w:t>
      </w:r>
      <w:r>
        <w:rPr/>
        <w:t>S.E.</w:t>
      </w:r>
      <w:r>
        <w:rPr>
          <w:spacing w:val="1"/>
        </w:rPr>
        <w:t> </w:t>
      </w:r>
      <w:r>
        <w:rPr/>
        <w:t>(2014).</w:t>
      </w:r>
      <w:r>
        <w:rPr>
          <w:spacing w:val="1"/>
        </w:rPr>
        <w:t> </w:t>
      </w:r>
      <w:r>
        <w:rPr/>
        <w:t>Assessment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economical</w:t>
      </w:r>
      <w:r>
        <w:rPr>
          <w:spacing w:val="1"/>
        </w:rPr>
        <w:t> </w:t>
      </w:r>
      <w:r>
        <w:rPr/>
        <w:t>accessible groundwater reserve and its protective capacity in eastern Obolo local</w:t>
      </w:r>
      <w:r>
        <w:rPr>
          <w:spacing w:val="-57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area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Akwa</w:t>
      </w:r>
      <w:r>
        <w:rPr>
          <w:spacing w:val="1"/>
        </w:rPr>
        <w:t> </w:t>
      </w:r>
      <w:r>
        <w:rPr/>
        <w:t>Ibom</w:t>
      </w:r>
      <w:r>
        <w:rPr>
          <w:spacing w:val="1"/>
        </w:rPr>
        <w:t> </w:t>
      </w:r>
      <w:r>
        <w:rPr/>
        <w:t>State,</w:t>
      </w:r>
      <w:r>
        <w:rPr>
          <w:spacing w:val="1"/>
        </w:rPr>
        <w:t> </w:t>
      </w:r>
      <w:r>
        <w:rPr/>
        <w:t>Nigeria,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electrical</w:t>
      </w:r>
      <w:r>
        <w:rPr>
          <w:spacing w:val="1"/>
        </w:rPr>
        <w:t> </w:t>
      </w:r>
      <w:r>
        <w:rPr/>
        <w:t>resistivity</w:t>
      </w:r>
      <w:r>
        <w:rPr>
          <w:spacing w:val="1"/>
        </w:rPr>
        <w:t> </w:t>
      </w:r>
      <w:r>
        <w:rPr/>
        <w:t>method;</w:t>
      </w:r>
      <w:r>
        <w:rPr>
          <w:spacing w:val="-1"/>
        </w:rPr>
        <w:t> </w:t>
      </w:r>
      <w:r>
        <w:rPr>
          <w:i/>
        </w:rPr>
        <w:t>International Journal of Geophysics. 7(3) 693–700.</w:t>
      </w:r>
    </w:p>
    <w:p>
      <w:pPr>
        <w:pStyle w:val="BodyText"/>
        <w:spacing w:before="11"/>
        <w:rPr>
          <w:i/>
          <w:sz w:val="20"/>
        </w:rPr>
      </w:pPr>
    </w:p>
    <w:p>
      <w:pPr>
        <w:pStyle w:val="BodyText"/>
        <w:ind w:left="2007" w:right="1414" w:hanging="720"/>
        <w:jc w:val="both"/>
      </w:pPr>
      <w:r>
        <w:rPr/>
        <w:t>Henriet, J. P. (1975). Direct applications of the Dar Zarrouk parameters in ground water</w:t>
      </w:r>
      <w:r>
        <w:rPr>
          <w:spacing w:val="1"/>
        </w:rPr>
        <w:t> </w:t>
      </w:r>
      <w:r>
        <w:rPr/>
        <w:t>surveys.</w:t>
      </w:r>
      <w:r>
        <w:rPr>
          <w:spacing w:val="-1"/>
        </w:rPr>
        <w:t> </w:t>
      </w:r>
      <w:r>
        <w:rPr>
          <w:i/>
        </w:rPr>
        <w:t>Geophysical Prospecting</w:t>
      </w:r>
      <w:r>
        <w:rPr/>
        <w:t>, 24 (3): 44–353.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2007" w:right="1406" w:hanging="720"/>
        <w:jc w:val="both"/>
      </w:pPr>
      <w:r>
        <w:rPr/>
        <w:t>Kalinski, K.J., Kelly, W.E., &amp;Bogardi, I. (1993). Combined use of geoelectric sounding</w:t>
      </w:r>
      <w:r>
        <w:rPr>
          <w:spacing w:val="1"/>
        </w:rPr>
        <w:t> </w:t>
      </w:r>
      <w:r>
        <w:rPr/>
        <w:t>and proﬁling to quantify aquifer protection properties; Groundwater 31(4) 538–</w:t>
      </w:r>
      <w:r>
        <w:rPr>
          <w:spacing w:val="1"/>
        </w:rPr>
        <w:t> </w:t>
      </w:r>
      <w:r>
        <w:rPr/>
        <w:t>544.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2007" w:right="1404" w:hanging="720"/>
        <w:jc w:val="both"/>
        <w:rPr>
          <w:sz w:val="24"/>
        </w:rPr>
      </w:pPr>
      <w:r>
        <w:rPr>
          <w:sz w:val="24"/>
        </w:rPr>
        <w:t>Keller G., &amp; Frischknecht, F.C. (1996). Electrical Methods in Geophysical Prospecting.</w:t>
      </w:r>
      <w:r>
        <w:rPr>
          <w:spacing w:val="1"/>
          <w:sz w:val="24"/>
        </w:rPr>
        <w:t> </w:t>
      </w:r>
      <w:r>
        <w:rPr>
          <w:sz w:val="24"/>
        </w:rPr>
        <w:t>Toronto, Sydeney, Braunsckweig. </w:t>
      </w:r>
      <w:hyperlink r:id="rId35">
        <w:r>
          <w:rPr>
            <w:b/>
            <w:i/>
            <w:sz w:val="24"/>
          </w:rPr>
          <w:t>International Journal of Geosciences</w:t>
        </w:r>
      </w:hyperlink>
      <w:r>
        <w:rPr>
          <w:b/>
          <w:i/>
          <w:sz w:val="24"/>
        </w:rPr>
        <w:t>, </w:t>
      </w:r>
      <w:hyperlink r:id="rId36">
        <w:r>
          <w:rPr>
            <w:color w:val="0000FF"/>
            <w:sz w:val="24"/>
            <w:u w:val="single" w:color="0000FF"/>
          </w:rPr>
          <w:t>Vol.4</w:t>
        </w:r>
      </w:hyperlink>
      <w:r>
        <w:rPr>
          <w:color w:val="0000FF"/>
          <w:spacing w:val="1"/>
          <w:sz w:val="24"/>
        </w:rPr>
        <w:t> </w:t>
      </w:r>
      <w:hyperlink r:id="rId36">
        <w:r>
          <w:rPr>
            <w:color w:val="0000FF"/>
            <w:sz w:val="24"/>
            <w:u w:val="single" w:color="0000FF"/>
          </w:rPr>
          <w:t>No.10</w:t>
        </w:r>
        <w:r>
          <w:rPr>
            <w:sz w:val="24"/>
          </w:rPr>
          <w:t>,</w:t>
        </w:r>
      </w:hyperlink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2007" w:right="1408" w:hanging="720"/>
        <w:jc w:val="both"/>
      </w:pPr>
      <w:r>
        <w:rPr/>
        <w:t>Keswick,</w:t>
      </w:r>
      <w:r>
        <w:rPr>
          <w:spacing w:val="1"/>
        </w:rPr>
        <w:t> </w:t>
      </w:r>
      <w:r>
        <w:rPr/>
        <w:t>B.H.,</w:t>
      </w:r>
      <w:r>
        <w:rPr>
          <w:spacing w:val="1"/>
        </w:rPr>
        <w:t> </w:t>
      </w:r>
      <w:r>
        <w:rPr/>
        <w:t>Wang,</w:t>
      </w:r>
      <w:r>
        <w:rPr>
          <w:spacing w:val="1"/>
        </w:rPr>
        <w:t> </w:t>
      </w:r>
      <w:r>
        <w:rPr/>
        <w:t>D.,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Gerba,</w:t>
      </w:r>
      <w:r>
        <w:rPr>
          <w:spacing w:val="1"/>
        </w:rPr>
        <w:t> </w:t>
      </w:r>
      <w:r>
        <w:rPr/>
        <w:t>C.P.</w:t>
      </w:r>
      <w:r>
        <w:rPr>
          <w:spacing w:val="1"/>
        </w:rPr>
        <w:t> </w:t>
      </w:r>
      <w:r>
        <w:rPr/>
        <w:t>(1982).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micro-organisms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groundwater tracers – A review; Groundwater 20(2) 142–149. Kogbe A C 1989</w:t>
      </w:r>
      <w:r>
        <w:rPr>
          <w:spacing w:val="1"/>
        </w:rPr>
        <w:t> </w:t>
      </w:r>
      <w:r>
        <w:rPr/>
        <w:t>Geology</w:t>
      </w:r>
      <w:r>
        <w:rPr>
          <w:spacing w:val="-6"/>
        </w:rPr>
        <w:t> </w:t>
      </w:r>
      <w:r>
        <w:rPr/>
        <w:t>of Nigeria;</w:t>
      </w:r>
      <w:r>
        <w:rPr>
          <w:spacing w:val="-1"/>
        </w:rPr>
        <w:t> </w:t>
      </w:r>
      <w:r>
        <w:rPr/>
        <w:t>Elizabethan Publishing</w:t>
      </w:r>
      <w:r>
        <w:rPr>
          <w:spacing w:val="-4"/>
        </w:rPr>
        <w:t> </w:t>
      </w:r>
      <w:r>
        <w:rPr/>
        <w:t>Company,</w:t>
      </w:r>
      <w:r>
        <w:rPr>
          <w:spacing w:val="2"/>
        </w:rPr>
        <w:t> </w:t>
      </w:r>
      <w:r>
        <w:rPr/>
        <w:t>Lagos,</w:t>
      </w:r>
      <w:r>
        <w:rPr>
          <w:spacing w:val="-1"/>
        </w:rPr>
        <w:t> </w:t>
      </w:r>
      <w:r>
        <w:rPr/>
        <w:t>Nigeria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2007" w:right="1410" w:hanging="720"/>
        <w:jc w:val="both"/>
      </w:pPr>
      <w:r>
        <w:rPr/>
        <w:t>Maillet, R. (1947). The fundamental equations of electrical prospecting. Geophysics, 12,</w:t>
      </w:r>
      <w:r>
        <w:rPr>
          <w:spacing w:val="-57"/>
        </w:rPr>
        <w:t> </w:t>
      </w:r>
      <w:r>
        <w:rPr/>
        <w:t>529-556.</w:t>
      </w:r>
    </w:p>
    <w:p>
      <w:pPr>
        <w:pStyle w:val="BodyText"/>
        <w:rPr>
          <w:sz w:val="21"/>
        </w:rPr>
      </w:pPr>
    </w:p>
    <w:p>
      <w:pPr>
        <w:pStyle w:val="BodyText"/>
        <w:ind w:left="2007" w:right="1410" w:hanging="720"/>
        <w:jc w:val="both"/>
      </w:pPr>
      <w:r>
        <w:rPr>
          <w:color w:val="121212"/>
        </w:rPr>
        <w:t>Makeig, K.S.(1982). National bu</w:t>
      </w:r>
      <w:r>
        <w:rPr>
          <w:rFonts w:ascii="Cambria Math" w:hAnsi="Cambria Math"/>
          <w:color w:val="121212"/>
        </w:rPr>
        <w:t>ﬀ</w:t>
      </w:r>
      <w:r>
        <w:rPr>
          <w:color w:val="121212"/>
        </w:rPr>
        <w:t>ers for sludge leachate stabilization of groundwater;</w:t>
      </w:r>
      <w:r>
        <w:rPr>
          <w:color w:val="121212"/>
          <w:spacing w:val="1"/>
        </w:rPr>
        <w:t> </w:t>
      </w:r>
      <w:r>
        <w:rPr>
          <w:color w:val="121212"/>
        </w:rPr>
        <w:t>G</w:t>
      </w:r>
      <w:r>
        <w:rPr>
          <w:i/>
          <w:color w:val="121212"/>
        </w:rPr>
        <w:t>eophysics</w:t>
      </w:r>
      <w:r>
        <w:rPr>
          <w:color w:val="121212"/>
        </w:rPr>
        <w:t>20(4)</w:t>
      </w:r>
      <w:r>
        <w:rPr>
          <w:color w:val="121212"/>
          <w:spacing w:val="-1"/>
        </w:rPr>
        <w:t> </w:t>
      </w:r>
      <w:r>
        <w:rPr>
          <w:color w:val="121212"/>
        </w:rPr>
        <w:t>420–429.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before="1"/>
        <w:ind w:left="2007" w:right="1412" w:hanging="720"/>
        <w:jc w:val="both"/>
      </w:pPr>
      <w:r>
        <w:rPr/>
        <w:t>Miller, R. (2006). Hydrogeophysics: Introduction to this special section. The Leading</w:t>
      </w:r>
      <w:r>
        <w:rPr>
          <w:spacing w:val="1"/>
        </w:rPr>
        <w:t> </w:t>
      </w:r>
      <w:r>
        <w:rPr/>
        <w:t>Edge.</w:t>
      </w:r>
      <w:r>
        <w:rPr>
          <w:spacing w:val="-1"/>
        </w:rPr>
        <w:t> </w:t>
      </w:r>
      <w:r>
        <w:rPr/>
        <w:t>P. 713.</w:t>
      </w:r>
    </w:p>
    <w:p>
      <w:pPr>
        <w:pStyle w:val="BodyText"/>
        <w:rPr>
          <w:sz w:val="21"/>
        </w:rPr>
      </w:pPr>
    </w:p>
    <w:p>
      <w:pPr>
        <w:pStyle w:val="BodyText"/>
        <w:spacing w:before="1"/>
        <w:ind w:left="2007" w:right="1405" w:hanging="720"/>
        <w:jc w:val="both"/>
      </w:pPr>
      <w:r>
        <w:rPr/>
        <w:t>Mogaji, K.A., Adiat, K.A.N., &amp; Oladapo, M.I. (2007).</w:t>
      </w:r>
      <w:r>
        <w:rPr>
          <w:spacing w:val="1"/>
        </w:rPr>
        <w:t> </w:t>
      </w:r>
      <w:r>
        <w:rPr/>
        <w:t>Geoelectric investigation of the</w:t>
      </w:r>
      <w:r>
        <w:rPr>
          <w:spacing w:val="1"/>
        </w:rPr>
        <w:t> </w:t>
      </w:r>
      <w:r>
        <w:rPr/>
        <w:t>Dape Phase III Housing Estate F.C.T Abuja, north–central Nigeria; </w:t>
      </w:r>
      <w:r>
        <w:rPr>
          <w:i/>
        </w:rPr>
        <w:t>Journal of</w:t>
      </w:r>
      <w:r>
        <w:rPr>
          <w:i/>
          <w:spacing w:val="1"/>
        </w:rPr>
        <w:t> </w:t>
      </w:r>
      <w:r>
        <w:rPr>
          <w:i/>
        </w:rPr>
        <w:t>Earth</w:t>
      </w:r>
      <w:r>
        <w:rPr>
          <w:i/>
          <w:spacing w:val="-1"/>
        </w:rPr>
        <w:t> </w:t>
      </w:r>
      <w:r>
        <w:rPr>
          <w:i/>
        </w:rPr>
        <w:t>Sciences </w:t>
      </w:r>
      <w:r>
        <w:rPr/>
        <w:t>1(2) 76–84.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2007" w:right="1414" w:hanging="720"/>
        <w:jc w:val="both"/>
      </w:pPr>
      <w:r>
        <w:rPr/>
        <w:t>Mohamed, A.S. (1975). Vertical electrical soundings to locate</w:t>
      </w:r>
      <w:r>
        <w:rPr>
          <w:spacing w:val="60"/>
        </w:rPr>
        <w:t> </w:t>
      </w:r>
      <w:r>
        <w:rPr/>
        <w:t>ground water resources:</w:t>
      </w:r>
      <w:r>
        <w:rPr>
          <w:spacing w:val="1"/>
        </w:rPr>
        <w:t> </w:t>
      </w:r>
      <w:r>
        <w:rPr/>
        <w:t>A feasibility study, Virginia water resources research center Bulletin.;73:7. New</w:t>
      </w:r>
      <w:r>
        <w:rPr>
          <w:spacing w:val="1"/>
        </w:rPr>
        <w:t> </w:t>
      </w:r>
      <w:r>
        <w:rPr/>
        <w:t>York.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ind w:left="1287"/>
        <w:jc w:val="both"/>
      </w:pPr>
      <w:r>
        <w:rPr/>
        <w:t>Mohammed,</w:t>
      </w:r>
      <w:r>
        <w:rPr>
          <w:spacing w:val="2"/>
        </w:rPr>
        <w:t> </w:t>
      </w:r>
      <w:r>
        <w:rPr/>
        <w:t>G.,</w:t>
      </w:r>
      <w:r>
        <w:rPr>
          <w:spacing w:val="4"/>
        </w:rPr>
        <w:t> </w:t>
      </w:r>
      <w:r>
        <w:rPr/>
        <w:t>Ibrahim,</w:t>
      </w:r>
      <w:r>
        <w:rPr>
          <w:spacing w:val="3"/>
        </w:rPr>
        <w:t> </w:t>
      </w:r>
      <w:r>
        <w:rPr/>
        <w:t>A.,</w:t>
      </w:r>
      <w:r>
        <w:rPr>
          <w:spacing w:val="2"/>
        </w:rPr>
        <w:t> </w:t>
      </w:r>
      <w:r>
        <w:rPr/>
        <w:t>Hassan,</w:t>
      </w:r>
      <w:r>
        <w:rPr>
          <w:spacing w:val="2"/>
        </w:rPr>
        <w:t> </w:t>
      </w:r>
      <w:r>
        <w:rPr/>
        <w:t>A.</w:t>
      </w:r>
      <w:r>
        <w:rPr>
          <w:spacing w:val="3"/>
        </w:rPr>
        <w:t> </w:t>
      </w:r>
      <w:r>
        <w:rPr/>
        <w:t>A.,</w:t>
      </w:r>
      <w:r>
        <w:rPr>
          <w:spacing w:val="4"/>
        </w:rPr>
        <w:t> </w:t>
      </w:r>
      <w:r>
        <w:rPr/>
        <w:t>Ibrahim,</w:t>
      </w:r>
      <w:r>
        <w:rPr>
          <w:spacing w:val="3"/>
        </w:rPr>
        <w:t> </w:t>
      </w:r>
      <w:r>
        <w:rPr/>
        <w:t>S.</w:t>
      </w:r>
      <w:r>
        <w:rPr>
          <w:spacing w:val="2"/>
        </w:rPr>
        <w:t> </w:t>
      </w:r>
      <w:r>
        <w:rPr/>
        <w:t>H.,</w:t>
      </w:r>
      <w:r>
        <w:rPr>
          <w:spacing w:val="-1"/>
        </w:rPr>
        <w:t> </w:t>
      </w:r>
      <w:r>
        <w:rPr/>
        <w:t>Mahdy,</w:t>
      </w:r>
      <w:r>
        <w:rPr>
          <w:spacing w:val="3"/>
        </w:rPr>
        <w:t> </w:t>
      </w:r>
      <w:r>
        <w:rPr/>
        <w:t>A.</w:t>
      </w:r>
      <w:r>
        <w:rPr>
          <w:spacing w:val="2"/>
        </w:rPr>
        <w:t> </w:t>
      </w:r>
      <w:r>
        <w:rPr/>
        <w:t>M.,</w:t>
      </w:r>
      <w:r>
        <w:rPr>
          <w:spacing w:val="6"/>
        </w:rPr>
        <w:t> </w:t>
      </w:r>
      <w:r>
        <w:rPr/>
        <w:t>Ibrahim,</w:t>
      </w:r>
      <w:r>
        <w:rPr>
          <w:spacing w:val="2"/>
        </w:rPr>
        <w:t> </w:t>
      </w:r>
      <w:r>
        <w:rPr/>
        <w:t>M.</w:t>
      </w:r>
    </w:p>
    <w:p>
      <w:pPr>
        <w:spacing w:before="0"/>
        <w:ind w:left="2007" w:right="1410" w:firstLine="0"/>
        <w:jc w:val="both"/>
        <w:rPr>
          <w:i/>
          <w:sz w:val="24"/>
        </w:rPr>
      </w:pPr>
      <w:r>
        <w:rPr>
          <w:sz w:val="24"/>
        </w:rPr>
        <w:t>G.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Bektas,</w:t>
      </w:r>
      <w:r>
        <w:rPr>
          <w:spacing w:val="1"/>
          <w:sz w:val="24"/>
        </w:rPr>
        <w:t> </w:t>
      </w:r>
      <w:r>
        <w:rPr>
          <w:sz w:val="24"/>
        </w:rPr>
        <w:t>S.</w:t>
      </w:r>
      <w:r>
        <w:rPr>
          <w:spacing w:val="1"/>
          <w:sz w:val="24"/>
        </w:rPr>
        <w:t> </w:t>
      </w:r>
      <w:r>
        <w:rPr>
          <w:sz w:val="24"/>
        </w:rPr>
        <w:t>(2014).</w:t>
      </w:r>
      <w:r>
        <w:rPr>
          <w:spacing w:val="1"/>
          <w:sz w:val="24"/>
        </w:rPr>
        <w:t> </w:t>
      </w:r>
      <w:r>
        <w:rPr>
          <w:sz w:val="24"/>
        </w:rPr>
        <w:t>Geo-Electrical</w:t>
      </w:r>
      <w:r>
        <w:rPr>
          <w:spacing w:val="1"/>
          <w:sz w:val="24"/>
        </w:rPr>
        <w:t> </w:t>
      </w:r>
      <w:r>
        <w:rPr>
          <w:sz w:val="24"/>
        </w:rPr>
        <w:t>Data</w:t>
      </w:r>
      <w:r>
        <w:rPr>
          <w:spacing w:val="1"/>
          <w:sz w:val="24"/>
        </w:rPr>
        <w:t> </w:t>
      </w:r>
      <w:r>
        <w:rPr>
          <w:sz w:val="24"/>
        </w:rPr>
        <w:t>Analysis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61"/>
          <w:sz w:val="24"/>
        </w:rPr>
        <w:t> </w:t>
      </w:r>
      <w:r>
        <w:rPr>
          <w:sz w:val="24"/>
        </w:rPr>
        <w:t>Demarcate</w:t>
      </w:r>
      <w:r>
        <w:rPr>
          <w:spacing w:val="1"/>
          <w:sz w:val="24"/>
        </w:rPr>
        <w:t> </w:t>
      </w:r>
      <w:r>
        <w:rPr>
          <w:sz w:val="24"/>
        </w:rPr>
        <w:t>Groundwater Pocket Zones in Kaltungo and Environs, Northeastern Nigeria.</w:t>
      </w:r>
      <w:r>
        <w:rPr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 of Engineering, 4, 8269.</w:t>
      </w:r>
    </w:p>
    <w:p>
      <w:pPr>
        <w:spacing w:after="0"/>
        <w:jc w:val="both"/>
        <w:rPr>
          <w:sz w:val="24"/>
        </w:rPr>
        <w:sectPr>
          <w:pgSz w:w="11910" w:h="16840"/>
          <w:pgMar w:header="0" w:footer="987" w:top="1320" w:bottom="1260" w:left="700" w:right="0"/>
        </w:sectPr>
      </w:pPr>
    </w:p>
    <w:p>
      <w:pPr>
        <w:pStyle w:val="BodyText"/>
        <w:spacing w:before="67"/>
        <w:ind w:left="2007" w:right="1405" w:hanging="720"/>
        <w:jc w:val="both"/>
      </w:pPr>
      <w:r>
        <w:rPr/>
        <w:t>Mohammed. (2007). Hydrogeophysical Investigation of parts of the River Jama are</w:t>
      </w:r>
      <w:r>
        <w:rPr>
          <w:spacing w:val="1"/>
        </w:rPr>
        <w:t> </w:t>
      </w:r>
      <w:r>
        <w:rPr/>
        <w:t>Floodplain, West Chad Basin, and Northeastern Nigeria (pp. 1-289). Unpubl.</w:t>
      </w:r>
      <w:r>
        <w:rPr>
          <w:spacing w:val="1"/>
        </w:rPr>
        <w:t> </w:t>
      </w:r>
      <w:r>
        <w:rPr/>
        <w:t>Ph.D</w:t>
      </w:r>
      <w:r>
        <w:rPr>
          <w:spacing w:val="-1"/>
        </w:rPr>
        <w:t> </w:t>
      </w:r>
      <w:r>
        <w:rPr/>
        <w:t>Thesis</w:t>
      </w:r>
      <w:r>
        <w:rPr>
          <w:spacing w:val="-1"/>
        </w:rPr>
        <w:t> </w:t>
      </w:r>
      <w:r>
        <w:rPr/>
        <w:t>Obafemi Awolowo</w:t>
      </w:r>
      <w:r>
        <w:rPr>
          <w:spacing w:val="-1"/>
        </w:rPr>
        <w:t> </w:t>
      </w:r>
      <w:r>
        <w:rPr/>
        <w:t>University,</w:t>
      </w:r>
      <w:r>
        <w:rPr>
          <w:spacing w:val="4"/>
        </w:rPr>
        <w:t> </w:t>
      </w:r>
      <w:r>
        <w:rPr/>
        <w:t>Ile -</w:t>
      </w:r>
      <w:r>
        <w:rPr>
          <w:spacing w:val="1"/>
        </w:rPr>
        <w:t> </w:t>
      </w:r>
      <w:r>
        <w:rPr/>
        <w:t>Ife.</w:t>
      </w:r>
      <w:r>
        <w:rPr>
          <w:spacing w:val="-1"/>
        </w:rPr>
        <w:t> </w:t>
      </w:r>
      <w:r>
        <w:rPr/>
        <w:t>Nigeria.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2007" w:right="1409" w:hanging="720"/>
        <w:jc w:val="both"/>
      </w:pPr>
      <w:r>
        <w:rPr/>
        <w:t>Muraina Z.M., Martins O.O., &amp; Alex I.I. (2012). Geoelectric Sounding for Evaluating</w:t>
      </w:r>
      <w:r>
        <w:rPr>
          <w:spacing w:val="1"/>
        </w:rPr>
        <w:t> </w:t>
      </w:r>
      <w:r>
        <w:rPr/>
        <w:t>Soil Corrosivity and the Vulnerability of Porous Media Aquifers in Parts of the</w:t>
      </w:r>
      <w:r>
        <w:rPr>
          <w:spacing w:val="1"/>
        </w:rPr>
        <w:t> </w:t>
      </w:r>
      <w:r>
        <w:rPr/>
        <w:t>Chad Basin Fadama Floodplain, Northeastern Nigeria. </w:t>
      </w:r>
      <w:r>
        <w:rPr>
          <w:i/>
        </w:rPr>
        <w:t>Journal of Sustainable</w:t>
      </w:r>
      <w:r>
        <w:rPr>
          <w:i/>
          <w:spacing w:val="1"/>
        </w:rPr>
        <w:t> </w:t>
      </w:r>
      <w:r>
        <w:rPr>
          <w:i/>
        </w:rPr>
        <w:t>Development;</w:t>
      </w:r>
      <w:r>
        <w:rPr>
          <w:i/>
          <w:spacing w:val="-1"/>
        </w:rPr>
        <w:t> </w:t>
      </w:r>
      <w:r>
        <w:rPr/>
        <w:t>Vol. 5, No. 7;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2007" w:right="1405" w:hanging="720"/>
        <w:jc w:val="both"/>
      </w:pPr>
      <w:r>
        <w:rPr/>
        <w:t>Muraina, Z., Mohammed, Isaac, R., &amp; Ajayi. (2014). Geoelectric Evaluation of Subsoil</w:t>
      </w:r>
      <w:r>
        <w:rPr>
          <w:spacing w:val="1"/>
        </w:rPr>
        <w:t> </w:t>
      </w:r>
      <w:r>
        <w:rPr/>
        <w:t>for Optimum Cocoa Yield in Parts of Ondo State, Southwestern Nigeria </w:t>
      </w:r>
      <w:r>
        <w:rPr>
          <w:i/>
        </w:rPr>
        <w:t>Civil</w:t>
      </w:r>
      <w:r>
        <w:rPr>
          <w:i/>
          <w:spacing w:val="1"/>
        </w:rPr>
        <w:t> </w:t>
      </w:r>
      <w:r>
        <w:rPr>
          <w:i/>
        </w:rPr>
        <w:t>and</w:t>
      </w:r>
      <w:r>
        <w:rPr>
          <w:i/>
          <w:spacing w:val="-1"/>
        </w:rPr>
        <w:t> </w:t>
      </w:r>
      <w:r>
        <w:rPr>
          <w:i/>
        </w:rPr>
        <w:t>Environmental Research</w:t>
      </w:r>
      <w:r>
        <w:rPr>
          <w:i/>
          <w:spacing w:val="1"/>
        </w:rPr>
        <w:t> </w:t>
      </w:r>
      <w:r>
        <w:rPr/>
        <w:t>Vol.6, No.1, 2014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ind w:left="2007" w:right="1411" w:hanging="720"/>
        <w:jc w:val="both"/>
      </w:pPr>
      <w:r>
        <w:rPr/>
        <w:t>Neriaria: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setting</w:t>
      </w:r>
      <w:r>
        <w:rPr>
          <w:spacing w:val="1"/>
        </w:rPr>
        <w:t> </w:t>
      </w:r>
      <w:r>
        <w:rPr/>
        <w:t>–Niger</w:t>
      </w:r>
      <w:r>
        <w:rPr>
          <w:spacing w:val="1"/>
        </w:rPr>
        <w:t> </w:t>
      </w:r>
      <w:r>
        <w:rPr/>
        <w:t>State.</w:t>
      </w:r>
      <w:r>
        <w:rPr>
          <w:spacing w:val="1"/>
        </w:rPr>
        <w:t> </w:t>
      </w:r>
      <w:r>
        <w:rPr/>
        <w:t>Online</w:t>
      </w:r>
      <w:r>
        <w:rPr>
          <w:spacing w:val="1"/>
        </w:rPr>
        <w:t> </w:t>
      </w:r>
      <w:r>
        <w:rPr/>
        <w:t>Nigeria:</w:t>
      </w:r>
      <w:r>
        <w:rPr>
          <w:spacing w:val="1"/>
        </w:rPr>
        <w:t> </w:t>
      </w:r>
      <w:r>
        <w:rPr/>
        <w:t>Available:</w:t>
      </w:r>
      <w:r>
        <w:rPr>
          <w:spacing w:val="-57"/>
        </w:rPr>
        <w:t> </w:t>
      </w:r>
      <w:r>
        <w:rPr>
          <w:u w:val="single"/>
        </w:rPr>
        <w:t>http//</w:t>
      </w:r>
      <w:hyperlink r:id="rId8">
        <w:r>
          <w:rPr>
            <w:u w:val="single"/>
          </w:rPr>
          <w:t>www.onlinenigeria.com/links/nigeradv.asp?blurb=330</w:t>
        </w:r>
      </w:hyperlink>
    </w:p>
    <w:p>
      <w:pPr>
        <w:pStyle w:val="BodyText"/>
        <w:spacing w:before="11"/>
        <w:rPr>
          <w:sz w:val="20"/>
        </w:rPr>
      </w:pPr>
    </w:p>
    <w:p>
      <w:pPr>
        <w:pStyle w:val="BodyText"/>
        <w:ind w:left="1277" w:right="1404"/>
        <w:jc w:val="center"/>
      </w:pPr>
      <w:r>
        <w:rPr/>
        <w:t>Oastridge,</w:t>
      </w:r>
      <w:r>
        <w:rPr>
          <w:spacing w:val="19"/>
        </w:rPr>
        <w:t> </w:t>
      </w:r>
      <w:r>
        <w:rPr/>
        <w:t>J.W.,</w:t>
      </w:r>
      <w:r>
        <w:rPr>
          <w:spacing w:val="79"/>
        </w:rPr>
        <w:t> </w:t>
      </w:r>
      <w:r>
        <w:rPr/>
        <w:t>&amp;</w:t>
      </w:r>
      <w:r>
        <w:rPr>
          <w:spacing w:val="77"/>
        </w:rPr>
        <w:t> </w:t>
      </w:r>
      <w:r>
        <w:rPr/>
        <w:t>Trent,</w:t>
      </w:r>
      <w:r>
        <w:rPr>
          <w:spacing w:val="79"/>
        </w:rPr>
        <w:t> </w:t>
      </w:r>
      <w:r>
        <w:rPr/>
        <w:t>S.</w:t>
      </w:r>
      <w:r>
        <w:rPr>
          <w:spacing w:val="78"/>
        </w:rPr>
        <w:t> </w:t>
      </w:r>
      <w:r>
        <w:rPr/>
        <w:t>(1999).</w:t>
      </w:r>
      <w:r>
        <w:rPr>
          <w:spacing w:val="78"/>
        </w:rPr>
        <w:t> </w:t>
      </w:r>
      <w:r>
        <w:rPr/>
        <w:t>Why</w:t>
      </w:r>
      <w:r>
        <w:rPr>
          <w:spacing w:val="70"/>
        </w:rPr>
        <w:t> </w:t>
      </w:r>
      <w:r>
        <w:rPr/>
        <w:t>is</w:t>
      </w:r>
      <w:r>
        <w:rPr>
          <w:spacing w:val="81"/>
        </w:rPr>
        <w:t> </w:t>
      </w:r>
      <w:r>
        <w:rPr/>
        <w:t>fresh</w:t>
      </w:r>
      <w:r>
        <w:rPr>
          <w:spacing w:val="79"/>
        </w:rPr>
        <w:t> </w:t>
      </w:r>
      <w:r>
        <w:rPr/>
        <w:t>water</w:t>
      </w:r>
      <w:r>
        <w:rPr>
          <w:spacing w:val="77"/>
        </w:rPr>
        <w:t> </w:t>
      </w:r>
      <w:r>
        <w:rPr/>
        <w:t>an</w:t>
      </w:r>
      <w:r>
        <w:rPr>
          <w:spacing w:val="78"/>
        </w:rPr>
        <w:t> </w:t>
      </w:r>
      <w:r>
        <w:rPr/>
        <w:t>issue</w:t>
      </w:r>
      <w:r>
        <w:rPr>
          <w:spacing w:val="79"/>
        </w:rPr>
        <w:t> </w:t>
      </w:r>
      <w:r>
        <w:rPr/>
        <w:t>for</w:t>
      </w:r>
      <w:r>
        <w:rPr>
          <w:spacing w:val="77"/>
        </w:rPr>
        <w:t> </w:t>
      </w:r>
      <w:r>
        <w:rPr/>
        <w:t>business?</w:t>
      </w:r>
    </w:p>
    <w:p>
      <w:pPr>
        <w:pStyle w:val="BodyText"/>
        <w:ind w:left="1277" w:right="3719"/>
        <w:jc w:val="center"/>
      </w:pPr>
      <w:r>
        <w:rPr/>
        <w:t>Background</w:t>
      </w:r>
      <w:r>
        <w:rPr>
          <w:spacing w:val="-1"/>
        </w:rPr>
        <w:t> </w:t>
      </w:r>
      <w:r>
        <w:rPr/>
        <w:t>Paper</w:t>
      </w:r>
      <w:r>
        <w:rPr>
          <w:spacing w:val="-1"/>
        </w:rPr>
        <w:t> </w:t>
      </w:r>
      <w:r>
        <w:rPr/>
        <w:t>Can 176-Qatr</w:t>
      </w:r>
      <w:r>
        <w:rPr>
          <w:spacing w:val="-1"/>
        </w:rPr>
        <w:t> </w:t>
      </w:r>
      <w:r>
        <w:rPr/>
        <w:t>UN-CDS (p.</w:t>
      </w:r>
      <w:r>
        <w:rPr>
          <w:spacing w:val="-1"/>
        </w:rPr>
        <w:t> </w:t>
      </w:r>
      <w:r>
        <w:rPr/>
        <w:t>9).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2007" w:right="1416" w:hanging="720"/>
        <w:jc w:val="both"/>
      </w:pPr>
      <w:r>
        <w:rPr/>
        <w:t>Obaje, N, G. (2009). Geology and Mineral Resources of Nigeria, Lecture Notes in Earth</w:t>
      </w:r>
      <w:r>
        <w:rPr>
          <w:spacing w:val="-57"/>
        </w:rPr>
        <w:t> </w:t>
      </w:r>
      <w:r>
        <w:rPr/>
        <w:t>Sciences 120, DOI</w:t>
      </w:r>
      <w:r>
        <w:rPr>
          <w:spacing w:val="-5"/>
        </w:rPr>
        <w:t> </w:t>
      </w:r>
      <w:r>
        <w:rPr/>
        <w:t>10.1007/978-3-540-92685-6_1.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2007" w:right="1404" w:hanging="720"/>
        <w:jc w:val="both"/>
      </w:pPr>
      <w:r>
        <w:rPr/>
        <w:t>Obaje, N.G., Lar, A., Nzegbuna, A., Moumouni, A., Chaanda, M., &amp;Goki, N. (2006).</w:t>
      </w:r>
      <w:r>
        <w:rPr>
          <w:spacing w:val="1"/>
        </w:rPr>
        <w:t> </w:t>
      </w:r>
      <w:r>
        <w:rPr/>
        <w:t>Geology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mineral</w:t>
      </w:r>
      <w:r>
        <w:rPr>
          <w:spacing w:val="1"/>
        </w:rPr>
        <w:t> </w:t>
      </w:r>
      <w:r>
        <w:rPr/>
        <w:t>resources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Nasarawa</w:t>
      </w:r>
      <w:r>
        <w:rPr>
          <w:spacing w:val="1"/>
        </w:rPr>
        <w:t> </w:t>
      </w:r>
      <w:r>
        <w:rPr/>
        <w:t>State;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investor’s</w:t>
      </w:r>
      <w:r>
        <w:rPr>
          <w:spacing w:val="1"/>
        </w:rPr>
        <w:t> </w:t>
      </w:r>
      <w:r>
        <w:rPr/>
        <w:t>guide.</w:t>
      </w:r>
      <w:r>
        <w:rPr>
          <w:spacing w:val="1"/>
        </w:rPr>
        <w:t> </w:t>
      </w:r>
      <w:r>
        <w:rPr>
          <w:i/>
        </w:rPr>
        <w:t>NasarawaScientifique,</w:t>
      </w:r>
      <w:r>
        <w:rPr>
          <w:i/>
          <w:spacing w:val="-1"/>
        </w:rPr>
        <w:t> </w:t>
      </w:r>
      <w:r>
        <w:rPr/>
        <w:t>2,</w:t>
      </w:r>
      <w:r>
        <w:rPr>
          <w:spacing w:val="-3"/>
        </w:rPr>
        <w:t> </w:t>
      </w:r>
      <w:r>
        <w:rPr/>
        <w:t>no.1 pp23-30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2007" w:right="1408" w:hanging="720"/>
        <w:jc w:val="both"/>
        <w:rPr>
          <w:i/>
        </w:rPr>
      </w:pPr>
      <w:r>
        <w:rPr/>
        <w:t>Obiora, D.N., Ajala, A.E., &amp;Ibuot, J.C. (2015). Evaluation of aquifer protective capacity</w:t>
      </w:r>
      <w:r>
        <w:rPr>
          <w:spacing w:val="-57"/>
        </w:rPr>
        <w:t> </w:t>
      </w:r>
      <w:r>
        <w:rPr/>
        <w:t>of overburden unit and soil corrosivity in Makurdi, Benue state, Nigeria, using</w:t>
      </w:r>
      <w:r>
        <w:rPr>
          <w:spacing w:val="1"/>
        </w:rPr>
        <w:t> </w:t>
      </w:r>
      <w:r>
        <w:rPr/>
        <w:t>electrical</w:t>
      </w:r>
      <w:r>
        <w:rPr>
          <w:spacing w:val="-1"/>
        </w:rPr>
        <w:t> </w:t>
      </w:r>
      <w:r>
        <w:rPr/>
        <w:t>resistivity</w:t>
      </w:r>
      <w:r>
        <w:rPr>
          <w:spacing w:val="-5"/>
        </w:rPr>
        <w:t> </w:t>
      </w:r>
      <w:r>
        <w:rPr/>
        <w:t>method.</w:t>
      </w:r>
      <w:r>
        <w:rPr>
          <w:spacing w:val="2"/>
        </w:rPr>
        <w:t> </w:t>
      </w:r>
      <w:r>
        <w:rPr>
          <w:i/>
        </w:rPr>
        <w:t>Journal of Earth System</w:t>
      </w:r>
      <w:r>
        <w:rPr>
          <w:i/>
          <w:spacing w:val="-1"/>
        </w:rPr>
        <w:t> </w:t>
      </w:r>
      <w:r>
        <w:rPr>
          <w:i/>
        </w:rPr>
        <w:t>Science, 124, 125-135.</w:t>
      </w:r>
    </w:p>
    <w:p>
      <w:pPr>
        <w:pStyle w:val="BodyText"/>
        <w:spacing w:before="10"/>
        <w:rPr>
          <w:i/>
          <w:sz w:val="20"/>
        </w:rPr>
      </w:pPr>
    </w:p>
    <w:p>
      <w:pPr>
        <w:spacing w:before="1"/>
        <w:ind w:left="2007" w:right="1407" w:hanging="720"/>
        <w:jc w:val="both"/>
        <w:rPr>
          <w:i/>
          <w:sz w:val="24"/>
        </w:rPr>
      </w:pPr>
      <w:r>
        <w:rPr>
          <w:sz w:val="24"/>
        </w:rPr>
        <w:t>Ogungbemi, O. S., &amp;Ademilua, O. L. (2013). Integrated geophysical studies for post-</w:t>
      </w:r>
      <w:r>
        <w:rPr>
          <w:spacing w:val="1"/>
          <w:sz w:val="24"/>
        </w:rPr>
        <w:t> </w:t>
      </w:r>
      <w:r>
        <w:rPr>
          <w:sz w:val="24"/>
        </w:rPr>
        <w:t>foundational</w:t>
      </w:r>
      <w:r>
        <w:rPr>
          <w:spacing w:val="1"/>
          <w:sz w:val="24"/>
        </w:rPr>
        <w:t> </w:t>
      </w:r>
      <w:r>
        <w:rPr>
          <w:sz w:val="24"/>
        </w:rPr>
        <w:t>investigation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part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Afe</w:t>
      </w:r>
      <w:r>
        <w:rPr>
          <w:spacing w:val="1"/>
          <w:sz w:val="24"/>
        </w:rPr>
        <w:t> </w:t>
      </w:r>
      <w:r>
        <w:rPr>
          <w:sz w:val="24"/>
        </w:rPr>
        <w:t>Babalola</w:t>
      </w:r>
      <w:r>
        <w:rPr>
          <w:spacing w:val="1"/>
          <w:sz w:val="24"/>
        </w:rPr>
        <w:t> </w:t>
      </w:r>
      <w:r>
        <w:rPr>
          <w:sz w:val="24"/>
        </w:rPr>
        <w:t>University,</w:t>
      </w:r>
      <w:r>
        <w:rPr>
          <w:spacing w:val="60"/>
          <w:sz w:val="24"/>
        </w:rPr>
        <w:t> </w:t>
      </w:r>
      <w:r>
        <w:rPr>
          <w:sz w:val="24"/>
        </w:rPr>
        <w:t>Ado-Ekiti,</w:t>
      </w:r>
      <w:r>
        <w:rPr>
          <w:spacing w:val="1"/>
          <w:sz w:val="24"/>
        </w:rPr>
        <w:t> </w:t>
      </w:r>
      <w:r>
        <w:rPr>
          <w:sz w:val="24"/>
        </w:rPr>
        <w:t>Nigeria. </w:t>
      </w:r>
      <w:r>
        <w:rPr>
          <w:i/>
          <w:sz w:val="24"/>
        </w:rPr>
        <w:t>Journal of Emerging Trends in Engineering and Applied Sciences, 4,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654-660.</w:t>
      </w:r>
    </w:p>
    <w:p>
      <w:pPr>
        <w:pStyle w:val="BodyText"/>
        <w:spacing w:before="9"/>
        <w:rPr>
          <w:i/>
          <w:sz w:val="20"/>
        </w:rPr>
      </w:pPr>
    </w:p>
    <w:p>
      <w:pPr>
        <w:spacing w:before="1"/>
        <w:ind w:left="2007" w:right="1410" w:hanging="720"/>
        <w:jc w:val="both"/>
        <w:rPr>
          <w:i/>
          <w:sz w:val="24"/>
        </w:rPr>
      </w:pPr>
      <w:r>
        <w:rPr>
          <w:sz w:val="24"/>
        </w:rPr>
        <w:t>Oladapo,</w:t>
      </w:r>
      <w:r>
        <w:rPr>
          <w:spacing w:val="1"/>
          <w:sz w:val="24"/>
        </w:rPr>
        <w:t> </w:t>
      </w:r>
      <w:r>
        <w:rPr>
          <w:sz w:val="24"/>
        </w:rPr>
        <w:t>M.,</w:t>
      </w:r>
      <w:r>
        <w:rPr>
          <w:spacing w:val="1"/>
          <w:sz w:val="24"/>
        </w:rPr>
        <w:t> </w:t>
      </w:r>
      <w:r>
        <w:rPr>
          <w:sz w:val="24"/>
        </w:rPr>
        <w:t>Mohammed,</w:t>
      </w:r>
      <w:r>
        <w:rPr>
          <w:spacing w:val="1"/>
          <w:sz w:val="24"/>
        </w:rPr>
        <w:t> </w:t>
      </w:r>
      <w:r>
        <w:rPr>
          <w:sz w:val="24"/>
        </w:rPr>
        <w:t>M.,</w:t>
      </w:r>
      <w:r>
        <w:rPr>
          <w:spacing w:val="1"/>
          <w:sz w:val="24"/>
        </w:rPr>
        <w:t> </w:t>
      </w:r>
      <w:r>
        <w:rPr>
          <w:sz w:val="24"/>
        </w:rPr>
        <w:t>Adeoye,</w:t>
      </w:r>
      <w:r>
        <w:rPr>
          <w:spacing w:val="1"/>
          <w:sz w:val="24"/>
        </w:rPr>
        <w:t> </w:t>
      </w:r>
      <w:r>
        <w:rPr>
          <w:sz w:val="24"/>
        </w:rPr>
        <w:t>O.,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Aetolia,</w:t>
      </w:r>
      <w:r>
        <w:rPr>
          <w:spacing w:val="1"/>
          <w:sz w:val="24"/>
        </w:rPr>
        <w:t> </w:t>
      </w:r>
      <w:r>
        <w:rPr>
          <w:sz w:val="24"/>
        </w:rPr>
        <w:t>B.</w:t>
      </w:r>
      <w:r>
        <w:rPr>
          <w:spacing w:val="1"/>
          <w:sz w:val="24"/>
        </w:rPr>
        <w:t> </w:t>
      </w:r>
      <w:r>
        <w:rPr>
          <w:sz w:val="24"/>
        </w:rPr>
        <w:t>(2004).</w:t>
      </w:r>
      <w:r>
        <w:rPr>
          <w:spacing w:val="1"/>
          <w:sz w:val="24"/>
        </w:rPr>
        <w:t> </w:t>
      </w:r>
      <w:r>
        <w:rPr>
          <w:sz w:val="24"/>
        </w:rPr>
        <w:t>Geoelectrical</w:t>
      </w:r>
      <w:r>
        <w:rPr>
          <w:spacing w:val="1"/>
          <w:sz w:val="24"/>
        </w:rPr>
        <w:t> </w:t>
      </w:r>
      <w:r>
        <w:rPr>
          <w:sz w:val="24"/>
        </w:rPr>
        <w:t>investigation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Ondo</w:t>
      </w:r>
      <w:r>
        <w:rPr>
          <w:spacing w:val="1"/>
          <w:sz w:val="24"/>
        </w:rPr>
        <w:t> </w:t>
      </w:r>
      <w:r>
        <w:rPr>
          <w:sz w:val="24"/>
        </w:rPr>
        <w:t>State</w:t>
      </w:r>
      <w:r>
        <w:rPr>
          <w:spacing w:val="1"/>
          <w:sz w:val="24"/>
        </w:rPr>
        <w:t> </w:t>
      </w:r>
      <w:r>
        <w:rPr>
          <w:sz w:val="24"/>
        </w:rPr>
        <w:t>Housing</w:t>
      </w:r>
      <w:r>
        <w:rPr>
          <w:spacing w:val="1"/>
          <w:sz w:val="24"/>
        </w:rPr>
        <w:t> </w:t>
      </w:r>
      <w:r>
        <w:rPr>
          <w:sz w:val="24"/>
        </w:rPr>
        <w:t>Corporation</w:t>
      </w:r>
      <w:r>
        <w:rPr>
          <w:spacing w:val="1"/>
          <w:sz w:val="24"/>
        </w:rPr>
        <w:t> </w:t>
      </w:r>
      <w:r>
        <w:rPr>
          <w:sz w:val="24"/>
        </w:rPr>
        <w:t>Estate</w:t>
      </w:r>
      <w:r>
        <w:rPr>
          <w:spacing w:val="1"/>
          <w:sz w:val="24"/>
        </w:rPr>
        <w:t> </w:t>
      </w:r>
      <w:r>
        <w:rPr>
          <w:sz w:val="24"/>
        </w:rPr>
        <w:t>IjapoAkure,</w:t>
      </w:r>
      <w:r>
        <w:rPr>
          <w:spacing w:val="1"/>
          <w:sz w:val="24"/>
        </w:rPr>
        <w:t> </w:t>
      </w:r>
      <w:r>
        <w:rPr>
          <w:sz w:val="24"/>
        </w:rPr>
        <w:t>southwestern</w:t>
      </w:r>
      <w:r>
        <w:rPr>
          <w:spacing w:val="-1"/>
          <w:sz w:val="24"/>
        </w:rPr>
        <w:t> </w:t>
      </w:r>
      <w:r>
        <w:rPr>
          <w:sz w:val="24"/>
        </w:rPr>
        <w:t>Nigeria</w:t>
      </w:r>
      <w:r>
        <w:rPr>
          <w:i/>
          <w:sz w:val="24"/>
        </w:rPr>
        <w:t>. Journal of Mining and Geology,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40, 41-48.</w:t>
      </w:r>
    </w:p>
    <w:p>
      <w:pPr>
        <w:pStyle w:val="BodyText"/>
        <w:spacing w:before="10"/>
        <w:rPr>
          <w:i/>
          <w:sz w:val="20"/>
        </w:rPr>
      </w:pPr>
    </w:p>
    <w:p>
      <w:pPr>
        <w:spacing w:before="0"/>
        <w:ind w:left="2007" w:right="1405" w:hanging="720"/>
        <w:jc w:val="both"/>
        <w:rPr>
          <w:i/>
          <w:sz w:val="24"/>
        </w:rPr>
      </w:pPr>
      <w:r>
        <w:rPr>
          <w:sz w:val="24"/>
        </w:rPr>
        <w:t>Oladapo, M.I., Adeoye-Oladapo, O.O., and Mogaji, K.A. (2009). Hydrogeophysical</w:t>
      </w:r>
      <w:r>
        <w:rPr>
          <w:spacing w:val="1"/>
          <w:sz w:val="24"/>
        </w:rPr>
        <w:t> </w:t>
      </w:r>
      <w:r>
        <w:rPr>
          <w:sz w:val="24"/>
        </w:rPr>
        <w:t>study of the groundwater potential of Ilara-Mokin southwestern Nigeria, </w:t>
      </w:r>
      <w:r>
        <w:rPr>
          <w:i/>
          <w:sz w:val="24"/>
        </w:rPr>
        <w:t>Global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Pure and Applied Sciences vol 15, no. 2: 195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-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204</w:t>
      </w:r>
    </w:p>
    <w:p>
      <w:pPr>
        <w:pStyle w:val="BodyText"/>
        <w:spacing w:before="10"/>
        <w:rPr>
          <w:i/>
          <w:sz w:val="20"/>
        </w:rPr>
      </w:pPr>
    </w:p>
    <w:p>
      <w:pPr>
        <w:pStyle w:val="BodyText"/>
        <w:ind w:left="2007" w:right="1408" w:hanging="720"/>
        <w:jc w:val="both"/>
      </w:pPr>
      <w:r>
        <w:rPr/>
        <w:t>Olorunfemi,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O.,</w:t>
      </w:r>
      <w:r>
        <w:rPr>
          <w:spacing w:val="1"/>
        </w:rPr>
        <w:t> </w:t>
      </w:r>
      <w:r>
        <w:rPr/>
        <w:t>Ojo,</w:t>
      </w:r>
      <w:r>
        <w:rPr>
          <w:spacing w:val="1"/>
        </w:rPr>
        <w:t> </w:t>
      </w:r>
      <w:r>
        <w:rPr/>
        <w:t>J.</w:t>
      </w:r>
      <w:r>
        <w:rPr>
          <w:spacing w:val="1"/>
        </w:rPr>
        <w:t> </w:t>
      </w:r>
      <w:r>
        <w:rPr/>
        <w:t>S.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Akintunde,</w:t>
      </w:r>
      <w:r>
        <w:rPr>
          <w:spacing w:val="1"/>
        </w:rPr>
        <w:t> </w:t>
      </w:r>
      <w:r>
        <w:rPr/>
        <w:t>O.M.</w:t>
      </w:r>
      <w:r>
        <w:rPr>
          <w:spacing w:val="1"/>
        </w:rPr>
        <w:t> </w:t>
      </w:r>
      <w:r>
        <w:rPr/>
        <w:t>(1999).</w:t>
      </w:r>
      <w:r>
        <w:rPr>
          <w:spacing w:val="60"/>
        </w:rPr>
        <w:t> </w:t>
      </w:r>
      <w:r>
        <w:rPr/>
        <w:t>Hydrogeophysical</w:t>
      </w:r>
      <w:r>
        <w:rPr>
          <w:spacing w:val="1"/>
        </w:rPr>
        <w:t> </w:t>
      </w:r>
      <w:r>
        <w:rPr/>
        <w:t>evaluation of the groundwater potential of the Akure metropolis, southwestern</w:t>
      </w:r>
      <w:r>
        <w:rPr>
          <w:spacing w:val="1"/>
        </w:rPr>
        <w:t> </w:t>
      </w:r>
      <w:r>
        <w:rPr/>
        <w:t>Nigeria.</w:t>
      </w:r>
      <w:r>
        <w:rPr>
          <w:spacing w:val="-1"/>
        </w:rPr>
        <w:t> </w:t>
      </w:r>
      <w:r>
        <w:rPr>
          <w:i/>
        </w:rPr>
        <w:t>Journal of mining and geology.</w:t>
      </w:r>
      <w:r>
        <w:rPr>
          <w:i/>
          <w:spacing w:val="1"/>
        </w:rPr>
        <w:t> </w:t>
      </w:r>
      <w:r>
        <w:rPr/>
        <w:t>35(2):207-228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2007" w:right="1412" w:hanging="720"/>
        <w:jc w:val="both"/>
      </w:pPr>
      <w:r>
        <w:rPr/>
        <w:t>Omosuyi,</w:t>
      </w:r>
      <w:r>
        <w:rPr>
          <w:spacing w:val="1"/>
        </w:rPr>
        <w:t> </w:t>
      </w:r>
      <w:r>
        <w:rPr/>
        <w:t>G.O.J.S.,</w:t>
      </w:r>
      <w:r>
        <w:rPr>
          <w:spacing w:val="1"/>
        </w:rPr>
        <w:t> </w:t>
      </w:r>
      <w:r>
        <w:rPr/>
        <w:t>Ojo.,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M.O.</w:t>
      </w:r>
      <w:r>
        <w:rPr>
          <w:spacing w:val="1"/>
        </w:rPr>
        <w:t> </w:t>
      </w:r>
      <w:r>
        <w:rPr/>
        <w:t>Olorunfemi.</w:t>
      </w:r>
      <w:r>
        <w:rPr>
          <w:spacing w:val="1"/>
        </w:rPr>
        <w:t> </w:t>
      </w:r>
      <w:r>
        <w:rPr/>
        <w:t>(2006).</w:t>
      </w:r>
      <w:r>
        <w:rPr>
          <w:spacing w:val="1"/>
        </w:rPr>
        <w:t> </w:t>
      </w:r>
      <w:r>
        <w:rPr/>
        <w:t>Geoelectric</w:t>
      </w:r>
      <w:r>
        <w:rPr>
          <w:spacing w:val="1"/>
        </w:rPr>
        <w:t> </w:t>
      </w:r>
      <w:r>
        <w:rPr/>
        <w:t>Sounding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Delineate Shallow Aquifer in the Coastal Plain Sands of Okitipupa Area, South</w:t>
      </w:r>
      <w:r>
        <w:rPr>
          <w:spacing w:val="1"/>
        </w:rPr>
        <w:t> </w:t>
      </w:r>
      <w:r>
        <w:rPr/>
        <w:t>Western</w:t>
      </w:r>
      <w:r>
        <w:rPr>
          <w:spacing w:val="-1"/>
        </w:rPr>
        <w:t> </w:t>
      </w:r>
      <w:r>
        <w:rPr/>
        <w:t>Nigeria.</w:t>
      </w:r>
      <w:r>
        <w:rPr>
          <w:spacing w:val="1"/>
        </w:rPr>
        <w:t> </w:t>
      </w:r>
      <w:r>
        <w:rPr>
          <w:i/>
        </w:rPr>
        <w:t>Pacific Journal of</w:t>
      </w:r>
      <w:r>
        <w:rPr>
          <w:i/>
          <w:spacing w:val="-1"/>
        </w:rPr>
        <w:t> </w:t>
      </w:r>
      <w:r>
        <w:rPr>
          <w:i/>
        </w:rPr>
        <w:t>Science</w:t>
      </w:r>
      <w:r>
        <w:rPr>
          <w:i/>
          <w:spacing w:val="-1"/>
        </w:rPr>
        <w:t> </w:t>
      </w:r>
      <w:r>
        <w:rPr>
          <w:i/>
        </w:rPr>
        <w:t>and Technology</w:t>
      </w:r>
      <w:r>
        <w:rPr/>
        <w:t>, 9(2):</w:t>
      </w:r>
      <w:r>
        <w:rPr>
          <w:spacing w:val="-1"/>
        </w:rPr>
        <w:t> </w:t>
      </w:r>
      <w:r>
        <w:rPr/>
        <w:t>562-577.</w:t>
      </w:r>
    </w:p>
    <w:p>
      <w:pPr>
        <w:spacing w:after="0"/>
        <w:jc w:val="both"/>
        <w:sectPr>
          <w:pgSz w:w="11910" w:h="16840"/>
          <w:pgMar w:header="0" w:footer="987" w:top="1320" w:bottom="1260" w:left="700" w:right="0"/>
        </w:sectPr>
      </w:pPr>
    </w:p>
    <w:p>
      <w:pPr>
        <w:pStyle w:val="BodyText"/>
        <w:spacing w:before="67"/>
        <w:ind w:left="2007" w:right="1405" w:hanging="720"/>
        <w:jc w:val="both"/>
      </w:pPr>
      <w:r>
        <w:rPr/>
        <w:t>Omoyoloye, N.A., Oladapo, M.I., &amp; Adeoye, O.O. (2008). Engineering geophysical</w:t>
      </w:r>
      <w:r>
        <w:rPr>
          <w:spacing w:val="1"/>
        </w:rPr>
        <w:t> </w:t>
      </w:r>
      <w:r>
        <w:rPr/>
        <w:t>study of Adagbakuja Newtown development, southwestern Nigeria; </w:t>
      </w:r>
      <w:r>
        <w:rPr>
          <w:i/>
        </w:rPr>
        <w:t>Journal of</w:t>
      </w:r>
      <w:r>
        <w:rPr>
          <w:i/>
          <w:spacing w:val="1"/>
        </w:rPr>
        <w:t> </w:t>
      </w:r>
      <w:r>
        <w:rPr>
          <w:i/>
        </w:rPr>
        <w:t>Earth</w:t>
      </w:r>
      <w:r>
        <w:rPr>
          <w:i/>
          <w:spacing w:val="-1"/>
        </w:rPr>
        <w:t> </w:t>
      </w:r>
      <w:r>
        <w:rPr>
          <w:i/>
        </w:rPr>
        <w:t>Sciences. </w:t>
      </w:r>
      <w:r>
        <w:rPr/>
        <w:t>2(2) 55–63.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275" w:lineRule="exact"/>
        <w:ind w:left="1277" w:right="1404"/>
        <w:jc w:val="center"/>
      </w:pPr>
      <w:r>
        <w:rPr/>
        <w:t>Osagie,</w:t>
      </w:r>
      <w:r>
        <w:rPr>
          <w:spacing w:val="54"/>
        </w:rPr>
        <w:t> </w:t>
      </w:r>
      <w:r>
        <w:rPr/>
        <w:t>O.E.</w:t>
      </w:r>
      <w:r>
        <w:rPr>
          <w:spacing w:val="55"/>
        </w:rPr>
        <w:t> </w:t>
      </w:r>
      <w:r>
        <w:rPr/>
        <w:t>(2010).</w:t>
      </w:r>
      <w:r>
        <w:rPr>
          <w:spacing w:val="54"/>
        </w:rPr>
        <w:t> </w:t>
      </w:r>
      <w:r>
        <w:rPr/>
        <w:t>Geoelectric</w:t>
      </w:r>
      <w:r>
        <w:rPr>
          <w:spacing w:val="54"/>
        </w:rPr>
        <w:t> </w:t>
      </w:r>
      <w:r>
        <w:rPr/>
        <w:t>ground</w:t>
      </w:r>
      <w:r>
        <w:rPr>
          <w:spacing w:val="55"/>
        </w:rPr>
        <w:t> </w:t>
      </w:r>
      <w:r>
        <w:rPr/>
        <w:t>water</w:t>
      </w:r>
      <w:r>
        <w:rPr>
          <w:spacing w:val="56"/>
        </w:rPr>
        <w:t> </w:t>
      </w:r>
      <w:r>
        <w:rPr/>
        <w:t>investigation,</w:t>
      </w:r>
      <w:r>
        <w:rPr>
          <w:spacing w:val="55"/>
        </w:rPr>
        <w:t> </w:t>
      </w:r>
      <w:r>
        <w:rPr/>
        <w:t>Southwestern</w:t>
      </w:r>
      <w:r>
        <w:rPr>
          <w:spacing w:val="55"/>
        </w:rPr>
        <w:t> </w:t>
      </w:r>
      <w:r>
        <w:rPr/>
        <w:t>Nigeria.</w:t>
      </w:r>
    </w:p>
    <w:p>
      <w:pPr>
        <w:spacing w:line="275" w:lineRule="exact" w:before="0"/>
        <w:ind w:left="2007" w:right="0" w:firstLine="0"/>
        <w:jc w:val="left"/>
        <w:rPr>
          <w:i/>
          <w:sz w:val="24"/>
        </w:rPr>
      </w:pPr>
      <w:r>
        <w:rPr>
          <w:i/>
          <w:sz w:val="24"/>
        </w:rPr>
        <w:t>Journal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Environmental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Hydrology.</w:t>
      </w:r>
    </w:p>
    <w:p>
      <w:pPr>
        <w:pStyle w:val="BodyText"/>
        <w:spacing w:before="1"/>
        <w:rPr>
          <w:i/>
          <w:sz w:val="21"/>
        </w:rPr>
      </w:pPr>
    </w:p>
    <w:p>
      <w:pPr>
        <w:pStyle w:val="BodyText"/>
        <w:ind w:left="2007" w:right="1405" w:hanging="720"/>
        <w:jc w:val="both"/>
      </w:pPr>
      <w:r>
        <w:rPr/>
        <w:t>Oyedele, A.A., Olayanju, G.M., Talabi, A.O., Ogunyebi, S.N., &amp; Ojo, O.F. (2017). Soil</w:t>
      </w:r>
      <w:r>
        <w:rPr>
          <w:spacing w:val="1"/>
        </w:rPr>
        <w:t> </w:t>
      </w:r>
      <w:r>
        <w:rPr/>
        <w:t>corrosivity and aquifer protective capacity of overburden units in Ado-Ekiti,</w:t>
      </w:r>
      <w:r>
        <w:rPr>
          <w:spacing w:val="1"/>
        </w:rPr>
        <w:t> </w:t>
      </w:r>
      <w:r>
        <w:rPr/>
        <w:t>southwestern </w:t>
      </w:r>
      <w:r>
        <w:rPr>
          <w:i/>
        </w:rPr>
        <w:t>Nigeria Original Scientific</w:t>
      </w:r>
      <w:r>
        <w:rPr>
          <w:i/>
          <w:spacing w:val="-1"/>
        </w:rPr>
        <w:t> </w:t>
      </w:r>
      <w:r>
        <w:rPr>
          <w:i/>
        </w:rPr>
        <w:t>paper</w:t>
      </w:r>
      <w:r>
        <w:rPr>
          <w:i/>
          <w:spacing w:val="1"/>
        </w:rPr>
        <w:t> </w:t>
      </w:r>
      <w:r>
        <w:rPr/>
        <w:t>vol. 64</w:t>
      </w:r>
      <w:r>
        <w:rPr>
          <w:spacing w:val="-1"/>
        </w:rPr>
        <w:t> </w:t>
      </w:r>
      <w:r>
        <w:rPr/>
        <w:t>pp 045-058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2007" w:right="1408" w:hanging="720"/>
        <w:jc w:val="both"/>
      </w:pPr>
      <w:r>
        <w:rPr/>
        <w:t>Rahaman, M.A. (1988). Recent Advances in the Study of the Basement Complex of</w:t>
      </w:r>
      <w:r>
        <w:rPr>
          <w:spacing w:val="1"/>
        </w:rPr>
        <w:t> </w:t>
      </w:r>
      <w:r>
        <w:rPr/>
        <w:t>Nigeria:</w:t>
      </w:r>
      <w:r>
        <w:rPr>
          <w:spacing w:val="1"/>
        </w:rPr>
        <w:t> </w:t>
      </w:r>
      <w:r>
        <w:rPr/>
        <w:t>Precambrian</w:t>
      </w:r>
      <w:r>
        <w:rPr>
          <w:spacing w:val="1"/>
        </w:rPr>
        <w:t> </w:t>
      </w:r>
      <w:r>
        <w:rPr/>
        <w:t>Geology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Nigeria,</w:t>
      </w:r>
      <w:r>
        <w:rPr>
          <w:spacing w:val="1"/>
        </w:rPr>
        <w:t> </w:t>
      </w:r>
      <w:r>
        <w:rPr/>
        <w:t>G.S.N,</w:t>
      </w:r>
      <w:r>
        <w:rPr>
          <w:spacing w:val="1"/>
        </w:rPr>
        <w:t> </w:t>
      </w:r>
      <w:r>
        <w:rPr/>
        <w:t>p.</w:t>
      </w:r>
      <w:r>
        <w:rPr>
          <w:spacing w:val="1"/>
        </w:rPr>
        <w:t> </w:t>
      </w:r>
      <w:r>
        <w:rPr/>
        <w:t>11-41.</w:t>
      </w:r>
      <w:r>
        <w:rPr>
          <w:spacing w:val="1"/>
        </w:rPr>
        <w:t> </w:t>
      </w:r>
      <w:r>
        <w:rPr/>
        <w:t>Odeyemi,</w:t>
      </w:r>
      <w:r>
        <w:rPr>
          <w:spacing w:val="1"/>
        </w:rPr>
        <w:t> </w:t>
      </w:r>
      <w:r>
        <w:rPr/>
        <w:t>I.B.,</w:t>
      </w:r>
      <w:r>
        <w:rPr>
          <w:spacing w:val="1"/>
        </w:rPr>
        <w:t> </w:t>
      </w:r>
      <w:r>
        <w:rPr/>
        <w:t>(1978).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before="1"/>
        <w:ind w:left="2007" w:right="1409" w:hanging="720"/>
        <w:jc w:val="both"/>
      </w:pPr>
      <w:r>
        <w:rPr/>
        <w:t>Revie, R.W. &amp; Uhlig, H.H. (2008). Corrosion and corrosion control: an introduction to</w:t>
      </w:r>
      <w:r>
        <w:rPr>
          <w:spacing w:val="1"/>
        </w:rPr>
        <w:t> </w:t>
      </w:r>
      <w:r>
        <w:rPr/>
        <w:t>corrosion science and engineering, Hoboken New Jersey. John Wiley &amp; Sons,</w:t>
      </w:r>
      <w:r>
        <w:rPr>
          <w:spacing w:val="1"/>
        </w:rPr>
        <w:t> </w:t>
      </w:r>
      <w:r>
        <w:rPr/>
        <w:t>Inc.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2007" w:right="1406" w:hanging="720"/>
        <w:jc w:val="both"/>
      </w:pPr>
      <w:r>
        <w:rPr/>
        <w:t>Salako, K.A., Adetona, A.A., Rafiu, A.A., Ofor N.P., Alhassan U.D.,&amp; Udensi, E.E. (20</w:t>
      </w:r>
      <w:r>
        <w:rPr>
          <w:spacing w:val="-57"/>
        </w:rPr>
        <w:t> </w:t>
      </w:r>
      <w:r>
        <w:rPr/>
        <w:t>09). Vertical electrical sounding investigation for groundwater at the southweste</w:t>
      </w:r>
      <w:r>
        <w:rPr>
          <w:spacing w:val="1"/>
        </w:rPr>
        <w:t> </w:t>
      </w:r>
      <w:r>
        <w:rPr/>
        <w:t>rn part (site A) of Nigeria Mobile Police barracks (MOPOL 12), David Mark roa</w:t>
      </w:r>
      <w:r>
        <w:rPr>
          <w:spacing w:val="-57"/>
        </w:rPr>
        <w:t> </w:t>
      </w:r>
      <w:r>
        <w:rPr/>
        <w:t>d, Maitumbi, Minna. </w:t>
      </w:r>
      <w:r>
        <w:rPr>
          <w:i/>
        </w:rPr>
        <w:t>Journal of Sciences and Educational Technology. </w:t>
      </w:r>
      <w:r>
        <w:rPr/>
        <w:t>2:350-</w:t>
      </w:r>
      <w:r>
        <w:rPr>
          <w:spacing w:val="1"/>
        </w:rPr>
        <w:t> </w:t>
      </w:r>
      <w:r>
        <w:rPr/>
        <w:t>362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2007" w:right="1408" w:hanging="720"/>
        <w:jc w:val="both"/>
      </w:pPr>
      <w:r>
        <w:rPr/>
        <w:t>Schwartz,</w:t>
      </w:r>
      <w:r>
        <w:rPr>
          <w:spacing w:val="1"/>
        </w:rPr>
        <w:t> </w:t>
      </w:r>
      <w:r>
        <w:rPr/>
        <w:t>F.W.,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Mc-Clymont,</w:t>
      </w:r>
      <w:r>
        <w:rPr>
          <w:spacing w:val="1"/>
        </w:rPr>
        <w:t> </w:t>
      </w:r>
      <w:r>
        <w:rPr/>
        <w:t>G.L.</w:t>
      </w:r>
      <w:r>
        <w:rPr>
          <w:spacing w:val="1"/>
        </w:rPr>
        <w:t> </w:t>
      </w:r>
      <w:r>
        <w:rPr/>
        <w:t>(1975).</w:t>
      </w:r>
      <w:r>
        <w:rPr>
          <w:spacing w:val="1"/>
        </w:rPr>
        <w:t> </w:t>
      </w:r>
      <w:r>
        <w:rPr/>
        <w:t>Applications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surface</w:t>
      </w:r>
      <w:r>
        <w:rPr>
          <w:spacing w:val="1"/>
        </w:rPr>
        <w:t> </w:t>
      </w:r>
      <w:r>
        <w:rPr/>
        <w:t>resistivity</w:t>
      </w:r>
      <w:r>
        <w:rPr>
          <w:spacing w:val="1"/>
        </w:rPr>
        <w:t> </w:t>
      </w:r>
      <w:r>
        <w:rPr/>
        <w:t>methods.</w:t>
      </w:r>
      <w:r>
        <w:rPr>
          <w:spacing w:val="-1"/>
        </w:rPr>
        <w:t> </w:t>
      </w:r>
      <w:r>
        <w:rPr/>
        <w:t>Groundwater, 15(3): 197-202.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2007" w:right="1408" w:hanging="720"/>
        <w:jc w:val="both"/>
      </w:pPr>
      <w:r>
        <w:rPr/>
        <w:t>Sikander, P., Bakhsh, A., Arshad, M., &amp; Rana, T. (2010). The use of vertical electric</w:t>
      </w:r>
      <w:r>
        <w:rPr>
          <w:spacing w:val="1"/>
        </w:rPr>
        <w:t> </w:t>
      </w:r>
      <w:r>
        <w:rPr/>
        <w:t>sounding resistivity method for the location of low salinity groundwater for</w:t>
      </w:r>
      <w:r>
        <w:rPr>
          <w:spacing w:val="1"/>
        </w:rPr>
        <w:t> </w:t>
      </w:r>
      <w:r>
        <w:rPr/>
        <w:t>irrigation in Chaj and Rana Doabs. Environmental Earth Science., 60: 1113-</w:t>
      </w:r>
      <w:r>
        <w:rPr>
          <w:spacing w:val="1"/>
        </w:rPr>
        <w:t> </w:t>
      </w:r>
      <w:r>
        <w:rPr/>
        <w:t>1129.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2007" w:right="1407" w:hanging="720"/>
        <w:jc w:val="both"/>
        <w:rPr>
          <w:i/>
          <w:sz w:val="24"/>
        </w:rPr>
      </w:pPr>
      <w:r>
        <w:rPr>
          <w:sz w:val="24"/>
        </w:rPr>
        <w:t>Stummer,</w:t>
      </w:r>
      <w:r>
        <w:rPr>
          <w:spacing w:val="1"/>
          <w:sz w:val="24"/>
        </w:rPr>
        <w:t> </w:t>
      </w:r>
      <w:r>
        <w:rPr>
          <w:sz w:val="24"/>
        </w:rPr>
        <w:t>P.,</w:t>
      </w:r>
      <w:r>
        <w:rPr>
          <w:spacing w:val="1"/>
          <w:sz w:val="24"/>
        </w:rPr>
        <w:t> </w:t>
      </w:r>
      <w:r>
        <w:rPr>
          <w:sz w:val="24"/>
        </w:rPr>
        <w:t>Maurer,</w:t>
      </w:r>
      <w:r>
        <w:rPr>
          <w:spacing w:val="1"/>
          <w:sz w:val="24"/>
        </w:rPr>
        <w:t> </w:t>
      </w:r>
      <w:r>
        <w:rPr>
          <w:sz w:val="24"/>
        </w:rPr>
        <w:t>H.,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Green,</w:t>
      </w:r>
      <w:r>
        <w:rPr>
          <w:spacing w:val="1"/>
          <w:sz w:val="24"/>
        </w:rPr>
        <w:t> </w:t>
      </w:r>
      <w:r>
        <w:rPr>
          <w:sz w:val="24"/>
        </w:rPr>
        <w:t>A.G.</w:t>
      </w:r>
      <w:r>
        <w:rPr>
          <w:spacing w:val="1"/>
          <w:sz w:val="24"/>
        </w:rPr>
        <w:t> </w:t>
      </w:r>
      <w:r>
        <w:rPr>
          <w:sz w:val="24"/>
        </w:rPr>
        <w:t>(2004).</w:t>
      </w:r>
      <w:r>
        <w:rPr>
          <w:spacing w:val="1"/>
          <w:sz w:val="24"/>
        </w:rPr>
        <w:t> </w:t>
      </w:r>
      <w:r>
        <w:rPr>
          <w:sz w:val="24"/>
        </w:rPr>
        <w:t>Experimental</w:t>
      </w:r>
      <w:r>
        <w:rPr>
          <w:spacing w:val="1"/>
          <w:sz w:val="24"/>
        </w:rPr>
        <w:t> </w:t>
      </w:r>
      <w:r>
        <w:rPr>
          <w:sz w:val="24"/>
        </w:rPr>
        <w:t>design:</w:t>
      </w:r>
      <w:r>
        <w:rPr>
          <w:spacing w:val="1"/>
          <w:sz w:val="24"/>
        </w:rPr>
        <w:t> </w:t>
      </w:r>
      <w:r>
        <w:rPr>
          <w:sz w:val="24"/>
        </w:rPr>
        <w:t>electrical</w:t>
      </w:r>
      <w:r>
        <w:rPr>
          <w:spacing w:val="1"/>
          <w:sz w:val="24"/>
        </w:rPr>
        <w:t> </w:t>
      </w:r>
      <w:r>
        <w:rPr>
          <w:sz w:val="24"/>
        </w:rPr>
        <w:t>resistivity data set that</w:t>
      </w:r>
      <w:r>
        <w:rPr>
          <w:spacing w:val="1"/>
          <w:sz w:val="24"/>
        </w:rPr>
        <w:t> </w:t>
      </w:r>
      <w:r>
        <w:rPr>
          <w:sz w:val="24"/>
        </w:rPr>
        <w:t>provide optimum subsurface information,</w:t>
      </w:r>
      <w:r>
        <w:rPr>
          <w:spacing w:val="60"/>
          <w:sz w:val="24"/>
        </w:rPr>
        <w:t> </w:t>
      </w:r>
      <w:r>
        <w:rPr>
          <w:i/>
          <w:sz w:val="24"/>
        </w:rPr>
        <w:t>geophysics,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vol. 69, no. 1 pp.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120-139</w:t>
      </w:r>
    </w:p>
    <w:p>
      <w:pPr>
        <w:pStyle w:val="BodyText"/>
        <w:spacing w:before="10"/>
        <w:rPr>
          <w:i/>
          <w:sz w:val="20"/>
        </w:rPr>
      </w:pPr>
    </w:p>
    <w:p>
      <w:pPr>
        <w:pStyle w:val="BodyText"/>
        <w:tabs>
          <w:tab w:pos="8780" w:val="left" w:leader="none"/>
        </w:tabs>
        <w:spacing w:before="1"/>
        <w:ind w:left="2007" w:right="1406" w:hanging="720"/>
      </w:pPr>
      <w:r>
        <w:rPr/>
        <w:t>Telford,</w:t>
      </w:r>
      <w:r>
        <w:rPr>
          <w:spacing w:val="50"/>
        </w:rPr>
        <w:t> </w:t>
      </w:r>
      <w:r>
        <w:rPr/>
        <w:t>W.M.,</w:t>
      </w:r>
      <w:r>
        <w:rPr>
          <w:spacing w:val="51"/>
        </w:rPr>
        <w:t> </w:t>
      </w:r>
      <w:r>
        <w:rPr/>
        <w:t>Geldart,</w:t>
      </w:r>
      <w:r>
        <w:rPr>
          <w:spacing w:val="53"/>
        </w:rPr>
        <w:t> </w:t>
      </w:r>
      <w:r>
        <w:rPr/>
        <w:t>L.P.,</w:t>
      </w:r>
      <w:r>
        <w:rPr>
          <w:spacing w:val="51"/>
        </w:rPr>
        <w:t> </w:t>
      </w:r>
      <w:r>
        <w:rPr/>
        <w:t>&amp;</w:t>
      </w:r>
      <w:r>
        <w:rPr>
          <w:spacing w:val="49"/>
        </w:rPr>
        <w:t> </w:t>
      </w:r>
      <w:r>
        <w:rPr/>
        <w:t>Sheriff,</w:t>
      </w:r>
      <w:r>
        <w:rPr>
          <w:spacing w:val="49"/>
        </w:rPr>
        <w:t> </w:t>
      </w:r>
      <w:r>
        <w:rPr/>
        <w:t>R.E.</w:t>
      </w:r>
      <w:r>
        <w:rPr>
          <w:spacing w:val="51"/>
        </w:rPr>
        <w:t> </w:t>
      </w:r>
      <w:r>
        <w:rPr/>
        <w:t>(2011).</w:t>
      </w:r>
      <w:r>
        <w:rPr>
          <w:spacing w:val="50"/>
        </w:rPr>
        <w:t> </w:t>
      </w:r>
      <w:r>
        <w:rPr/>
        <w:t>Applied</w:t>
      </w:r>
      <w:r>
        <w:rPr>
          <w:spacing w:val="50"/>
        </w:rPr>
        <w:t> </w:t>
      </w:r>
      <w:r>
        <w:rPr/>
        <w:t>Geophysics,</w:t>
      </w:r>
      <w:r>
        <w:rPr>
          <w:spacing w:val="51"/>
        </w:rPr>
        <w:t> </w:t>
      </w:r>
      <w:r>
        <w:rPr/>
        <w:t>2nd</w:t>
      </w:r>
      <w:r>
        <w:rPr>
          <w:spacing w:val="51"/>
        </w:rPr>
        <w:t> </w:t>
      </w:r>
      <w:r>
        <w:rPr/>
        <w:t>ed.</w:t>
      </w:r>
      <w:r>
        <w:rPr>
          <w:spacing w:val="-57"/>
        </w:rPr>
        <w:t> </w:t>
      </w:r>
      <w:r>
        <w:rPr/>
        <w:t>Cambridge</w:t>
        <w:tab/>
        <w:t>University</w:t>
      </w:r>
    </w:p>
    <w:p>
      <w:pPr>
        <w:pStyle w:val="BodyText"/>
        <w:ind w:left="2007"/>
      </w:pPr>
      <w:r>
        <w:rPr/>
        <w:t>Press;.a</w:t>
      </w:r>
      <w:hyperlink r:id="rId8">
        <w:r>
          <w:rPr/>
          <w:t>blehttp:</w:t>
        </w:r>
      </w:hyperlink>
      <w:r>
        <w:rPr/>
        <w:t>//</w:t>
      </w:r>
      <w:hyperlink r:id="rId8">
        <w:r>
          <w:rPr/>
          <w:t>www.onlinenig</w:t>
        </w:r>
      </w:hyperlink>
      <w:r>
        <w:rPr/>
        <w:t>e</w:t>
      </w:r>
      <w:hyperlink r:id="rId8">
        <w:r>
          <w:rPr/>
          <w:t>ria.com/links/nigeradv.asp?blurb=330</w:t>
        </w:r>
      </w:hyperlink>
    </w:p>
    <w:p>
      <w:pPr>
        <w:pStyle w:val="BodyText"/>
        <w:spacing w:before="10"/>
        <w:rPr>
          <w:sz w:val="20"/>
        </w:rPr>
      </w:pPr>
    </w:p>
    <w:p>
      <w:pPr>
        <w:spacing w:before="0"/>
        <w:ind w:left="2007" w:right="1408" w:hanging="720"/>
        <w:jc w:val="both"/>
        <w:rPr>
          <w:i/>
          <w:sz w:val="24"/>
        </w:rPr>
      </w:pPr>
      <w:r>
        <w:rPr>
          <w:sz w:val="24"/>
        </w:rPr>
        <w:t>Tsepav, M.T., Adamu, Y., &amp; Umar, M.A. (2015). Evaluation of Aquifer Protective</w:t>
      </w:r>
      <w:r>
        <w:rPr>
          <w:spacing w:val="1"/>
          <w:sz w:val="24"/>
        </w:rPr>
        <w:t> </w:t>
      </w:r>
      <w:r>
        <w:rPr>
          <w:sz w:val="24"/>
        </w:rPr>
        <w:t>Capacity and Soil Corrosivity Using Geoelectrical Method World Academy of</w:t>
      </w:r>
      <w:r>
        <w:rPr>
          <w:spacing w:val="1"/>
          <w:sz w:val="24"/>
        </w:rPr>
        <w:t> </w:t>
      </w:r>
      <w:r>
        <w:rPr>
          <w:sz w:val="24"/>
        </w:rPr>
        <w:t>Science, Engineering and Technology, </w:t>
      </w:r>
      <w:r>
        <w:rPr>
          <w:i/>
          <w:sz w:val="24"/>
        </w:rPr>
        <w:t>International Journal of Mathematical,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Computational,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Physical,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Electrical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Computer Engineering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Vol:9, No:11,</w:t>
      </w:r>
    </w:p>
    <w:p>
      <w:pPr>
        <w:pStyle w:val="BodyText"/>
        <w:spacing w:before="10"/>
        <w:rPr>
          <w:i/>
          <w:sz w:val="20"/>
        </w:rPr>
      </w:pPr>
    </w:p>
    <w:p>
      <w:pPr>
        <w:spacing w:before="0"/>
        <w:ind w:left="2007" w:right="1407" w:hanging="720"/>
        <w:jc w:val="both"/>
        <w:rPr>
          <w:i/>
          <w:sz w:val="24"/>
        </w:rPr>
      </w:pPr>
      <w:r>
        <w:rPr>
          <w:sz w:val="24"/>
        </w:rPr>
        <w:t>Tsepav,</w:t>
      </w:r>
      <w:r>
        <w:rPr>
          <w:spacing w:val="1"/>
          <w:sz w:val="24"/>
        </w:rPr>
        <w:t> </w:t>
      </w:r>
      <w:r>
        <w:rPr>
          <w:sz w:val="24"/>
        </w:rPr>
        <w:t>M.T.,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Isrel,</w:t>
      </w:r>
      <w:r>
        <w:rPr>
          <w:spacing w:val="1"/>
          <w:sz w:val="24"/>
        </w:rPr>
        <w:t> </w:t>
      </w:r>
      <w:r>
        <w:rPr>
          <w:sz w:val="24"/>
        </w:rPr>
        <w:t>M.O.</w:t>
      </w:r>
      <w:r>
        <w:rPr>
          <w:spacing w:val="1"/>
          <w:sz w:val="24"/>
        </w:rPr>
        <w:t> </w:t>
      </w:r>
      <w:r>
        <w:rPr>
          <w:sz w:val="24"/>
        </w:rPr>
        <w:t>(2011).</w:t>
      </w:r>
      <w:r>
        <w:rPr>
          <w:spacing w:val="1"/>
          <w:sz w:val="24"/>
        </w:rPr>
        <w:t> </w:t>
      </w:r>
      <w:r>
        <w:rPr>
          <w:sz w:val="24"/>
        </w:rPr>
        <w:t>Preliminary</w:t>
      </w:r>
      <w:r>
        <w:rPr>
          <w:spacing w:val="1"/>
          <w:sz w:val="24"/>
        </w:rPr>
        <w:t> </w:t>
      </w:r>
      <w:r>
        <w:rPr>
          <w:sz w:val="24"/>
        </w:rPr>
        <w:t>Investigation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Some</w:t>
      </w:r>
      <w:r>
        <w:rPr>
          <w:spacing w:val="1"/>
          <w:sz w:val="24"/>
        </w:rPr>
        <w:t> </w:t>
      </w:r>
      <w:r>
        <w:rPr>
          <w:sz w:val="24"/>
        </w:rPr>
        <w:t>Area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Ibgranhim</w:t>
      </w:r>
      <w:r>
        <w:rPr>
          <w:spacing w:val="1"/>
          <w:sz w:val="24"/>
        </w:rPr>
        <w:t> </w:t>
      </w:r>
      <w:r>
        <w:rPr>
          <w:sz w:val="24"/>
        </w:rPr>
        <w:t>Badamasi</w:t>
      </w:r>
      <w:r>
        <w:rPr>
          <w:spacing w:val="1"/>
          <w:sz w:val="24"/>
        </w:rPr>
        <w:t> </w:t>
      </w:r>
      <w:r>
        <w:rPr>
          <w:sz w:val="24"/>
        </w:rPr>
        <w:t>Babangida</w:t>
      </w:r>
      <w:r>
        <w:rPr>
          <w:spacing w:val="1"/>
          <w:sz w:val="24"/>
        </w:rPr>
        <w:t> </w:t>
      </w:r>
      <w:r>
        <w:rPr>
          <w:sz w:val="24"/>
        </w:rPr>
        <w:t>University,</w:t>
      </w:r>
      <w:r>
        <w:rPr>
          <w:spacing w:val="1"/>
          <w:sz w:val="24"/>
        </w:rPr>
        <w:t> </w:t>
      </w:r>
      <w:r>
        <w:rPr>
          <w:sz w:val="24"/>
        </w:rPr>
        <w:t>Lapai</w:t>
      </w:r>
      <w:r>
        <w:rPr>
          <w:spacing w:val="1"/>
          <w:sz w:val="24"/>
        </w:rPr>
        <w:t> </w:t>
      </w:r>
      <w:r>
        <w:rPr>
          <w:sz w:val="24"/>
        </w:rPr>
        <w:t>Using</w:t>
      </w:r>
      <w:r>
        <w:rPr>
          <w:spacing w:val="1"/>
          <w:sz w:val="24"/>
        </w:rPr>
        <w:t> </w:t>
      </w:r>
      <w:r>
        <w:rPr>
          <w:sz w:val="24"/>
        </w:rPr>
        <w:t>D.C</w:t>
      </w:r>
      <w:r>
        <w:rPr>
          <w:spacing w:val="1"/>
          <w:sz w:val="24"/>
        </w:rPr>
        <w:t> </w:t>
      </w:r>
      <w:r>
        <w:rPr>
          <w:sz w:val="24"/>
        </w:rPr>
        <w:t>Resistivity</w:t>
      </w:r>
      <w:r>
        <w:rPr>
          <w:spacing w:val="1"/>
          <w:sz w:val="24"/>
        </w:rPr>
        <w:t> </w:t>
      </w:r>
      <w:r>
        <w:rPr>
          <w:sz w:val="24"/>
        </w:rPr>
        <w:t>Method</w:t>
      </w:r>
      <w:r>
        <w:rPr>
          <w:i/>
          <w:sz w:val="24"/>
        </w:rPr>
        <w:t>Journal of basic physical research ISSN: 2141-8403 prints, 2141-8411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online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vol. 2. No. 1 pp 57-65</w:t>
      </w:r>
    </w:p>
    <w:p>
      <w:pPr>
        <w:spacing w:after="0"/>
        <w:jc w:val="both"/>
        <w:rPr>
          <w:sz w:val="24"/>
        </w:rPr>
        <w:sectPr>
          <w:pgSz w:w="11910" w:h="16840"/>
          <w:pgMar w:header="0" w:footer="987" w:top="1320" w:bottom="1260" w:left="700" w:right="0"/>
        </w:sectPr>
      </w:pPr>
    </w:p>
    <w:p>
      <w:pPr>
        <w:spacing w:before="67"/>
        <w:ind w:left="2007" w:right="1408" w:hanging="720"/>
        <w:jc w:val="both"/>
        <w:rPr>
          <w:sz w:val="24"/>
        </w:rPr>
      </w:pPr>
      <w:r>
        <w:rPr>
          <w:sz w:val="24"/>
        </w:rPr>
        <w:t>Tsepav, M.T., Bello, A., &amp;Gbedako, A.A. (2014). Geoelectric Investigation of Some</w:t>
      </w:r>
      <w:r>
        <w:rPr>
          <w:spacing w:val="1"/>
          <w:sz w:val="24"/>
        </w:rPr>
        <w:t> </w:t>
      </w:r>
      <w:r>
        <w:rPr>
          <w:sz w:val="24"/>
        </w:rPr>
        <w:t>Parts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Ibrahim</w:t>
      </w:r>
      <w:r>
        <w:rPr>
          <w:spacing w:val="1"/>
          <w:sz w:val="24"/>
        </w:rPr>
        <w:t> </w:t>
      </w:r>
      <w:r>
        <w:rPr>
          <w:sz w:val="24"/>
        </w:rPr>
        <w:t>BadamasiBabangida</w:t>
      </w:r>
      <w:r>
        <w:rPr>
          <w:spacing w:val="1"/>
          <w:sz w:val="24"/>
        </w:rPr>
        <w:t> </w:t>
      </w:r>
      <w:r>
        <w:rPr>
          <w:sz w:val="24"/>
        </w:rPr>
        <w:t>University,</w:t>
      </w:r>
      <w:r>
        <w:rPr>
          <w:spacing w:val="1"/>
          <w:sz w:val="24"/>
        </w:rPr>
        <w:t> </w:t>
      </w:r>
      <w:r>
        <w:rPr>
          <w:sz w:val="24"/>
        </w:rPr>
        <w:t>Lapai</w:t>
      </w:r>
      <w:r>
        <w:rPr>
          <w:i/>
          <w:sz w:val="24"/>
        </w:rPr>
        <w:t>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Nigeria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Physical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Science International Journal</w:t>
      </w:r>
      <w:r>
        <w:rPr>
          <w:i/>
          <w:spacing w:val="2"/>
          <w:sz w:val="24"/>
        </w:rPr>
        <w:t> </w:t>
      </w:r>
      <w:r>
        <w:rPr>
          <w:sz w:val="24"/>
        </w:rPr>
        <w:t>4(4): 623-635,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237" w:lineRule="auto"/>
        <w:ind w:left="2007" w:right="1410" w:hanging="720"/>
        <w:jc w:val="both"/>
      </w:pPr>
      <w:r>
        <w:rPr>
          <w:color w:val="121212"/>
        </w:rPr>
        <w:t>Ugbaja,A.N.,&amp; Edet, M. O. (2004). Groundwater pollution near shallow waste dumps in</w:t>
      </w:r>
      <w:r>
        <w:rPr>
          <w:color w:val="121212"/>
          <w:spacing w:val="-57"/>
        </w:rPr>
        <w:t> </w:t>
      </w:r>
      <w:r>
        <w:rPr>
          <w:color w:val="121212"/>
        </w:rPr>
        <w:t>Southern</w:t>
      </w:r>
      <w:r>
        <w:rPr>
          <w:color w:val="121212"/>
          <w:spacing w:val="-1"/>
        </w:rPr>
        <w:t> </w:t>
      </w:r>
      <w:r>
        <w:rPr>
          <w:color w:val="121212"/>
        </w:rPr>
        <w:t>Calabar, Nigeria; Global</w:t>
      </w:r>
      <w:r>
        <w:rPr>
          <w:color w:val="121212"/>
          <w:spacing w:val="1"/>
        </w:rPr>
        <w:t> </w:t>
      </w:r>
      <w:r>
        <w:rPr>
          <w:i/>
          <w:color w:val="121212"/>
        </w:rPr>
        <w:t>Journal of Sciences</w:t>
      </w:r>
      <w:r>
        <w:rPr>
          <w:color w:val="121212"/>
        </w:rPr>
        <w:t>.</w:t>
      </w:r>
      <w:r>
        <w:rPr>
          <w:color w:val="121212"/>
          <w:spacing w:val="-1"/>
        </w:rPr>
        <w:t> </w:t>
      </w:r>
      <w:r>
        <w:rPr>
          <w:color w:val="121212"/>
        </w:rPr>
        <w:t>2(2)</w:t>
      </w:r>
      <w:r>
        <w:rPr>
          <w:color w:val="121212"/>
          <w:spacing w:val="-2"/>
        </w:rPr>
        <w:t> </w:t>
      </w:r>
      <w:r>
        <w:rPr>
          <w:color w:val="121212"/>
        </w:rPr>
        <w:t>199–206.</w:t>
      </w:r>
    </w:p>
    <w:p>
      <w:pPr>
        <w:pStyle w:val="BodyText"/>
        <w:spacing w:before="11"/>
        <w:rPr>
          <w:sz w:val="20"/>
        </w:rPr>
      </w:pPr>
    </w:p>
    <w:p>
      <w:pPr>
        <w:spacing w:before="0"/>
        <w:ind w:left="2007" w:right="1405" w:hanging="720"/>
        <w:jc w:val="both"/>
        <w:rPr>
          <w:i/>
          <w:sz w:val="24"/>
        </w:rPr>
      </w:pPr>
      <w:r>
        <w:rPr>
          <w:sz w:val="24"/>
        </w:rPr>
        <w:t>Van,</w:t>
      </w:r>
      <w:r>
        <w:rPr>
          <w:spacing w:val="1"/>
          <w:sz w:val="24"/>
        </w:rPr>
        <w:t> </w:t>
      </w:r>
      <w:r>
        <w:rPr>
          <w:sz w:val="24"/>
        </w:rPr>
        <w:t>Overmeeren</w:t>
      </w:r>
      <w:r>
        <w:rPr>
          <w:spacing w:val="1"/>
          <w:sz w:val="24"/>
        </w:rPr>
        <w:t> </w:t>
      </w:r>
      <w:r>
        <w:rPr>
          <w:sz w:val="24"/>
        </w:rPr>
        <w:t>R.A.</w:t>
      </w:r>
      <w:r>
        <w:rPr>
          <w:spacing w:val="1"/>
          <w:sz w:val="24"/>
        </w:rPr>
        <w:t> </w:t>
      </w:r>
      <w:r>
        <w:rPr>
          <w:sz w:val="24"/>
        </w:rPr>
        <w:t>(1989).</w:t>
      </w:r>
      <w:r>
        <w:rPr>
          <w:spacing w:val="1"/>
          <w:sz w:val="24"/>
        </w:rPr>
        <w:t> </w:t>
      </w:r>
      <w:r>
        <w:rPr>
          <w:sz w:val="24"/>
        </w:rPr>
        <w:t>Aquifer</w:t>
      </w:r>
      <w:r>
        <w:rPr>
          <w:spacing w:val="1"/>
          <w:sz w:val="24"/>
        </w:rPr>
        <w:t> </w:t>
      </w:r>
      <w:r>
        <w:rPr>
          <w:sz w:val="24"/>
        </w:rPr>
        <w:t>boundaries</w:t>
      </w:r>
      <w:r>
        <w:rPr>
          <w:spacing w:val="1"/>
          <w:sz w:val="24"/>
        </w:rPr>
        <w:t> </w:t>
      </w:r>
      <w:r>
        <w:rPr>
          <w:sz w:val="24"/>
        </w:rPr>
        <w:t>explored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61"/>
          <w:sz w:val="24"/>
        </w:rPr>
        <w:t> </w:t>
      </w:r>
      <w:r>
        <w:rPr>
          <w:sz w:val="24"/>
        </w:rPr>
        <w:t>geoelectric</w:t>
      </w:r>
      <w:r>
        <w:rPr>
          <w:spacing w:val="1"/>
          <w:sz w:val="24"/>
        </w:rPr>
        <w:t> </w:t>
      </w:r>
      <w:r>
        <w:rPr>
          <w:sz w:val="24"/>
        </w:rPr>
        <w:t>measurement in the coastal plain of Yamen. A case equivalence. </w:t>
      </w:r>
      <w:r>
        <w:rPr>
          <w:i/>
          <w:sz w:val="24"/>
        </w:rPr>
        <w:t>Journal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Geophysics vol 54; 39-48</w:t>
      </w:r>
    </w:p>
    <w:p>
      <w:pPr>
        <w:pStyle w:val="BodyText"/>
        <w:spacing w:before="3"/>
        <w:rPr>
          <w:i/>
          <w:sz w:val="21"/>
        </w:rPr>
      </w:pPr>
    </w:p>
    <w:p>
      <w:pPr>
        <w:pStyle w:val="BodyText"/>
        <w:spacing w:line="237" w:lineRule="auto"/>
        <w:ind w:left="2007" w:right="1416" w:hanging="720"/>
        <w:jc w:val="both"/>
      </w:pPr>
      <w:r>
        <w:rPr/>
        <w:t>Ward, R.C., &amp; Robinson, E.A. (1990). Principles of Hydrology. Whitsable Litho. Ltd,</w:t>
      </w:r>
      <w:r>
        <w:rPr>
          <w:spacing w:val="1"/>
        </w:rPr>
        <w:t> </w:t>
      </w:r>
      <w:r>
        <w:rPr/>
        <w:t>London,</w:t>
      </w:r>
      <w:r>
        <w:rPr>
          <w:spacing w:val="-1"/>
        </w:rPr>
        <w:t> </w:t>
      </w:r>
      <w:r>
        <w:rPr/>
        <w:t>page156.</w:t>
      </w:r>
    </w:p>
    <w:p>
      <w:pPr>
        <w:pStyle w:val="BodyText"/>
        <w:rPr>
          <w:sz w:val="21"/>
        </w:rPr>
      </w:pPr>
    </w:p>
    <w:p>
      <w:pPr>
        <w:pStyle w:val="BodyText"/>
        <w:ind w:left="2007" w:right="1406" w:hanging="720"/>
        <w:jc w:val="both"/>
      </w:pPr>
      <w:r>
        <w:rPr/>
        <w:t>Wightman,</w:t>
      </w:r>
      <w:r>
        <w:rPr>
          <w:spacing w:val="1"/>
        </w:rPr>
        <w:t> </w:t>
      </w:r>
      <w:r>
        <w:rPr/>
        <w:t>W.E.,</w:t>
      </w:r>
      <w:r>
        <w:rPr>
          <w:spacing w:val="1"/>
        </w:rPr>
        <w:t> </w:t>
      </w:r>
      <w:r>
        <w:rPr/>
        <w:t>Jalinoos,</w:t>
      </w:r>
      <w:r>
        <w:rPr>
          <w:spacing w:val="1"/>
        </w:rPr>
        <w:t> </w:t>
      </w:r>
      <w:r>
        <w:rPr/>
        <w:t>F.,</w:t>
      </w:r>
      <w:r>
        <w:rPr>
          <w:spacing w:val="1"/>
        </w:rPr>
        <w:t> </w:t>
      </w:r>
      <w:r>
        <w:rPr/>
        <w:t>Sirles,</w:t>
      </w:r>
      <w:r>
        <w:rPr>
          <w:spacing w:val="1"/>
        </w:rPr>
        <w:t> </w:t>
      </w:r>
      <w:r>
        <w:rPr/>
        <w:t>P.,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Hanna,</w:t>
      </w:r>
      <w:r>
        <w:rPr>
          <w:spacing w:val="1"/>
        </w:rPr>
        <w:t> </w:t>
      </w:r>
      <w:r>
        <w:rPr/>
        <w:t>K.</w:t>
      </w:r>
      <w:r>
        <w:rPr>
          <w:spacing w:val="1"/>
        </w:rPr>
        <w:t> </w:t>
      </w:r>
      <w:r>
        <w:rPr/>
        <w:t>(2003).</w:t>
      </w:r>
      <w:r>
        <w:rPr>
          <w:spacing w:val="1"/>
        </w:rPr>
        <w:t> </w:t>
      </w:r>
      <w:r>
        <w:rPr/>
        <w:t>Application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geophysical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Highway</w:t>
      </w:r>
      <w:r>
        <w:rPr>
          <w:spacing w:val="1"/>
        </w:rPr>
        <w:t> </w:t>
      </w:r>
      <w:r>
        <w:rPr/>
        <w:t>related</w:t>
      </w:r>
      <w:r>
        <w:rPr>
          <w:spacing w:val="1"/>
        </w:rPr>
        <w:t> </w:t>
      </w:r>
      <w:r>
        <w:rPr/>
        <w:t>problems.</w:t>
      </w:r>
      <w:r>
        <w:rPr>
          <w:spacing w:val="1"/>
        </w:rPr>
        <w:t> </w:t>
      </w:r>
      <w:r>
        <w:rPr/>
        <w:t>Federal</w:t>
      </w:r>
      <w:r>
        <w:rPr>
          <w:spacing w:val="1"/>
        </w:rPr>
        <w:t> </w:t>
      </w:r>
      <w:r>
        <w:rPr/>
        <w:t>Highway</w:t>
      </w:r>
      <w:r>
        <w:rPr>
          <w:spacing w:val="1"/>
        </w:rPr>
        <w:t> </w:t>
      </w:r>
      <w:r>
        <w:rPr/>
        <w:t>administration,</w:t>
      </w:r>
      <w:r>
        <w:rPr>
          <w:spacing w:val="1"/>
        </w:rPr>
        <w:t> </w:t>
      </w:r>
      <w:r>
        <w:rPr/>
        <w:t>central</w:t>
      </w:r>
      <w:r>
        <w:rPr>
          <w:spacing w:val="1"/>
        </w:rPr>
        <w:t> </w:t>
      </w:r>
      <w:r>
        <w:rPr/>
        <w:t>federal</w:t>
      </w:r>
      <w:r>
        <w:rPr>
          <w:spacing w:val="1"/>
        </w:rPr>
        <w:t> </w:t>
      </w:r>
      <w:r>
        <w:rPr/>
        <w:t>lands</w:t>
      </w:r>
      <w:r>
        <w:rPr>
          <w:spacing w:val="1"/>
        </w:rPr>
        <w:t> </w:t>
      </w:r>
      <w:r>
        <w:rPr/>
        <w:t>Highway</w:t>
      </w:r>
      <w:r>
        <w:rPr>
          <w:spacing w:val="1"/>
        </w:rPr>
        <w:t> </w:t>
      </w:r>
      <w:r>
        <w:rPr/>
        <w:t>division,</w:t>
      </w:r>
      <w:r>
        <w:rPr>
          <w:spacing w:val="1"/>
        </w:rPr>
        <w:t> </w:t>
      </w:r>
      <w:r>
        <w:rPr/>
        <w:t>Lakewood,</w:t>
      </w:r>
      <w:r>
        <w:rPr>
          <w:spacing w:val="1"/>
        </w:rPr>
        <w:t> </w:t>
      </w:r>
      <w:r>
        <w:rPr/>
        <w:t>co,</w:t>
      </w:r>
      <w:r>
        <w:rPr>
          <w:spacing w:val="1"/>
        </w:rPr>
        <w:t> </w:t>
      </w:r>
      <w:r>
        <w:rPr/>
        <w:t>publication</w:t>
      </w:r>
      <w:r>
        <w:rPr>
          <w:spacing w:val="-1"/>
        </w:rPr>
        <w:t> </w:t>
      </w:r>
      <w:r>
        <w:rPr/>
        <w:t>no.</w:t>
      </w:r>
      <w:r>
        <w:rPr>
          <w:spacing w:val="-1"/>
        </w:rPr>
        <w:t> </w:t>
      </w:r>
      <w:r>
        <w:rPr/>
        <w:t>fhwa-if-04-021. </w:t>
      </w:r>
      <w:hyperlink r:id="rId37">
        <w:r>
          <w:rPr>
            <w:u w:val="single"/>
          </w:rPr>
          <w:t>http://www.cflhd.gov/resources/agm</w:t>
        </w:r>
      </w:hyperlink>
    </w:p>
    <w:p>
      <w:pPr>
        <w:pStyle w:val="BodyText"/>
        <w:spacing w:before="10"/>
        <w:rPr>
          <w:sz w:val="20"/>
        </w:rPr>
      </w:pPr>
    </w:p>
    <w:p>
      <w:pPr>
        <w:spacing w:before="0"/>
        <w:ind w:left="2007" w:right="1409" w:hanging="720"/>
        <w:jc w:val="both"/>
        <w:rPr>
          <w:i/>
          <w:sz w:val="24"/>
        </w:rPr>
      </w:pPr>
      <w:r>
        <w:rPr>
          <w:sz w:val="24"/>
        </w:rPr>
        <w:t>Yahaya, N., Mat-Din, M., Noor, M., &amp; Husna, S. (2009). Prediction of CO2 corrosion</w:t>
      </w:r>
      <w:r>
        <w:rPr>
          <w:spacing w:val="1"/>
          <w:sz w:val="24"/>
        </w:rPr>
        <w:t> </w:t>
      </w:r>
      <w:r>
        <w:rPr>
          <w:sz w:val="24"/>
        </w:rPr>
        <w:t>growth in submarine pipelines; </w:t>
      </w:r>
      <w:r>
        <w:rPr>
          <w:i/>
          <w:sz w:val="24"/>
        </w:rPr>
        <w:t>Malaysian Journal of Civil Engineering. 21(1)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69–81.</w:t>
      </w:r>
    </w:p>
    <w:p>
      <w:pPr>
        <w:pStyle w:val="BodyText"/>
        <w:spacing w:before="10"/>
        <w:rPr>
          <w:i/>
          <w:sz w:val="20"/>
        </w:rPr>
      </w:pPr>
    </w:p>
    <w:p>
      <w:pPr>
        <w:pStyle w:val="BodyText"/>
        <w:ind w:left="2007" w:right="1404" w:hanging="720"/>
        <w:jc w:val="both"/>
      </w:pPr>
      <w:r>
        <w:rPr/>
        <w:t>Yusuf, S., Joseph, M., Alkali, S., &amp; Kuku, A. (2011). Determination of porous zones</w:t>
      </w:r>
      <w:r>
        <w:rPr>
          <w:spacing w:val="1"/>
        </w:rPr>
        <w:t> </w:t>
      </w:r>
      <w:r>
        <w:rPr/>
        <w:t>using Vertical electrical sounding data from basement rocks of Hussara, Askira</w:t>
      </w:r>
      <w:r>
        <w:rPr>
          <w:spacing w:val="1"/>
        </w:rPr>
        <w:t> </w:t>
      </w:r>
      <w:r>
        <w:rPr/>
        <w:t>UBA, North-eastern Nigeria. Ozean</w:t>
      </w:r>
      <w:r>
        <w:rPr>
          <w:i/>
        </w:rPr>
        <w:t>Journal of Applied Sciences, </w:t>
      </w:r>
      <w:r>
        <w:rPr/>
        <w:t>vol. 4, pp 182-</w:t>
      </w:r>
      <w:r>
        <w:rPr>
          <w:spacing w:val="1"/>
        </w:rPr>
        <w:t> </w:t>
      </w:r>
      <w:r>
        <w:rPr/>
        <w:t>189.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ind w:left="2007" w:right="1415" w:hanging="720"/>
        <w:jc w:val="both"/>
      </w:pPr>
      <w:r>
        <w:rPr/>
        <w:t>Zohdy, A. A. (1989). A new method for the automatic interpretation of Schlumberger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Wenner sounding</w:t>
      </w:r>
      <w:r>
        <w:rPr>
          <w:spacing w:val="-3"/>
        </w:rPr>
        <w:t> </w:t>
      </w:r>
      <w:r>
        <w:rPr/>
        <w:t>curves. Geophysics, 54, 245-253.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2007" w:right="1407" w:hanging="720"/>
        <w:jc w:val="both"/>
      </w:pPr>
      <w:r>
        <w:rPr/>
        <w:t>Zohdy,</w:t>
      </w:r>
      <w:r>
        <w:rPr>
          <w:spacing w:val="1"/>
        </w:rPr>
        <w:t> </w:t>
      </w:r>
      <w:r>
        <w:rPr/>
        <w:t>A.AR.</w:t>
      </w:r>
      <w:r>
        <w:rPr>
          <w:spacing w:val="1"/>
        </w:rPr>
        <w:t> </w:t>
      </w:r>
      <w:r>
        <w:rPr/>
        <w:t>(1973).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computer</w:t>
      </w:r>
      <w:r>
        <w:rPr>
          <w:spacing w:val="1"/>
        </w:rPr>
        <w:t> </w:t>
      </w:r>
      <w:r>
        <w:rPr/>
        <w:t>program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automatic</w:t>
      </w:r>
      <w:r>
        <w:rPr>
          <w:spacing w:val="1"/>
        </w:rPr>
        <w:t> </w:t>
      </w:r>
      <w:r>
        <w:rPr/>
        <w:t>interpretation</w:t>
      </w:r>
      <w:r>
        <w:rPr>
          <w:spacing w:val="61"/>
        </w:rPr>
        <w:t> </w:t>
      </w:r>
      <w:r>
        <w:rPr/>
        <w:t>of</w:t>
      </w:r>
      <w:r>
        <w:rPr>
          <w:spacing w:val="1"/>
        </w:rPr>
        <w:t> </w:t>
      </w:r>
      <w:r>
        <w:rPr/>
        <w:t>schlumberger</w:t>
      </w:r>
      <w:r>
        <w:rPr>
          <w:spacing w:val="1"/>
        </w:rPr>
        <w:t> </w:t>
      </w:r>
      <w:r>
        <w:rPr/>
        <w:t>sounding</w:t>
      </w:r>
      <w:r>
        <w:rPr>
          <w:spacing w:val="1"/>
        </w:rPr>
        <w:t> </w:t>
      </w:r>
      <w:r>
        <w:rPr/>
        <w:t>curves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horizontal</w:t>
      </w:r>
      <w:r>
        <w:rPr>
          <w:spacing w:val="1"/>
        </w:rPr>
        <w:t> </w:t>
      </w:r>
      <w:r>
        <w:rPr/>
        <w:t>stratified</w:t>
      </w:r>
      <w:r>
        <w:rPr>
          <w:spacing w:val="1"/>
        </w:rPr>
        <w:t> </w:t>
      </w:r>
      <w:r>
        <w:rPr/>
        <w:t>media.</w:t>
      </w:r>
      <w:r>
        <w:rPr>
          <w:spacing w:val="1"/>
        </w:rPr>
        <w:t> </w:t>
      </w:r>
      <w:r>
        <w:rPr/>
        <w:t>PB-232703,</w:t>
      </w:r>
      <w:r>
        <w:rPr>
          <w:spacing w:val="1"/>
        </w:rPr>
        <w:t> </w:t>
      </w:r>
      <w:r>
        <w:rPr/>
        <w:t>National</w:t>
      </w:r>
      <w:r>
        <w:rPr>
          <w:spacing w:val="-1"/>
        </w:rPr>
        <w:t> </w:t>
      </w:r>
      <w:r>
        <w:rPr/>
        <w:t>technical information</w:t>
      </w:r>
      <w:r>
        <w:rPr>
          <w:spacing w:val="-1"/>
        </w:rPr>
        <w:t> </w:t>
      </w:r>
      <w:r>
        <w:rPr/>
        <w:t>service. Spring</w:t>
      </w:r>
      <w:r>
        <w:rPr>
          <w:spacing w:val="-3"/>
        </w:rPr>
        <w:t> </w:t>
      </w:r>
      <w:r>
        <w:rPr/>
        <w:t>field,</w:t>
      </w:r>
      <w:r>
        <w:rPr>
          <w:spacing w:val="-1"/>
        </w:rPr>
        <w:t> </w:t>
      </w:r>
      <w:r>
        <w:rPr/>
        <w:t>Virginia. 25 pp</w:t>
      </w:r>
    </w:p>
    <w:p>
      <w:pPr>
        <w:spacing w:after="0"/>
        <w:jc w:val="both"/>
        <w:sectPr>
          <w:pgSz w:w="11910" w:h="16840"/>
          <w:pgMar w:header="0" w:footer="987" w:top="1320" w:bottom="1260" w:left="700" w:right="0"/>
        </w:sectPr>
      </w:pPr>
    </w:p>
    <w:p>
      <w:pPr>
        <w:pStyle w:val="Heading2"/>
        <w:spacing w:before="72"/>
        <w:ind w:left="1244" w:right="1404" w:firstLine="0"/>
        <w:jc w:val="center"/>
      </w:pPr>
      <w:r>
        <w:rPr/>
        <w:t>APPENDIX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0"/>
        </w:rPr>
      </w:pPr>
      <w:r>
        <w:rPr/>
        <w:drawing>
          <wp:anchor distT="0" distB="0" distL="0" distR="0" allowOverlap="1" layoutInCell="1" locked="0" behindDoc="0" simplePos="0" relativeHeight="92">
            <wp:simplePos x="0" y="0"/>
            <wp:positionH relativeFrom="page">
              <wp:posOffset>1261744</wp:posOffset>
            </wp:positionH>
            <wp:positionV relativeFrom="paragraph">
              <wp:posOffset>100369</wp:posOffset>
            </wp:positionV>
            <wp:extent cx="5954858" cy="3038570"/>
            <wp:effectExtent l="0" t="0" r="0" b="0"/>
            <wp:wrapTopAndBottom/>
            <wp:docPr id="43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4858" cy="3038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12"/>
        </w:rPr>
      </w:pPr>
      <w:r>
        <w:rPr/>
        <w:drawing>
          <wp:anchor distT="0" distB="0" distL="0" distR="0" allowOverlap="1" layoutInCell="1" locked="0" behindDoc="0" simplePos="0" relativeHeight="93">
            <wp:simplePos x="0" y="0"/>
            <wp:positionH relativeFrom="page">
              <wp:posOffset>1261744</wp:posOffset>
            </wp:positionH>
            <wp:positionV relativeFrom="paragraph">
              <wp:posOffset>116527</wp:posOffset>
            </wp:positionV>
            <wp:extent cx="5870472" cy="3003804"/>
            <wp:effectExtent l="0" t="0" r="0" b="0"/>
            <wp:wrapTopAndBottom/>
            <wp:docPr id="45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0472" cy="30038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2"/>
        </w:rPr>
        <w:sectPr>
          <w:pgSz w:w="11910" w:h="16840"/>
          <w:pgMar w:header="0" w:footer="987" w:top="1320" w:bottom="1260" w:left="700" w:right="0"/>
        </w:sectPr>
      </w:pPr>
    </w:p>
    <w:p>
      <w:pPr>
        <w:pStyle w:val="BodyText"/>
        <w:ind w:left="1287"/>
        <w:rPr>
          <w:sz w:val="20"/>
        </w:rPr>
      </w:pPr>
      <w:r>
        <w:rPr>
          <w:sz w:val="20"/>
        </w:rPr>
        <w:drawing>
          <wp:inline distT="0" distB="0" distL="0" distR="0">
            <wp:extent cx="5930977" cy="4005072"/>
            <wp:effectExtent l="0" t="0" r="0" b="0"/>
            <wp:docPr id="47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0977" cy="400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6"/>
        </w:rPr>
      </w:pPr>
      <w:r>
        <w:rPr/>
        <w:drawing>
          <wp:anchor distT="0" distB="0" distL="0" distR="0" allowOverlap="1" layoutInCell="1" locked="0" behindDoc="0" simplePos="0" relativeHeight="94">
            <wp:simplePos x="0" y="0"/>
            <wp:positionH relativeFrom="page">
              <wp:posOffset>1261744</wp:posOffset>
            </wp:positionH>
            <wp:positionV relativeFrom="paragraph">
              <wp:posOffset>146722</wp:posOffset>
            </wp:positionV>
            <wp:extent cx="5915936" cy="3141726"/>
            <wp:effectExtent l="0" t="0" r="0" b="0"/>
            <wp:wrapTopAndBottom/>
            <wp:docPr id="49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5936" cy="31417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6"/>
        </w:rPr>
        <w:sectPr>
          <w:pgSz w:w="11910" w:h="16840"/>
          <w:pgMar w:header="0" w:footer="987" w:top="1400" w:bottom="1180" w:left="700" w:right="0"/>
        </w:sectPr>
      </w:pPr>
    </w:p>
    <w:p>
      <w:pPr>
        <w:pStyle w:val="BodyText"/>
        <w:ind w:left="1287"/>
        <w:rPr>
          <w:sz w:val="20"/>
        </w:rPr>
      </w:pPr>
      <w:r>
        <w:rPr>
          <w:sz w:val="20"/>
        </w:rPr>
        <w:drawing>
          <wp:inline distT="0" distB="0" distL="0" distR="0">
            <wp:extent cx="5946143" cy="3990975"/>
            <wp:effectExtent l="0" t="0" r="0" b="0"/>
            <wp:docPr id="51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6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6143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1"/>
        </w:rPr>
      </w:pPr>
      <w:r>
        <w:rPr/>
        <w:drawing>
          <wp:anchor distT="0" distB="0" distL="0" distR="0" allowOverlap="1" layoutInCell="1" locked="0" behindDoc="0" simplePos="0" relativeHeight="95">
            <wp:simplePos x="0" y="0"/>
            <wp:positionH relativeFrom="page">
              <wp:posOffset>1261744</wp:posOffset>
            </wp:positionH>
            <wp:positionV relativeFrom="paragraph">
              <wp:posOffset>180009</wp:posOffset>
            </wp:positionV>
            <wp:extent cx="5933930" cy="2826829"/>
            <wp:effectExtent l="0" t="0" r="0" b="0"/>
            <wp:wrapTopAndBottom/>
            <wp:docPr id="53" name="image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7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3930" cy="28268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1"/>
        </w:rPr>
        <w:sectPr>
          <w:pgSz w:w="11910" w:h="16840"/>
          <w:pgMar w:header="0" w:footer="987" w:top="1400" w:bottom="1180" w:left="700" w:right="0"/>
        </w:sectPr>
      </w:pPr>
    </w:p>
    <w:p>
      <w:pPr>
        <w:pStyle w:val="BodyText"/>
        <w:spacing w:before="6" w:after="1"/>
        <w:rPr>
          <w:b/>
          <w:sz w:val="9"/>
        </w:rPr>
      </w:pPr>
    </w:p>
    <w:p>
      <w:pPr>
        <w:pStyle w:val="BodyText"/>
        <w:ind w:left="1287"/>
        <w:rPr>
          <w:sz w:val="20"/>
        </w:rPr>
      </w:pPr>
      <w:r>
        <w:rPr>
          <w:sz w:val="20"/>
        </w:rPr>
        <w:drawing>
          <wp:inline distT="0" distB="0" distL="0" distR="0">
            <wp:extent cx="5936928" cy="3038570"/>
            <wp:effectExtent l="0" t="0" r="0" b="0"/>
            <wp:docPr id="55" name="image2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8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6928" cy="303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16"/>
        </w:rPr>
      </w:pPr>
      <w:r>
        <w:rPr/>
        <w:drawing>
          <wp:anchor distT="0" distB="0" distL="0" distR="0" allowOverlap="1" layoutInCell="1" locked="0" behindDoc="0" simplePos="0" relativeHeight="96">
            <wp:simplePos x="0" y="0"/>
            <wp:positionH relativeFrom="page">
              <wp:posOffset>1261744</wp:posOffset>
            </wp:positionH>
            <wp:positionV relativeFrom="paragraph">
              <wp:posOffset>142277</wp:posOffset>
            </wp:positionV>
            <wp:extent cx="5933550" cy="2647950"/>
            <wp:effectExtent l="0" t="0" r="0" b="0"/>
            <wp:wrapTopAndBottom/>
            <wp:docPr id="57" name="image2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9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355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6"/>
        </w:rPr>
        <w:sectPr>
          <w:pgSz w:w="11910" w:h="16840"/>
          <w:pgMar w:header="0" w:footer="987" w:top="1580" w:bottom="1180" w:left="700" w:right="0"/>
        </w:sectPr>
      </w:pPr>
    </w:p>
    <w:p>
      <w:pPr>
        <w:pStyle w:val="BodyText"/>
        <w:ind w:left="1287"/>
        <w:rPr>
          <w:sz w:val="20"/>
        </w:rPr>
      </w:pPr>
      <w:r>
        <w:rPr>
          <w:sz w:val="20"/>
        </w:rPr>
        <w:drawing>
          <wp:inline distT="0" distB="0" distL="0" distR="0">
            <wp:extent cx="5977599" cy="2804541"/>
            <wp:effectExtent l="0" t="0" r="0" b="0"/>
            <wp:docPr id="59" name="image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0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7599" cy="2804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13"/>
        </w:rPr>
      </w:pPr>
      <w:r>
        <w:rPr/>
        <w:drawing>
          <wp:anchor distT="0" distB="0" distL="0" distR="0" allowOverlap="1" layoutInCell="1" locked="0" behindDoc="0" simplePos="0" relativeHeight="97">
            <wp:simplePos x="0" y="0"/>
            <wp:positionH relativeFrom="page">
              <wp:posOffset>1261744</wp:posOffset>
            </wp:positionH>
            <wp:positionV relativeFrom="paragraph">
              <wp:posOffset>123735</wp:posOffset>
            </wp:positionV>
            <wp:extent cx="5913239" cy="3604736"/>
            <wp:effectExtent l="0" t="0" r="0" b="0"/>
            <wp:wrapTopAndBottom/>
            <wp:docPr id="61" name="image3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1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3239" cy="3604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3"/>
        </w:rPr>
        <w:sectPr>
          <w:pgSz w:w="11910" w:h="16840"/>
          <w:pgMar w:header="0" w:footer="987" w:top="1400" w:bottom="1180" w:left="700" w:right="0"/>
        </w:sectPr>
      </w:pPr>
    </w:p>
    <w:p>
      <w:pPr>
        <w:pStyle w:val="BodyText"/>
        <w:ind w:left="1287"/>
        <w:rPr>
          <w:sz w:val="20"/>
        </w:rPr>
      </w:pPr>
      <w:r>
        <w:rPr>
          <w:sz w:val="20"/>
        </w:rPr>
        <w:drawing>
          <wp:inline distT="0" distB="0" distL="0" distR="0">
            <wp:extent cx="5904033" cy="2865501"/>
            <wp:effectExtent l="0" t="0" r="0" b="0"/>
            <wp:docPr id="63" name="image3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2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4033" cy="2865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</w:rPr>
      </w:pPr>
      <w:r>
        <w:rPr/>
        <w:drawing>
          <wp:anchor distT="0" distB="0" distL="0" distR="0" allowOverlap="1" layoutInCell="1" locked="0" behindDoc="0" simplePos="0" relativeHeight="98">
            <wp:simplePos x="0" y="0"/>
            <wp:positionH relativeFrom="page">
              <wp:posOffset>1261744</wp:posOffset>
            </wp:positionH>
            <wp:positionV relativeFrom="paragraph">
              <wp:posOffset>201852</wp:posOffset>
            </wp:positionV>
            <wp:extent cx="5886126" cy="3314700"/>
            <wp:effectExtent l="0" t="0" r="0" b="0"/>
            <wp:wrapTopAndBottom/>
            <wp:docPr id="65" name="image3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3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6126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sectPr>
          <w:pgSz w:w="11910" w:h="16840"/>
          <w:pgMar w:header="0" w:footer="987" w:top="1400" w:bottom="1180" w:left="700" w:right="0"/>
        </w:sectPr>
      </w:pPr>
    </w:p>
    <w:p>
      <w:pPr>
        <w:pStyle w:val="BodyText"/>
        <w:ind w:left="1287"/>
        <w:rPr>
          <w:sz w:val="20"/>
        </w:rPr>
      </w:pPr>
      <w:r>
        <w:rPr>
          <w:sz w:val="20"/>
        </w:rPr>
        <w:drawing>
          <wp:inline distT="0" distB="0" distL="0" distR="0">
            <wp:extent cx="5970637" cy="2907029"/>
            <wp:effectExtent l="0" t="0" r="0" b="0"/>
            <wp:docPr id="67" name="image3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4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0637" cy="2907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9"/>
        </w:rPr>
      </w:pPr>
      <w:r>
        <w:rPr/>
        <w:drawing>
          <wp:anchor distT="0" distB="0" distL="0" distR="0" allowOverlap="1" layoutInCell="1" locked="0" behindDoc="0" simplePos="0" relativeHeight="99">
            <wp:simplePos x="0" y="0"/>
            <wp:positionH relativeFrom="page">
              <wp:posOffset>1261744</wp:posOffset>
            </wp:positionH>
            <wp:positionV relativeFrom="paragraph">
              <wp:posOffset>170102</wp:posOffset>
            </wp:positionV>
            <wp:extent cx="5869820" cy="3239262"/>
            <wp:effectExtent l="0" t="0" r="0" b="0"/>
            <wp:wrapTopAndBottom/>
            <wp:docPr id="69" name="image3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5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9820" cy="3239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9"/>
        </w:rPr>
        <w:sectPr>
          <w:pgSz w:w="11910" w:h="16840"/>
          <w:pgMar w:header="0" w:footer="987" w:top="1400" w:bottom="1180" w:left="700" w:right="0"/>
        </w:sectPr>
      </w:pPr>
    </w:p>
    <w:p>
      <w:pPr>
        <w:pStyle w:val="BodyText"/>
        <w:ind w:left="1287"/>
        <w:rPr>
          <w:sz w:val="20"/>
        </w:rPr>
      </w:pPr>
      <w:r>
        <w:rPr>
          <w:sz w:val="20"/>
        </w:rPr>
        <w:drawing>
          <wp:inline distT="0" distB="0" distL="0" distR="0">
            <wp:extent cx="5910528" cy="3314700"/>
            <wp:effectExtent l="0" t="0" r="0" b="0"/>
            <wp:docPr id="71" name="image3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6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0528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2"/>
        </w:rPr>
      </w:pPr>
      <w:r>
        <w:rPr/>
        <w:drawing>
          <wp:anchor distT="0" distB="0" distL="0" distR="0" allowOverlap="1" layoutInCell="1" locked="0" behindDoc="0" simplePos="0" relativeHeight="100">
            <wp:simplePos x="0" y="0"/>
            <wp:positionH relativeFrom="page">
              <wp:posOffset>1261744</wp:posOffset>
            </wp:positionH>
            <wp:positionV relativeFrom="paragraph">
              <wp:posOffset>114292</wp:posOffset>
            </wp:positionV>
            <wp:extent cx="5933880" cy="3265741"/>
            <wp:effectExtent l="0" t="0" r="0" b="0"/>
            <wp:wrapTopAndBottom/>
            <wp:docPr id="73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37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3880" cy="32657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2"/>
        </w:rPr>
        <w:sectPr>
          <w:pgSz w:w="11910" w:h="16840"/>
          <w:pgMar w:header="0" w:footer="987" w:top="1400" w:bottom="1180" w:left="700" w:right="0"/>
        </w:sectPr>
      </w:pPr>
    </w:p>
    <w:p>
      <w:pPr>
        <w:pStyle w:val="BodyText"/>
        <w:ind w:left="1287"/>
        <w:rPr>
          <w:sz w:val="20"/>
        </w:rPr>
      </w:pPr>
      <w:r>
        <w:rPr>
          <w:sz w:val="20"/>
        </w:rPr>
        <w:drawing>
          <wp:inline distT="0" distB="0" distL="0" distR="0">
            <wp:extent cx="5967306" cy="2887027"/>
            <wp:effectExtent l="0" t="0" r="0" b="0"/>
            <wp:docPr id="75" name="image3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38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7306" cy="2887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0"/>
        </w:rPr>
      </w:pPr>
      <w:r>
        <w:rPr/>
        <w:drawing>
          <wp:anchor distT="0" distB="0" distL="0" distR="0" allowOverlap="1" layoutInCell="1" locked="0" behindDoc="0" simplePos="0" relativeHeight="101">
            <wp:simplePos x="0" y="0"/>
            <wp:positionH relativeFrom="page">
              <wp:posOffset>1261744</wp:posOffset>
            </wp:positionH>
            <wp:positionV relativeFrom="paragraph">
              <wp:posOffset>174764</wp:posOffset>
            </wp:positionV>
            <wp:extent cx="5888462" cy="3571494"/>
            <wp:effectExtent l="0" t="0" r="0" b="0"/>
            <wp:wrapTopAndBottom/>
            <wp:docPr id="77" name="image3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39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8462" cy="3571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header="0" w:footer="987" w:top="1400" w:bottom="1180" w:left="70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Cambria Math">
    <w:altName w:val="Cambria Math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09.390015pt;margin-top:778.026611pt;width:5.35pt;height:15.3pt;mso-position-horizontal-relative:page;mso-position-vertical-relative:page;z-index:-18537472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i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2.709991pt;margin-top:777.546631pt;width:18.7pt;height:15.3pt;mso-position-horizontal-relative:page;mso-position-vertical-relative:page;z-index:-18536960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vii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3.070007pt;margin-top:777.546631pt;width:18pt;height:15.3pt;mso-position-horizontal-relative:page;mso-position-vertical-relative:page;z-index:-18536448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8.070007pt;margin-top:777.546631pt;width:8pt;height:15.3pt;mso-position-horizontal-relative:page;mso-position-vertical-relative:page;z-index:-1853593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1</w:t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15.01001pt;margin-top:530.946655pt;width:12pt;height:15.3pt;mso-position-horizontal-relative:page;mso-position-vertical-relative:page;z-index:-18535424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9"/>
      </w:rPr>
    </w:pPr>
    <w:r>
      <w:rPr/>
      <w:pict>
        <v:shape style="position:absolute;margin-left:303.070007pt;margin-top:777.546631pt;width:18pt;height:15.3pt;mso-position-horizontal-relative:page;mso-position-vertical-relative:page;z-index:-18534912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20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3.070007pt;margin-top:777.546631pt;width:18pt;height:15.3pt;mso-position-horizontal-relative:page;mso-position-vertical-relative:page;z-index:-18534400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2">
    <w:multiLevelType w:val="hybridMultilevel"/>
    <w:lvl w:ilvl="0">
      <w:start w:val="5"/>
      <w:numFmt w:val="decimal"/>
      <w:lvlText w:val="%1"/>
      <w:lvlJc w:val="left"/>
      <w:pPr>
        <w:ind w:left="1647" w:hanging="36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647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2007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4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6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91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1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37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60" w:hanging="360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5"/>
      <w:numFmt w:val="decimal"/>
      <w:lvlText w:val="%1"/>
      <w:lvlJc w:val="left"/>
      <w:pPr>
        <w:ind w:left="3208" w:hanging="1921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3208" w:hanging="192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801" w:hanging="19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601" w:hanging="19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402" w:hanging="19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203" w:hanging="19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003" w:hanging="19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04" w:hanging="19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05" w:hanging="1921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4"/>
      <w:numFmt w:val="decimal"/>
      <w:lvlText w:val="%1"/>
      <w:lvlJc w:val="left"/>
      <w:pPr>
        <w:ind w:left="2007" w:hanging="720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2007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007" w:hanging="720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761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8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0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23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4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65" w:hanging="720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4"/>
      <w:numFmt w:val="decimal"/>
      <w:lvlText w:val="%1"/>
      <w:lvlJc w:val="left"/>
      <w:pPr>
        <w:ind w:left="2648" w:hanging="2341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2648" w:hanging="234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961" w:hanging="234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21" w:hanging="234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82" w:hanging="234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43" w:hanging="234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03" w:hanging="234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64" w:hanging="234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25" w:hanging="2341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3"/>
      <w:numFmt w:val="decimal"/>
      <w:lvlText w:val="%1"/>
      <w:lvlJc w:val="left"/>
      <w:pPr>
        <w:ind w:left="1027" w:hanging="720"/>
        <w:jc w:val="left"/>
      </w:pPr>
      <w:rPr>
        <w:rFonts w:hint="default"/>
        <w:lang w:val="en-US" w:eastAsia="en-US" w:bidi="ar-SA"/>
      </w:rPr>
    </w:lvl>
    <w:lvl w:ilvl="1">
      <w:start w:val="7"/>
      <w:numFmt w:val="decimal"/>
      <w:lvlText w:val="%1.%2"/>
      <w:lvlJc w:val="left"/>
      <w:pPr>
        <w:ind w:left="1027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65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87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10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3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55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778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601" w:hanging="720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3"/>
      <w:numFmt w:val="decimal"/>
      <w:lvlText w:val="%1"/>
      <w:lvlJc w:val="left"/>
      <w:pPr>
        <w:ind w:left="1627" w:hanging="132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627" w:hanging="13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027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1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6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09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5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70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551" w:hanging="360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2"/>
      <w:numFmt w:val="decimal"/>
      <w:lvlText w:val="%1"/>
      <w:lvlJc w:val="left"/>
      <w:pPr>
        <w:ind w:left="1027" w:hanging="72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027" w:hanging="720"/>
        <w:jc w:val="left"/>
      </w:pPr>
      <w:rPr>
        <w:rFonts w:hint="default"/>
        <w:b/>
        <w:bCs/>
        <w:w w:val="10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65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87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10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3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55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778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601" w:hanging="720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"/>
      <w:lvlJc w:val="left"/>
      <w:pPr>
        <w:ind w:left="1027" w:hanging="72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027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lowerRoman"/>
      <w:lvlText w:val="%3."/>
      <w:lvlJc w:val="left"/>
      <w:pPr>
        <w:ind w:left="1027" w:hanging="488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87" w:hanging="48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10" w:hanging="48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33" w:hanging="48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55" w:hanging="48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778" w:hanging="48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601" w:hanging="488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5"/>
      <w:numFmt w:val="decimal"/>
      <w:lvlText w:val="%1"/>
      <w:lvlJc w:val="left"/>
      <w:pPr>
        <w:ind w:left="1159" w:hanging="852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159" w:hanging="852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77" w:hanging="85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85" w:hanging="85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94" w:hanging="85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03" w:hanging="85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11" w:hanging="85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820" w:hanging="85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629" w:hanging="852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4"/>
      <w:numFmt w:val="decimal"/>
      <w:lvlText w:val="%1"/>
      <w:lvlJc w:val="left"/>
      <w:pPr>
        <w:ind w:left="592" w:hanging="543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592" w:hanging="543"/>
        <w:jc w:val="left"/>
      </w:pPr>
      <w:rPr>
        <w:rFonts w:hint="default"/>
        <w:lang w:val="en-US" w:eastAsia="en-US" w:bidi="ar-SA"/>
      </w:rPr>
    </w:lvl>
    <w:lvl w:ilvl="2">
      <w:start w:val="2"/>
      <w:numFmt w:val="decimal"/>
      <w:lvlText w:val="%1.%2.%3"/>
      <w:lvlJc w:val="left"/>
      <w:pPr>
        <w:ind w:left="592" w:hanging="543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916" w:hanging="54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355" w:hanging="54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794" w:hanging="54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232" w:hanging="54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671" w:hanging="54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110" w:hanging="543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"/>
      <w:lvlJc w:val="left"/>
      <w:pPr>
        <w:ind w:left="409" w:hanging="360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"/>
      <w:lvlJc w:val="left"/>
      <w:pPr>
        <w:ind w:left="409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63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69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127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559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99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42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854" w:hanging="360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"/>
      <w:lvlJc w:val="left"/>
      <w:pPr>
        <w:ind w:left="350" w:hanging="301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350" w:hanging="301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31" w:hanging="30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667" w:hanging="30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103" w:hanging="30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539" w:hanging="30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974" w:hanging="30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410" w:hanging="30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846" w:hanging="301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667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667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77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3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9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5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1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67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529" w:hanging="360"/>
      </w:pPr>
      <w:rPr>
        <w:rFonts w:hint="default"/>
        <w:lang w:val="en-US" w:eastAsia="en-US" w:bidi="ar-SA"/>
      </w:rPr>
    </w:lvl>
  </w:abstract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3"/>
      <w:ind w:left="307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TOC2" w:type="paragraph">
    <w:name w:val="TOC 2"/>
    <w:basedOn w:val="Normal"/>
    <w:uiPriority w:val="1"/>
    <w:qFormat/>
    <w:pPr>
      <w:spacing w:before="519"/>
      <w:ind w:left="307" w:right="6689"/>
    </w:pPr>
    <w:rPr>
      <w:rFonts w:ascii="Times New Roman" w:hAnsi="Times New Roman" w:eastAsia="Times New Roman" w:cs="Times New Roman"/>
      <w:b/>
      <w:bCs/>
      <w:i/>
      <w:iCs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1"/>
      <w:ind w:left="307" w:hanging="361"/>
      <w:outlineLvl w:val="1"/>
    </w:pPr>
    <w:rPr>
      <w:rFonts w:ascii="Times New Roman" w:hAnsi="Times New Roman" w:eastAsia="Times New Roman" w:cs="Times New Roman"/>
      <w:sz w:val="28"/>
      <w:szCs w:val="28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69"/>
      <w:ind w:left="1027" w:hanging="721"/>
      <w:jc w:val="both"/>
      <w:outlineLvl w:val="2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1027" w:hanging="721"/>
      <w:jc w:val="both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footer" Target="footer3.xml"/><Relationship Id="rId8" Type="http://schemas.openxmlformats.org/officeDocument/2006/relationships/hyperlink" Target="http://www.onlinenigeria.com/links/nigeradv.asp?blurb=330" TargetMode="External"/><Relationship Id="rId9" Type="http://schemas.openxmlformats.org/officeDocument/2006/relationships/image" Target="media/image1.jpeg"/><Relationship Id="rId10" Type="http://schemas.openxmlformats.org/officeDocument/2006/relationships/image" Target="media/image2.jpeg"/><Relationship Id="rId11" Type="http://schemas.openxmlformats.org/officeDocument/2006/relationships/image" Target="media/image3.jpeg"/><Relationship Id="rId12" Type="http://schemas.openxmlformats.org/officeDocument/2006/relationships/image" Target="media/image4.png"/><Relationship Id="rId13" Type="http://schemas.openxmlformats.org/officeDocument/2006/relationships/image" Target="media/image5.jpeg"/><Relationship Id="rId14" Type="http://schemas.openxmlformats.org/officeDocument/2006/relationships/image" Target="media/image6.jpeg"/><Relationship Id="rId15" Type="http://schemas.openxmlformats.org/officeDocument/2006/relationships/footer" Target="footer4.xml"/><Relationship Id="rId16" Type="http://schemas.openxmlformats.org/officeDocument/2006/relationships/footer" Target="footer5.xml"/><Relationship Id="rId17" Type="http://schemas.openxmlformats.org/officeDocument/2006/relationships/footer" Target="footer6.xml"/><Relationship Id="rId18" Type="http://schemas.openxmlformats.org/officeDocument/2006/relationships/image" Target="media/image7.png"/><Relationship Id="rId19" Type="http://schemas.openxmlformats.org/officeDocument/2006/relationships/image" Target="media/image8.jpeg"/><Relationship Id="rId20" Type="http://schemas.openxmlformats.org/officeDocument/2006/relationships/image" Target="media/image9.jpeg"/><Relationship Id="rId21" Type="http://schemas.openxmlformats.org/officeDocument/2006/relationships/image" Target="media/image10.jpeg"/><Relationship Id="rId22" Type="http://schemas.openxmlformats.org/officeDocument/2006/relationships/image" Target="media/image11.jpeg"/><Relationship Id="rId23" Type="http://schemas.openxmlformats.org/officeDocument/2006/relationships/image" Target="media/image12.jpeg"/><Relationship Id="rId24" Type="http://schemas.openxmlformats.org/officeDocument/2006/relationships/image" Target="media/image13.jpeg"/><Relationship Id="rId25" Type="http://schemas.openxmlformats.org/officeDocument/2006/relationships/image" Target="media/image14.jpeg"/><Relationship Id="rId26" Type="http://schemas.openxmlformats.org/officeDocument/2006/relationships/image" Target="media/image15.jpeg"/><Relationship Id="rId27" Type="http://schemas.openxmlformats.org/officeDocument/2006/relationships/image" Target="media/image16.jpeg"/><Relationship Id="rId28" Type="http://schemas.openxmlformats.org/officeDocument/2006/relationships/image" Target="media/image17.jpeg"/><Relationship Id="rId29" Type="http://schemas.openxmlformats.org/officeDocument/2006/relationships/image" Target="media/image18.jpeg"/><Relationship Id="rId30" Type="http://schemas.openxmlformats.org/officeDocument/2006/relationships/image" Target="media/image19.jpeg"/><Relationship Id="rId31" Type="http://schemas.openxmlformats.org/officeDocument/2006/relationships/image" Target="media/image20.jpeg"/><Relationship Id="rId32" Type="http://schemas.openxmlformats.org/officeDocument/2006/relationships/footer" Target="footer7.xml"/><Relationship Id="rId33" Type="http://schemas.openxmlformats.org/officeDocument/2006/relationships/image" Target="media/image21.jpeg"/><Relationship Id="rId34" Type="http://schemas.openxmlformats.org/officeDocument/2006/relationships/hyperlink" Target="https://www.researchgate.net/journal/0971-5010_ISH_Journal_of_Hydraulic_Engineering" TargetMode="External"/><Relationship Id="rId35" Type="http://schemas.openxmlformats.org/officeDocument/2006/relationships/hyperlink" Target="https://www.scirp.org/(S(351jmbntvnsjt1aadkposzje))/journal/Home.aspx?JournalID=209" TargetMode="External"/><Relationship Id="rId36" Type="http://schemas.openxmlformats.org/officeDocument/2006/relationships/hyperlink" Target="https://www.scirp.org/(S(351jmbntvnsjt1aadkposzje))/journal/Home.aspx?IssueID=4151" TargetMode="External"/><Relationship Id="rId37" Type="http://schemas.openxmlformats.org/officeDocument/2006/relationships/hyperlink" Target="http://www.cflhd.gov/resources/agm" TargetMode="External"/><Relationship Id="rId38" Type="http://schemas.openxmlformats.org/officeDocument/2006/relationships/image" Target="media/image22.jpeg"/><Relationship Id="rId39" Type="http://schemas.openxmlformats.org/officeDocument/2006/relationships/image" Target="media/image23.jpeg"/><Relationship Id="rId40" Type="http://schemas.openxmlformats.org/officeDocument/2006/relationships/image" Target="media/image24.jpeg"/><Relationship Id="rId41" Type="http://schemas.openxmlformats.org/officeDocument/2006/relationships/image" Target="media/image25.jpeg"/><Relationship Id="rId42" Type="http://schemas.openxmlformats.org/officeDocument/2006/relationships/image" Target="media/image26.jpeg"/><Relationship Id="rId43" Type="http://schemas.openxmlformats.org/officeDocument/2006/relationships/image" Target="media/image27.jpeg"/><Relationship Id="rId44" Type="http://schemas.openxmlformats.org/officeDocument/2006/relationships/image" Target="media/image28.jpeg"/><Relationship Id="rId45" Type="http://schemas.openxmlformats.org/officeDocument/2006/relationships/image" Target="media/image29.jpeg"/><Relationship Id="rId46" Type="http://schemas.openxmlformats.org/officeDocument/2006/relationships/image" Target="media/image30.jpeg"/><Relationship Id="rId47" Type="http://schemas.openxmlformats.org/officeDocument/2006/relationships/image" Target="media/image31.jpeg"/><Relationship Id="rId48" Type="http://schemas.openxmlformats.org/officeDocument/2006/relationships/image" Target="media/image32.jpeg"/><Relationship Id="rId49" Type="http://schemas.openxmlformats.org/officeDocument/2006/relationships/image" Target="media/image33.jpeg"/><Relationship Id="rId50" Type="http://schemas.openxmlformats.org/officeDocument/2006/relationships/image" Target="media/image34.jpeg"/><Relationship Id="rId51" Type="http://schemas.openxmlformats.org/officeDocument/2006/relationships/image" Target="media/image35.jpeg"/><Relationship Id="rId52" Type="http://schemas.openxmlformats.org/officeDocument/2006/relationships/image" Target="media/image36.jpeg"/><Relationship Id="rId53" Type="http://schemas.openxmlformats.org/officeDocument/2006/relationships/image" Target="media/image37.jpeg"/><Relationship Id="rId54" Type="http://schemas.openxmlformats.org/officeDocument/2006/relationships/image" Target="media/image38.jpeg"/><Relationship Id="rId55" Type="http://schemas.openxmlformats.org/officeDocument/2006/relationships/image" Target="media/image39.jpeg"/><Relationship Id="rId56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dcterms:created xsi:type="dcterms:W3CDTF">2023-11-14T17:00:55Z</dcterms:created>
  <dcterms:modified xsi:type="dcterms:W3CDTF">2023-11-14T17:00:55Z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2022-04-13T00:00:00Z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2023-11-14T00:00:00Z</vt:filetime>
  </property>
</Properties>
</file>